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color w:val="auto"/>
          <w:sz w:val="84"/>
          <w:szCs w:val="84"/>
          <w14:shadow w14:blurRad="50800" w14:dist="38100" w14:dir="2700000" w14:sx="100000" w14:sy="100000" w14:kx="0" w14:ky="0" w14:algn="tl">
            <w14:srgbClr w14:val="000000">
              <w14:alpha w14:val="60000"/>
            </w14:srgbClr>
          </w14:shadow>
        </w:rPr>
      </w:pPr>
      <w:r>
        <w:rPr>
          <w:rFonts w:hint="eastAsia" w:ascii="宋体" w:hAnsi="宋体"/>
          <w:b/>
          <w:color w:val="auto"/>
          <w:sz w:val="56"/>
          <w:szCs w:val="56"/>
        </w:rPr>
        <w:drawing>
          <wp:inline distT="0" distB="0" distL="0" distR="0">
            <wp:extent cx="5334000" cy="843280"/>
            <wp:effectExtent l="0" t="0" r="0" b="13970"/>
            <wp:docPr id="1" name="图片 1" descr="公司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标志"/>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334000" cy="843280"/>
                    </a:xfrm>
                    <a:prstGeom prst="rect">
                      <a:avLst/>
                    </a:prstGeom>
                    <a:noFill/>
                    <a:ln>
                      <a:noFill/>
                    </a:ln>
                  </pic:spPr>
                </pic:pic>
              </a:graphicData>
            </a:graphic>
          </wp:inline>
        </w:drawing>
      </w:r>
      <w:r>
        <w:rPr>
          <w:rFonts w:hint="eastAsia" w:ascii="宋体" w:hAnsi="宋体"/>
          <w:b/>
          <w:color w:val="auto"/>
          <w:sz w:val="56"/>
          <w:szCs w:val="56"/>
        </w:rPr>
        <w:t xml:space="preserve"> </w:t>
      </w:r>
    </w:p>
    <w:p>
      <w:pPr>
        <w:jc w:val="center"/>
        <w:rPr>
          <w:rFonts w:ascii="宋体" w:hAnsi="宋体"/>
          <w:b/>
          <w:bCs/>
          <w:color w:val="auto"/>
          <w:sz w:val="84"/>
          <w:szCs w:val="84"/>
          <w14:shadow w14:blurRad="50800" w14:dist="38100" w14:dir="2700000" w14:sx="100000" w14:sy="100000" w14:kx="0" w14:ky="0" w14:algn="tl">
            <w14:srgbClr w14:val="000000">
              <w14:alpha w14:val="60000"/>
            </w14:srgbClr>
          </w14:shadow>
        </w:rPr>
      </w:pPr>
    </w:p>
    <w:p>
      <w:pPr>
        <w:jc w:val="center"/>
        <w:rPr>
          <w:rFonts w:ascii="宋体" w:hAnsi="宋体"/>
          <w:b/>
          <w:bCs/>
          <w:color w:val="auto"/>
          <w:sz w:val="84"/>
          <w:szCs w:val="84"/>
          <w14:shadow w14:blurRad="50800" w14:dist="38100" w14:dir="2700000" w14:sx="100000" w14:sy="100000" w14:kx="0" w14:ky="0" w14:algn="tl">
            <w14:srgbClr w14:val="000000">
              <w14:alpha w14:val="60000"/>
            </w14:srgbClr>
          </w14:shadow>
        </w:rPr>
      </w:pPr>
      <w:r>
        <w:rPr>
          <w:rFonts w:hint="eastAsia" w:ascii="宋体" w:hAnsi="宋体"/>
          <w:b/>
          <w:bCs/>
          <w:color w:val="auto"/>
          <w:sz w:val="84"/>
          <w:szCs w:val="84"/>
          <w14:shadow w14:blurRad="50800" w14:dist="38100" w14:dir="2700000" w14:sx="100000" w14:sy="100000" w14:kx="0" w14:ky="0" w14:algn="tl">
            <w14:srgbClr w14:val="000000">
              <w14:alpha w14:val="60000"/>
            </w14:srgbClr>
          </w14:shadow>
        </w:rPr>
        <w:t>竞争性谈判文件</w:t>
      </w:r>
    </w:p>
    <w:p>
      <w:pPr>
        <w:rPr>
          <w:rFonts w:ascii="宋体" w:hAnsi="宋体"/>
          <w:b/>
          <w:color w:val="auto"/>
          <w:sz w:val="36"/>
          <w:szCs w:val="36"/>
          <w:u w:val="single"/>
        </w:rPr>
      </w:pPr>
    </w:p>
    <w:p>
      <w:pPr>
        <w:rPr>
          <w:rFonts w:ascii="宋体" w:hAnsi="宋体"/>
          <w:b/>
          <w:color w:val="auto"/>
          <w:sz w:val="36"/>
          <w:szCs w:val="36"/>
          <w:u w:val="single"/>
        </w:rPr>
      </w:pPr>
    </w:p>
    <w:p>
      <w:pPr>
        <w:rPr>
          <w:rFonts w:ascii="宋体" w:hAnsi="宋体"/>
          <w:b/>
          <w:color w:val="auto"/>
          <w:sz w:val="36"/>
          <w:szCs w:val="36"/>
        </w:rPr>
      </w:pPr>
      <w:r>
        <w:rPr>
          <w:rFonts w:hint="eastAsia" w:ascii="宋体" w:hAnsi="宋体"/>
          <w:b/>
          <w:color w:val="auto"/>
          <w:sz w:val="36"/>
          <w:szCs w:val="36"/>
        </w:rPr>
        <w:t xml:space="preserve">   </w:t>
      </w:r>
    </w:p>
    <w:p>
      <w:pPr>
        <w:tabs>
          <w:tab w:val="left" w:pos="630"/>
        </w:tabs>
        <w:autoSpaceDE w:val="0"/>
        <w:autoSpaceDN w:val="0"/>
        <w:spacing w:line="360" w:lineRule="auto"/>
        <w:ind w:firstLine="803" w:firstLineChars="250"/>
        <w:textAlignment w:val="bottom"/>
        <w:rPr>
          <w:rFonts w:hint="eastAsia" w:ascii="宋体" w:hAnsi="宋体" w:eastAsia="宋体"/>
          <w:b/>
          <w:color w:val="auto"/>
          <w:sz w:val="32"/>
          <w:szCs w:val="32"/>
          <w:lang w:eastAsia="zh-CN"/>
        </w:rPr>
      </w:pPr>
      <w:r>
        <w:rPr>
          <w:rFonts w:hint="eastAsia" w:ascii="宋体" w:hAnsi="宋体"/>
          <w:b/>
          <w:color w:val="auto"/>
          <w:sz w:val="32"/>
          <w:szCs w:val="32"/>
        </w:rPr>
        <w:t>采 购 人：</w:t>
      </w:r>
      <w:r>
        <w:rPr>
          <w:rFonts w:hint="eastAsia" w:ascii="宋体" w:hAnsi="宋体"/>
          <w:b/>
          <w:color w:val="auto"/>
          <w:sz w:val="32"/>
          <w:szCs w:val="32"/>
          <w:lang w:eastAsia="zh-CN"/>
        </w:rPr>
        <w:t>白沙黎族自治县行政审批服务局</w:t>
      </w:r>
    </w:p>
    <w:p>
      <w:pPr>
        <w:spacing w:line="360" w:lineRule="auto"/>
        <w:ind w:left="2428" w:leftChars="399" w:hanging="1590" w:hangingChars="495"/>
        <w:rPr>
          <w:rFonts w:hint="eastAsia" w:ascii="宋体" w:hAnsi="宋体" w:eastAsia="宋体"/>
          <w:b/>
          <w:color w:val="auto"/>
          <w:sz w:val="32"/>
          <w:szCs w:val="32"/>
          <w:lang w:eastAsia="zh-CN"/>
        </w:rPr>
      </w:pPr>
      <w:r>
        <w:rPr>
          <w:rFonts w:hint="eastAsia" w:ascii="宋体" w:hAnsi="宋体"/>
          <w:b/>
          <w:color w:val="auto"/>
          <w:sz w:val="32"/>
          <w:szCs w:val="32"/>
        </w:rPr>
        <w:t>项目名称：</w:t>
      </w:r>
      <w:r>
        <w:rPr>
          <w:rFonts w:hint="eastAsia" w:ascii="宋体" w:hAnsi="宋体"/>
          <w:b/>
          <w:color w:val="auto"/>
          <w:sz w:val="32"/>
          <w:szCs w:val="32"/>
          <w:lang w:eastAsia="zh-CN"/>
        </w:rPr>
        <w:t>白沙县行政审批服务局办事大厅改造（政务中心二楼)</w:t>
      </w:r>
    </w:p>
    <w:p>
      <w:pPr>
        <w:spacing w:line="360" w:lineRule="auto"/>
        <w:ind w:left="210" w:leftChars="100" w:firstLine="630" w:firstLineChars="196"/>
        <w:rPr>
          <w:rFonts w:hint="eastAsia" w:ascii="宋体" w:hAnsi="宋体"/>
          <w:b/>
          <w:color w:val="auto"/>
          <w:sz w:val="32"/>
          <w:szCs w:val="32"/>
          <w:lang w:eastAsia="zh-CN"/>
        </w:rPr>
      </w:pPr>
      <w:r>
        <w:rPr>
          <w:rFonts w:hint="eastAsia" w:ascii="宋体" w:hAnsi="宋体"/>
          <w:b/>
          <w:color w:val="auto"/>
          <w:sz w:val="32"/>
          <w:szCs w:val="32"/>
        </w:rPr>
        <w:t>项目编号：</w:t>
      </w:r>
      <w:r>
        <w:rPr>
          <w:rFonts w:hint="eastAsia" w:ascii="宋体" w:hAnsi="宋体"/>
          <w:b/>
          <w:color w:val="auto"/>
          <w:sz w:val="32"/>
          <w:szCs w:val="32"/>
          <w:lang w:eastAsia="zh-CN"/>
        </w:rPr>
        <w:t>HNZH-2020-188</w:t>
      </w:r>
    </w:p>
    <w:p>
      <w:pPr>
        <w:spacing w:line="360" w:lineRule="auto"/>
        <w:ind w:left="210" w:leftChars="100" w:firstLine="630" w:firstLineChars="196"/>
        <w:rPr>
          <w:rFonts w:ascii="宋体" w:hAnsi="宋体"/>
          <w:b/>
          <w:color w:val="auto"/>
          <w:sz w:val="32"/>
          <w:szCs w:val="32"/>
        </w:rPr>
      </w:pPr>
      <w:r>
        <w:rPr>
          <w:rFonts w:hint="eastAsia" w:ascii="宋体" w:hAnsi="宋体"/>
          <w:b/>
          <w:color w:val="auto"/>
          <w:sz w:val="32"/>
          <w:szCs w:val="32"/>
        </w:rPr>
        <w:t>代理机构：海南政辉招投标代理有限公司</w:t>
      </w:r>
    </w:p>
    <w:p>
      <w:pPr>
        <w:rPr>
          <w:rFonts w:hint="eastAsia" w:ascii="宋体" w:hAnsi="宋体"/>
          <w:b/>
          <w:color w:val="auto"/>
          <w:sz w:val="36"/>
          <w:szCs w:val="36"/>
        </w:rPr>
      </w:pPr>
      <w:r>
        <w:rPr>
          <w:rFonts w:hint="eastAsia" w:ascii="宋体" w:hAnsi="宋体"/>
          <w:b/>
          <w:color w:val="auto"/>
          <w:sz w:val="36"/>
          <w:szCs w:val="36"/>
        </w:rPr>
        <w:t xml:space="preserve">                </w:t>
      </w:r>
    </w:p>
    <w:p>
      <w:pPr>
        <w:jc w:val="center"/>
        <w:rPr>
          <w:rFonts w:hint="eastAsia"/>
          <w:color w:val="auto"/>
          <w:sz w:val="28"/>
          <w:szCs w:val="28"/>
        </w:rPr>
      </w:pPr>
      <w:r>
        <w:rPr>
          <w:rFonts w:hint="eastAsia" w:ascii="宋体" w:hAnsi="宋体"/>
          <w:b/>
          <w:color w:val="auto"/>
          <w:sz w:val="28"/>
          <w:szCs w:val="28"/>
          <w:lang w:val="en-US" w:eastAsia="zh-CN"/>
        </w:rPr>
        <w:t>2020</w:t>
      </w:r>
      <w:r>
        <w:rPr>
          <w:rFonts w:hint="eastAsia" w:ascii="宋体" w:hAnsi="宋体"/>
          <w:b/>
          <w:color w:val="auto"/>
          <w:sz w:val="28"/>
          <w:szCs w:val="28"/>
        </w:rPr>
        <w:t>年</w:t>
      </w:r>
      <w:r>
        <w:rPr>
          <w:rFonts w:hint="eastAsia" w:ascii="宋体" w:hAnsi="宋体"/>
          <w:b/>
          <w:color w:val="auto"/>
          <w:sz w:val="28"/>
          <w:szCs w:val="28"/>
          <w:lang w:val="en-US" w:eastAsia="zh-CN"/>
        </w:rPr>
        <w:t>06</w:t>
      </w:r>
      <w:r>
        <w:rPr>
          <w:rFonts w:hint="eastAsia" w:ascii="宋体" w:hAnsi="宋体"/>
          <w:b/>
          <w:color w:val="auto"/>
          <w:sz w:val="28"/>
          <w:szCs w:val="28"/>
        </w:rPr>
        <w:t>月</w:t>
      </w:r>
    </w:p>
    <w:p>
      <w:pPr>
        <w:pStyle w:val="2"/>
        <w:jc w:val="center"/>
        <w:rPr>
          <w:rFonts w:hint="eastAsia" w:eastAsia="宋体"/>
          <w:color w:val="auto"/>
          <w:sz w:val="28"/>
          <w:szCs w:val="28"/>
          <w:lang w:val="en-US" w:eastAsia="zh-CN"/>
        </w:rPr>
      </w:pPr>
      <w:r>
        <w:rPr>
          <w:rFonts w:hint="eastAsia" w:ascii="宋体" w:hAnsi="宋体"/>
          <w:b/>
          <w:color w:val="auto"/>
          <w:sz w:val="28"/>
          <w:szCs w:val="28"/>
        </w:rPr>
        <w:t>海南政辉招投标代理有限公司</w:t>
      </w:r>
      <w:r>
        <w:rPr>
          <w:rFonts w:hint="eastAsia" w:ascii="宋体" w:hAnsi="宋体" w:eastAsia="宋体"/>
          <w:b/>
          <w:color w:val="auto"/>
          <w:sz w:val="28"/>
          <w:szCs w:val="28"/>
          <w:lang w:eastAsia="zh-CN"/>
        </w:rPr>
        <w:t>编制</w:t>
      </w:r>
    </w:p>
    <w:p>
      <w:pPr>
        <w:rPr>
          <w:rFonts w:hint="eastAsia"/>
          <w:color w:val="auto"/>
        </w:rPr>
      </w:pPr>
    </w:p>
    <w:p>
      <w:pPr>
        <w:pStyle w:val="2"/>
        <w:rPr>
          <w:rFonts w:hint="eastAsia"/>
          <w:color w:val="auto"/>
        </w:rPr>
      </w:pPr>
    </w:p>
    <w:p>
      <w:pPr>
        <w:jc w:val="center"/>
        <w:rPr>
          <w:color w:val="auto"/>
          <w:sz w:val="36"/>
          <w:szCs w:val="36"/>
        </w:rPr>
      </w:pPr>
      <w:r>
        <w:rPr>
          <w:rFonts w:hint="eastAsia"/>
          <w:color w:val="auto"/>
          <w:sz w:val="36"/>
          <w:szCs w:val="36"/>
        </w:rPr>
        <w:t>目 录</w:t>
      </w:r>
    </w:p>
    <w:sdt>
      <w:sdtPr>
        <w:rPr>
          <w:rFonts w:ascii="Times New Roman" w:hAnsi="Times New Roman" w:eastAsia="宋体" w:cs="Times New Roman"/>
          <w:color w:val="auto"/>
          <w:kern w:val="2"/>
          <w:sz w:val="21"/>
          <w:szCs w:val="20"/>
          <w:lang w:val="zh-CN"/>
        </w:rPr>
        <w:id w:val="618332155"/>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110"/>
            <w:rPr>
              <w:color w:val="auto"/>
            </w:rPr>
          </w:pPr>
        </w:p>
        <w:p>
          <w:pPr>
            <w:pStyle w:val="16"/>
            <w:rPr>
              <w:rStyle w:val="31"/>
              <w:rFonts w:cs="黑体"/>
              <w:b w:val="0"/>
              <w:bCs w:val="0"/>
              <w:color w:val="auto"/>
              <w:sz w:val="32"/>
              <w:szCs w:val="32"/>
            </w:rPr>
          </w:pPr>
          <w:r>
            <w:rPr>
              <w:color w:val="auto"/>
            </w:rPr>
            <w:fldChar w:fldCharType="begin"/>
          </w:r>
          <w:r>
            <w:rPr>
              <w:color w:val="auto"/>
            </w:rPr>
            <w:instrText xml:space="preserve"> TOC \o "1-3" \h \z \u </w:instrText>
          </w:r>
          <w:r>
            <w:rPr>
              <w:color w:val="auto"/>
            </w:rPr>
            <w:fldChar w:fldCharType="separate"/>
          </w:r>
          <w:r>
            <w:rPr>
              <w:color w:val="auto"/>
            </w:rPr>
            <w:fldChar w:fldCharType="begin"/>
          </w:r>
          <w:r>
            <w:rPr>
              <w:color w:val="auto"/>
            </w:rPr>
            <w:instrText xml:space="preserve"> HYPERLINK \l "_Toc1660483" </w:instrText>
          </w:r>
          <w:r>
            <w:rPr>
              <w:color w:val="auto"/>
            </w:rPr>
            <w:fldChar w:fldCharType="separate"/>
          </w:r>
          <w:r>
            <w:rPr>
              <w:rStyle w:val="31"/>
              <w:rFonts w:cs="黑体"/>
              <w:b w:val="0"/>
              <w:bCs w:val="0"/>
              <w:color w:val="auto"/>
              <w:sz w:val="32"/>
              <w:szCs w:val="32"/>
            </w:rPr>
            <w:t>第一章</w:t>
          </w:r>
          <w:r>
            <w:rPr>
              <w:rStyle w:val="31"/>
              <w:rFonts w:hint="eastAsia" w:cs="黑体"/>
              <w:b w:val="0"/>
              <w:bCs w:val="0"/>
              <w:color w:val="auto"/>
              <w:sz w:val="32"/>
              <w:szCs w:val="32"/>
            </w:rPr>
            <w:t>、</w:t>
          </w:r>
          <w:r>
            <w:rPr>
              <w:rStyle w:val="31"/>
              <w:rFonts w:cs="黑体"/>
              <w:b w:val="0"/>
              <w:bCs w:val="0"/>
              <w:color w:val="auto"/>
              <w:sz w:val="32"/>
              <w:szCs w:val="32"/>
            </w:rPr>
            <w:t>谈 判 邀 请 函</w:t>
          </w:r>
          <w:r>
            <w:rPr>
              <w:rStyle w:val="31"/>
              <w:rFonts w:cs="黑体"/>
              <w:b w:val="0"/>
              <w:bCs w:val="0"/>
              <w:color w:val="auto"/>
              <w:sz w:val="32"/>
              <w:szCs w:val="32"/>
            </w:rPr>
            <w:tab/>
          </w:r>
          <w:r>
            <w:rPr>
              <w:rStyle w:val="31"/>
              <w:rFonts w:cs="黑体"/>
              <w:b w:val="0"/>
              <w:bCs w:val="0"/>
              <w:color w:val="auto"/>
              <w:sz w:val="32"/>
              <w:szCs w:val="32"/>
            </w:rPr>
            <w:fldChar w:fldCharType="begin"/>
          </w:r>
          <w:r>
            <w:rPr>
              <w:rStyle w:val="31"/>
              <w:rFonts w:cs="黑体"/>
              <w:b w:val="0"/>
              <w:bCs w:val="0"/>
              <w:color w:val="auto"/>
              <w:sz w:val="32"/>
              <w:szCs w:val="32"/>
            </w:rPr>
            <w:instrText xml:space="preserve"> PAGEREF _Toc1660483 \h </w:instrText>
          </w:r>
          <w:r>
            <w:rPr>
              <w:rStyle w:val="31"/>
              <w:rFonts w:cs="黑体"/>
              <w:b w:val="0"/>
              <w:bCs w:val="0"/>
              <w:color w:val="auto"/>
              <w:sz w:val="32"/>
              <w:szCs w:val="32"/>
            </w:rPr>
            <w:fldChar w:fldCharType="separate"/>
          </w:r>
          <w:r>
            <w:rPr>
              <w:rStyle w:val="31"/>
              <w:rFonts w:cs="黑体"/>
              <w:b w:val="0"/>
              <w:bCs w:val="0"/>
              <w:color w:val="auto"/>
              <w:sz w:val="32"/>
              <w:szCs w:val="32"/>
            </w:rPr>
            <w:t>3</w:t>
          </w:r>
          <w:r>
            <w:rPr>
              <w:rStyle w:val="31"/>
              <w:rFonts w:cs="黑体"/>
              <w:b w:val="0"/>
              <w:bCs w:val="0"/>
              <w:color w:val="auto"/>
              <w:sz w:val="32"/>
              <w:szCs w:val="32"/>
            </w:rPr>
            <w:fldChar w:fldCharType="end"/>
          </w:r>
          <w:r>
            <w:rPr>
              <w:rStyle w:val="31"/>
              <w:rFonts w:cs="黑体"/>
              <w:b w:val="0"/>
              <w:bCs w:val="0"/>
              <w:color w:val="auto"/>
              <w:sz w:val="32"/>
              <w:szCs w:val="32"/>
            </w:rPr>
            <w:fldChar w:fldCharType="end"/>
          </w:r>
        </w:p>
        <w:p>
          <w:pPr>
            <w:pStyle w:val="17"/>
            <w:ind w:left="0" w:leftChars="0"/>
            <w:jc w:val="both"/>
            <w:rPr>
              <w:rStyle w:val="31"/>
              <w:rFonts w:cs="黑体"/>
              <w:color w:val="auto"/>
            </w:rPr>
          </w:pPr>
          <w:r>
            <w:rPr>
              <w:color w:val="auto"/>
            </w:rPr>
            <w:fldChar w:fldCharType="begin"/>
          </w:r>
          <w:r>
            <w:rPr>
              <w:color w:val="auto"/>
            </w:rPr>
            <w:instrText xml:space="preserve"> HYPERLINK \l "_Toc1660484" </w:instrText>
          </w:r>
          <w:r>
            <w:rPr>
              <w:color w:val="auto"/>
            </w:rPr>
            <w:fldChar w:fldCharType="separate"/>
          </w:r>
          <w:r>
            <w:rPr>
              <w:rStyle w:val="31"/>
              <w:rFonts w:ascii="宋体" w:hAnsi="宋体" w:eastAsia="宋体" w:cs="黑体"/>
              <w:color w:val="auto"/>
            </w:rPr>
            <w:t>第二章</w:t>
          </w:r>
          <w:r>
            <w:rPr>
              <w:rStyle w:val="31"/>
              <w:rFonts w:hint="eastAsia" w:ascii="宋体" w:hAnsi="宋体" w:eastAsia="宋体" w:cs="黑体"/>
              <w:color w:val="auto"/>
            </w:rPr>
            <w:t>、</w:t>
          </w:r>
          <w:r>
            <w:rPr>
              <w:rStyle w:val="31"/>
              <w:rFonts w:ascii="宋体" w:hAnsi="宋体" w:eastAsia="宋体" w:cs="黑体"/>
              <w:color w:val="auto"/>
            </w:rPr>
            <w:t>谈判须知</w:t>
          </w:r>
          <w:r>
            <w:rPr>
              <w:rStyle w:val="31"/>
              <w:rFonts w:ascii="宋体" w:hAnsi="宋体" w:eastAsia="宋体" w:cs="黑体"/>
              <w:color w:val="auto"/>
            </w:rPr>
            <w:tab/>
          </w:r>
          <w:r>
            <w:rPr>
              <w:rStyle w:val="31"/>
              <w:rFonts w:hint="eastAsia" w:ascii="宋体" w:hAnsi="宋体" w:eastAsia="宋体" w:cs="黑体"/>
              <w:color w:val="auto"/>
              <w:lang w:val="en-US" w:eastAsia="zh-CN"/>
            </w:rPr>
            <w:t>6</w:t>
          </w:r>
          <w:r>
            <w:rPr>
              <w:rStyle w:val="31"/>
              <w:rFonts w:ascii="宋体" w:hAnsi="宋体" w:eastAsia="宋体" w:cs="黑体"/>
              <w:color w:val="auto"/>
            </w:rPr>
            <w:fldChar w:fldCharType="end"/>
          </w:r>
        </w:p>
        <w:p>
          <w:pPr>
            <w:pStyle w:val="16"/>
            <w:rPr>
              <w:rStyle w:val="31"/>
              <w:rFonts w:hint="eastAsia" w:eastAsia="宋体" w:cs="黑体"/>
              <w:b w:val="0"/>
              <w:color w:val="auto"/>
              <w:sz w:val="32"/>
              <w:szCs w:val="32"/>
              <w:lang w:val="en-US" w:eastAsia="zh-CN"/>
            </w:rPr>
          </w:pPr>
          <w:r>
            <w:rPr>
              <w:color w:val="auto"/>
            </w:rPr>
            <w:fldChar w:fldCharType="begin"/>
          </w:r>
          <w:r>
            <w:rPr>
              <w:color w:val="auto"/>
            </w:rPr>
            <w:instrText xml:space="preserve"> HYPERLINK \l "_Toc1660547" </w:instrText>
          </w:r>
          <w:r>
            <w:rPr>
              <w:color w:val="auto"/>
            </w:rPr>
            <w:fldChar w:fldCharType="separate"/>
          </w:r>
          <w:r>
            <w:rPr>
              <w:rStyle w:val="31"/>
              <w:rFonts w:cs="黑体"/>
              <w:b w:val="0"/>
              <w:bCs w:val="0"/>
              <w:color w:val="auto"/>
              <w:sz w:val="32"/>
              <w:szCs w:val="32"/>
            </w:rPr>
            <w:t>第三章、</w:t>
          </w:r>
          <w:r>
            <w:rPr>
              <w:rStyle w:val="31"/>
              <w:rFonts w:hint="eastAsia" w:cs="黑体"/>
              <w:b w:val="0"/>
              <w:bCs w:val="0"/>
              <w:color w:val="auto"/>
              <w:sz w:val="32"/>
              <w:szCs w:val="32"/>
              <w:lang w:eastAsia="zh-CN"/>
            </w:rPr>
            <w:t>用户需求书</w:t>
          </w:r>
          <w:r>
            <w:rPr>
              <w:rStyle w:val="31"/>
              <w:rFonts w:cs="黑体"/>
              <w:b w:val="0"/>
              <w:bCs w:val="0"/>
              <w:color w:val="auto"/>
              <w:sz w:val="32"/>
              <w:szCs w:val="32"/>
            </w:rPr>
            <w:tab/>
          </w:r>
          <w:r>
            <w:rPr>
              <w:rStyle w:val="31"/>
              <w:rFonts w:hint="eastAsia" w:cs="黑体"/>
              <w:b w:val="0"/>
              <w:bCs w:val="0"/>
              <w:color w:val="auto"/>
              <w:sz w:val="32"/>
              <w:szCs w:val="32"/>
              <w:lang w:val="en-US" w:eastAsia="zh-CN"/>
            </w:rPr>
            <w:t>3</w:t>
          </w:r>
          <w:r>
            <w:rPr>
              <w:rStyle w:val="31"/>
              <w:rFonts w:cs="黑体"/>
              <w:b w:val="0"/>
              <w:bCs w:val="0"/>
              <w:color w:val="auto"/>
              <w:sz w:val="32"/>
              <w:szCs w:val="32"/>
            </w:rPr>
            <w:fldChar w:fldCharType="end"/>
          </w:r>
          <w:r>
            <w:rPr>
              <w:rStyle w:val="31"/>
              <w:rFonts w:hint="eastAsia" w:cs="黑体"/>
              <w:b w:val="0"/>
              <w:bCs w:val="0"/>
              <w:color w:val="auto"/>
              <w:sz w:val="32"/>
              <w:szCs w:val="32"/>
              <w:lang w:val="en-US" w:eastAsia="zh-CN"/>
            </w:rPr>
            <w:t>0</w:t>
          </w:r>
        </w:p>
        <w:p>
          <w:pPr>
            <w:pStyle w:val="16"/>
            <w:rPr>
              <w:rStyle w:val="31"/>
              <w:rFonts w:hint="eastAsia" w:eastAsia="宋体" w:cs="黑体"/>
              <w:b w:val="0"/>
              <w:color w:val="auto"/>
              <w:sz w:val="32"/>
              <w:szCs w:val="32"/>
              <w:lang w:val="en-US" w:eastAsia="zh-CN"/>
            </w:rPr>
          </w:pPr>
          <w:r>
            <w:rPr>
              <w:color w:val="auto"/>
            </w:rPr>
            <w:fldChar w:fldCharType="begin"/>
          </w:r>
          <w:r>
            <w:rPr>
              <w:color w:val="auto"/>
            </w:rPr>
            <w:instrText xml:space="preserve"> HYPERLINK \l "_Toc1660548" </w:instrText>
          </w:r>
          <w:r>
            <w:rPr>
              <w:color w:val="auto"/>
            </w:rPr>
            <w:fldChar w:fldCharType="separate"/>
          </w:r>
          <w:r>
            <w:rPr>
              <w:rStyle w:val="31"/>
              <w:rFonts w:cs="黑体"/>
              <w:b w:val="0"/>
              <w:bCs w:val="0"/>
              <w:color w:val="auto"/>
              <w:sz w:val="32"/>
              <w:szCs w:val="32"/>
            </w:rPr>
            <w:t>第四章、合同文本（参考文本）</w:t>
          </w:r>
          <w:r>
            <w:rPr>
              <w:rStyle w:val="31"/>
              <w:rFonts w:cs="黑体"/>
              <w:b w:val="0"/>
              <w:bCs w:val="0"/>
              <w:color w:val="auto"/>
              <w:sz w:val="32"/>
              <w:szCs w:val="32"/>
            </w:rPr>
            <w:tab/>
          </w:r>
          <w:r>
            <w:rPr>
              <w:rStyle w:val="31"/>
              <w:rFonts w:hint="eastAsia" w:cs="黑体"/>
              <w:b w:val="0"/>
              <w:bCs w:val="0"/>
              <w:color w:val="auto"/>
              <w:sz w:val="32"/>
              <w:szCs w:val="32"/>
              <w:lang w:val="en-US" w:eastAsia="zh-CN"/>
            </w:rPr>
            <w:t>3</w:t>
          </w:r>
          <w:r>
            <w:rPr>
              <w:rStyle w:val="31"/>
              <w:rFonts w:cs="黑体"/>
              <w:b w:val="0"/>
              <w:bCs w:val="0"/>
              <w:color w:val="auto"/>
              <w:sz w:val="32"/>
              <w:szCs w:val="32"/>
            </w:rPr>
            <w:fldChar w:fldCharType="end"/>
          </w:r>
          <w:r>
            <w:rPr>
              <w:rStyle w:val="31"/>
              <w:rFonts w:hint="eastAsia" w:cs="黑体"/>
              <w:b w:val="0"/>
              <w:bCs w:val="0"/>
              <w:color w:val="auto"/>
              <w:sz w:val="32"/>
              <w:szCs w:val="32"/>
              <w:lang w:val="en-US" w:eastAsia="zh-CN"/>
            </w:rPr>
            <w:t>1</w:t>
          </w:r>
        </w:p>
        <w:p>
          <w:pPr>
            <w:pStyle w:val="16"/>
            <w:rPr>
              <w:rStyle w:val="31"/>
              <w:rFonts w:hint="eastAsia" w:eastAsia="宋体" w:cs="黑体"/>
              <w:b w:val="0"/>
              <w:color w:val="auto"/>
              <w:sz w:val="32"/>
              <w:szCs w:val="32"/>
              <w:lang w:val="en-US" w:eastAsia="zh-CN"/>
            </w:rPr>
          </w:pPr>
          <w:r>
            <w:rPr>
              <w:color w:val="auto"/>
            </w:rPr>
            <w:fldChar w:fldCharType="begin"/>
          </w:r>
          <w:r>
            <w:rPr>
              <w:color w:val="auto"/>
            </w:rPr>
            <w:instrText xml:space="preserve"> HYPERLINK \l "_Toc1660549" </w:instrText>
          </w:r>
          <w:r>
            <w:rPr>
              <w:color w:val="auto"/>
            </w:rPr>
            <w:fldChar w:fldCharType="separate"/>
          </w:r>
          <w:r>
            <w:rPr>
              <w:rStyle w:val="31"/>
              <w:rFonts w:cs="黑体"/>
              <w:b w:val="0"/>
              <w:bCs w:val="0"/>
              <w:color w:val="auto"/>
              <w:sz w:val="32"/>
              <w:szCs w:val="32"/>
            </w:rPr>
            <w:t>第五章、</w:t>
          </w:r>
          <w:r>
            <w:rPr>
              <w:rStyle w:val="31"/>
              <w:rFonts w:hint="eastAsia" w:cs="黑体"/>
              <w:b w:val="0"/>
              <w:bCs w:val="0"/>
              <w:color w:val="auto"/>
              <w:sz w:val="32"/>
              <w:szCs w:val="32"/>
              <w:lang w:eastAsia="zh-CN"/>
            </w:rPr>
            <w:t>响应</w:t>
          </w:r>
          <w:r>
            <w:rPr>
              <w:rStyle w:val="31"/>
              <w:rFonts w:cs="黑体"/>
              <w:b w:val="0"/>
              <w:bCs w:val="0"/>
              <w:color w:val="auto"/>
              <w:sz w:val="32"/>
              <w:szCs w:val="32"/>
            </w:rPr>
            <w:t>内容和格式</w:t>
          </w:r>
          <w:r>
            <w:rPr>
              <w:rStyle w:val="31"/>
              <w:rFonts w:cs="黑体"/>
              <w:b w:val="0"/>
              <w:bCs w:val="0"/>
              <w:color w:val="auto"/>
              <w:sz w:val="32"/>
              <w:szCs w:val="32"/>
            </w:rPr>
            <w:tab/>
          </w:r>
          <w:r>
            <w:rPr>
              <w:rStyle w:val="31"/>
              <w:rFonts w:hint="eastAsia" w:cs="黑体"/>
              <w:b w:val="0"/>
              <w:bCs w:val="0"/>
              <w:color w:val="auto"/>
              <w:sz w:val="32"/>
              <w:szCs w:val="32"/>
              <w:lang w:val="en-US" w:eastAsia="zh-CN"/>
            </w:rPr>
            <w:t>3</w:t>
          </w:r>
          <w:r>
            <w:rPr>
              <w:rStyle w:val="31"/>
              <w:rFonts w:cs="黑体"/>
              <w:b w:val="0"/>
              <w:bCs w:val="0"/>
              <w:color w:val="auto"/>
              <w:sz w:val="32"/>
              <w:szCs w:val="32"/>
            </w:rPr>
            <w:fldChar w:fldCharType="end"/>
          </w:r>
          <w:r>
            <w:rPr>
              <w:rStyle w:val="31"/>
              <w:rFonts w:hint="eastAsia" w:cs="黑体"/>
              <w:b w:val="0"/>
              <w:bCs w:val="0"/>
              <w:color w:val="auto"/>
              <w:sz w:val="32"/>
              <w:szCs w:val="32"/>
              <w:lang w:val="en-US" w:eastAsia="zh-CN"/>
            </w:rPr>
            <w:t>4</w:t>
          </w:r>
        </w:p>
        <w:p>
          <w:pPr>
            <w:pStyle w:val="16"/>
            <w:rPr>
              <w:rStyle w:val="31"/>
              <w:rFonts w:hint="eastAsia" w:eastAsia="宋体" w:cs="黑体"/>
              <w:b w:val="0"/>
              <w:color w:val="auto"/>
              <w:sz w:val="32"/>
              <w:szCs w:val="32"/>
              <w:lang w:val="en-US" w:eastAsia="zh-CN"/>
            </w:rPr>
          </w:pPr>
          <w:r>
            <w:rPr>
              <w:color w:val="auto"/>
            </w:rPr>
            <w:fldChar w:fldCharType="begin"/>
          </w:r>
          <w:r>
            <w:rPr>
              <w:color w:val="auto"/>
            </w:rPr>
            <w:instrText xml:space="preserve"> HYPERLINK \l "_Toc1660556" </w:instrText>
          </w:r>
          <w:r>
            <w:rPr>
              <w:color w:val="auto"/>
            </w:rPr>
            <w:fldChar w:fldCharType="separate"/>
          </w:r>
          <w:r>
            <w:rPr>
              <w:rStyle w:val="31"/>
              <w:rFonts w:cs="黑体"/>
              <w:b w:val="0"/>
              <w:bCs w:val="0"/>
              <w:color w:val="auto"/>
              <w:sz w:val="32"/>
              <w:szCs w:val="32"/>
            </w:rPr>
            <w:t>第六章、评审办法</w:t>
          </w:r>
          <w:r>
            <w:rPr>
              <w:rStyle w:val="31"/>
              <w:rFonts w:cs="黑体"/>
              <w:b w:val="0"/>
              <w:bCs w:val="0"/>
              <w:color w:val="auto"/>
              <w:sz w:val="32"/>
              <w:szCs w:val="32"/>
            </w:rPr>
            <w:tab/>
          </w:r>
          <w:r>
            <w:rPr>
              <w:rStyle w:val="31"/>
              <w:rFonts w:hint="eastAsia" w:cs="黑体"/>
              <w:b w:val="0"/>
              <w:bCs w:val="0"/>
              <w:color w:val="auto"/>
              <w:sz w:val="32"/>
              <w:szCs w:val="32"/>
              <w:lang w:val="en-US" w:eastAsia="zh-CN"/>
            </w:rPr>
            <w:t>5</w:t>
          </w:r>
          <w:r>
            <w:rPr>
              <w:rStyle w:val="31"/>
              <w:rFonts w:cs="黑体"/>
              <w:b w:val="0"/>
              <w:bCs w:val="0"/>
              <w:color w:val="auto"/>
              <w:sz w:val="32"/>
              <w:szCs w:val="32"/>
            </w:rPr>
            <w:fldChar w:fldCharType="end"/>
          </w:r>
          <w:r>
            <w:rPr>
              <w:rStyle w:val="31"/>
              <w:rFonts w:hint="eastAsia" w:cs="黑体"/>
              <w:b w:val="0"/>
              <w:bCs w:val="0"/>
              <w:color w:val="auto"/>
              <w:sz w:val="32"/>
              <w:szCs w:val="32"/>
              <w:lang w:val="en-US" w:eastAsia="zh-CN"/>
            </w:rPr>
            <w:t>1</w:t>
          </w:r>
        </w:p>
        <w:p>
          <w:pPr>
            <w:pStyle w:val="17"/>
            <w:rPr>
              <w:rFonts w:hint="default" w:ascii="宋体" w:hAnsi="宋体" w:eastAsia="黑体" w:cstheme="minorBidi"/>
              <w:color w:val="auto"/>
              <w:sz w:val="21"/>
              <w:szCs w:val="22"/>
              <w:lang w:val="en-US" w:eastAsia="zh-CN"/>
            </w:rPr>
          </w:pPr>
          <w:r>
            <w:rPr>
              <w:color w:val="auto"/>
            </w:rPr>
            <w:fldChar w:fldCharType="begin"/>
          </w:r>
          <w:r>
            <w:rPr>
              <w:color w:val="auto"/>
            </w:rPr>
            <w:instrText xml:space="preserve"> HYPERLINK \l "_Toc1660557" </w:instrText>
          </w:r>
          <w:r>
            <w:rPr>
              <w:color w:val="auto"/>
            </w:rPr>
            <w:fldChar w:fldCharType="separate"/>
          </w:r>
          <w:r>
            <w:rPr>
              <w:rStyle w:val="31"/>
              <w:rFonts w:ascii="宋体" w:hAnsi="宋体" w:eastAsia="宋体" w:cs="黑体"/>
              <w:color w:val="auto"/>
            </w:rPr>
            <w:t>附表1、初步审查表</w:t>
          </w:r>
          <w:r>
            <w:rPr>
              <w:rStyle w:val="31"/>
              <w:rFonts w:cs="黑体"/>
              <w:color w:val="auto"/>
            </w:rPr>
            <w:tab/>
          </w:r>
          <w:r>
            <w:rPr>
              <w:rStyle w:val="31"/>
              <w:rFonts w:hint="eastAsia" w:cs="黑体"/>
              <w:color w:val="auto"/>
              <w:lang w:val="en-US" w:eastAsia="zh-CN"/>
            </w:rPr>
            <w:t>5</w:t>
          </w:r>
          <w:r>
            <w:rPr>
              <w:rStyle w:val="31"/>
              <w:rFonts w:cs="黑体"/>
              <w:color w:val="auto"/>
            </w:rPr>
            <w:fldChar w:fldCharType="end"/>
          </w:r>
          <w:r>
            <w:rPr>
              <w:rStyle w:val="31"/>
              <w:rFonts w:hint="eastAsia" w:cs="黑体"/>
              <w:color w:val="auto"/>
              <w:lang w:val="en-US" w:eastAsia="zh-CN"/>
            </w:rPr>
            <w:t>4</w:t>
          </w:r>
        </w:p>
        <w:p>
          <w:pPr>
            <w:rPr>
              <w:color w:val="auto"/>
            </w:rPr>
          </w:pPr>
          <w:r>
            <w:rPr>
              <w:b/>
              <w:bCs/>
              <w:color w:val="auto"/>
              <w:lang w:val="zh-CN"/>
            </w:rPr>
            <w:fldChar w:fldCharType="end"/>
          </w:r>
        </w:p>
      </w:sdtContent>
    </w:sdt>
    <w:p>
      <w:pPr>
        <w:pStyle w:val="2"/>
        <w:rPr>
          <w:rFonts w:hint="default" w:eastAsia="宋体"/>
          <w:color w:val="auto"/>
          <w:lang w:val="en-US" w:eastAsia="zh-CN"/>
        </w:rPr>
      </w:pPr>
      <w:r>
        <w:rPr>
          <w:color w:val="auto"/>
        </w:rPr>
        <w:br w:type="page"/>
      </w:r>
    </w:p>
    <w:p>
      <w:pPr>
        <w:pStyle w:val="2"/>
        <w:jc w:val="center"/>
        <w:rPr>
          <w:rFonts w:ascii="宋体" w:hAnsi="宋体" w:eastAsia="宋体" w:cs="黑体"/>
          <w:color w:val="auto"/>
        </w:rPr>
      </w:pPr>
      <w:bookmarkStart w:id="0" w:name="_Toc1660483"/>
      <w:bookmarkStart w:id="1" w:name="_Toc481157511"/>
      <w:r>
        <w:rPr>
          <w:rFonts w:hint="eastAsia" w:ascii="宋体" w:hAnsi="宋体" w:eastAsia="宋体" w:cs="黑体"/>
          <w:color w:val="auto"/>
        </w:rPr>
        <w:t>第一章、谈 判 邀 请 函</w:t>
      </w:r>
      <w:bookmarkEnd w:id="0"/>
      <w:bookmarkEnd w:id="1"/>
    </w:p>
    <w:p>
      <w:pPr>
        <w:pStyle w:val="10"/>
        <w:ind w:left="0" w:firstLine="540" w:firstLineChars="225"/>
        <w:rPr>
          <w:rFonts w:ascii="宋体" w:hAnsi="宋体"/>
          <w:color w:val="auto"/>
          <w:kern w:val="28"/>
        </w:rPr>
      </w:pPr>
      <w:r>
        <w:rPr>
          <w:rFonts w:ascii="宋体" w:hAnsi="宋体"/>
          <w:color w:val="auto"/>
        </w:rPr>
        <w:t>受</w:t>
      </w:r>
      <w:r>
        <w:rPr>
          <w:rFonts w:hint="eastAsia" w:ascii="宋体" w:hAnsi="宋体"/>
          <w:color w:val="auto"/>
          <w:u w:val="single"/>
          <w:lang w:eastAsia="zh-CN"/>
        </w:rPr>
        <w:t>白沙黎族自治县行政审批服务局</w:t>
      </w:r>
      <w:r>
        <w:rPr>
          <w:rFonts w:hint="eastAsia" w:ascii="宋体" w:hAnsi="宋体"/>
          <w:color w:val="auto"/>
        </w:rPr>
        <w:t>（“采购人”）的委托，</w:t>
      </w:r>
      <w:r>
        <w:rPr>
          <w:rFonts w:hint="eastAsia" w:ascii="宋体" w:hAnsi="宋体"/>
          <w:color w:val="auto"/>
          <w:u w:val="single"/>
        </w:rPr>
        <w:t>海南政辉招投标代理有限公司</w:t>
      </w:r>
      <w:r>
        <w:rPr>
          <w:rFonts w:hint="eastAsia" w:ascii="宋体" w:hAnsi="宋体"/>
          <w:color w:val="auto"/>
        </w:rPr>
        <w:t>（招标代理机构）就</w:t>
      </w:r>
      <w:r>
        <w:rPr>
          <w:rFonts w:hint="eastAsia" w:ascii="宋体" w:hAnsi="宋体"/>
          <w:color w:val="auto"/>
          <w:u w:val="single"/>
          <w:lang w:eastAsia="zh-CN"/>
        </w:rPr>
        <w:t>白沙县行政审批服务局办事大厅改造（政务中心二楼)</w:t>
      </w:r>
      <w:r>
        <w:rPr>
          <w:rFonts w:hint="eastAsia" w:ascii="宋体" w:hAnsi="宋体"/>
          <w:color w:val="auto"/>
          <w:u w:val="single"/>
        </w:rPr>
        <w:t>（项目编号：</w:t>
      </w:r>
      <w:r>
        <w:rPr>
          <w:rFonts w:hint="eastAsia" w:ascii="宋体" w:hAnsi="宋体"/>
          <w:color w:val="auto"/>
          <w:u w:val="single"/>
          <w:lang w:eastAsia="zh-CN"/>
        </w:rPr>
        <w:t>HNZH-2020-188</w:t>
      </w:r>
      <w:r>
        <w:rPr>
          <w:rFonts w:hint="eastAsia" w:ascii="宋体" w:hAnsi="宋体"/>
          <w:color w:val="auto"/>
          <w:u w:val="single"/>
        </w:rPr>
        <w:t>）</w:t>
      </w:r>
      <w:r>
        <w:rPr>
          <w:rFonts w:hint="eastAsia" w:ascii="宋体" w:hAnsi="宋体"/>
          <w:color w:val="auto"/>
        </w:rPr>
        <w:t>组织竞争性谈判，欢迎合格的国内</w:t>
      </w:r>
      <w:r>
        <w:rPr>
          <w:rFonts w:hint="eastAsia" w:ascii="宋体" w:hAnsi="宋体"/>
          <w:color w:val="auto"/>
          <w:lang w:eastAsia="zh-CN"/>
        </w:rPr>
        <w:t>供应商</w:t>
      </w:r>
      <w:r>
        <w:rPr>
          <w:rFonts w:hint="eastAsia" w:ascii="宋体" w:hAnsi="宋体"/>
          <w:color w:val="auto"/>
        </w:rPr>
        <w:t xml:space="preserve">提交密封报价。有关事项如下： </w:t>
      </w:r>
    </w:p>
    <w:p>
      <w:pPr>
        <w:spacing w:line="360" w:lineRule="auto"/>
        <w:rPr>
          <w:rFonts w:ascii="宋体" w:hAnsi="宋体"/>
          <w:b/>
          <w:color w:val="auto"/>
          <w:sz w:val="24"/>
          <w:szCs w:val="24"/>
        </w:rPr>
      </w:pPr>
      <w:r>
        <w:rPr>
          <w:rFonts w:hint="eastAsia" w:ascii="宋体" w:hAnsi="宋体"/>
          <w:b/>
          <w:color w:val="auto"/>
          <w:sz w:val="24"/>
          <w:szCs w:val="24"/>
        </w:rPr>
        <w:t>一、</w:t>
      </w:r>
      <w:r>
        <w:rPr>
          <w:rFonts w:hint="eastAsia" w:ascii="宋体" w:hAnsi="宋体"/>
          <w:b/>
          <w:color w:val="auto"/>
          <w:sz w:val="24"/>
          <w:szCs w:val="24"/>
          <w:lang w:eastAsia="zh-CN"/>
        </w:rPr>
        <w:t>招标</w:t>
      </w:r>
      <w:r>
        <w:rPr>
          <w:rFonts w:hint="eastAsia" w:ascii="宋体" w:hAnsi="宋体"/>
          <w:b/>
          <w:color w:val="auto"/>
          <w:sz w:val="24"/>
          <w:szCs w:val="24"/>
        </w:rPr>
        <w:t>项目</w:t>
      </w:r>
    </w:p>
    <w:p>
      <w:pPr>
        <w:spacing w:line="360" w:lineRule="auto"/>
        <w:rPr>
          <w:rFonts w:hint="eastAsia" w:ascii="宋体" w:hAnsi="宋体"/>
          <w:color w:val="auto"/>
          <w:kern w:val="28"/>
          <w:sz w:val="24"/>
          <w:lang w:eastAsia="zh-CN"/>
        </w:rPr>
      </w:pPr>
      <w:r>
        <w:rPr>
          <w:rFonts w:hint="eastAsia" w:ascii="宋体" w:hAnsi="宋体"/>
          <w:color w:val="auto"/>
          <w:kern w:val="28"/>
          <w:sz w:val="24"/>
        </w:rPr>
        <w:t>1、项目</w:t>
      </w:r>
      <w:r>
        <w:rPr>
          <w:rFonts w:hint="eastAsia" w:ascii="宋体" w:hAnsi="宋体"/>
          <w:color w:val="auto"/>
          <w:sz w:val="24"/>
        </w:rPr>
        <w:t>名称</w:t>
      </w:r>
      <w:r>
        <w:rPr>
          <w:rFonts w:hint="eastAsia" w:ascii="宋体" w:hAnsi="宋体"/>
          <w:color w:val="auto"/>
          <w:kern w:val="28"/>
          <w:sz w:val="24"/>
        </w:rPr>
        <w:t>：</w:t>
      </w:r>
      <w:r>
        <w:rPr>
          <w:rFonts w:hint="eastAsia" w:ascii="宋体" w:hAnsi="宋体"/>
          <w:color w:val="auto"/>
          <w:kern w:val="28"/>
          <w:sz w:val="24"/>
          <w:lang w:eastAsia="zh-CN"/>
        </w:rPr>
        <w:t>白沙县行政审批服务局办事大厅改造（政务中心二楼)</w:t>
      </w:r>
    </w:p>
    <w:p>
      <w:pPr>
        <w:spacing w:line="360" w:lineRule="auto"/>
        <w:rPr>
          <w:rFonts w:hint="eastAsia" w:ascii="宋体" w:hAnsi="宋体"/>
          <w:color w:val="auto"/>
          <w:kern w:val="28"/>
          <w:sz w:val="24"/>
          <w:lang w:eastAsia="zh-CN"/>
        </w:rPr>
      </w:pPr>
      <w:r>
        <w:rPr>
          <w:rFonts w:hint="eastAsia" w:ascii="宋体" w:hAnsi="宋体"/>
          <w:color w:val="auto"/>
          <w:kern w:val="28"/>
          <w:sz w:val="24"/>
        </w:rPr>
        <w:t>2、项目编号：</w:t>
      </w:r>
      <w:r>
        <w:rPr>
          <w:rFonts w:hint="eastAsia" w:ascii="宋体" w:hAnsi="宋体"/>
          <w:color w:val="auto"/>
          <w:kern w:val="28"/>
          <w:sz w:val="24"/>
          <w:lang w:eastAsia="zh-CN"/>
        </w:rPr>
        <w:t>HNZH-2020-188</w:t>
      </w:r>
    </w:p>
    <w:p>
      <w:pPr>
        <w:spacing w:line="360" w:lineRule="auto"/>
        <w:rPr>
          <w:rFonts w:ascii="宋体" w:hAnsi="宋体"/>
          <w:color w:val="auto"/>
          <w:kern w:val="28"/>
          <w:sz w:val="24"/>
        </w:rPr>
      </w:pPr>
      <w:r>
        <w:rPr>
          <w:rFonts w:hint="eastAsia" w:ascii="宋体" w:hAnsi="宋体"/>
          <w:color w:val="auto"/>
          <w:kern w:val="28"/>
          <w:sz w:val="24"/>
          <w:lang w:val="en-US" w:eastAsia="zh-CN"/>
        </w:rPr>
        <w:t>3</w:t>
      </w:r>
      <w:r>
        <w:rPr>
          <w:rFonts w:hint="eastAsia" w:ascii="宋体" w:hAnsi="宋体"/>
          <w:color w:val="auto"/>
          <w:kern w:val="28"/>
          <w:sz w:val="24"/>
        </w:rPr>
        <w:t>、</w:t>
      </w:r>
      <w:r>
        <w:rPr>
          <w:rFonts w:hint="eastAsia" w:ascii="宋体" w:hAnsi="宋体"/>
          <w:color w:val="auto"/>
          <w:kern w:val="28"/>
          <w:sz w:val="24"/>
          <w:lang w:eastAsia="zh-CN"/>
        </w:rPr>
        <w:t>招标控制价</w:t>
      </w:r>
      <w:r>
        <w:rPr>
          <w:rFonts w:hint="eastAsia" w:ascii="宋体" w:hAnsi="宋体"/>
          <w:color w:val="auto"/>
          <w:kern w:val="28"/>
          <w:sz w:val="24"/>
          <w:lang w:val="en-US" w:eastAsia="zh-CN"/>
        </w:rPr>
        <w:t>：1768533.47元</w:t>
      </w:r>
      <w:r>
        <w:rPr>
          <w:rFonts w:hint="eastAsia" w:ascii="宋体" w:hAnsi="宋体"/>
          <w:color w:val="auto"/>
          <w:kern w:val="28"/>
          <w:sz w:val="24"/>
          <w:lang w:eastAsia="zh-CN"/>
        </w:rPr>
        <w:t>（</w:t>
      </w:r>
      <w:r>
        <w:rPr>
          <w:rFonts w:hint="eastAsia" w:ascii="宋体" w:hAnsi="宋体"/>
          <w:color w:val="auto"/>
          <w:kern w:val="28"/>
          <w:sz w:val="24"/>
        </w:rPr>
        <w:t>投标</w:t>
      </w:r>
      <w:r>
        <w:rPr>
          <w:rFonts w:ascii="宋体" w:hAnsi="宋体"/>
          <w:color w:val="auto"/>
          <w:kern w:val="28"/>
          <w:sz w:val="24"/>
        </w:rPr>
        <w:t>报价超过</w:t>
      </w:r>
      <w:r>
        <w:rPr>
          <w:rFonts w:hint="eastAsia" w:ascii="宋体" w:hAnsi="宋体"/>
          <w:color w:val="auto"/>
          <w:kern w:val="28"/>
          <w:sz w:val="24"/>
          <w:lang w:eastAsia="zh-CN"/>
        </w:rPr>
        <w:t>招标控制价</w:t>
      </w:r>
      <w:r>
        <w:rPr>
          <w:rFonts w:ascii="宋体" w:hAnsi="宋体"/>
          <w:color w:val="auto"/>
          <w:kern w:val="28"/>
          <w:sz w:val="24"/>
        </w:rPr>
        <w:t>按无效投标处理）</w:t>
      </w:r>
    </w:p>
    <w:p>
      <w:pPr>
        <w:pStyle w:val="114"/>
        <w:keepNext w:val="0"/>
        <w:keepLines w:val="0"/>
        <w:widowControl w:val="0"/>
        <w:shd w:val="clear" w:color="auto" w:fill="auto"/>
        <w:tabs>
          <w:tab w:val="left" w:pos="1529"/>
        </w:tabs>
        <w:bidi w:val="0"/>
        <w:spacing w:before="0" w:after="0" w:line="554" w:lineRule="exact"/>
        <w:ind w:left="0" w:leftChars="0" w:right="0" w:firstLine="0" w:firstLineChars="0"/>
        <w:jc w:val="both"/>
        <w:rPr>
          <w:rFonts w:hint="eastAsia" w:ascii="宋体" w:hAnsi="宋体" w:eastAsia="宋体" w:cs="Times New Roman"/>
          <w:color w:val="auto"/>
          <w:kern w:val="28"/>
          <w:sz w:val="24"/>
          <w:szCs w:val="20"/>
          <w:u w:val="none"/>
          <w:shd w:val="clear"/>
          <w:lang w:val="en-US" w:eastAsia="zh-CN" w:bidi="ar-SA"/>
        </w:rPr>
      </w:pPr>
      <w:r>
        <w:rPr>
          <w:rFonts w:hint="eastAsia" w:ascii="宋体" w:hAnsi="宋体" w:eastAsia="宋体" w:cs="Times New Roman"/>
          <w:color w:val="auto"/>
          <w:kern w:val="28"/>
          <w:sz w:val="24"/>
          <w:szCs w:val="20"/>
          <w:u w:val="none"/>
          <w:shd w:val="clear"/>
          <w:lang w:val="en-US" w:eastAsia="zh-CN" w:bidi="ar-SA"/>
        </w:rPr>
        <w:t>4、工程概况：白沙黎族自治县行政审批服务局办事大厅</w:t>
      </w:r>
      <w:bookmarkStart w:id="113" w:name="_GoBack"/>
      <w:bookmarkEnd w:id="113"/>
      <w:r>
        <w:rPr>
          <w:rFonts w:hint="eastAsia" w:ascii="宋体" w:hAnsi="宋体" w:eastAsia="宋体" w:cs="Times New Roman"/>
          <w:color w:val="auto"/>
          <w:kern w:val="28"/>
          <w:sz w:val="24"/>
          <w:szCs w:val="20"/>
          <w:u w:val="none"/>
          <w:shd w:val="clear"/>
          <w:lang w:val="en-US" w:eastAsia="zh-CN" w:bidi="ar-SA"/>
        </w:rPr>
        <w:t xml:space="preserve">一栋三层框架结构，建筑高度11.70m，建筑总面积3998.61m²。该项目是对二层进行改造，二层建筑面积1315.55m²。项目工程内容包括拆除、新建。轻质隔墙、墙面装饰、地面、吊顶、灯具等装修改造工程及成品采购项目。 </w:t>
      </w:r>
      <w:r>
        <w:rPr>
          <w:rFonts w:hint="eastAsia" w:ascii="宋体" w:hAnsi="宋体" w:cs="Times New Roman"/>
          <w:color w:val="auto"/>
          <w:kern w:val="28"/>
          <w:sz w:val="24"/>
          <w:szCs w:val="20"/>
          <w:u w:val="none"/>
          <w:shd w:val="clear"/>
          <w:lang w:val="en-US" w:eastAsia="zh-CN" w:bidi="ar-SA"/>
        </w:rPr>
        <w:t>(</w:t>
      </w:r>
      <w:r>
        <w:rPr>
          <w:rFonts w:hint="eastAsia" w:ascii="宋体" w:hAnsi="宋体" w:eastAsia="宋体" w:cs="Times New Roman"/>
          <w:color w:val="auto"/>
          <w:kern w:val="28"/>
          <w:sz w:val="24"/>
          <w:szCs w:val="20"/>
          <w:u w:val="none"/>
          <w:shd w:val="clear"/>
          <w:lang w:val="en-US" w:eastAsia="zh-CN" w:bidi="ar-SA"/>
        </w:rPr>
        <w:t>具体详见“工程量清单 ”</w:t>
      </w:r>
      <w:r>
        <w:rPr>
          <w:rFonts w:hint="eastAsia" w:ascii="宋体" w:hAnsi="宋体" w:cs="Times New Roman"/>
          <w:color w:val="auto"/>
          <w:kern w:val="28"/>
          <w:sz w:val="24"/>
          <w:szCs w:val="20"/>
          <w:u w:val="none"/>
          <w:shd w:val="clear"/>
          <w:lang w:val="en-US" w:eastAsia="zh-CN" w:bidi="ar-SA"/>
        </w:rPr>
        <w:t>)</w:t>
      </w:r>
      <w:r>
        <w:rPr>
          <w:rFonts w:hint="eastAsia" w:ascii="宋体" w:hAnsi="宋体" w:eastAsia="宋体" w:cs="Times New Roman"/>
          <w:color w:val="auto"/>
          <w:kern w:val="28"/>
          <w:sz w:val="24"/>
          <w:szCs w:val="20"/>
          <w:u w:val="none"/>
          <w:shd w:val="clear"/>
          <w:lang w:val="en-US" w:eastAsia="zh-CN" w:bidi="ar-SA"/>
        </w:rPr>
        <w:t xml:space="preserve"> </w:t>
      </w:r>
    </w:p>
    <w:p>
      <w:pPr>
        <w:pStyle w:val="114"/>
        <w:keepNext w:val="0"/>
        <w:keepLines w:val="0"/>
        <w:widowControl w:val="0"/>
        <w:shd w:val="clear" w:color="auto" w:fill="auto"/>
        <w:tabs>
          <w:tab w:val="left" w:pos="1529"/>
        </w:tabs>
        <w:bidi w:val="0"/>
        <w:spacing w:before="0" w:after="0" w:line="554" w:lineRule="exact"/>
        <w:ind w:left="0" w:leftChars="0" w:right="0" w:firstLine="0" w:firstLineChars="0"/>
        <w:jc w:val="both"/>
        <w:rPr>
          <w:rFonts w:hint="default" w:ascii="宋体" w:hAnsi="宋体" w:eastAsia="宋体" w:cs="Times New Roman"/>
          <w:color w:val="auto"/>
          <w:kern w:val="28"/>
          <w:sz w:val="24"/>
          <w:szCs w:val="20"/>
          <w:u w:val="none"/>
          <w:shd w:val="clear"/>
          <w:lang w:val="en-US" w:eastAsia="zh-CN" w:bidi="ar-SA"/>
        </w:rPr>
      </w:pPr>
      <w:r>
        <w:rPr>
          <w:rFonts w:hint="eastAsia" w:ascii="宋体" w:hAnsi="宋体" w:eastAsia="宋体" w:cs="Times New Roman"/>
          <w:color w:val="auto"/>
          <w:kern w:val="28"/>
          <w:sz w:val="24"/>
          <w:szCs w:val="20"/>
          <w:u w:val="none"/>
          <w:shd w:val="clear"/>
          <w:lang w:val="en-US" w:eastAsia="zh-CN" w:bidi="ar-SA"/>
        </w:rPr>
        <w:t>5、建设地点：白沙县</w:t>
      </w:r>
    </w:p>
    <w:p>
      <w:pPr>
        <w:pStyle w:val="114"/>
        <w:keepNext w:val="0"/>
        <w:keepLines w:val="0"/>
        <w:widowControl w:val="0"/>
        <w:shd w:val="clear" w:color="auto" w:fill="auto"/>
        <w:tabs>
          <w:tab w:val="left" w:pos="1529"/>
        </w:tabs>
        <w:bidi w:val="0"/>
        <w:spacing w:before="0" w:after="0" w:line="554" w:lineRule="exact"/>
        <w:ind w:left="0" w:leftChars="0" w:right="0" w:firstLine="0" w:firstLineChars="0"/>
        <w:jc w:val="both"/>
        <w:rPr>
          <w:rFonts w:hint="eastAsia" w:ascii="宋体" w:hAnsi="宋体" w:eastAsia="宋体" w:cs="Times New Roman"/>
          <w:color w:val="auto"/>
          <w:kern w:val="28"/>
          <w:sz w:val="24"/>
          <w:szCs w:val="20"/>
          <w:u w:val="none"/>
          <w:shd w:val="clear"/>
          <w:lang w:val="en-US" w:eastAsia="zh-CN" w:bidi="ar-SA"/>
        </w:rPr>
      </w:pPr>
      <w:r>
        <w:rPr>
          <w:rFonts w:hint="eastAsia" w:ascii="宋体" w:hAnsi="宋体" w:eastAsia="宋体" w:cs="Times New Roman"/>
          <w:color w:val="auto"/>
          <w:kern w:val="28"/>
          <w:sz w:val="24"/>
          <w:szCs w:val="20"/>
          <w:u w:val="none"/>
          <w:shd w:val="clear"/>
          <w:lang w:val="en-US" w:eastAsia="zh-CN" w:bidi="ar-SA"/>
        </w:rPr>
        <w:t>6、分包情况：项目本身</w:t>
      </w:r>
    </w:p>
    <w:p>
      <w:pPr>
        <w:snapToGrid w:val="0"/>
        <w:spacing w:line="360" w:lineRule="auto"/>
        <w:rPr>
          <w:rFonts w:ascii="宋体" w:hAnsi="宋体"/>
          <w:b/>
          <w:color w:val="auto"/>
          <w:sz w:val="24"/>
          <w:szCs w:val="24"/>
        </w:rPr>
      </w:pPr>
      <w:r>
        <w:rPr>
          <w:rFonts w:hint="eastAsia" w:ascii="宋体" w:hAnsi="宋体"/>
          <w:b/>
          <w:color w:val="auto"/>
          <w:sz w:val="28"/>
        </w:rPr>
        <w:t>二、</w:t>
      </w:r>
      <w:r>
        <w:rPr>
          <w:rFonts w:hint="eastAsia" w:ascii="宋体" w:hAnsi="宋体"/>
          <w:b/>
          <w:color w:val="auto"/>
          <w:sz w:val="24"/>
          <w:szCs w:val="24"/>
          <w:lang w:eastAsia="zh-CN"/>
        </w:rPr>
        <w:t>供应商</w:t>
      </w:r>
      <w:r>
        <w:rPr>
          <w:rFonts w:hint="eastAsia" w:ascii="宋体" w:hAnsi="宋体"/>
          <w:b/>
          <w:color w:val="auto"/>
          <w:sz w:val="24"/>
          <w:szCs w:val="24"/>
        </w:rPr>
        <w:t>资格要求：（</w:t>
      </w:r>
      <w:r>
        <w:rPr>
          <w:rFonts w:hint="eastAsia" w:ascii="宋体" w:hAnsi="宋体"/>
          <w:b/>
          <w:color w:val="auto"/>
          <w:sz w:val="24"/>
          <w:szCs w:val="24"/>
          <w:lang w:eastAsia="zh-CN"/>
        </w:rPr>
        <w:t>供应商</w:t>
      </w:r>
      <w:r>
        <w:rPr>
          <w:rFonts w:hint="eastAsia" w:ascii="宋体" w:hAnsi="宋体"/>
          <w:b/>
          <w:color w:val="auto"/>
          <w:sz w:val="24"/>
          <w:szCs w:val="24"/>
        </w:rPr>
        <w:t>必须具备以下条件并提供相关资格证明材料）</w:t>
      </w:r>
    </w:p>
    <w:p>
      <w:pPr>
        <w:spacing w:line="360" w:lineRule="auto"/>
        <w:rPr>
          <w:rFonts w:ascii="宋体" w:hAnsi="宋体"/>
          <w:color w:val="auto"/>
          <w:sz w:val="24"/>
        </w:rPr>
      </w:pPr>
      <w:r>
        <w:rPr>
          <w:rFonts w:hint="eastAsia" w:ascii="宋体" w:hAnsi="宋体"/>
          <w:color w:val="auto"/>
          <w:sz w:val="24"/>
        </w:rPr>
        <w:t>1、在中华人民共和国注册，具有独立承担民事责任能力</w:t>
      </w:r>
      <w:r>
        <w:rPr>
          <w:rFonts w:hint="eastAsia" w:ascii="宋体" w:hAnsi="宋体"/>
          <w:color w:val="auto"/>
          <w:sz w:val="24"/>
          <w:lang w:eastAsia="zh-CN"/>
        </w:rPr>
        <w:t>的法人</w:t>
      </w:r>
      <w:r>
        <w:rPr>
          <w:rFonts w:hint="eastAsia" w:ascii="宋体" w:hAnsi="宋体"/>
          <w:color w:val="auto"/>
          <w:sz w:val="24"/>
        </w:rPr>
        <w:t>（需提供营业执照、税务登记证、组织机构代码证复印件，或者三证合一复印件, 均需加盖公章）；</w:t>
      </w:r>
    </w:p>
    <w:p>
      <w:pPr>
        <w:spacing w:line="360" w:lineRule="auto"/>
        <w:rPr>
          <w:rFonts w:ascii="宋体" w:hAnsi="宋体"/>
          <w:color w:val="auto"/>
          <w:sz w:val="24"/>
        </w:rPr>
      </w:pPr>
      <w:r>
        <w:rPr>
          <w:rFonts w:hint="eastAsia" w:ascii="宋体" w:hAnsi="宋体"/>
          <w:color w:val="auto"/>
          <w:sz w:val="24"/>
        </w:rPr>
        <w:t>2、具有良好的商业信誉和健全的财务会计制度（需提供2</w:t>
      </w:r>
      <w:r>
        <w:rPr>
          <w:rFonts w:ascii="宋体" w:hAnsi="宋体"/>
          <w:color w:val="auto"/>
          <w:sz w:val="24"/>
        </w:rPr>
        <w:t>0</w:t>
      </w:r>
      <w:r>
        <w:rPr>
          <w:rFonts w:hint="eastAsia" w:ascii="宋体" w:hAnsi="宋体"/>
          <w:color w:val="auto"/>
          <w:sz w:val="24"/>
          <w:lang w:val="en-US" w:eastAsia="zh-CN"/>
        </w:rPr>
        <w:t>20</w:t>
      </w:r>
      <w:r>
        <w:rPr>
          <w:rFonts w:hint="eastAsia" w:ascii="宋体" w:hAnsi="宋体"/>
          <w:color w:val="auto"/>
          <w:sz w:val="24"/>
        </w:rPr>
        <w:t>年任意1个月企业纳税证明</w:t>
      </w:r>
      <w:r>
        <w:rPr>
          <w:rFonts w:hint="eastAsia" w:ascii="宋体" w:hAnsi="宋体"/>
          <w:color w:val="auto"/>
          <w:sz w:val="24"/>
          <w:lang w:eastAsia="zh-CN"/>
        </w:rPr>
        <w:t>复印件</w:t>
      </w:r>
      <w:r>
        <w:rPr>
          <w:rFonts w:hint="eastAsia" w:ascii="宋体" w:hAnsi="宋体"/>
          <w:color w:val="auto"/>
          <w:sz w:val="24"/>
        </w:rPr>
        <w:t>）；</w:t>
      </w:r>
    </w:p>
    <w:p>
      <w:pPr>
        <w:spacing w:line="360" w:lineRule="auto"/>
        <w:rPr>
          <w:rFonts w:ascii="宋体" w:hAnsi="宋体"/>
          <w:color w:val="auto"/>
          <w:sz w:val="24"/>
        </w:rPr>
      </w:pPr>
      <w:r>
        <w:rPr>
          <w:rFonts w:hint="eastAsia" w:ascii="宋体" w:hAnsi="宋体"/>
          <w:color w:val="auto"/>
          <w:sz w:val="24"/>
        </w:rPr>
        <w:t>3、具有依法缴纳社会保障资金的良好记录（需提供2</w:t>
      </w:r>
      <w:r>
        <w:rPr>
          <w:rFonts w:ascii="宋体" w:hAnsi="宋体"/>
          <w:color w:val="auto"/>
          <w:sz w:val="24"/>
        </w:rPr>
        <w:t>0</w:t>
      </w:r>
      <w:r>
        <w:rPr>
          <w:rFonts w:hint="eastAsia" w:ascii="宋体" w:hAnsi="宋体"/>
          <w:color w:val="auto"/>
          <w:sz w:val="24"/>
          <w:lang w:val="en-US" w:eastAsia="zh-CN"/>
        </w:rPr>
        <w:t>20</w:t>
      </w:r>
      <w:r>
        <w:rPr>
          <w:rFonts w:hint="eastAsia" w:ascii="宋体" w:hAnsi="宋体"/>
          <w:color w:val="auto"/>
          <w:sz w:val="24"/>
        </w:rPr>
        <w:t>年任意1个月社会保障缴费记录复印件）；</w:t>
      </w:r>
    </w:p>
    <w:p>
      <w:pPr>
        <w:spacing w:line="360" w:lineRule="auto"/>
        <w:rPr>
          <w:rFonts w:ascii="宋体" w:hAnsi="宋体"/>
          <w:color w:val="auto"/>
          <w:sz w:val="24"/>
        </w:rPr>
      </w:pPr>
      <w:r>
        <w:rPr>
          <w:rFonts w:hint="eastAsia" w:ascii="宋体" w:hAnsi="宋体"/>
          <w:color w:val="auto"/>
          <w:sz w:val="24"/>
        </w:rPr>
        <w:t>4、</w:t>
      </w:r>
      <w:r>
        <w:rPr>
          <w:rFonts w:hint="eastAsia" w:ascii="宋体" w:hAnsi="宋体"/>
          <w:color w:val="auto"/>
          <w:sz w:val="24"/>
          <w:lang w:eastAsia="zh-CN"/>
        </w:rPr>
        <w:t>供应商</w:t>
      </w:r>
      <w:r>
        <w:rPr>
          <w:rFonts w:hint="eastAsia" w:ascii="宋体" w:hAnsi="宋体"/>
          <w:color w:val="auto"/>
          <w:sz w:val="24"/>
        </w:rPr>
        <w:t>需提供参加此次政府采购活动前三年内</w:t>
      </w:r>
      <w:r>
        <w:rPr>
          <w:rFonts w:hint="eastAsia" w:ascii="宋体" w:hAnsi="宋体"/>
          <w:color w:val="auto"/>
          <w:sz w:val="24"/>
          <w:szCs w:val="22"/>
        </w:rPr>
        <w:t>（成立不满三年的自公司成立之日起算）</w:t>
      </w:r>
      <w:r>
        <w:rPr>
          <w:rFonts w:hint="eastAsia" w:ascii="宋体" w:hAnsi="宋体"/>
          <w:color w:val="auto"/>
          <w:sz w:val="24"/>
        </w:rPr>
        <w:t>，在经营活动中没有重大违法记录的声明（提供声明）；</w:t>
      </w:r>
    </w:p>
    <w:p>
      <w:pPr>
        <w:spacing w:line="360" w:lineRule="auto"/>
        <w:rPr>
          <w:rFonts w:hint="eastAsia" w:ascii="宋体" w:hAnsi="宋体"/>
          <w:color w:val="auto"/>
          <w:sz w:val="24"/>
          <w:szCs w:val="22"/>
        </w:rPr>
      </w:pPr>
      <w:r>
        <w:rPr>
          <w:rFonts w:hint="eastAsia" w:ascii="宋体" w:hAnsi="宋体"/>
          <w:color w:val="auto"/>
          <w:sz w:val="24"/>
          <w:szCs w:val="22"/>
        </w:rPr>
        <w:t>5、购买本谈判文件并缴纳投标保证金；</w:t>
      </w:r>
    </w:p>
    <w:p>
      <w:pPr>
        <w:spacing w:line="360" w:lineRule="auto"/>
        <w:rPr>
          <w:rFonts w:hint="eastAsia" w:ascii="宋体" w:hAnsi="宋体" w:eastAsia="宋体"/>
          <w:color w:val="auto"/>
          <w:sz w:val="24"/>
          <w:lang w:eastAsia="zh-CN"/>
        </w:rPr>
      </w:pPr>
      <w:r>
        <w:rPr>
          <w:rFonts w:hint="eastAsia" w:ascii="宋体" w:hAnsi="宋体" w:eastAsia="宋体" w:cs="Times New Roman"/>
          <w:b w:val="0"/>
          <w:bCs w:val="0"/>
          <w:color w:val="auto"/>
          <w:kern w:val="2"/>
          <w:sz w:val="24"/>
          <w:szCs w:val="20"/>
          <w:lang w:val="en-US" w:eastAsia="zh-CN" w:bidi="ar-SA"/>
        </w:rPr>
        <w:t>6、</w:t>
      </w:r>
      <w:r>
        <w:rPr>
          <w:rFonts w:hint="eastAsia" w:ascii="宋体" w:hAnsi="宋体"/>
          <w:color w:val="auto"/>
          <w:sz w:val="24"/>
          <w:szCs w:val="22"/>
        </w:rPr>
        <w:t>“信用中国”网站(www.creditchina.gov.cn)渠道查询供应商信用记录，经查询</w:t>
      </w:r>
      <w:r>
        <w:rPr>
          <w:rFonts w:hint="eastAsia" w:ascii="宋体" w:hAnsi="宋体"/>
          <w:color w:val="auto"/>
          <w:sz w:val="24"/>
          <w:szCs w:val="22"/>
          <w:lang w:eastAsia="zh-CN"/>
        </w:rPr>
        <w:t>未</w:t>
      </w:r>
      <w:r>
        <w:rPr>
          <w:rFonts w:hint="eastAsia" w:ascii="宋体" w:hAnsi="宋体"/>
          <w:color w:val="auto"/>
          <w:sz w:val="24"/>
          <w:szCs w:val="22"/>
        </w:rPr>
        <w:t>列入失信被执行人、重大税收违法案件当事人名单</w:t>
      </w:r>
      <w:r>
        <w:rPr>
          <w:rFonts w:hint="eastAsia" w:ascii="宋体" w:hAnsi="宋体"/>
          <w:color w:val="auto"/>
          <w:sz w:val="24"/>
          <w:szCs w:val="22"/>
          <w:lang w:eastAsia="zh-CN"/>
        </w:rPr>
        <w:t>的截图和</w:t>
      </w:r>
      <w:r>
        <w:rPr>
          <w:rFonts w:hint="eastAsia" w:ascii="宋体" w:hAnsi="宋体"/>
          <w:color w:val="auto"/>
          <w:sz w:val="24"/>
          <w:szCs w:val="22"/>
        </w:rPr>
        <w:t>中国政府采购网(www.ccgp.gov.cn)渠道查询供应商信用记录，经查询</w:t>
      </w:r>
      <w:r>
        <w:rPr>
          <w:rFonts w:hint="eastAsia" w:ascii="宋体" w:hAnsi="宋体"/>
          <w:color w:val="auto"/>
          <w:sz w:val="24"/>
          <w:szCs w:val="22"/>
          <w:lang w:eastAsia="zh-CN"/>
        </w:rPr>
        <w:t>未</w:t>
      </w:r>
      <w:r>
        <w:rPr>
          <w:rFonts w:hint="eastAsia" w:ascii="宋体" w:hAnsi="宋体"/>
          <w:color w:val="auto"/>
          <w:sz w:val="24"/>
          <w:szCs w:val="22"/>
        </w:rPr>
        <w:t>列入政府采购严重违法失信行为记录名单</w:t>
      </w:r>
      <w:r>
        <w:rPr>
          <w:rFonts w:hint="eastAsia" w:ascii="宋体" w:hAnsi="宋体"/>
          <w:color w:val="auto"/>
          <w:sz w:val="24"/>
          <w:szCs w:val="22"/>
          <w:lang w:eastAsia="zh-CN"/>
        </w:rPr>
        <w:t>的截图（提供网址证明截图并加盖公章）；</w:t>
      </w:r>
    </w:p>
    <w:p>
      <w:pPr>
        <w:spacing w:line="360" w:lineRule="auto"/>
        <w:rPr>
          <w:rFonts w:hint="eastAsia" w:ascii="宋体" w:hAnsi="宋体" w:cs="宋体"/>
          <w:color w:val="auto"/>
          <w:sz w:val="24"/>
          <w:highlight w:val="none"/>
          <w:lang w:val="en-US" w:eastAsia="zh-CN"/>
        </w:rPr>
      </w:pPr>
      <w:r>
        <w:rPr>
          <w:rFonts w:hint="eastAsia" w:ascii="宋体" w:hAnsi="宋体"/>
          <w:color w:val="auto"/>
          <w:sz w:val="24"/>
        </w:rPr>
        <w:t>7、</w:t>
      </w:r>
      <w:r>
        <w:rPr>
          <w:rFonts w:hint="eastAsia" w:ascii="宋体" w:hAnsi="宋体" w:cs="宋体"/>
          <w:color w:val="auto"/>
          <w:sz w:val="24"/>
          <w:highlight w:val="none"/>
          <w:lang w:val="en-US" w:eastAsia="zh-CN"/>
        </w:rPr>
        <w:t>本次招标要求供应商须具备建筑工程施工总承包叁级或以上资质或建筑装修装饰工程专业承包贰级或以上资质且具有有效的安全生产许可证，并在人员、设备、资金等方面具有相应的施工能力。其中投标人拟派项目负责人（项目经理）须具有建筑工程专业二级或以上注册建造师资格，要求未担任其他在施建设工程项目的项目负责人（项目经理）；</w:t>
      </w:r>
    </w:p>
    <w:p>
      <w:pPr>
        <w:spacing w:line="360" w:lineRule="auto"/>
        <w:rPr>
          <w:rFonts w:hint="eastAsia" w:ascii="宋体" w:hAnsi="宋体" w:eastAsia="宋体"/>
          <w:color w:val="auto"/>
          <w:sz w:val="24"/>
          <w:lang w:val="en-US" w:eastAsia="zh-CN"/>
        </w:rPr>
      </w:pPr>
      <w:r>
        <w:rPr>
          <w:rFonts w:hint="eastAsia" w:ascii="宋体" w:hAnsi="宋体"/>
          <w:color w:val="auto"/>
          <w:sz w:val="24"/>
          <w:szCs w:val="22"/>
        </w:rPr>
        <w:t>8、具备《海南省建筑企业诚信档案手册》</w:t>
      </w:r>
      <w:r>
        <w:rPr>
          <w:rFonts w:hint="eastAsia" w:ascii="宋体" w:hAnsi="宋体"/>
          <w:color w:val="auto"/>
          <w:sz w:val="24"/>
          <w:szCs w:val="22"/>
          <w:lang w:val="en-US" w:eastAsia="zh-CN"/>
        </w:rPr>
        <w:t>。</w:t>
      </w:r>
    </w:p>
    <w:p>
      <w:pPr>
        <w:spacing w:line="360" w:lineRule="auto"/>
        <w:rPr>
          <w:rFonts w:hint="eastAsia" w:ascii="宋体" w:hAnsi="宋体" w:eastAsia="宋体" w:cs="Times New Roman"/>
          <w:b w:val="0"/>
          <w:bCs w:val="0"/>
          <w:color w:val="auto"/>
          <w:kern w:val="2"/>
          <w:sz w:val="24"/>
          <w:szCs w:val="20"/>
          <w:lang w:val="en-US" w:eastAsia="zh-CN" w:bidi="ar-SA"/>
        </w:rPr>
      </w:pPr>
      <w:r>
        <w:rPr>
          <w:rFonts w:hint="eastAsia" w:ascii="宋体" w:hAnsi="宋体" w:cs="Times New Roman"/>
          <w:b w:val="0"/>
          <w:bCs w:val="0"/>
          <w:color w:val="auto"/>
          <w:kern w:val="2"/>
          <w:sz w:val="24"/>
          <w:szCs w:val="20"/>
          <w:lang w:val="en-US" w:eastAsia="zh-CN" w:bidi="ar-SA"/>
        </w:rPr>
        <w:t>9</w:t>
      </w:r>
      <w:r>
        <w:rPr>
          <w:rFonts w:hint="eastAsia" w:ascii="宋体" w:hAnsi="宋体" w:eastAsia="宋体" w:cs="Times New Roman"/>
          <w:b w:val="0"/>
          <w:bCs w:val="0"/>
          <w:color w:val="auto"/>
          <w:kern w:val="2"/>
          <w:sz w:val="24"/>
          <w:szCs w:val="20"/>
          <w:lang w:val="en-US" w:eastAsia="zh-CN" w:bidi="ar-SA"/>
        </w:rPr>
        <w:t>、本项目不接受联合投标。</w:t>
      </w:r>
    </w:p>
    <w:p>
      <w:pPr>
        <w:widowControl/>
        <w:spacing w:line="240" w:lineRule="auto"/>
        <w:jc w:val="left"/>
        <w:rPr>
          <w:rFonts w:ascii="宋体" w:hAnsi="宋体"/>
          <w:color w:val="auto"/>
          <w:sz w:val="24"/>
          <w:szCs w:val="24"/>
        </w:rPr>
      </w:pPr>
      <w:r>
        <w:rPr>
          <w:rFonts w:hint="eastAsia" w:ascii="宋体" w:hAnsi="宋体"/>
          <w:b/>
          <w:color w:val="auto"/>
          <w:sz w:val="28"/>
          <w:lang w:eastAsia="zh-CN"/>
        </w:rPr>
        <w:t>三</w:t>
      </w:r>
      <w:r>
        <w:rPr>
          <w:rFonts w:hint="eastAsia" w:ascii="宋体" w:hAnsi="宋体"/>
          <w:b/>
          <w:color w:val="auto"/>
          <w:sz w:val="28"/>
        </w:rPr>
        <w:t>、谈判文件的获取</w:t>
      </w:r>
    </w:p>
    <w:p>
      <w:pPr>
        <w:spacing w:line="360" w:lineRule="auto"/>
        <w:rPr>
          <w:rFonts w:hint="eastAsia" w:ascii="宋体" w:hAnsi="宋体"/>
          <w:color w:val="auto"/>
          <w:sz w:val="24"/>
        </w:rPr>
      </w:pPr>
      <w:r>
        <w:rPr>
          <w:rFonts w:hint="eastAsia" w:ascii="宋体" w:hAnsi="宋体"/>
          <w:color w:val="auto"/>
          <w:sz w:val="24"/>
          <w:lang w:val="en-US" w:eastAsia="zh-CN"/>
        </w:rPr>
        <w:t>1、</w:t>
      </w:r>
      <w:r>
        <w:rPr>
          <w:rFonts w:hint="eastAsia" w:ascii="宋体" w:hAnsi="宋体"/>
          <w:color w:val="auto"/>
          <w:sz w:val="24"/>
        </w:rPr>
        <w:t>时间：</w:t>
      </w:r>
      <w:r>
        <w:rPr>
          <w:rFonts w:hint="eastAsia" w:ascii="宋体" w:hAnsi="宋体"/>
          <w:color w:val="auto"/>
          <w:sz w:val="24"/>
          <w:lang w:val="en-US" w:eastAsia="zh-CN"/>
        </w:rPr>
        <w:t>2020</w:t>
      </w:r>
      <w:r>
        <w:rPr>
          <w:rFonts w:hint="eastAsia" w:ascii="宋体" w:hAnsi="宋体"/>
          <w:color w:val="auto"/>
          <w:sz w:val="24"/>
        </w:rPr>
        <w:t>年</w:t>
      </w:r>
      <w:r>
        <w:rPr>
          <w:rFonts w:hint="eastAsia" w:ascii="宋体" w:hAnsi="宋体"/>
          <w:color w:val="auto"/>
          <w:sz w:val="24"/>
          <w:lang w:val="en-US" w:eastAsia="zh-CN"/>
        </w:rPr>
        <w:t xml:space="preserve"> 06 </w:t>
      </w:r>
      <w:r>
        <w:rPr>
          <w:rFonts w:hint="eastAsia" w:ascii="宋体" w:hAnsi="宋体"/>
          <w:color w:val="auto"/>
          <w:sz w:val="24"/>
        </w:rPr>
        <w:t>月</w:t>
      </w:r>
      <w:r>
        <w:rPr>
          <w:rFonts w:hint="eastAsia" w:ascii="宋体" w:hAnsi="宋体"/>
          <w:color w:val="auto"/>
          <w:sz w:val="24"/>
          <w:lang w:val="en-US" w:eastAsia="zh-CN"/>
        </w:rPr>
        <w:t xml:space="preserve"> 09 </w:t>
      </w:r>
      <w:r>
        <w:rPr>
          <w:rFonts w:hint="eastAsia" w:ascii="宋体" w:hAnsi="宋体"/>
          <w:color w:val="auto"/>
          <w:sz w:val="24"/>
        </w:rPr>
        <w:t>日至</w:t>
      </w:r>
      <w:r>
        <w:rPr>
          <w:rFonts w:hint="eastAsia" w:ascii="宋体" w:hAnsi="宋体"/>
          <w:color w:val="auto"/>
          <w:sz w:val="24"/>
          <w:lang w:val="en-US" w:eastAsia="zh-CN"/>
        </w:rPr>
        <w:t>2020</w:t>
      </w:r>
      <w:r>
        <w:rPr>
          <w:rFonts w:hint="eastAsia" w:ascii="宋体" w:hAnsi="宋体"/>
          <w:color w:val="auto"/>
          <w:sz w:val="24"/>
        </w:rPr>
        <w:t>年</w:t>
      </w:r>
      <w:r>
        <w:rPr>
          <w:rFonts w:hint="eastAsia" w:ascii="宋体" w:hAnsi="宋体"/>
          <w:color w:val="auto"/>
          <w:sz w:val="24"/>
          <w:lang w:val="en-US" w:eastAsia="zh-CN"/>
        </w:rPr>
        <w:t xml:space="preserve"> 06 </w:t>
      </w:r>
      <w:r>
        <w:rPr>
          <w:rFonts w:hint="eastAsia" w:ascii="宋体" w:hAnsi="宋体"/>
          <w:color w:val="auto"/>
          <w:sz w:val="24"/>
        </w:rPr>
        <w:t>月</w:t>
      </w:r>
      <w:r>
        <w:rPr>
          <w:rFonts w:hint="eastAsia" w:ascii="宋体" w:hAnsi="宋体"/>
          <w:color w:val="auto"/>
          <w:sz w:val="24"/>
          <w:lang w:val="en-US" w:eastAsia="zh-CN"/>
        </w:rPr>
        <w:t xml:space="preserve"> 11 </w:t>
      </w:r>
      <w:r>
        <w:rPr>
          <w:rFonts w:hint="eastAsia" w:ascii="宋体" w:hAnsi="宋体"/>
          <w:color w:val="auto"/>
          <w:sz w:val="24"/>
        </w:rPr>
        <w:t>日工作时间（早上0</w:t>
      </w:r>
      <w:r>
        <w:rPr>
          <w:rFonts w:hint="eastAsia" w:ascii="宋体" w:hAnsi="宋体"/>
          <w:color w:val="auto"/>
          <w:sz w:val="24"/>
          <w:lang w:val="en-US" w:eastAsia="zh-CN"/>
        </w:rPr>
        <w:t>8</w:t>
      </w:r>
      <w:r>
        <w:rPr>
          <w:rFonts w:hint="eastAsia" w:ascii="宋体" w:hAnsi="宋体"/>
          <w:color w:val="auto"/>
          <w:sz w:val="24"/>
        </w:rPr>
        <w:t>:</w:t>
      </w:r>
      <w:r>
        <w:rPr>
          <w:rFonts w:hint="eastAsia" w:ascii="宋体" w:hAnsi="宋体"/>
          <w:color w:val="auto"/>
          <w:sz w:val="24"/>
          <w:lang w:val="en-US" w:eastAsia="zh-CN"/>
        </w:rPr>
        <w:t>3</w:t>
      </w:r>
      <w:r>
        <w:rPr>
          <w:rFonts w:hint="eastAsia" w:ascii="宋体" w:hAnsi="宋体"/>
          <w:color w:val="auto"/>
          <w:sz w:val="24"/>
        </w:rPr>
        <w:t>0~1</w:t>
      </w:r>
      <w:r>
        <w:rPr>
          <w:rFonts w:hint="eastAsia" w:ascii="宋体" w:hAnsi="宋体"/>
          <w:color w:val="auto"/>
          <w:sz w:val="24"/>
          <w:lang w:val="en-US" w:eastAsia="zh-CN"/>
        </w:rPr>
        <w:t>2</w:t>
      </w:r>
      <w:r>
        <w:rPr>
          <w:rFonts w:hint="eastAsia" w:ascii="宋体" w:hAnsi="宋体"/>
          <w:color w:val="auto"/>
          <w:sz w:val="24"/>
        </w:rPr>
        <w:t>:00；下午1</w:t>
      </w:r>
      <w:r>
        <w:rPr>
          <w:rFonts w:hint="eastAsia" w:ascii="宋体" w:hAnsi="宋体"/>
          <w:color w:val="auto"/>
          <w:sz w:val="24"/>
          <w:lang w:val="en-US" w:eastAsia="zh-CN"/>
        </w:rPr>
        <w:t>4</w:t>
      </w:r>
      <w:r>
        <w:rPr>
          <w:rFonts w:hint="eastAsia" w:ascii="宋体" w:hAnsi="宋体"/>
          <w:color w:val="auto"/>
          <w:sz w:val="24"/>
        </w:rPr>
        <w:t>:</w:t>
      </w:r>
      <w:r>
        <w:rPr>
          <w:rFonts w:hint="eastAsia" w:ascii="宋体" w:hAnsi="宋体"/>
          <w:color w:val="auto"/>
          <w:sz w:val="24"/>
          <w:lang w:val="en-US" w:eastAsia="zh-CN"/>
        </w:rPr>
        <w:t>3</w:t>
      </w:r>
      <w:r>
        <w:rPr>
          <w:rFonts w:hint="eastAsia" w:ascii="宋体" w:hAnsi="宋体"/>
          <w:color w:val="auto"/>
          <w:sz w:val="24"/>
        </w:rPr>
        <w:t>0~17:</w:t>
      </w:r>
      <w:r>
        <w:rPr>
          <w:rFonts w:hint="eastAsia" w:ascii="宋体" w:hAnsi="宋体"/>
          <w:color w:val="auto"/>
          <w:sz w:val="24"/>
          <w:lang w:val="en-US" w:eastAsia="zh-CN"/>
        </w:rPr>
        <w:t>3</w:t>
      </w:r>
      <w:r>
        <w:rPr>
          <w:rFonts w:hint="eastAsia" w:ascii="宋体" w:hAnsi="宋体"/>
          <w:color w:val="auto"/>
          <w:sz w:val="24"/>
        </w:rPr>
        <w:t>0）；</w:t>
      </w:r>
    </w:p>
    <w:p>
      <w:pPr>
        <w:spacing w:line="360" w:lineRule="auto"/>
        <w:rPr>
          <w:rFonts w:hint="eastAsia" w:ascii="宋体" w:hAnsi="宋体"/>
          <w:color w:val="auto"/>
          <w:sz w:val="24"/>
        </w:rPr>
      </w:pPr>
      <w:r>
        <w:rPr>
          <w:rFonts w:hint="eastAsia" w:ascii="宋体" w:hAnsi="宋体"/>
          <w:color w:val="auto"/>
          <w:sz w:val="24"/>
          <w:lang w:val="en-US" w:eastAsia="zh-CN"/>
        </w:rPr>
        <w:t>2、</w:t>
      </w:r>
      <w:r>
        <w:rPr>
          <w:rFonts w:hint="eastAsia" w:ascii="宋体" w:hAnsi="宋体"/>
          <w:color w:val="auto"/>
          <w:sz w:val="24"/>
        </w:rPr>
        <w:t>地点：海口市美兰区五指山路16-3号康业花园西湖苑G栋2A；</w:t>
      </w:r>
    </w:p>
    <w:p>
      <w:pPr>
        <w:spacing w:line="360" w:lineRule="auto"/>
        <w:rPr>
          <w:rFonts w:hint="eastAsia" w:ascii="宋体" w:hAnsi="宋体"/>
          <w:color w:val="auto"/>
          <w:sz w:val="24"/>
          <w:lang w:val="en-US" w:eastAsia="zh-CN"/>
        </w:rPr>
      </w:pPr>
      <w:r>
        <w:rPr>
          <w:rFonts w:hint="eastAsia" w:ascii="宋体" w:hAnsi="宋体"/>
          <w:color w:val="auto"/>
          <w:sz w:val="24"/>
          <w:lang w:val="en-US" w:eastAsia="zh-CN"/>
        </w:rPr>
        <w:t>3、</w:t>
      </w:r>
      <w:r>
        <w:rPr>
          <w:rFonts w:hint="eastAsia" w:ascii="宋体" w:hAnsi="宋体"/>
          <w:color w:val="auto"/>
          <w:sz w:val="24"/>
        </w:rPr>
        <w:t>方式：报名时需提交的材料（现场核查原件，收加盖公章复印件）：营业执照副本、</w:t>
      </w:r>
      <w:r>
        <w:rPr>
          <w:rFonts w:hint="eastAsia" w:ascii="宋体" w:hAnsi="宋体"/>
          <w:color w:val="auto"/>
          <w:sz w:val="24"/>
          <w:lang w:eastAsia="zh-CN"/>
        </w:rPr>
        <w:t>2020</w:t>
      </w:r>
      <w:r>
        <w:rPr>
          <w:rFonts w:hint="eastAsia" w:ascii="宋体" w:hAnsi="宋体"/>
          <w:color w:val="auto"/>
          <w:sz w:val="24"/>
        </w:rPr>
        <w:t>年任意一个月的纳税缴纳证明材料和社保缴纳证明材料、无违法记录声明函、法定代表人授权委托书（原件）、法定代表人身份证和</w:t>
      </w:r>
      <w:r>
        <w:rPr>
          <w:rFonts w:hint="eastAsia" w:ascii="宋体" w:hAnsi="宋体"/>
          <w:color w:val="auto"/>
          <w:sz w:val="24"/>
          <w:lang w:eastAsia="zh-CN"/>
        </w:rPr>
        <w:t>被</w:t>
      </w:r>
      <w:r>
        <w:rPr>
          <w:rFonts w:hint="eastAsia" w:ascii="宋体" w:hAnsi="宋体"/>
          <w:color w:val="auto"/>
          <w:sz w:val="24"/>
        </w:rPr>
        <w:t>授权人身份证，</w:t>
      </w:r>
      <w:r>
        <w:rPr>
          <w:rFonts w:hint="eastAsia" w:ascii="宋体" w:hAnsi="宋体"/>
          <w:color w:val="auto"/>
          <w:sz w:val="24"/>
          <w:lang w:eastAsia="zh-CN"/>
        </w:rPr>
        <w:t>被</w:t>
      </w:r>
      <w:r>
        <w:rPr>
          <w:rFonts w:hint="eastAsia" w:ascii="宋体" w:hAnsi="宋体"/>
          <w:color w:val="auto"/>
          <w:sz w:val="24"/>
        </w:rPr>
        <w:t>授权代表须提供现公司社保证明材料</w:t>
      </w:r>
      <w:r>
        <w:rPr>
          <w:rFonts w:hint="eastAsia" w:ascii="宋体" w:hAnsi="宋体"/>
          <w:color w:val="auto"/>
          <w:sz w:val="24"/>
          <w:lang w:eastAsia="zh-CN"/>
        </w:rPr>
        <w:t>。</w:t>
      </w:r>
    </w:p>
    <w:p>
      <w:pPr>
        <w:spacing w:line="360" w:lineRule="auto"/>
        <w:rPr>
          <w:rFonts w:hint="eastAsia" w:ascii="宋体" w:hAnsi="宋体"/>
          <w:color w:val="auto"/>
          <w:sz w:val="24"/>
        </w:rPr>
      </w:pPr>
      <w:r>
        <w:rPr>
          <w:rFonts w:hint="eastAsia" w:ascii="宋体" w:hAnsi="宋体"/>
          <w:color w:val="auto"/>
          <w:sz w:val="24"/>
          <w:lang w:val="en-US" w:eastAsia="zh-CN"/>
        </w:rPr>
        <w:t>4、</w:t>
      </w:r>
      <w:r>
        <w:rPr>
          <w:rFonts w:hint="eastAsia" w:ascii="宋体" w:hAnsi="宋体"/>
          <w:color w:val="auto"/>
          <w:sz w:val="24"/>
        </w:rPr>
        <w:t>售  价：人民币300元/套（售后不退）</w:t>
      </w:r>
    </w:p>
    <w:p>
      <w:pPr>
        <w:spacing w:line="360" w:lineRule="auto"/>
        <w:rPr>
          <w:rFonts w:hint="eastAsia" w:ascii="宋体" w:hAnsi="宋体"/>
          <w:color w:val="auto"/>
          <w:sz w:val="24"/>
          <w:lang w:val="en-US" w:eastAsia="zh-CN"/>
        </w:rPr>
      </w:pPr>
      <w:r>
        <w:rPr>
          <w:rFonts w:hint="eastAsia" w:ascii="宋体" w:hAnsi="宋体"/>
          <w:color w:val="auto"/>
          <w:sz w:val="24"/>
          <w:lang w:val="en-US" w:eastAsia="zh-CN"/>
        </w:rPr>
        <w:t>5、投标保证金：15000.00元。</w:t>
      </w:r>
    </w:p>
    <w:p>
      <w:pPr>
        <w:spacing w:line="360" w:lineRule="auto"/>
        <w:rPr>
          <w:rFonts w:hint="eastAsia" w:ascii="宋体" w:hAnsi="宋体"/>
          <w:color w:val="auto"/>
          <w:sz w:val="24"/>
        </w:rPr>
      </w:pPr>
      <w:r>
        <w:rPr>
          <w:rFonts w:hint="eastAsia" w:ascii="宋体" w:hAnsi="宋体"/>
          <w:color w:val="auto"/>
          <w:sz w:val="24"/>
        </w:rPr>
        <w:t>户  名：海南政辉招投标代理有限公司</w:t>
      </w:r>
    </w:p>
    <w:p>
      <w:pPr>
        <w:spacing w:line="360" w:lineRule="auto"/>
        <w:rPr>
          <w:rFonts w:hint="eastAsia" w:ascii="宋体" w:hAnsi="宋体"/>
          <w:color w:val="auto"/>
          <w:sz w:val="24"/>
        </w:rPr>
      </w:pPr>
      <w:r>
        <w:rPr>
          <w:rFonts w:hint="eastAsia" w:ascii="宋体" w:hAnsi="宋体"/>
          <w:color w:val="auto"/>
          <w:sz w:val="24"/>
        </w:rPr>
        <w:t>开户行：中国工商银行股份有限公司海口新华支行</w:t>
      </w:r>
    </w:p>
    <w:p>
      <w:pPr>
        <w:spacing w:line="360" w:lineRule="auto"/>
        <w:rPr>
          <w:rFonts w:hint="eastAsia" w:ascii="宋体" w:hAnsi="宋体"/>
          <w:color w:val="auto"/>
          <w:sz w:val="24"/>
        </w:rPr>
      </w:pPr>
      <w:r>
        <w:rPr>
          <w:rFonts w:hint="eastAsia" w:ascii="宋体" w:hAnsi="宋体"/>
          <w:color w:val="auto"/>
          <w:sz w:val="24"/>
        </w:rPr>
        <w:t>账  户：2201023809200980178</w:t>
      </w:r>
    </w:p>
    <w:p>
      <w:pPr>
        <w:tabs>
          <w:tab w:val="left" w:pos="4680"/>
        </w:tabs>
        <w:snapToGrid w:val="0"/>
        <w:spacing w:line="360" w:lineRule="auto"/>
        <w:rPr>
          <w:rFonts w:ascii="宋体" w:hAnsi="宋体"/>
          <w:b/>
          <w:color w:val="auto"/>
          <w:sz w:val="28"/>
        </w:rPr>
      </w:pPr>
      <w:r>
        <w:rPr>
          <w:rFonts w:hint="eastAsia" w:ascii="宋体" w:hAnsi="宋体"/>
          <w:b/>
          <w:color w:val="auto"/>
          <w:sz w:val="28"/>
          <w:lang w:eastAsia="zh-CN"/>
        </w:rPr>
        <w:t>四</w:t>
      </w:r>
      <w:r>
        <w:rPr>
          <w:rFonts w:hint="eastAsia" w:ascii="宋体" w:hAnsi="宋体"/>
          <w:b/>
          <w:color w:val="auto"/>
          <w:sz w:val="28"/>
        </w:rPr>
        <w:t>、递交</w:t>
      </w:r>
      <w:r>
        <w:rPr>
          <w:rFonts w:hint="eastAsia" w:ascii="宋体" w:hAnsi="宋体"/>
          <w:b/>
          <w:color w:val="auto"/>
          <w:sz w:val="28"/>
          <w:lang w:eastAsia="zh-CN"/>
        </w:rPr>
        <w:t>响应</w:t>
      </w:r>
      <w:r>
        <w:rPr>
          <w:rFonts w:hint="eastAsia" w:ascii="宋体" w:hAnsi="宋体"/>
          <w:b/>
          <w:color w:val="auto"/>
          <w:sz w:val="28"/>
        </w:rPr>
        <w:t>文件截止时间、谈判时间及地点</w:t>
      </w:r>
    </w:p>
    <w:p>
      <w:pPr>
        <w:tabs>
          <w:tab w:val="left" w:pos="4680"/>
        </w:tabs>
        <w:snapToGrid w:val="0"/>
        <w:spacing w:line="360" w:lineRule="auto"/>
        <w:rPr>
          <w:rFonts w:ascii="宋体" w:hAnsi="宋体" w:cs="Tahoma"/>
          <w:color w:val="auto"/>
          <w:sz w:val="24"/>
        </w:rPr>
      </w:pPr>
      <w:r>
        <w:rPr>
          <w:rFonts w:hint="eastAsia" w:ascii="宋体" w:hAnsi="宋体" w:cs="Tahoma"/>
          <w:color w:val="auto"/>
          <w:sz w:val="24"/>
        </w:rPr>
        <w:t>1、递交</w:t>
      </w:r>
      <w:r>
        <w:rPr>
          <w:rFonts w:hint="eastAsia" w:ascii="宋体" w:hAnsi="宋体" w:cs="Tahoma"/>
          <w:color w:val="auto"/>
          <w:sz w:val="24"/>
          <w:lang w:eastAsia="zh-CN"/>
        </w:rPr>
        <w:t>响应</w:t>
      </w:r>
      <w:r>
        <w:rPr>
          <w:rFonts w:hint="eastAsia" w:ascii="宋体" w:hAnsi="宋体" w:cs="Tahoma"/>
          <w:color w:val="auto"/>
          <w:sz w:val="24"/>
        </w:rPr>
        <w:t>文件</w:t>
      </w:r>
      <w:r>
        <w:rPr>
          <w:rFonts w:hint="eastAsia" w:ascii="宋体" w:hAnsi="宋体" w:cs="Tahoma"/>
          <w:color w:val="auto"/>
          <w:sz w:val="24"/>
          <w:lang w:eastAsia="zh-CN"/>
        </w:rPr>
        <w:t>截止</w:t>
      </w:r>
      <w:r>
        <w:rPr>
          <w:rFonts w:hint="eastAsia" w:ascii="宋体" w:hAnsi="宋体" w:cs="Tahoma"/>
          <w:color w:val="auto"/>
          <w:sz w:val="24"/>
        </w:rPr>
        <w:t>时间：</w:t>
      </w:r>
      <w:r>
        <w:rPr>
          <w:rFonts w:hint="eastAsia" w:ascii="宋体" w:hAnsi="宋体" w:cs="Tahoma"/>
          <w:color w:val="auto"/>
          <w:sz w:val="24"/>
          <w:lang w:val="en-US" w:eastAsia="zh-CN"/>
        </w:rPr>
        <w:t>2020</w:t>
      </w:r>
      <w:r>
        <w:rPr>
          <w:rFonts w:hint="eastAsia" w:ascii="宋体" w:hAnsi="宋体" w:cs="Tahoma"/>
          <w:color w:val="auto"/>
          <w:sz w:val="24"/>
        </w:rPr>
        <w:t>年</w:t>
      </w:r>
      <w:r>
        <w:rPr>
          <w:rFonts w:hint="eastAsia" w:ascii="宋体" w:hAnsi="宋体" w:cs="Tahoma"/>
          <w:color w:val="auto"/>
          <w:sz w:val="24"/>
          <w:lang w:val="en-US" w:eastAsia="zh-CN"/>
        </w:rPr>
        <w:t xml:space="preserve"> 06 </w:t>
      </w:r>
      <w:r>
        <w:rPr>
          <w:rFonts w:hint="eastAsia" w:ascii="宋体" w:hAnsi="宋体" w:cs="Tahoma"/>
          <w:color w:val="auto"/>
          <w:sz w:val="24"/>
        </w:rPr>
        <w:t>月</w:t>
      </w:r>
      <w:r>
        <w:rPr>
          <w:rFonts w:hint="eastAsia" w:ascii="宋体" w:hAnsi="宋体" w:cs="Tahoma"/>
          <w:color w:val="auto"/>
          <w:sz w:val="24"/>
          <w:lang w:val="en-US" w:eastAsia="zh-CN"/>
        </w:rPr>
        <w:t xml:space="preserve"> 12 </w:t>
      </w:r>
      <w:r>
        <w:rPr>
          <w:rFonts w:hint="eastAsia" w:ascii="宋体" w:hAnsi="宋体" w:cs="Tahoma"/>
          <w:color w:val="auto"/>
          <w:sz w:val="24"/>
        </w:rPr>
        <w:t>日</w:t>
      </w:r>
      <w:r>
        <w:rPr>
          <w:rFonts w:hint="eastAsia" w:ascii="宋体" w:hAnsi="宋体" w:cs="Tahoma"/>
          <w:color w:val="auto"/>
          <w:sz w:val="24"/>
          <w:lang w:val="en-US" w:eastAsia="zh-CN"/>
        </w:rPr>
        <w:t>8</w:t>
      </w:r>
      <w:r>
        <w:rPr>
          <w:rFonts w:hint="eastAsia" w:ascii="宋体" w:hAnsi="宋体" w:cs="Tahoma"/>
          <w:color w:val="auto"/>
          <w:sz w:val="24"/>
        </w:rPr>
        <w:t>:</w:t>
      </w:r>
      <w:r>
        <w:rPr>
          <w:rFonts w:hint="eastAsia" w:ascii="宋体" w:hAnsi="宋体" w:cs="Tahoma"/>
          <w:color w:val="auto"/>
          <w:sz w:val="24"/>
          <w:lang w:val="en-US" w:eastAsia="zh-CN"/>
        </w:rPr>
        <w:t>3</w:t>
      </w:r>
      <w:r>
        <w:rPr>
          <w:rFonts w:hint="eastAsia" w:ascii="宋体" w:hAnsi="宋体" w:cs="Tahoma"/>
          <w:color w:val="auto"/>
          <w:sz w:val="24"/>
        </w:rPr>
        <w:t>0；</w:t>
      </w:r>
    </w:p>
    <w:p>
      <w:pPr>
        <w:tabs>
          <w:tab w:val="left" w:pos="4680"/>
        </w:tabs>
        <w:snapToGrid w:val="0"/>
        <w:spacing w:line="360" w:lineRule="auto"/>
        <w:rPr>
          <w:rFonts w:ascii="宋体" w:hAnsi="宋体" w:cs="Tahoma"/>
          <w:color w:val="auto"/>
          <w:sz w:val="24"/>
        </w:rPr>
      </w:pPr>
      <w:r>
        <w:rPr>
          <w:rFonts w:hint="eastAsia" w:ascii="宋体" w:hAnsi="宋体" w:cs="Tahoma"/>
          <w:color w:val="auto"/>
          <w:sz w:val="24"/>
        </w:rPr>
        <w:t>2、谈判时间：</w:t>
      </w:r>
      <w:r>
        <w:rPr>
          <w:rFonts w:hint="eastAsia" w:ascii="宋体" w:hAnsi="宋体" w:cs="Tahoma"/>
          <w:color w:val="auto"/>
          <w:sz w:val="24"/>
          <w:lang w:val="en-US" w:eastAsia="zh-CN"/>
        </w:rPr>
        <w:t>2020</w:t>
      </w:r>
      <w:r>
        <w:rPr>
          <w:rFonts w:hint="eastAsia" w:ascii="宋体" w:hAnsi="宋体" w:cs="Tahoma"/>
          <w:color w:val="auto"/>
          <w:sz w:val="24"/>
        </w:rPr>
        <w:t>年</w:t>
      </w:r>
      <w:r>
        <w:rPr>
          <w:rFonts w:hint="eastAsia" w:ascii="宋体" w:hAnsi="宋体" w:cs="Tahoma"/>
          <w:color w:val="auto"/>
          <w:sz w:val="24"/>
          <w:lang w:val="en-US" w:eastAsia="zh-CN"/>
        </w:rPr>
        <w:t xml:space="preserve"> 06 </w:t>
      </w:r>
      <w:r>
        <w:rPr>
          <w:rFonts w:hint="eastAsia" w:ascii="宋体" w:hAnsi="宋体" w:cs="Tahoma"/>
          <w:color w:val="auto"/>
          <w:sz w:val="24"/>
        </w:rPr>
        <w:t>月</w:t>
      </w:r>
      <w:r>
        <w:rPr>
          <w:rFonts w:hint="eastAsia" w:ascii="宋体" w:hAnsi="宋体" w:cs="Tahoma"/>
          <w:color w:val="auto"/>
          <w:sz w:val="24"/>
          <w:lang w:val="en-US" w:eastAsia="zh-CN"/>
        </w:rPr>
        <w:t xml:space="preserve"> 12 </w:t>
      </w:r>
      <w:r>
        <w:rPr>
          <w:rFonts w:hint="eastAsia" w:ascii="宋体" w:hAnsi="宋体" w:cs="Tahoma"/>
          <w:color w:val="auto"/>
          <w:sz w:val="24"/>
        </w:rPr>
        <w:t>日</w:t>
      </w:r>
      <w:r>
        <w:rPr>
          <w:rFonts w:hint="eastAsia" w:ascii="宋体" w:hAnsi="宋体" w:cs="Tahoma"/>
          <w:color w:val="auto"/>
          <w:sz w:val="24"/>
          <w:lang w:val="en-US" w:eastAsia="zh-CN"/>
        </w:rPr>
        <w:t>8</w:t>
      </w:r>
      <w:r>
        <w:rPr>
          <w:rFonts w:hint="eastAsia" w:ascii="宋体" w:hAnsi="宋体" w:cs="Tahoma"/>
          <w:color w:val="auto"/>
          <w:sz w:val="24"/>
        </w:rPr>
        <w:t>:</w:t>
      </w:r>
      <w:r>
        <w:rPr>
          <w:rFonts w:hint="eastAsia" w:ascii="宋体" w:hAnsi="宋体" w:cs="Tahoma"/>
          <w:color w:val="auto"/>
          <w:sz w:val="24"/>
          <w:lang w:val="en-US" w:eastAsia="zh-CN"/>
        </w:rPr>
        <w:t>3</w:t>
      </w:r>
      <w:r>
        <w:rPr>
          <w:rFonts w:hint="eastAsia" w:ascii="宋体" w:hAnsi="宋体" w:cs="Tahoma"/>
          <w:color w:val="auto"/>
          <w:sz w:val="24"/>
        </w:rPr>
        <w:t>0 ；</w:t>
      </w:r>
    </w:p>
    <w:p>
      <w:pPr>
        <w:spacing w:line="360" w:lineRule="auto"/>
        <w:rPr>
          <w:rFonts w:ascii="宋体" w:hAnsi="宋体"/>
          <w:color w:val="auto"/>
          <w:sz w:val="24"/>
        </w:rPr>
      </w:pPr>
      <w:r>
        <w:rPr>
          <w:rFonts w:hint="eastAsia" w:ascii="宋体" w:hAnsi="宋体"/>
          <w:color w:val="auto"/>
          <w:sz w:val="24"/>
        </w:rPr>
        <w:t>3、谈判</w:t>
      </w:r>
      <w:r>
        <w:rPr>
          <w:rFonts w:ascii="宋体" w:hAnsi="宋体"/>
          <w:color w:val="auto"/>
          <w:sz w:val="24"/>
        </w:rPr>
        <w:t>地点：</w:t>
      </w:r>
      <w:r>
        <w:rPr>
          <w:rFonts w:hint="eastAsia" w:ascii="宋体" w:hAnsi="宋体"/>
          <w:bCs/>
          <w:color w:val="auto"/>
          <w:sz w:val="24"/>
        </w:rPr>
        <w:t>海口市美兰区五指山路16-3号康业花园西湖苑G栋2A</w:t>
      </w:r>
      <w:r>
        <w:rPr>
          <w:rFonts w:hint="eastAsia" w:ascii="宋体" w:hAnsi="宋体"/>
          <w:color w:val="auto"/>
          <w:sz w:val="24"/>
        </w:rPr>
        <w:t>；</w:t>
      </w:r>
    </w:p>
    <w:p>
      <w:pPr>
        <w:snapToGrid w:val="0"/>
        <w:spacing w:line="360" w:lineRule="auto"/>
        <w:rPr>
          <w:rFonts w:ascii="宋体" w:hAnsi="宋体"/>
          <w:bCs/>
          <w:color w:val="auto"/>
          <w:sz w:val="24"/>
          <w:u w:val="single"/>
        </w:rPr>
      </w:pPr>
      <w:r>
        <w:rPr>
          <w:rFonts w:hint="eastAsia" w:ascii="宋体" w:hAnsi="宋体"/>
          <w:color w:val="auto"/>
          <w:kern w:val="0"/>
          <w:sz w:val="24"/>
        </w:rPr>
        <w:t>4、</w:t>
      </w:r>
      <w:r>
        <w:rPr>
          <w:rFonts w:hint="eastAsia"/>
          <w:color w:val="auto"/>
          <w:sz w:val="24"/>
        </w:rPr>
        <w:t>采购信息发布媒介</w:t>
      </w:r>
      <w:r>
        <w:rPr>
          <w:rFonts w:hint="eastAsia" w:ascii="宋体" w:hAnsi="宋体"/>
          <w:color w:val="auto"/>
          <w:kern w:val="0"/>
          <w:sz w:val="24"/>
        </w:rPr>
        <w:t>：</w:t>
      </w:r>
      <w:r>
        <w:rPr>
          <w:rFonts w:hint="eastAsia"/>
          <w:color w:val="auto"/>
          <w:sz w:val="24"/>
        </w:rPr>
        <w:t>中国海南政府采购网（www.ccgp-hainan.gov.cn）、全国公共资源交易平台网（海南省）（http://zw.hainan.gov.cn/ggzy</w:t>
      </w:r>
      <w:r>
        <w:rPr>
          <w:rFonts w:hint="eastAsia"/>
          <w:color w:val="auto"/>
          <w:sz w:val="24"/>
          <w:lang w:val="en-US" w:eastAsia="zh-CN"/>
        </w:rPr>
        <w:t>)</w:t>
      </w:r>
      <w:r>
        <w:rPr>
          <w:rFonts w:hint="eastAsia"/>
          <w:color w:val="auto"/>
          <w:sz w:val="24"/>
          <w:lang w:eastAsia="zh-CN"/>
        </w:rPr>
        <w:t>。</w:t>
      </w:r>
    </w:p>
    <w:p>
      <w:pPr>
        <w:snapToGrid w:val="0"/>
        <w:spacing w:line="360" w:lineRule="auto"/>
        <w:rPr>
          <w:rFonts w:hint="eastAsia"/>
          <w:b/>
          <w:color w:val="auto"/>
          <w:sz w:val="28"/>
          <w:lang w:eastAsia="zh-CN"/>
        </w:rPr>
      </w:pPr>
    </w:p>
    <w:p>
      <w:pPr>
        <w:snapToGrid w:val="0"/>
        <w:spacing w:line="360" w:lineRule="auto"/>
        <w:rPr>
          <w:b/>
          <w:color w:val="auto"/>
          <w:sz w:val="28"/>
        </w:rPr>
      </w:pPr>
      <w:r>
        <w:rPr>
          <w:rFonts w:hint="eastAsia"/>
          <w:b/>
          <w:color w:val="auto"/>
          <w:sz w:val="28"/>
          <w:lang w:eastAsia="zh-CN"/>
        </w:rPr>
        <w:t>五</w:t>
      </w:r>
      <w:r>
        <w:rPr>
          <w:rFonts w:hint="eastAsia"/>
          <w:b/>
          <w:color w:val="auto"/>
          <w:sz w:val="28"/>
        </w:rPr>
        <w:t>、</w:t>
      </w:r>
      <w:r>
        <w:rPr>
          <w:rFonts w:hint="eastAsia"/>
          <w:b/>
          <w:color w:val="auto"/>
          <w:sz w:val="28"/>
          <w:lang w:eastAsia="zh-CN"/>
        </w:rPr>
        <w:t>采购人</w:t>
      </w:r>
      <w:r>
        <w:rPr>
          <w:rFonts w:hint="eastAsia"/>
          <w:b/>
          <w:color w:val="auto"/>
          <w:sz w:val="28"/>
        </w:rPr>
        <w:t>联系方式</w:t>
      </w:r>
    </w:p>
    <w:p>
      <w:pPr>
        <w:spacing w:line="360" w:lineRule="auto"/>
        <w:rPr>
          <w:rFonts w:hint="eastAsia" w:ascii="宋体" w:hAnsi="宋体" w:eastAsia="宋体"/>
          <w:bCs/>
          <w:color w:val="auto"/>
          <w:sz w:val="24"/>
          <w:lang w:eastAsia="zh-CN"/>
        </w:rPr>
      </w:pPr>
      <w:r>
        <w:rPr>
          <w:rFonts w:hint="eastAsia" w:ascii="宋体" w:hAnsi="宋体"/>
          <w:bCs/>
          <w:color w:val="auto"/>
          <w:sz w:val="24"/>
        </w:rPr>
        <w:t>名称：</w:t>
      </w:r>
      <w:r>
        <w:rPr>
          <w:rFonts w:hint="eastAsia" w:ascii="宋体" w:hAnsi="宋体"/>
          <w:bCs/>
          <w:color w:val="auto"/>
          <w:sz w:val="24"/>
          <w:lang w:eastAsia="zh-CN"/>
        </w:rPr>
        <w:t>白沙黎族自治县行政审批服务局</w:t>
      </w:r>
      <w:r>
        <w:rPr>
          <w:rFonts w:hint="eastAsia" w:ascii="宋体" w:hAnsi="宋体"/>
          <w:bCs/>
          <w:color w:val="auto"/>
          <w:sz w:val="24"/>
          <w:lang w:val="en-US" w:eastAsia="zh-CN"/>
        </w:rPr>
        <w:t xml:space="preserve"> </w:t>
      </w:r>
    </w:p>
    <w:p>
      <w:pPr>
        <w:snapToGrid w:val="0"/>
        <w:spacing w:line="360" w:lineRule="auto"/>
        <w:rPr>
          <w:rFonts w:hint="eastAsia" w:ascii="宋体" w:hAnsi="宋体"/>
          <w:bCs/>
          <w:color w:val="auto"/>
          <w:sz w:val="24"/>
          <w:lang w:val="en-US" w:eastAsia="zh-CN"/>
        </w:rPr>
      </w:pPr>
      <w:r>
        <w:rPr>
          <w:rFonts w:hint="eastAsia" w:ascii="宋体" w:hAnsi="宋体"/>
          <w:bCs/>
          <w:color w:val="auto"/>
          <w:sz w:val="24"/>
        </w:rPr>
        <w:t>地址：</w:t>
      </w:r>
      <w:r>
        <w:rPr>
          <w:rFonts w:hint="eastAsia" w:ascii="宋体" w:hAnsi="宋体"/>
          <w:bCs/>
          <w:color w:val="auto"/>
          <w:sz w:val="24"/>
          <w:lang w:val="en-US" w:eastAsia="zh-CN"/>
        </w:rPr>
        <w:t xml:space="preserve"> 白沙县牙叉镇金沙西路6号</w:t>
      </w:r>
    </w:p>
    <w:p>
      <w:pPr>
        <w:snapToGrid w:val="0"/>
        <w:spacing w:line="360" w:lineRule="auto"/>
        <w:rPr>
          <w:rFonts w:hint="eastAsia" w:ascii="宋体" w:hAnsi="宋体"/>
          <w:bCs/>
          <w:color w:val="auto"/>
          <w:sz w:val="24"/>
        </w:rPr>
      </w:pPr>
      <w:r>
        <w:rPr>
          <w:rFonts w:hint="eastAsia" w:ascii="宋体" w:hAnsi="宋体"/>
          <w:bCs/>
          <w:color w:val="auto"/>
          <w:sz w:val="24"/>
        </w:rPr>
        <w:t>电话：</w:t>
      </w:r>
      <w:r>
        <w:rPr>
          <w:rFonts w:hint="eastAsia" w:ascii="宋体" w:hAnsi="宋体"/>
          <w:bCs/>
          <w:color w:val="auto"/>
          <w:sz w:val="24"/>
          <w:lang w:val="en-US" w:eastAsia="zh-CN"/>
        </w:rPr>
        <w:t xml:space="preserve"> 0898-27713387</w:t>
      </w:r>
      <w:r>
        <w:rPr>
          <w:rFonts w:hint="eastAsia" w:ascii="宋体" w:hAnsi="宋体"/>
          <w:bCs/>
          <w:color w:val="auto"/>
          <w:sz w:val="24"/>
        </w:rPr>
        <w:t xml:space="preserve">     </w:t>
      </w:r>
    </w:p>
    <w:p>
      <w:pPr>
        <w:snapToGrid w:val="0"/>
        <w:spacing w:line="360" w:lineRule="auto"/>
        <w:rPr>
          <w:rFonts w:hint="eastAsia"/>
          <w:b/>
          <w:color w:val="auto"/>
          <w:sz w:val="28"/>
        </w:rPr>
      </w:pPr>
      <w:r>
        <w:rPr>
          <w:rFonts w:hint="eastAsia" w:ascii="宋体" w:hAnsi="宋体"/>
          <w:bCs/>
          <w:color w:val="auto"/>
          <w:sz w:val="24"/>
        </w:rPr>
        <w:t>联系人:</w:t>
      </w:r>
      <w:r>
        <w:rPr>
          <w:rFonts w:hint="eastAsia" w:ascii="宋体" w:hAnsi="宋体"/>
          <w:bCs/>
          <w:color w:val="auto"/>
          <w:sz w:val="24"/>
          <w:lang w:eastAsia="zh-CN"/>
        </w:rPr>
        <w:t>陈工</w:t>
      </w:r>
      <w:r>
        <w:rPr>
          <w:rFonts w:hint="eastAsia" w:ascii="宋体" w:hAnsi="宋体"/>
          <w:bCs/>
          <w:color w:val="auto"/>
          <w:sz w:val="24"/>
          <w:lang w:val="en-US" w:eastAsia="zh-CN"/>
        </w:rPr>
        <w:t xml:space="preserve"> </w:t>
      </w:r>
    </w:p>
    <w:p>
      <w:pPr>
        <w:snapToGrid w:val="0"/>
        <w:spacing w:line="360" w:lineRule="auto"/>
        <w:rPr>
          <w:b/>
          <w:color w:val="auto"/>
          <w:sz w:val="28"/>
        </w:rPr>
      </w:pPr>
      <w:r>
        <w:rPr>
          <w:rFonts w:hint="eastAsia"/>
          <w:b/>
          <w:color w:val="auto"/>
          <w:sz w:val="28"/>
          <w:lang w:eastAsia="zh-CN"/>
        </w:rPr>
        <w:t>六、</w:t>
      </w:r>
      <w:r>
        <w:rPr>
          <w:rFonts w:hint="eastAsia"/>
          <w:b/>
          <w:color w:val="auto"/>
          <w:sz w:val="28"/>
        </w:rPr>
        <w:t>招标代理机构联系方式</w:t>
      </w:r>
    </w:p>
    <w:p>
      <w:pPr>
        <w:spacing w:line="360" w:lineRule="auto"/>
        <w:rPr>
          <w:rFonts w:ascii="宋体" w:hAnsi="宋体"/>
          <w:bCs/>
          <w:color w:val="auto"/>
          <w:sz w:val="24"/>
        </w:rPr>
      </w:pPr>
      <w:r>
        <w:rPr>
          <w:rFonts w:hint="eastAsia" w:ascii="宋体" w:hAnsi="宋体"/>
          <w:bCs/>
          <w:color w:val="auto"/>
          <w:sz w:val="24"/>
        </w:rPr>
        <w:t>名称：海南政辉招投标代理有限公司</w:t>
      </w:r>
    </w:p>
    <w:p>
      <w:pPr>
        <w:spacing w:line="360" w:lineRule="auto"/>
        <w:rPr>
          <w:rFonts w:ascii="宋体" w:hAnsi="宋体"/>
          <w:bCs/>
          <w:color w:val="auto"/>
          <w:sz w:val="24"/>
        </w:rPr>
      </w:pPr>
      <w:r>
        <w:rPr>
          <w:rFonts w:hint="eastAsia" w:ascii="宋体" w:hAnsi="宋体"/>
          <w:bCs/>
          <w:color w:val="auto"/>
          <w:sz w:val="24"/>
        </w:rPr>
        <w:t>地址：海口市美兰区五指山路16-3号康业花园西湖苑G栋2A</w:t>
      </w:r>
    </w:p>
    <w:p>
      <w:pPr>
        <w:spacing w:line="360" w:lineRule="auto"/>
        <w:rPr>
          <w:rFonts w:hint="eastAsia" w:ascii="宋体" w:hAnsi="宋体"/>
          <w:bCs/>
          <w:color w:val="auto"/>
          <w:sz w:val="24"/>
        </w:rPr>
      </w:pPr>
      <w:r>
        <w:rPr>
          <w:rFonts w:hint="eastAsia" w:ascii="宋体" w:hAnsi="宋体"/>
          <w:bCs/>
          <w:color w:val="auto"/>
          <w:sz w:val="24"/>
        </w:rPr>
        <w:t xml:space="preserve">电话：0898-66557609     </w:t>
      </w:r>
    </w:p>
    <w:p>
      <w:pPr>
        <w:spacing w:line="360" w:lineRule="auto"/>
        <w:rPr>
          <w:rFonts w:hint="eastAsia" w:ascii="宋体" w:hAnsi="宋体"/>
          <w:bCs/>
          <w:color w:val="auto"/>
          <w:sz w:val="24"/>
          <w:lang w:val="en-US" w:eastAsia="zh-CN"/>
        </w:rPr>
      </w:pPr>
      <w:r>
        <w:rPr>
          <w:rFonts w:hint="eastAsia" w:ascii="宋体" w:hAnsi="宋体"/>
          <w:bCs/>
          <w:color w:val="auto"/>
          <w:sz w:val="24"/>
        </w:rPr>
        <w:t xml:space="preserve"> 联系人:</w:t>
      </w:r>
      <w:r>
        <w:rPr>
          <w:rFonts w:hint="eastAsia" w:ascii="宋体" w:hAnsi="宋体"/>
          <w:bCs/>
          <w:color w:val="auto"/>
          <w:sz w:val="24"/>
          <w:lang w:eastAsia="zh-CN"/>
        </w:rPr>
        <w:t>张工</w:t>
      </w:r>
      <w:r>
        <w:rPr>
          <w:rFonts w:hint="eastAsia" w:ascii="宋体" w:hAnsi="宋体"/>
          <w:bCs/>
          <w:color w:val="auto"/>
          <w:sz w:val="24"/>
          <w:lang w:val="en-US" w:eastAsia="zh-CN"/>
        </w:rPr>
        <w:t xml:space="preserve"> </w:t>
      </w:r>
      <w:r>
        <w:rPr>
          <w:rFonts w:hint="eastAsia" w:ascii="宋体" w:hAnsi="宋体"/>
          <w:bCs/>
          <w:color w:val="auto"/>
          <w:sz w:val="24"/>
        </w:rPr>
        <w:t xml:space="preserve">  </w:t>
      </w:r>
      <w:r>
        <w:rPr>
          <w:rFonts w:hint="eastAsia" w:ascii="宋体" w:hAnsi="宋体"/>
          <w:bCs/>
          <w:color w:val="auto"/>
          <w:sz w:val="24"/>
          <w:lang w:val="en-US" w:eastAsia="zh-CN"/>
        </w:rPr>
        <w:t xml:space="preserve">    </w:t>
      </w:r>
    </w:p>
    <w:p>
      <w:pPr>
        <w:spacing w:line="360" w:lineRule="auto"/>
        <w:ind w:firstLine="5280" w:firstLineChars="2200"/>
        <w:rPr>
          <w:rFonts w:hint="eastAsia" w:ascii="宋体" w:hAnsi="宋体"/>
          <w:bCs/>
          <w:color w:val="auto"/>
          <w:sz w:val="24"/>
          <w:lang w:val="en-US" w:eastAsia="zh-CN"/>
        </w:rPr>
      </w:pPr>
    </w:p>
    <w:p>
      <w:pPr>
        <w:spacing w:line="360" w:lineRule="auto"/>
        <w:ind w:firstLine="5280" w:firstLineChars="2200"/>
        <w:rPr>
          <w:rFonts w:hint="eastAsia" w:ascii="宋体" w:hAnsi="宋体"/>
          <w:bCs/>
          <w:color w:val="auto"/>
          <w:sz w:val="24"/>
          <w:lang w:val="en-US" w:eastAsia="zh-CN"/>
        </w:rPr>
      </w:pPr>
    </w:p>
    <w:p>
      <w:pPr>
        <w:spacing w:line="360" w:lineRule="auto"/>
        <w:ind w:firstLine="5280" w:firstLineChars="2200"/>
        <w:rPr>
          <w:rFonts w:hint="eastAsia"/>
          <w:b/>
          <w:color w:val="auto"/>
          <w:sz w:val="28"/>
          <w:szCs w:val="28"/>
        </w:rPr>
      </w:pPr>
      <w:r>
        <w:rPr>
          <w:rFonts w:hint="eastAsia" w:ascii="宋体" w:hAnsi="宋体"/>
          <w:bCs/>
          <w:color w:val="auto"/>
          <w:sz w:val="24"/>
          <w:lang w:val="en-US" w:eastAsia="zh-CN"/>
        </w:rPr>
        <w:t xml:space="preserve"> 2020</w:t>
      </w:r>
      <w:r>
        <w:rPr>
          <w:rFonts w:hint="eastAsia" w:ascii="宋体" w:hAnsi="宋体"/>
          <w:bCs/>
          <w:color w:val="auto"/>
          <w:sz w:val="24"/>
        </w:rPr>
        <w:t>年</w:t>
      </w:r>
      <w:r>
        <w:rPr>
          <w:rFonts w:hint="eastAsia" w:ascii="宋体" w:hAnsi="宋体"/>
          <w:bCs/>
          <w:color w:val="auto"/>
          <w:sz w:val="24"/>
          <w:lang w:val="en-US" w:eastAsia="zh-CN"/>
        </w:rPr>
        <w:t xml:space="preserve"> 6 </w:t>
      </w:r>
      <w:r>
        <w:rPr>
          <w:rFonts w:hint="eastAsia" w:ascii="宋体" w:hAnsi="宋体"/>
          <w:bCs/>
          <w:color w:val="auto"/>
          <w:sz w:val="24"/>
        </w:rPr>
        <w:t>月</w:t>
      </w:r>
      <w:r>
        <w:rPr>
          <w:rFonts w:hint="eastAsia" w:ascii="宋体" w:hAnsi="宋体"/>
          <w:bCs/>
          <w:color w:val="auto"/>
          <w:sz w:val="24"/>
          <w:lang w:val="en-US" w:eastAsia="zh-CN"/>
        </w:rPr>
        <w:t xml:space="preserve">  08 </w:t>
      </w:r>
      <w:r>
        <w:rPr>
          <w:rFonts w:hint="eastAsia" w:ascii="宋体" w:hAnsi="宋体"/>
          <w:bCs/>
          <w:color w:val="auto"/>
          <w:sz w:val="24"/>
        </w:rPr>
        <w:t xml:space="preserve">日  </w:t>
      </w:r>
      <w:r>
        <w:rPr>
          <w:rFonts w:hint="eastAsia" w:ascii="宋体" w:hAnsi="宋体"/>
          <w:bCs/>
          <w:color w:val="auto"/>
          <w:sz w:val="24"/>
          <w:lang w:val="en-US" w:eastAsia="zh-CN"/>
        </w:rPr>
        <w:t xml:space="preserve">            </w:t>
      </w:r>
      <w:r>
        <w:rPr>
          <w:rFonts w:hint="eastAsia" w:ascii="宋体" w:hAnsi="宋体"/>
          <w:bCs/>
          <w:color w:val="auto"/>
          <w:sz w:val="24"/>
        </w:rPr>
        <w:t xml:space="preserve">                                      </w:t>
      </w:r>
      <w:bookmarkStart w:id="2" w:name="_Toc1660484"/>
    </w:p>
    <w:p>
      <w:pPr>
        <w:jc w:val="center"/>
        <w:rPr>
          <w:rFonts w:hint="eastAsia"/>
          <w:b/>
          <w:color w:val="auto"/>
          <w:sz w:val="28"/>
          <w:szCs w:val="28"/>
        </w:rPr>
      </w:pPr>
    </w:p>
    <w:p>
      <w:pPr>
        <w:jc w:val="center"/>
        <w:rPr>
          <w:rFonts w:hint="eastAsia"/>
          <w:b/>
          <w:color w:val="auto"/>
          <w:sz w:val="28"/>
          <w:szCs w:val="28"/>
        </w:rPr>
      </w:pPr>
    </w:p>
    <w:p>
      <w:pPr>
        <w:jc w:val="center"/>
        <w:rPr>
          <w:rFonts w:hint="eastAsia"/>
          <w:b/>
          <w:color w:val="auto"/>
          <w:sz w:val="28"/>
          <w:szCs w:val="28"/>
        </w:rPr>
      </w:pPr>
    </w:p>
    <w:p>
      <w:pPr>
        <w:jc w:val="center"/>
        <w:rPr>
          <w:rFonts w:hint="eastAsia"/>
          <w:b/>
          <w:color w:val="auto"/>
          <w:sz w:val="28"/>
          <w:szCs w:val="28"/>
        </w:rPr>
      </w:pPr>
    </w:p>
    <w:p>
      <w:pPr>
        <w:jc w:val="center"/>
        <w:rPr>
          <w:rFonts w:hint="eastAsia"/>
          <w:b/>
          <w:color w:val="auto"/>
          <w:sz w:val="28"/>
          <w:szCs w:val="28"/>
        </w:rPr>
      </w:pPr>
    </w:p>
    <w:p>
      <w:pPr>
        <w:jc w:val="center"/>
        <w:rPr>
          <w:rFonts w:hint="eastAsia"/>
          <w:b/>
          <w:color w:val="auto"/>
          <w:sz w:val="28"/>
          <w:szCs w:val="28"/>
        </w:rPr>
      </w:pPr>
    </w:p>
    <w:p>
      <w:pPr>
        <w:jc w:val="center"/>
        <w:rPr>
          <w:rFonts w:hint="eastAsia"/>
          <w:b/>
          <w:color w:val="auto"/>
          <w:sz w:val="28"/>
          <w:szCs w:val="28"/>
        </w:rPr>
      </w:pPr>
    </w:p>
    <w:p>
      <w:pPr>
        <w:jc w:val="center"/>
        <w:rPr>
          <w:rFonts w:hint="eastAsia"/>
          <w:b/>
          <w:color w:val="auto"/>
          <w:sz w:val="28"/>
          <w:szCs w:val="28"/>
        </w:rPr>
      </w:pPr>
    </w:p>
    <w:p>
      <w:pPr>
        <w:jc w:val="center"/>
        <w:rPr>
          <w:rFonts w:hint="eastAsia"/>
          <w:b/>
          <w:color w:val="auto"/>
          <w:sz w:val="28"/>
          <w:szCs w:val="28"/>
        </w:rPr>
      </w:pPr>
    </w:p>
    <w:p>
      <w:pPr>
        <w:jc w:val="center"/>
        <w:rPr>
          <w:rFonts w:hint="eastAsia"/>
          <w:b/>
          <w:color w:val="auto"/>
          <w:sz w:val="28"/>
          <w:szCs w:val="28"/>
        </w:rPr>
      </w:pPr>
    </w:p>
    <w:p>
      <w:pPr>
        <w:jc w:val="center"/>
        <w:rPr>
          <w:rFonts w:hint="eastAsia"/>
          <w:b/>
          <w:color w:val="auto"/>
          <w:sz w:val="28"/>
          <w:szCs w:val="28"/>
        </w:rPr>
      </w:pPr>
    </w:p>
    <w:p>
      <w:pPr>
        <w:jc w:val="both"/>
        <w:rPr>
          <w:rFonts w:hint="eastAsia"/>
          <w:b/>
          <w:color w:val="auto"/>
          <w:sz w:val="28"/>
          <w:szCs w:val="28"/>
        </w:rPr>
      </w:pPr>
    </w:p>
    <w:p>
      <w:pPr>
        <w:jc w:val="center"/>
        <w:rPr>
          <w:b/>
          <w:color w:val="auto"/>
          <w:sz w:val="28"/>
          <w:szCs w:val="28"/>
        </w:rPr>
      </w:pPr>
      <w:r>
        <w:rPr>
          <w:rFonts w:hint="eastAsia"/>
          <w:b/>
          <w:color w:val="auto"/>
          <w:sz w:val="28"/>
          <w:szCs w:val="28"/>
        </w:rPr>
        <w:t>第二章、谈判须知</w:t>
      </w:r>
      <w:bookmarkEnd w:id="2"/>
    </w:p>
    <w:p>
      <w:pPr>
        <w:spacing w:before="120" w:after="240" w:line="500" w:lineRule="exact"/>
        <w:jc w:val="center"/>
        <w:rPr>
          <w:rFonts w:ascii="宋体" w:hAnsi="宋体" w:cs="黑体"/>
          <w:b/>
          <w:color w:val="auto"/>
          <w:sz w:val="24"/>
        </w:rPr>
      </w:pPr>
      <w:r>
        <w:rPr>
          <w:rFonts w:hint="eastAsia" w:ascii="宋体" w:hAnsi="宋体" w:cs="黑体"/>
          <w:b/>
          <w:color w:val="auto"/>
          <w:sz w:val="24"/>
        </w:rPr>
        <w:t>谈判须知前附表</w:t>
      </w:r>
    </w:p>
    <w:p>
      <w:pPr>
        <w:spacing w:line="360" w:lineRule="auto"/>
        <w:ind w:firstLine="480" w:firstLineChars="200"/>
        <w:rPr>
          <w:rFonts w:ascii="宋体" w:hAnsi="宋体" w:cs="仿宋"/>
          <w:color w:val="auto"/>
          <w:sz w:val="24"/>
        </w:rPr>
      </w:pPr>
      <w:r>
        <w:rPr>
          <w:rFonts w:hint="eastAsia" w:ascii="宋体" w:hAnsi="宋体" w:cs="仿宋"/>
          <w:color w:val="auto"/>
          <w:sz w:val="24"/>
        </w:rPr>
        <w:t>“谈判须知前附表”用于进一步明确正文中的未尽事宜，由采购人根据项目的具体特点和实际需要编制和填写，如有与本章正文内容不一致的，以本表的内容为准。</w:t>
      </w:r>
    </w:p>
    <w:tbl>
      <w:tblPr>
        <w:tblStyle w:val="22"/>
        <w:tblW w:w="897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3"/>
        <w:gridCol w:w="2145"/>
        <w:gridCol w:w="6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blHeader/>
        </w:trPr>
        <w:tc>
          <w:tcPr>
            <w:tcW w:w="663" w:type="dxa"/>
            <w:vAlign w:val="center"/>
          </w:tcPr>
          <w:p>
            <w:pPr>
              <w:pStyle w:val="87"/>
              <w:spacing w:line="360" w:lineRule="auto"/>
              <w:ind w:left="9"/>
              <w:jc w:val="center"/>
              <w:rPr>
                <w:rFonts w:cs="仿宋"/>
                <w:b/>
                <w:color w:val="auto"/>
                <w:lang w:val="zh-CN"/>
              </w:rPr>
            </w:pPr>
            <w:r>
              <w:rPr>
                <w:rFonts w:hint="eastAsia" w:cs="仿宋"/>
                <w:b/>
                <w:color w:val="auto"/>
                <w:lang w:val="zh-CN"/>
              </w:rPr>
              <w:t xml:space="preserve">序号 </w:t>
            </w:r>
          </w:p>
        </w:tc>
        <w:tc>
          <w:tcPr>
            <w:tcW w:w="2145" w:type="dxa"/>
            <w:vAlign w:val="center"/>
          </w:tcPr>
          <w:p>
            <w:pPr>
              <w:pStyle w:val="87"/>
              <w:spacing w:line="360" w:lineRule="auto"/>
              <w:jc w:val="center"/>
              <w:rPr>
                <w:rFonts w:cs="仿宋"/>
                <w:b/>
                <w:color w:val="auto"/>
                <w:lang w:val="zh-CN"/>
              </w:rPr>
            </w:pPr>
            <w:r>
              <w:rPr>
                <w:rFonts w:hint="eastAsia" w:cs="仿宋"/>
                <w:b/>
                <w:color w:val="auto"/>
                <w:lang w:val="zh-CN"/>
              </w:rPr>
              <w:t>内容</w:t>
            </w:r>
          </w:p>
        </w:tc>
        <w:tc>
          <w:tcPr>
            <w:tcW w:w="6169" w:type="dxa"/>
            <w:vAlign w:val="center"/>
          </w:tcPr>
          <w:p>
            <w:pPr>
              <w:pStyle w:val="87"/>
              <w:spacing w:line="360" w:lineRule="auto"/>
              <w:jc w:val="center"/>
              <w:rPr>
                <w:rFonts w:cs="仿宋"/>
                <w:b/>
                <w:color w:val="auto"/>
                <w:lang w:val="zh-CN"/>
              </w:rPr>
            </w:pPr>
            <w:r>
              <w:rPr>
                <w:rFonts w:hint="eastAsia" w:cs="仿宋"/>
                <w:b/>
                <w:color w:val="auto"/>
                <w:lang w:val="zh-CN"/>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0" w:hRule="atLeast"/>
        </w:trPr>
        <w:tc>
          <w:tcPr>
            <w:tcW w:w="663" w:type="dxa"/>
            <w:vAlign w:val="center"/>
          </w:tcPr>
          <w:p>
            <w:pPr>
              <w:pStyle w:val="87"/>
              <w:spacing w:line="360" w:lineRule="auto"/>
              <w:ind w:left="9" w:firstLine="240" w:firstLineChars="100"/>
              <w:jc w:val="both"/>
              <w:rPr>
                <w:rFonts w:cs="仿宋"/>
                <w:color w:val="auto"/>
              </w:rPr>
            </w:pPr>
            <w:r>
              <w:rPr>
                <w:rFonts w:hint="eastAsia" w:cs="仿宋"/>
                <w:color w:val="auto"/>
              </w:rPr>
              <w:t>1</w:t>
            </w:r>
          </w:p>
        </w:tc>
        <w:tc>
          <w:tcPr>
            <w:tcW w:w="2145" w:type="dxa"/>
            <w:vAlign w:val="center"/>
          </w:tcPr>
          <w:p>
            <w:pPr>
              <w:spacing w:line="360" w:lineRule="auto"/>
              <w:rPr>
                <w:rFonts w:ascii="宋体" w:hAnsi="宋体" w:cs="仿宋"/>
                <w:color w:val="auto"/>
                <w:kern w:val="0"/>
                <w:sz w:val="24"/>
                <w:szCs w:val="24"/>
                <w:lang w:val="zh-CN"/>
              </w:rPr>
            </w:pPr>
            <w:r>
              <w:rPr>
                <w:rFonts w:hint="eastAsia" w:ascii="宋体" w:hAnsi="宋体" w:cs="仿宋"/>
                <w:color w:val="auto"/>
                <w:kern w:val="0"/>
                <w:sz w:val="24"/>
                <w:szCs w:val="24"/>
                <w:lang w:val="zh-CN"/>
              </w:rPr>
              <w:t>采购人名称</w:t>
            </w:r>
          </w:p>
        </w:tc>
        <w:tc>
          <w:tcPr>
            <w:tcW w:w="6169" w:type="dxa"/>
            <w:vAlign w:val="center"/>
          </w:tcPr>
          <w:p>
            <w:pPr>
              <w:spacing w:line="360" w:lineRule="auto"/>
              <w:jc w:val="center"/>
              <w:rPr>
                <w:rFonts w:ascii="宋体" w:hAnsi="宋体" w:cs="仿宋"/>
                <w:color w:val="auto"/>
                <w:sz w:val="24"/>
                <w:szCs w:val="24"/>
                <w:lang w:val="zh-CN"/>
              </w:rPr>
            </w:pPr>
            <w:r>
              <w:rPr>
                <w:rFonts w:hint="eastAsia" w:ascii="宋体" w:hAnsi="宋体" w:cs="仿宋"/>
                <w:color w:val="auto"/>
                <w:sz w:val="24"/>
                <w:szCs w:val="24"/>
                <w:lang w:val="zh-CN" w:eastAsia="zh-CN"/>
              </w:rPr>
              <w:t>白沙黎族自治县行政审批服务局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5" w:hRule="atLeast"/>
        </w:trPr>
        <w:tc>
          <w:tcPr>
            <w:tcW w:w="663" w:type="dxa"/>
            <w:vAlign w:val="center"/>
          </w:tcPr>
          <w:p>
            <w:pPr>
              <w:pStyle w:val="87"/>
              <w:spacing w:line="360" w:lineRule="auto"/>
              <w:ind w:left="9"/>
              <w:jc w:val="center"/>
              <w:rPr>
                <w:rFonts w:cs="仿宋"/>
                <w:color w:val="auto"/>
              </w:rPr>
            </w:pPr>
            <w:r>
              <w:rPr>
                <w:rFonts w:hint="eastAsia" w:cs="仿宋"/>
                <w:color w:val="auto"/>
              </w:rPr>
              <w:t>2</w:t>
            </w:r>
          </w:p>
        </w:tc>
        <w:tc>
          <w:tcPr>
            <w:tcW w:w="2145" w:type="dxa"/>
            <w:vAlign w:val="center"/>
          </w:tcPr>
          <w:p>
            <w:pPr>
              <w:spacing w:line="360" w:lineRule="auto"/>
              <w:jc w:val="left"/>
              <w:rPr>
                <w:rFonts w:ascii="宋体" w:hAnsi="宋体" w:cs="仿宋"/>
                <w:color w:val="auto"/>
                <w:sz w:val="24"/>
                <w:szCs w:val="24"/>
              </w:rPr>
            </w:pPr>
            <w:r>
              <w:rPr>
                <w:rFonts w:hint="eastAsia" w:ascii="宋体" w:hAnsi="宋体"/>
                <w:color w:val="auto"/>
                <w:kern w:val="28"/>
                <w:sz w:val="24"/>
                <w:lang w:eastAsia="zh-CN"/>
              </w:rPr>
              <w:t>招标控制价</w:t>
            </w:r>
          </w:p>
        </w:tc>
        <w:tc>
          <w:tcPr>
            <w:tcW w:w="6169" w:type="dxa"/>
            <w:vAlign w:val="center"/>
          </w:tcPr>
          <w:p>
            <w:pPr>
              <w:numPr>
                <w:ilvl w:val="0"/>
                <w:numId w:val="2"/>
              </w:numPr>
              <w:spacing w:line="360" w:lineRule="auto"/>
              <w:rPr>
                <w:rFonts w:ascii="宋体" w:hAnsi="宋体"/>
                <w:color w:val="auto"/>
                <w:kern w:val="28"/>
                <w:sz w:val="24"/>
              </w:rPr>
            </w:pPr>
            <w:r>
              <w:rPr>
                <w:rFonts w:hint="eastAsia" w:ascii="宋体" w:hAnsi="宋体"/>
                <w:color w:val="auto"/>
                <w:kern w:val="28"/>
                <w:sz w:val="24"/>
                <w:lang w:eastAsia="zh-CN"/>
              </w:rPr>
              <w:t>招标控制价</w:t>
            </w:r>
            <w:r>
              <w:rPr>
                <w:rFonts w:hint="eastAsia" w:ascii="宋体" w:hAnsi="宋体"/>
                <w:color w:val="auto"/>
                <w:kern w:val="28"/>
                <w:sz w:val="24"/>
                <w:lang w:val="en-US" w:eastAsia="zh-CN"/>
              </w:rPr>
              <w:t>：1768533.47元</w:t>
            </w:r>
            <w:r>
              <w:rPr>
                <w:rFonts w:hint="eastAsia" w:ascii="宋体" w:hAnsi="宋体"/>
                <w:color w:val="auto"/>
                <w:kern w:val="28"/>
                <w:sz w:val="24"/>
                <w:lang w:eastAsia="zh-CN"/>
              </w:rPr>
              <w:t>（</w:t>
            </w:r>
            <w:r>
              <w:rPr>
                <w:rFonts w:hint="eastAsia" w:ascii="宋体" w:hAnsi="宋体"/>
                <w:color w:val="auto"/>
                <w:kern w:val="28"/>
                <w:sz w:val="24"/>
              </w:rPr>
              <w:t>投标</w:t>
            </w:r>
            <w:r>
              <w:rPr>
                <w:rFonts w:ascii="宋体" w:hAnsi="宋体"/>
                <w:color w:val="auto"/>
                <w:kern w:val="28"/>
                <w:sz w:val="24"/>
              </w:rPr>
              <w:t>报价超过</w:t>
            </w:r>
            <w:r>
              <w:rPr>
                <w:rFonts w:hint="eastAsia" w:ascii="宋体" w:hAnsi="宋体"/>
                <w:color w:val="auto"/>
                <w:kern w:val="28"/>
                <w:sz w:val="24"/>
                <w:lang w:eastAsia="zh-CN"/>
              </w:rPr>
              <w:t>招标控制价</w:t>
            </w:r>
            <w:r>
              <w:rPr>
                <w:rFonts w:ascii="宋体" w:hAnsi="宋体"/>
                <w:color w:val="auto"/>
                <w:kern w:val="28"/>
                <w:sz w:val="24"/>
              </w:rPr>
              <w:t>按无效投标处理）</w:t>
            </w:r>
          </w:p>
          <w:p>
            <w:pPr>
              <w:numPr>
                <w:ilvl w:val="0"/>
                <w:numId w:val="0"/>
              </w:numPr>
              <w:spacing w:line="360" w:lineRule="auto"/>
              <w:rPr>
                <w:rFonts w:ascii="宋体" w:hAnsi="宋体" w:cs="仿宋"/>
                <w:color w:val="auto"/>
                <w:sz w:val="24"/>
                <w:szCs w:val="24"/>
              </w:rPr>
            </w:pPr>
            <w:r>
              <w:rPr>
                <w:rFonts w:hint="eastAsia" w:ascii="宋体" w:hAnsi="宋体" w:cs="仿宋"/>
                <w:color w:val="auto"/>
                <w:sz w:val="24"/>
                <w:szCs w:val="24"/>
              </w:rPr>
              <w:t>2、分包</w:t>
            </w:r>
            <w:r>
              <w:rPr>
                <w:rFonts w:ascii="宋体" w:hAnsi="宋体" w:cs="仿宋"/>
                <w:color w:val="auto"/>
                <w:sz w:val="24"/>
                <w:szCs w:val="24"/>
              </w:rPr>
              <w:t>情况：</w:t>
            </w:r>
            <w:r>
              <w:rPr>
                <w:rFonts w:hint="eastAsia" w:ascii="宋体" w:hAnsi="宋体" w:cs="仿宋"/>
                <w:color w:val="auto"/>
                <w:sz w:val="24"/>
                <w:szCs w:val="24"/>
              </w:rPr>
              <w:t>项目本身</w:t>
            </w:r>
          </w:p>
          <w:p>
            <w:pPr>
              <w:spacing w:line="360" w:lineRule="auto"/>
              <w:rPr>
                <w:rFonts w:ascii="宋体" w:hAnsi="宋体" w:cs="仿宋"/>
                <w:color w:val="auto"/>
                <w:sz w:val="24"/>
                <w:szCs w:val="24"/>
              </w:rPr>
            </w:pPr>
            <w:r>
              <w:rPr>
                <w:rFonts w:hint="eastAsia" w:ascii="宋体" w:hAnsi="宋体" w:cs="仿宋"/>
                <w:color w:val="auto"/>
                <w:sz w:val="24"/>
                <w:szCs w:val="24"/>
              </w:rPr>
              <w:t>3、供应商应有明确报价，超过项目</w:t>
            </w:r>
            <w:r>
              <w:rPr>
                <w:rFonts w:hint="eastAsia" w:ascii="宋体" w:hAnsi="宋体" w:cs="仿宋"/>
                <w:color w:val="auto"/>
                <w:sz w:val="24"/>
                <w:szCs w:val="24"/>
                <w:lang w:eastAsia="zh-CN"/>
              </w:rPr>
              <w:t>招标控制价</w:t>
            </w:r>
            <w:r>
              <w:rPr>
                <w:rFonts w:hint="eastAsia" w:ascii="宋体" w:hAnsi="宋体" w:cs="仿宋"/>
                <w:color w:val="auto"/>
                <w:sz w:val="24"/>
                <w:szCs w:val="24"/>
              </w:rPr>
              <w:t>或者无报价响应的，响应无效。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 w:hRule="atLeast"/>
        </w:trPr>
        <w:tc>
          <w:tcPr>
            <w:tcW w:w="663" w:type="dxa"/>
            <w:vAlign w:val="center"/>
          </w:tcPr>
          <w:p>
            <w:pPr>
              <w:pStyle w:val="87"/>
              <w:spacing w:line="360" w:lineRule="auto"/>
              <w:ind w:left="9"/>
              <w:jc w:val="center"/>
              <w:rPr>
                <w:rFonts w:cs="仿宋"/>
                <w:color w:val="auto"/>
              </w:rPr>
            </w:pPr>
            <w:r>
              <w:rPr>
                <w:rFonts w:hint="eastAsia" w:cs="仿宋"/>
                <w:color w:val="auto"/>
              </w:rPr>
              <w:t>3</w:t>
            </w:r>
          </w:p>
        </w:tc>
        <w:tc>
          <w:tcPr>
            <w:tcW w:w="2145" w:type="dxa"/>
            <w:vAlign w:val="center"/>
          </w:tcPr>
          <w:p>
            <w:pPr>
              <w:spacing w:line="360" w:lineRule="auto"/>
              <w:jc w:val="left"/>
              <w:rPr>
                <w:rFonts w:ascii="宋体" w:hAnsi="宋体" w:cs="仿宋"/>
                <w:color w:val="auto"/>
                <w:sz w:val="24"/>
                <w:szCs w:val="24"/>
              </w:rPr>
            </w:pPr>
            <w:r>
              <w:rPr>
                <w:rFonts w:hint="eastAsia" w:ascii="宋体" w:hAnsi="宋体" w:cs="仿宋"/>
                <w:color w:val="auto"/>
                <w:sz w:val="24"/>
                <w:szCs w:val="24"/>
              </w:rPr>
              <w:t>递交响应文件时应出示和单独递交的身份证明材料</w:t>
            </w:r>
          </w:p>
        </w:tc>
        <w:tc>
          <w:tcPr>
            <w:tcW w:w="6169" w:type="dxa"/>
            <w:vAlign w:val="center"/>
          </w:tcPr>
          <w:p>
            <w:pPr>
              <w:pStyle w:val="91"/>
              <w:spacing w:line="360" w:lineRule="auto"/>
              <w:ind w:right="142" w:firstLine="0" w:firstLineChars="0"/>
              <w:rPr>
                <w:rFonts w:ascii="宋体" w:hAnsi="宋体" w:cs="仿宋"/>
                <w:color w:val="auto"/>
                <w:sz w:val="24"/>
                <w:szCs w:val="24"/>
              </w:rPr>
            </w:pPr>
            <w:r>
              <w:rPr>
                <w:rFonts w:hint="eastAsia" w:ascii="宋体" w:hAnsi="宋体" w:cs="仿宋"/>
                <w:color w:val="auto"/>
                <w:sz w:val="24"/>
                <w:szCs w:val="24"/>
              </w:rPr>
              <w:t>1、出示供应商代表身份证原件；</w:t>
            </w:r>
          </w:p>
          <w:p>
            <w:pPr>
              <w:pStyle w:val="91"/>
              <w:spacing w:line="360" w:lineRule="auto"/>
              <w:ind w:right="142" w:firstLine="0" w:firstLineChars="0"/>
              <w:rPr>
                <w:rFonts w:ascii="宋体" w:hAnsi="宋体" w:cs="仿宋"/>
                <w:color w:val="auto"/>
                <w:sz w:val="24"/>
                <w:szCs w:val="24"/>
              </w:rPr>
            </w:pPr>
            <w:r>
              <w:rPr>
                <w:rFonts w:hint="eastAsia" w:ascii="宋体" w:hAnsi="宋体" w:cs="仿宋"/>
                <w:color w:val="auto"/>
                <w:sz w:val="24"/>
                <w:szCs w:val="24"/>
              </w:rPr>
              <w:t>2、单独递交供应商代表身份证复印件；</w:t>
            </w:r>
          </w:p>
          <w:p>
            <w:pPr>
              <w:spacing w:line="360" w:lineRule="auto"/>
              <w:rPr>
                <w:rFonts w:hint="eastAsia" w:ascii="宋体" w:hAnsi="宋体" w:eastAsia="宋体" w:cs="仿宋"/>
                <w:color w:val="auto"/>
                <w:kern w:val="0"/>
                <w:sz w:val="24"/>
                <w:szCs w:val="24"/>
                <w:lang w:val="zh-CN" w:eastAsia="zh-CN"/>
              </w:rPr>
            </w:pPr>
            <w:r>
              <w:rPr>
                <w:rFonts w:hint="eastAsia" w:ascii="宋体" w:hAnsi="宋体" w:cs="仿宋"/>
                <w:color w:val="auto"/>
                <w:sz w:val="24"/>
                <w:szCs w:val="24"/>
              </w:rPr>
              <w:t>3、如供应商代表不是法定代表人/主要负责人本人，还需单独递交法定代表人/主要负责人授权委托书原件</w:t>
            </w:r>
            <w:r>
              <w:rPr>
                <w:rFonts w:hint="eastAsia" w:ascii="宋体" w:hAnsi="宋体" w:cs="仿宋"/>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 w:hRule="atLeast"/>
        </w:trPr>
        <w:tc>
          <w:tcPr>
            <w:tcW w:w="663" w:type="dxa"/>
            <w:vAlign w:val="center"/>
          </w:tcPr>
          <w:p>
            <w:pPr>
              <w:pStyle w:val="87"/>
              <w:spacing w:line="360" w:lineRule="auto"/>
              <w:ind w:left="9"/>
              <w:jc w:val="center"/>
              <w:rPr>
                <w:rFonts w:cs="仿宋"/>
                <w:color w:val="auto"/>
                <w:lang w:val="zh-CN"/>
              </w:rPr>
            </w:pPr>
            <w:r>
              <w:rPr>
                <w:rFonts w:hint="eastAsia" w:cs="仿宋"/>
                <w:color w:val="auto"/>
              </w:rPr>
              <w:t>4</w:t>
            </w:r>
          </w:p>
        </w:tc>
        <w:tc>
          <w:tcPr>
            <w:tcW w:w="2145" w:type="dxa"/>
            <w:vAlign w:val="center"/>
          </w:tcPr>
          <w:p>
            <w:pPr>
              <w:spacing w:line="360" w:lineRule="auto"/>
              <w:rPr>
                <w:rFonts w:ascii="宋体" w:hAnsi="宋体" w:cs="仿宋"/>
                <w:color w:val="auto"/>
                <w:sz w:val="24"/>
                <w:szCs w:val="24"/>
              </w:rPr>
            </w:pPr>
            <w:r>
              <w:rPr>
                <w:rFonts w:hint="eastAsia" w:ascii="宋体" w:hAnsi="宋体" w:cs="仿宋"/>
                <w:color w:val="auto"/>
                <w:kern w:val="0"/>
                <w:sz w:val="24"/>
                <w:szCs w:val="24"/>
                <w:lang w:val="zh-CN"/>
              </w:rPr>
              <w:t>是否接受联合体响应</w:t>
            </w:r>
          </w:p>
        </w:tc>
        <w:tc>
          <w:tcPr>
            <w:tcW w:w="6169" w:type="dxa"/>
            <w:vAlign w:val="center"/>
          </w:tcPr>
          <w:p>
            <w:pPr>
              <w:spacing w:line="360" w:lineRule="auto"/>
              <w:jc w:val="center"/>
              <w:rPr>
                <w:rFonts w:ascii="宋体" w:hAnsi="宋体" w:cs="仿宋"/>
                <w:color w:val="auto"/>
                <w:kern w:val="0"/>
                <w:sz w:val="24"/>
                <w:szCs w:val="24"/>
                <w:lang w:val="zh-CN"/>
              </w:rPr>
            </w:pPr>
            <w:r>
              <w:rPr>
                <w:rFonts w:hint="eastAsia" w:ascii="宋体" w:hAnsi="宋体" w:cs="仿宋"/>
                <w:color w:val="auto"/>
                <w:sz w:val="24"/>
                <w:szCs w:val="24"/>
                <w:lang w:val="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 w:hRule="atLeast"/>
        </w:trPr>
        <w:tc>
          <w:tcPr>
            <w:tcW w:w="663" w:type="dxa"/>
            <w:vAlign w:val="center"/>
          </w:tcPr>
          <w:p>
            <w:pPr>
              <w:pStyle w:val="87"/>
              <w:spacing w:line="360" w:lineRule="auto"/>
              <w:ind w:left="9"/>
              <w:jc w:val="center"/>
              <w:rPr>
                <w:rFonts w:cs="仿宋"/>
                <w:color w:val="auto"/>
                <w:lang w:val="zh-CN"/>
              </w:rPr>
            </w:pPr>
            <w:r>
              <w:rPr>
                <w:rFonts w:hint="eastAsia" w:cs="仿宋"/>
                <w:color w:val="auto"/>
              </w:rPr>
              <w:t>5</w:t>
            </w:r>
          </w:p>
        </w:tc>
        <w:tc>
          <w:tcPr>
            <w:tcW w:w="2145" w:type="dxa"/>
            <w:vAlign w:val="center"/>
          </w:tcPr>
          <w:p>
            <w:pPr>
              <w:spacing w:line="360" w:lineRule="auto"/>
              <w:jc w:val="left"/>
              <w:rPr>
                <w:rFonts w:ascii="宋体" w:hAnsi="宋体" w:cs="仿宋"/>
                <w:color w:val="auto"/>
                <w:sz w:val="24"/>
                <w:szCs w:val="24"/>
              </w:rPr>
            </w:pPr>
            <w:r>
              <w:rPr>
                <w:rFonts w:hint="eastAsia" w:ascii="宋体" w:hAnsi="宋体" w:cs="仿宋"/>
                <w:color w:val="auto"/>
                <w:sz w:val="24"/>
                <w:szCs w:val="24"/>
              </w:rPr>
              <w:t>标前踏勘现场或/和标前答疑会</w:t>
            </w:r>
          </w:p>
        </w:tc>
        <w:tc>
          <w:tcPr>
            <w:tcW w:w="6169" w:type="dxa"/>
            <w:vAlign w:val="center"/>
          </w:tcPr>
          <w:p>
            <w:pPr>
              <w:spacing w:line="360" w:lineRule="auto"/>
              <w:jc w:val="center"/>
              <w:rPr>
                <w:rFonts w:ascii="宋体" w:hAnsi="宋体" w:cs="仿宋"/>
                <w:color w:val="auto"/>
                <w:kern w:val="0"/>
                <w:sz w:val="24"/>
                <w:szCs w:val="24"/>
                <w:lang w:val="zh-CN"/>
              </w:rPr>
            </w:pPr>
            <w:r>
              <w:rPr>
                <w:rFonts w:hint="eastAsia" w:ascii="宋体" w:hAnsi="宋体" w:cs="仿宋"/>
                <w:color w:val="auto"/>
                <w:kern w:val="0"/>
                <w:sz w:val="24"/>
                <w:szCs w:val="24"/>
                <w:lang w:val="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 w:hRule="atLeast"/>
        </w:trPr>
        <w:tc>
          <w:tcPr>
            <w:tcW w:w="663" w:type="dxa"/>
            <w:vAlign w:val="center"/>
          </w:tcPr>
          <w:p>
            <w:pPr>
              <w:pStyle w:val="87"/>
              <w:spacing w:line="360" w:lineRule="auto"/>
              <w:ind w:left="9"/>
              <w:jc w:val="center"/>
              <w:rPr>
                <w:rFonts w:hint="eastAsia" w:eastAsia="宋体" w:cs="仿宋"/>
                <w:color w:val="auto"/>
                <w:lang w:val="zh-CN" w:eastAsia="zh-CN"/>
              </w:rPr>
            </w:pPr>
            <w:r>
              <w:rPr>
                <w:rFonts w:hint="eastAsia" w:cs="仿宋"/>
                <w:color w:val="auto"/>
                <w:lang w:val="en-US" w:eastAsia="zh-CN"/>
              </w:rPr>
              <w:t>6</w:t>
            </w:r>
          </w:p>
        </w:tc>
        <w:tc>
          <w:tcPr>
            <w:tcW w:w="2145" w:type="dxa"/>
            <w:vAlign w:val="center"/>
          </w:tcPr>
          <w:p>
            <w:pPr>
              <w:spacing w:line="360" w:lineRule="auto"/>
              <w:jc w:val="left"/>
              <w:rPr>
                <w:rFonts w:ascii="宋体" w:hAnsi="宋体" w:cs="仿宋"/>
                <w:color w:val="auto"/>
                <w:sz w:val="24"/>
                <w:szCs w:val="24"/>
              </w:rPr>
            </w:pPr>
            <w:r>
              <w:rPr>
                <w:rFonts w:hint="eastAsia" w:ascii="宋体" w:hAnsi="宋体" w:cs="仿宋"/>
                <w:color w:val="auto"/>
                <w:sz w:val="24"/>
                <w:szCs w:val="24"/>
              </w:rPr>
              <w:t>是否接受备选响应方案和报价</w:t>
            </w:r>
          </w:p>
        </w:tc>
        <w:tc>
          <w:tcPr>
            <w:tcW w:w="6169" w:type="dxa"/>
            <w:vAlign w:val="center"/>
          </w:tcPr>
          <w:p>
            <w:pPr>
              <w:spacing w:line="360" w:lineRule="auto"/>
              <w:jc w:val="center"/>
              <w:rPr>
                <w:rFonts w:ascii="宋体" w:hAnsi="宋体" w:cs="仿宋"/>
                <w:color w:val="auto"/>
                <w:sz w:val="24"/>
                <w:szCs w:val="24"/>
              </w:rPr>
            </w:pPr>
            <w:r>
              <w:rPr>
                <w:rFonts w:hint="eastAsia" w:ascii="宋体" w:hAnsi="宋体" w:cs="仿宋"/>
                <w:color w:val="auto"/>
                <w:kern w:val="0"/>
                <w:sz w:val="24"/>
                <w:szCs w:val="24"/>
                <w:lang w:val="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 w:hRule="atLeast"/>
        </w:trPr>
        <w:tc>
          <w:tcPr>
            <w:tcW w:w="663" w:type="dxa"/>
            <w:vAlign w:val="center"/>
          </w:tcPr>
          <w:p>
            <w:pPr>
              <w:pStyle w:val="87"/>
              <w:spacing w:line="360" w:lineRule="auto"/>
              <w:ind w:left="9"/>
              <w:jc w:val="center"/>
              <w:rPr>
                <w:rFonts w:hint="eastAsia" w:eastAsia="宋体" w:cs="仿宋"/>
                <w:color w:val="auto"/>
                <w:lang w:eastAsia="zh-CN"/>
              </w:rPr>
            </w:pPr>
            <w:r>
              <w:rPr>
                <w:rFonts w:hint="eastAsia" w:cs="仿宋"/>
                <w:color w:val="auto"/>
                <w:lang w:val="en-US" w:eastAsia="zh-CN"/>
              </w:rPr>
              <w:t>7</w:t>
            </w:r>
          </w:p>
        </w:tc>
        <w:tc>
          <w:tcPr>
            <w:tcW w:w="2145" w:type="dxa"/>
            <w:vAlign w:val="center"/>
          </w:tcPr>
          <w:p>
            <w:pPr>
              <w:spacing w:line="360" w:lineRule="auto"/>
              <w:ind w:right="144"/>
              <w:rPr>
                <w:rFonts w:ascii="宋体" w:hAnsi="宋体" w:cs="仿宋"/>
                <w:color w:val="auto"/>
                <w:sz w:val="24"/>
                <w:szCs w:val="24"/>
              </w:rPr>
            </w:pPr>
            <w:r>
              <w:rPr>
                <w:rFonts w:hint="eastAsia" w:ascii="宋体" w:hAnsi="宋体" w:cs="仿宋"/>
                <w:color w:val="auto"/>
                <w:sz w:val="24"/>
                <w:szCs w:val="24"/>
              </w:rPr>
              <w:t>是否允许供应商将项目非主体、非关键性工作交由他人完成</w:t>
            </w:r>
          </w:p>
        </w:tc>
        <w:tc>
          <w:tcPr>
            <w:tcW w:w="6169" w:type="dxa"/>
            <w:vAlign w:val="center"/>
          </w:tcPr>
          <w:p>
            <w:pPr>
              <w:spacing w:line="360" w:lineRule="auto"/>
              <w:jc w:val="center"/>
              <w:rPr>
                <w:rFonts w:ascii="宋体" w:hAnsi="宋体" w:cs="仿宋"/>
                <w:color w:val="auto"/>
                <w:sz w:val="24"/>
                <w:szCs w:val="24"/>
              </w:rPr>
            </w:pPr>
            <w:r>
              <w:rPr>
                <w:rFonts w:hint="eastAsia" w:ascii="宋体" w:hAnsi="宋体" w:cs="仿宋"/>
                <w:color w:val="auto"/>
                <w:sz w:val="24"/>
                <w:szCs w:val="24"/>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 w:hRule="atLeast"/>
        </w:trPr>
        <w:tc>
          <w:tcPr>
            <w:tcW w:w="663" w:type="dxa"/>
            <w:vAlign w:val="center"/>
          </w:tcPr>
          <w:p>
            <w:pPr>
              <w:pStyle w:val="87"/>
              <w:spacing w:line="360" w:lineRule="auto"/>
              <w:ind w:left="9"/>
              <w:jc w:val="center"/>
              <w:rPr>
                <w:rFonts w:hint="eastAsia" w:eastAsia="宋体" w:cs="仿宋"/>
                <w:color w:val="auto"/>
                <w:lang w:eastAsia="zh-CN"/>
              </w:rPr>
            </w:pPr>
            <w:r>
              <w:rPr>
                <w:rFonts w:hint="eastAsia" w:cs="仿宋"/>
                <w:color w:val="auto"/>
                <w:lang w:val="en-US" w:eastAsia="zh-CN"/>
              </w:rPr>
              <w:t>8</w:t>
            </w:r>
          </w:p>
        </w:tc>
        <w:tc>
          <w:tcPr>
            <w:tcW w:w="2145" w:type="dxa"/>
            <w:vAlign w:val="center"/>
          </w:tcPr>
          <w:p>
            <w:pPr>
              <w:spacing w:line="360" w:lineRule="auto"/>
              <w:ind w:right="144"/>
              <w:rPr>
                <w:rFonts w:ascii="宋体" w:hAnsi="宋体" w:cs="仿宋"/>
                <w:color w:val="auto"/>
                <w:sz w:val="24"/>
                <w:szCs w:val="24"/>
              </w:rPr>
            </w:pPr>
            <w:r>
              <w:rPr>
                <w:rFonts w:hint="eastAsia" w:ascii="宋体" w:hAnsi="宋体" w:cs="仿宋"/>
                <w:color w:val="auto"/>
                <w:sz w:val="24"/>
                <w:szCs w:val="24"/>
              </w:rPr>
              <w:t>是否收取履约保证金</w:t>
            </w:r>
          </w:p>
        </w:tc>
        <w:tc>
          <w:tcPr>
            <w:tcW w:w="6169" w:type="dxa"/>
            <w:vAlign w:val="center"/>
          </w:tcPr>
          <w:p>
            <w:pPr>
              <w:spacing w:line="360" w:lineRule="auto"/>
              <w:jc w:val="center"/>
              <w:rPr>
                <w:rFonts w:ascii="宋体" w:hAnsi="宋体" w:cs="仿宋"/>
                <w:color w:val="auto"/>
                <w:sz w:val="24"/>
                <w:szCs w:val="24"/>
              </w:rPr>
            </w:pPr>
            <w:r>
              <w:rPr>
                <w:rFonts w:hint="eastAsia" w:ascii="宋体" w:hAnsi="宋体" w:cs="仿宋"/>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 w:hRule="atLeast"/>
        </w:trPr>
        <w:tc>
          <w:tcPr>
            <w:tcW w:w="663" w:type="dxa"/>
            <w:vAlign w:val="center"/>
          </w:tcPr>
          <w:p>
            <w:pPr>
              <w:pStyle w:val="87"/>
              <w:spacing w:line="360" w:lineRule="auto"/>
              <w:ind w:left="9"/>
              <w:jc w:val="center"/>
              <w:rPr>
                <w:rFonts w:hint="eastAsia" w:eastAsia="宋体" w:cs="仿宋"/>
                <w:color w:val="auto"/>
                <w:lang w:val="zh-CN" w:eastAsia="zh-CN"/>
              </w:rPr>
            </w:pPr>
            <w:r>
              <w:rPr>
                <w:rFonts w:hint="eastAsia" w:cs="仿宋"/>
                <w:color w:val="auto"/>
                <w:lang w:val="en-US" w:eastAsia="zh-CN"/>
              </w:rPr>
              <w:t>9</w:t>
            </w:r>
          </w:p>
        </w:tc>
        <w:tc>
          <w:tcPr>
            <w:tcW w:w="2145" w:type="dxa"/>
            <w:vAlign w:val="center"/>
          </w:tcPr>
          <w:p>
            <w:pPr>
              <w:spacing w:line="360" w:lineRule="auto"/>
              <w:rPr>
                <w:rFonts w:ascii="宋体" w:hAnsi="宋体" w:cs="仿宋"/>
                <w:color w:val="auto"/>
                <w:sz w:val="24"/>
                <w:szCs w:val="24"/>
              </w:rPr>
            </w:pPr>
            <w:r>
              <w:rPr>
                <w:rFonts w:hint="eastAsia" w:ascii="宋体" w:hAnsi="宋体" w:cs="仿宋"/>
                <w:color w:val="auto"/>
                <w:sz w:val="24"/>
                <w:szCs w:val="24"/>
                <w:lang w:val="zh-CN"/>
              </w:rPr>
              <w:t>本项目要求供应商</w:t>
            </w:r>
            <w:r>
              <w:rPr>
                <w:rFonts w:hint="eastAsia" w:ascii="宋体" w:hAnsi="宋体" w:cs="仿宋"/>
                <w:color w:val="auto"/>
                <w:kern w:val="0"/>
                <w:sz w:val="24"/>
                <w:szCs w:val="24"/>
                <w:lang w:val="zh-CN"/>
              </w:rPr>
              <w:t>提供的技术说明</w:t>
            </w:r>
            <w:r>
              <w:rPr>
                <w:rFonts w:hint="eastAsia" w:ascii="宋体" w:hAnsi="宋体" w:cs="仿宋"/>
                <w:color w:val="auto"/>
                <w:sz w:val="24"/>
                <w:szCs w:val="24"/>
                <w:lang w:val="zh-CN"/>
              </w:rPr>
              <w:t>文件</w:t>
            </w:r>
          </w:p>
        </w:tc>
        <w:tc>
          <w:tcPr>
            <w:tcW w:w="6169" w:type="dxa"/>
            <w:vAlign w:val="center"/>
          </w:tcPr>
          <w:p>
            <w:pPr>
              <w:spacing w:line="360" w:lineRule="auto"/>
              <w:jc w:val="left"/>
              <w:rPr>
                <w:rFonts w:ascii="宋体" w:hAnsi="宋体" w:cs="仿宋"/>
                <w:color w:val="auto"/>
                <w:kern w:val="0"/>
                <w:sz w:val="24"/>
                <w:szCs w:val="24"/>
                <w:lang w:val="zh-CN"/>
              </w:rPr>
            </w:pPr>
            <w:r>
              <w:rPr>
                <w:rFonts w:hint="eastAsia" w:ascii="宋体" w:hAnsi="宋体" w:cs="仿宋"/>
                <w:color w:val="auto"/>
                <w:kern w:val="0"/>
                <w:sz w:val="24"/>
                <w:szCs w:val="24"/>
              </w:rPr>
              <w:t>1、</w:t>
            </w:r>
            <w:r>
              <w:rPr>
                <w:rFonts w:hint="eastAsia" w:ascii="宋体" w:hAnsi="宋体" w:cs="仿宋"/>
                <w:color w:val="auto"/>
                <w:kern w:val="0"/>
                <w:sz w:val="24"/>
                <w:szCs w:val="24"/>
                <w:lang w:val="zh-CN"/>
              </w:rPr>
              <w:t>开标一览表；</w:t>
            </w:r>
          </w:p>
          <w:p>
            <w:pPr>
              <w:spacing w:line="360" w:lineRule="auto"/>
              <w:jc w:val="left"/>
              <w:rPr>
                <w:rFonts w:ascii="宋体" w:hAnsi="宋体" w:cs="仿宋"/>
                <w:color w:val="auto"/>
                <w:kern w:val="0"/>
                <w:sz w:val="24"/>
                <w:szCs w:val="24"/>
                <w:lang w:val="zh-CN"/>
              </w:rPr>
            </w:pPr>
            <w:r>
              <w:rPr>
                <w:rFonts w:hint="eastAsia" w:ascii="宋体" w:hAnsi="宋体" w:cs="仿宋"/>
                <w:color w:val="auto"/>
                <w:sz w:val="24"/>
                <w:szCs w:val="24"/>
                <w:lang w:val="en-US" w:eastAsia="zh-CN"/>
              </w:rPr>
              <w:t>2</w:t>
            </w:r>
            <w:r>
              <w:rPr>
                <w:rFonts w:hint="eastAsia" w:ascii="宋体" w:hAnsi="宋体" w:cs="仿宋"/>
                <w:color w:val="auto"/>
                <w:sz w:val="24"/>
                <w:szCs w:val="24"/>
              </w:rPr>
              <w:t>、</w:t>
            </w:r>
            <w:r>
              <w:rPr>
                <w:rFonts w:hint="eastAsia" w:ascii="宋体" w:hAnsi="宋体" w:cs="仿宋"/>
                <w:color w:val="auto"/>
                <w:sz w:val="24"/>
                <w:szCs w:val="24"/>
                <w:lang w:eastAsia="zh-CN"/>
              </w:rPr>
              <w:t>已标价工程量清单</w:t>
            </w:r>
            <w:r>
              <w:rPr>
                <w:rFonts w:hint="eastAsia" w:ascii="宋体" w:hAnsi="宋体" w:cs="仿宋"/>
                <w:color w:val="auto"/>
                <w:sz w:val="24"/>
                <w:szCs w:val="24"/>
              </w:rPr>
              <w:t>；</w:t>
            </w:r>
          </w:p>
          <w:p>
            <w:pPr>
              <w:spacing w:line="360" w:lineRule="auto"/>
              <w:rPr>
                <w:rFonts w:ascii="宋体" w:hAnsi="宋体" w:cs="仿宋"/>
                <w:color w:val="auto"/>
                <w:sz w:val="24"/>
                <w:szCs w:val="24"/>
              </w:rPr>
            </w:pPr>
            <w:r>
              <w:rPr>
                <w:rFonts w:hint="eastAsia" w:ascii="宋体" w:hAnsi="宋体" w:cs="仿宋"/>
                <w:color w:val="auto"/>
                <w:sz w:val="24"/>
                <w:szCs w:val="24"/>
                <w:lang w:val="en-US" w:eastAsia="zh-CN"/>
              </w:rPr>
              <w:t>3</w:t>
            </w:r>
            <w:r>
              <w:rPr>
                <w:rFonts w:hint="eastAsia" w:ascii="宋体" w:hAnsi="宋体" w:cs="仿宋"/>
                <w:color w:val="auto"/>
                <w:sz w:val="24"/>
                <w:szCs w:val="24"/>
              </w:rPr>
              <w:t>、</w:t>
            </w:r>
            <w:r>
              <w:rPr>
                <w:rFonts w:hint="eastAsia" w:ascii="宋体" w:hAnsi="宋体" w:cs="仿宋"/>
                <w:color w:val="auto"/>
                <w:kern w:val="0"/>
                <w:sz w:val="24"/>
                <w:szCs w:val="24"/>
              </w:rPr>
              <w:t>其他技术证明材料（如有）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 w:hRule="atLeast"/>
        </w:trPr>
        <w:tc>
          <w:tcPr>
            <w:tcW w:w="663" w:type="dxa"/>
            <w:vAlign w:val="center"/>
          </w:tcPr>
          <w:p>
            <w:pPr>
              <w:pStyle w:val="87"/>
              <w:spacing w:line="360" w:lineRule="auto"/>
              <w:ind w:left="9"/>
              <w:jc w:val="center"/>
              <w:rPr>
                <w:rFonts w:hint="eastAsia" w:eastAsia="宋体" w:cs="仿宋"/>
                <w:color w:val="auto"/>
                <w:lang w:eastAsia="zh-CN"/>
              </w:rPr>
            </w:pPr>
            <w:r>
              <w:rPr>
                <w:rFonts w:cs="仿宋"/>
                <w:color w:val="auto"/>
              </w:rPr>
              <w:t>1</w:t>
            </w:r>
            <w:r>
              <w:rPr>
                <w:rFonts w:hint="eastAsia" w:cs="仿宋"/>
                <w:color w:val="auto"/>
                <w:lang w:val="en-US" w:eastAsia="zh-CN"/>
              </w:rPr>
              <w:t>0</w:t>
            </w:r>
          </w:p>
        </w:tc>
        <w:tc>
          <w:tcPr>
            <w:tcW w:w="2145" w:type="dxa"/>
            <w:vAlign w:val="center"/>
          </w:tcPr>
          <w:p>
            <w:pPr>
              <w:spacing w:line="360" w:lineRule="auto"/>
              <w:rPr>
                <w:rFonts w:ascii="宋体" w:hAnsi="宋体" w:cs="仿宋"/>
                <w:color w:val="auto"/>
                <w:sz w:val="24"/>
                <w:szCs w:val="24"/>
                <w:lang w:val="zh-CN"/>
              </w:rPr>
            </w:pPr>
            <w:r>
              <w:rPr>
                <w:rFonts w:hint="eastAsia" w:ascii="宋体" w:hAnsi="宋体" w:cs="仿宋"/>
                <w:color w:val="auto"/>
                <w:sz w:val="24"/>
                <w:szCs w:val="24"/>
                <w:lang w:val="zh-CN"/>
              </w:rPr>
              <w:t>开标一览表</w:t>
            </w:r>
          </w:p>
        </w:tc>
        <w:tc>
          <w:tcPr>
            <w:tcW w:w="6169" w:type="dxa"/>
            <w:vAlign w:val="center"/>
          </w:tcPr>
          <w:p>
            <w:pPr>
              <w:pStyle w:val="87"/>
              <w:spacing w:line="360" w:lineRule="auto"/>
              <w:rPr>
                <w:rFonts w:cs="仿宋"/>
                <w:color w:val="auto"/>
                <w:kern w:val="2"/>
                <w:lang w:val="zh-CN"/>
              </w:rPr>
            </w:pPr>
            <w:r>
              <w:rPr>
                <w:rFonts w:hint="eastAsia" w:cs="仿宋"/>
                <w:color w:val="auto"/>
                <w:kern w:val="2"/>
                <w:lang w:val="zh-CN"/>
              </w:rPr>
              <w:t>要求：</w:t>
            </w:r>
          </w:p>
          <w:p>
            <w:pPr>
              <w:pStyle w:val="87"/>
              <w:spacing w:line="360" w:lineRule="auto"/>
              <w:rPr>
                <w:rFonts w:cs="仿宋"/>
                <w:color w:val="auto"/>
                <w:kern w:val="2"/>
                <w:lang w:val="zh-CN"/>
              </w:rPr>
            </w:pPr>
            <w:r>
              <w:rPr>
                <w:rFonts w:hint="eastAsia" w:cs="仿宋"/>
                <w:color w:val="auto"/>
                <w:kern w:val="2"/>
                <w:lang w:val="zh-CN"/>
              </w:rPr>
              <w:t>① “开标一览表”当中的响应总价必须与前后“总价”保持一致；</w:t>
            </w:r>
          </w:p>
          <w:p>
            <w:pPr>
              <w:spacing w:line="360" w:lineRule="auto"/>
              <w:rPr>
                <w:rFonts w:ascii="宋体" w:hAnsi="宋体" w:cs="仿宋"/>
                <w:color w:val="auto"/>
                <w:sz w:val="24"/>
                <w:szCs w:val="24"/>
              </w:rPr>
            </w:pPr>
            <w:r>
              <w:rPr>
                <w:rFonts w:hint="eastAsia" w:ascii="宋体" w:hAnsi="宋体" w:cs="仿宋"/>
                <w:color w:val="auto"/>
                <w:sz w:val="24"/>
                <w:szCs w:val="24"/>
                <w:lang w:val="zh-CN"/>
              </w:rPr>
              <w:t>②“开标一览表”的格式不得自行增减内容，否则自行承担响应报价无效的风险；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663" w:type="dxa"/>
            <w:vAlign w:val="center"/>
          </w:tcPr>
          <w:p>
            <w:pPr>
              <w:pStyle w:val="87"/>
              <w:spacing w:line="360" w:lineRule="auto"/>
              <w:ind w:left="9"/>
              <w:jc w:val="center"/>
              <w:rPr>
                <w:rFonts w:hint="eastAsia" w:eastAsia="宋体" w:cs="仿宋"/>
                <w:color w:val="auto"/>
                <w:lang w:val="zh-CN" w:eastAsia="zh-CN"/>
              </w:rPr>
            </w:pPr>
            <w:r>
              <w:rPr>
                <w:rFonts w:cs="仿宋"/>
                <w:color w:val="auto"/>
              </w:rPr>
              <w:t>1</w:t>
            </w:r>
            <w:r>
              <w:rPr>
                <w:rFonts w:hint="eastAsia" w:cs="仿宋"/>
                <w:color w:val="auto"/>
                <w:lang w:val="en-US" w:eastAsia="zh-CN"/>
              </w:rPr>
              <w:t>1</w:t>
            </w:r>
          </w:p>
        </w:tc>
        <w:tc>
          <w:tcPr>
            <w:tcW w:w="2145" w:type="dxa"/>
            <w:vAlign w:val="center"/>
          </w:tcPr>
          <w:p>
            <w:pPr>
              <w:pStyle w:val="87"/>
              <w:spacing w:line="360" w:lineRule="auto"/>
              <w:rPr>
                <w:rFonts w:cs="仿宋"/>
                <w:color w:val="auto"/>
                <w:lang w:val="zh-CN"/>
              </w:rPr>
            </w:pPr>
            <w:r>
              <w:rPr>
                <w:rFonts w:hint="eastAsia" w:cs="仿宋"/>
                <w:color w:val="auto"/>
                <w:lang w:val="zh-CN"/>
              </w:rPr>
              <w:t>响应有效期</w:t>
            </w:r>
          </w:p>
        </w:tc>
        <w:tc>
          <w:tcPr>
            <w:tcW w:w="6169" w:type="dxa"/>
            <w:vAlign w:val="center"/>
          </w:tcPr>
          <w:p>
            <w:pPr>
              <w:pStyle w:val="87"/>
              <w:spacing w:line="360" w:lineRule="auto"/>
              <w:ind w:firstLine="240" w:firstLineChars="100"/>
              <w:rPr>
                <w:rFonts w:cs="仿宋"/>
                <w:color w:val="auto"/>
                <w:lang w:val="zh-CN"/>
              </w:rPr>
            </w:pPr>
            <w:r>
              <w:rPr>
                <w:rFonts w:hint="eastAsia" w:cs="仿宋"/>
                <w:color w:val="auto"/>
                <w:u w:val="single"/>
              </w:rPr>
              <w:t xml:space="preserve">60 </w:t>
            </w:r>
            <w:r>
              <w:rPr>
                <w:rFonts w:hint="eastAsia" w:cs="仿宋"/>
                <w:color w:val="auto"/>
              </w:rPr>
              <w:t>天（响应有效期从提交响应文件的截止之日起算。有效期短于该规定期限的响应无效）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8" w:hRule="atLeast"/>
        </w:trPr>
        <w:tc>
          <w:tcPr>
            <w:tcW w:w="663" w:type="dxa"/>
            <w:vAlign w:val="center"/>
          </w:tcPr>
          <w:p>
            <w:pPr>
              <w:pStyle w:val="87"/>
              <w:spacing w:line="360" w:lineRule="auto"/>
              <w:ind w:left="9"/>
              <w:jc w:val="center"/>
              <w:rPr>
                <w:rFonts w:hint="eastAsia" w:eastAsia="宋体" w:cs="仿宋"/>
                <w:color w:val="auto"/>
                <w:lang w:val="zh-CN" w:eastAsia="zh-CN"/>
              </w:rPr>
            </w:pPr>
            <w:r>
              <w:rPr>
                <w:rFonts w:cs="仿宋"/>
                <w:color w:val="auto"/>
              </w:rPr>
              <w:t>1</w:t>
            </w:r>
            <w:r>
              <w:rPr>
                <w:rFonts w:hint="eastAsia" w:cs="仿宋"/>
                <w:color w:val="auto"/>
                <w:lang w:val="en-US" w:eastAsia="zh-CN"/>
              </w:rPr>
              <w:t>2</w:t>
            </w:r>
          </w:p>
        </w:tc>
        <w:tc>
          <w:tcPr>
            <w:tcW w:w="2145" w:type="dxa"/>
            <w:vAlign w:val="center"/>
          </w:tcPr>
          <w:p>
            <w:pPr>
              <w:pStyle w:val="87"/>
              <w:spacing w:line="360" w:lineRule="auto"/>
              <w:rPr>
                <w:rFonts w:cs="仿宋"/>
                <w:color w:val="auto"/>
              </w:rPr>
            </w:pPr>
            <w:r>
              <w:rPr>
                <w:rFonts w:hint="eastAsia" w:cs="仿宋"/>
                <w:color w:val="auto"/>
              </w:rPr>
              <w:t>谈判保证金金额</w:t>
            </w:r>
          </w:p>
        </w:tc>
        <w:tc>
          <w:tcPr>
            <w:tcW w:w="6169" w:type="dxa"/>
            <w:vAlign w:val="center"/>
          </w:tcPr>
          <w:p>
            <w:pPr>
              <w:pStyle w:val="7"/>
              <w:spacing w:line="360" w:lineRule="auto"/>
              <w:rPr>
                <w:rFonts w:ascii="宋体" w:hAnsi="宋体" w:cs="仿宋_GB2312"/>
                <w:color w:val="auto"/>
                <w:sz w:val="24"/>
                <w:lang w:val="zh-CN"/>
              </w:rPr>
            </w:pPr>
            <w:r>
              <w:rPr>
                <w:rFonts w:hint="eastAsia" w:ascii="宋体" w:hAnsi="宋体" w:cs="仿宋_GB2312"/>
                <w:color w:val="auto"/>
                <w:sz w:val="24"/>
                <w:lang w:val="zh-CN"/>
              </w:rPr>
              <w:t>谈判保证金金额（大小写）：</w:t>
            </w:r>
            <w:r>
              <w:rPr>
                <w:rFonts w:hint="eastAsia" w:ascii="宋体" w:hAnsi="宋体" w:cs="仿宋_GB2312"/>
                <w:color w:val="auto"/>
                <w:sz w:val="24"/>
                <w:lang w:val="en-US" w:eastAsia="zh-CN"/>
              </w:rPr>
              <w:t xml:space="preserve"> 壹万伍仟</w:t>
            </w:r>
            <w:r>
              <w:rPr>
                <w:rFonts w:hint="eastAsia" w:ascii="宋体" w:hAnsi="宋体" w:cs="仿宋_GB2312"/>
                <w:color w:val="auto"/>
                <w:sz w:val="24"/>
                <w:lang w:val="zh-CN" w:eastAsia="zh-CN"/>
              </w:rPr>
              <w:t>元整（</w:t>
            </w:r>
            <w:r>
              <w:rPr>
                <w:rFonts w:hint="eastAsia" w:ascii="宋体" w:hAnsi="宋体"/>
                <w:color w:val="auto"/>
                <w:sz w:val="24"/>
                <w:lang w:val="en-US" w:eastAsia="zh-CN"/>
              </w:rPr>
              <w:t>15000.00元</w:t>
            </w:r>
            <w:r>
              <w:rPr>
                <w:rFonts w:hint="eastAsia" w:ascii="宋体" w:hAnsi="宋体" w:cs="仿宋_GB2312"/>
                <w:color w:val="auto"/>
                <w:sz w:val="24"/>
                <w:lang w:val="zh-CN" w:eastAsia="zh-CN"/>
              </w:rPr>
              <w:t>）</w:t>
            </w:r>
          </w:p>
          <w:p>
            <w:pPr>
              <w:pStyle w:val="87"/>
              <w:spacing w:line="360" w:lineRule="auto"/>
              <w:rPr>
                <w:rFonts w:cs="仿宋_GB2312"/>
                <w:color w:val="auto"/>
                <w:kern w:val="2"/>
                <w:lang w:val="zh-CN"/>
              </w:rPr>
            </w:pPr>
            <w:r>
              <w:rPr>
                <w:rFonts w:hint="eastAsia" w:cs="仿宋_GB2312"/>
                <w:color w:val="auto"/>
                <w:kern w:val="2"/>
                <w:lang w:val="zh-CN"/>
              </w:rPr>
              <w:t>交纳谈判保证金截止时间：</w:t>
            </w:r>
            <w:r>
              <w:rPr>
                <w:rFonts w:hint="eastAsia" w:ascii="宋体" w:hAnsi="宋体" w:cs="Tahoma"/>
                <w:color w:val="auto"/>
                <w:sz w:val="24"/>
                <w:lang w:val="en-US" w:eastAsia="zh-CN"/>
              </w:rPr>
              <w:t>2020</w:t>
            </w:r>
            <w:r>
              <w:rPr>
                <w:rFonts w:hint="eastAsia" w:ascii="宋体" w:hAnsi="宋体" w:cs="Tahoma"/>
                <w:color w:val="auto"/>
                <w:sz w:val="24"/>
              </w:rPr>
              <w:t>年</w:t>
            </w:r>
            <w:r>
              <w:rPr>
                <w:rFonts w:hint="eastAsia" w:ascii="宋体" w:hAnsi="宋体" w:cs="Tahoma"/>
                <w:color w:val="auto"/>
                <w:sz w:val="24"/>
                <w:lang w:val="en-US" w:eastAsia="zh-CN"/>
              </w:rPr>
              <w:t xml:space="preserve"> 06 </w:t>
            </w:r>
            <w:r>
              <w:rPr>
                <w:rFonts w:hint="eastAsia" w:ascii="宋体" w:hAnsi="宋体" w:cs="Tahoma"/>
                <w:color w:val="auto"/>
                <w:sz w:val="24"/>
              </w:rPr>
              <w:t>月</w:t>
            </w:r>
            <w:r>
              <w:rPr>
                <w:rFonts w:hint="eastAsia" w:ascii="宋体" w:hAnsi="宋体" w:cs="Tahoma"/>
                <w:color w:val="auto"/>
                <w:sz w:val="24"/>
                <w:lang w:val="en-US" w:eastAsia="zh-CN"/>
              </w:rPr>
              <w:t xml:space="preserve">  12 </w:t>
            </w:r>
            <w:r>
              <w:rPr>
                <w:rFonts w:hint="eastAsia" w:ascii="宋体" w:hAnsi="宋体" w:cs="Tahoma"/>
                <w:color w:val="auto"/>
                <w:sz w:val="24"/>
              </w:rPr>
              <w:t>日</w:t>
            </w:r>
            <w:r>
              <w:rPr>
                <w:rFonts w:hint="eastAsia" w:ascii="宋体" w:hAnsi="宋体" w:cs="Tahoma"/>
                <w:color w:val="auto"/>
                <w:sz w:val="24"/>
                <w:lang w:val="en-US" w:eastAsia="zh-CN"/>
              </w:rPr>
              <w:t>8</w:t>
            </w:r>
            <w:r>
              <w:rPr>
                <w:rFonts w:hint="eastAsia" w:ascii="宋体" w:hAnsi="宋体" w:cs="Tahoma"/>
                <w:color w:val="auto"/>
                <w:sz w:val="24"/>
              </w:rPr>
              <w:t>:</w:t>
            </w:r>
            <w:r>
              <w:rPr>
                <w:rFonts w:hint="eastAsia" w:ascii="宋体" w:hAnsi="宋体" w:cs="Tahoma"/>
                <w:color w:val="auto"/>
                <w:sz w:val="24"/>
                <w:lang w:val="en-US" w:eastAsia="zh-CN"/>
              </w:rPr>
              <w:t>3</w:t>
            </w:r>
            <w:r>
              <w:rPr>
                <w:rFonts w:hint="eastAsia" w:ascii="宋体" w:hAnsi="宋体" w:cs="Tahoma"/>
                <w:color w:val="auto"/>
                <w:sz w:val="24"/>
              </w:rPr>
              <w:t>0</w:t>
            </w:r>
            <w:r>
              <w:rPr>
                <w:rFonts w:hint="eastAsia" w:cs="仿宋_GB2312"/>
                <w:color w:val="auto"/>
                <w:kern w:val="2"/>
                <w:lang w:val="zh-CN"/>
              </w:rPr>
              <w:t>（北京时间）</w:t>
            </w:r>
          </w:p>
          <w:p>
            <w:pPr>
              <w:spacing w:line="360" w:lineRule="auto"/>
              <w:rPr>
                <w:rFonts w:ascii="宋体" w:hAnsi="宋体" w:cs="仿宋_GB2312"/>
                <w:color w:val="auto"/>
                <w:sz w:val="24"/>
                <w:lang w:val="zh-CN"/>
              </w:rPr>
            </w:pPr>
            <w:r>
              <w:rPr>
                <w:rFonts w:hint="eastAsia" w:ascii="宋体" w:hAnsi="宋体" w:cs="仿宋_GB2312"/>
                <w:color w:val="auto"/>
                <w:sz w:val="24"/>
                <w:lang w:val="zh-CN"/>
              </w:rPr>
              <w:t>账户名称：海南政辉</w:t>
            </w:r>
            <w:r>
              <w:rPr>
                <w:rFonts w:ascii="宋体" w:hAnsi="宋体" w:cs="仿宋_GB2312"/>
                <w:color w:val="auto"/>
                <w:sz w:val="24"/>
                <w:lang w:val="zh-CN"/>
              </w:rPr>
              <w:t>招投标代理有限公司</w:t>
            </w:r>
          </w:p>
          <w:p>
            <w:pPr>
              <w:spacing w:line="360" w:lineRule="auto"/>
              <w:rPr>
                <w:rFonts w:ascii="宋体" w:hAnsi="宋体" w:cs="Arial"/>
                <w:color w:val="auto"/>
                <w:sz w:val="24"/>
                <w:szCs w:val="24"/>
              </w:rPr>
            </w:pPr>
            <w:r>
              <w:rPr>
                <w:rFonts w:hint="eastAsia" w:ascii="宋体" w:hAnsi="宋体" w:cs="Arial"/>
                <w:color w:val="auto"/>
                <w:sz w:val="24"/>
                <w:szCs w:val="24"/>
              </w:rPr>
              <w:t>开户行：中国工商银行股份有限公司海口新华支行</w:t>
            </w:r>
          </w:p>
          <w:p>
            <w:pPr>
              <w:spacing w:line="360" w:lineRule="auto"/>
              <w:rPr>
                <w:rFonts w:ascii="宋体" w:hAnsi="宋体" w:cs="宋体"/>
                <w:color w:val="auto"/>
                <w:sz w:val="24"/>
                <w:szCs w:val="24"/>
              </w:rPr>
            </w:pPr>
            <w:r>
              <w:rPr>
                <w:rFonts w:hint="eastAsia" w:ascii="宋体" w:hAnsi="宋体" w:cs="Arial"/>
                <w:color w:val="auto"/>
                <w:sz w:val="24"/>
                <w:szCs w:val="24"/>
              </w:rPr>
              <w:t>账  户：</w:t>
            </w:r>
            <w:r>
              <w:rPr>
                <w:rFonts w:ascii="宋体" w:hAnsi="宋体" w:cs="Arial"/>
                <w:color w:val="auto"/>
                <w:sz w:val="24"/>
                <w:szCs w:val="24"/>
              </w:rPr>
              <w:t>2201023809200980178</w:t>
            </w:r>
          </w:p>
          <w:p>
            <w:pPr>
              <w:pStyle w:val="87"/>
              <w:spacing w:line="360" w:lineRule="auto"/>
              <w:rPr>
                <w:rFonts w:cs="仿宋"/>
                <w:color w:val="auto"/>
              </w:rPr>
            </w:pPr>
            <w:r>
              <w:rPr>
                <w:rFonts w:hint="eastAsia" w:cs="仿宋"/>
                <w:color w:val="auto"/>
              </w:rPr>
              <w:t>要求：谈判保证金一次性</w:t>
            </w:r>
            <w:r>
              <w:rPr>
                <w:rFonts w:hint="eastAsia" w:cs="仿宋"/>
                <w:color w:val="auto"/>
                <w:lang w:eastAsia="zh-CN"/>
              </w:rPr>
              <w:t>以企业基本账户</w:t>
            </w:r>
            <w:r>
              <w:rPr>
                <w:rFonts w:hint="eastAsia" w:cs="仿宋"/>
                <w:color w:val="auto"/>
              </w:rPr>
              <w:t>转帐形式提交的，谈判保证金交纳截止时间以保证金到帐时间为准。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trPr>
        <w:tc>
          <w:tcPr>
            <w:tcW w:w="663" w:type="dxa"/>
            <w:vAlign w:val="center"/>
          </w:tcPr>
          <w:p>
            <w:pPr>
              <w:pStyle w:val="87"/>
              <w:spacing w:line="360" w:lineRule="auto"/>
              <w:ind w:left="9"/>
              <w:jc w:val="center"/>
              <w:rPr>
                <w:rFonts w:hint="eastAsia" w:eastAsia="宋体" w:cs="仿宋"/>
                <w:color w:val="auto"/>
                <w:lang w:val="zh-CN" w:eastAsia="zh-CN"/>
              </w:rPr>
            </w:pPr>
            <w:r>
              <w:rPr>
                <w:rFonts w:cs="仿宋"/>
                <w:color w:val="auto"/>
              </w:rPr>
              <w:t>1</w:t>
            </w:r>
            <w:r>
              <w:rPr>
                <w:rFonts w:hint="eastAsia" w:cs="仿宋"/>
                <w:color w:val="auto"/>
                <w:lang w:val="en-US" w:eastAsia="zh-CN"/>
              </w:rPr>
              <w:t>3</w:t>
            </w:r>
          </w:p>
        </w:tc>
        <w:tc>
          <w:tcPr>
            <w:tcW w:w="2145" w:type="dxa"/>
            <w:vAlign w:val="center"/>
          </w:tcPr>
          <w:p>
            <w:pPr>
              <w:pStyle w:val="87"/>
              <w:spacing w:line="360" w:lineRule="auto"/>
              <w:ind w:left="33"/>
              <w:jc w:val="both"/>
              <w:rPr>
                <w:rFonts w:cs="仿宋"/>
                <w:color w:val="auto"/>
                <w:lang w:val="zh-CN"/>
              </w:rPr>
            </w:pPr>
            <w:r>
              <w:rPr>
                <w:rFonts w:hint="eastAsia" w:cs="仿宋"/>
                <w:color w:val="auto"/>
                <w:lang w:val="zh-CN"/>
              </w:rPr>
              <w:t>响应文件份数</w:t>
            </w:r>
          </w:p>
        </w:tc>
        <w:tc>
          <w:tcPr>
            <w:tcW w:w="6169" w:type="dxa"/>
            <w:vAlign w:val="center"/>
          </w:tcPr>
          <w:p>
            <w:pPr>
              <w:pStyle w:val="87"/>
              <w:spacing w:line="360" w:lineRule="auto"/>
              <w:rPr>
                <w:rFonts w:cs="仿宋"/>
                <w:color w:val="auto"/>
                <w:lang w:val="zh-CN"/>
              </w:rPr>
            </w:pPr>
            <w:r>
              <w:rPr>
                <w:rFonts w:hint="eastAsia" w:cs="仿宋"/>
                <w:color w:val="auto"/>
                <w:lang w:val="zh-CN"/>
              </w:rPr>
              <w:t>正本一份；副本三份；电子版光碟或</w:t>
            </w:r>
            <w:r>
              <w:rPr>
                <w:rFonts w:hint="eastAsia" w:cs="仿宋"/>
                <w:color w:val="auto"/>
              </w:rPr>
              <w:t>U盘（含PDF版投标文件</w:t>
            </w:r>
            <w:r>
              <w:rPr>
                <w:rFonts w:hint="eastAsia" w:cs="仿宋"/>
                <w:color w:val="auto"/>
                <w:lang w:eastAsia="zh-CN"/>
              </w:rPr>
              <w:t>和</w:t>
            </w:r>
            <w:r>
              <w:rPr>
                <w:rFonts w:hint="eastAsia" w:cs="仿宋"/>
                <w:color w:val="auto"/>
                <w:lang w:val="en-US" w:eastAsia="zh-CN"/>
              </w:rPr>
              <w:t>Exel</w:t>
            </w:r>
            <w:r>
              <w:rPr>
                <w:rFonts w:hint="eastAsia" w:cs="仿宋"/>
                <w:color w:val="auto"/>
                <w:lang w:eastAsia="zh-CN"/>
              </w:rPr>
              <w:t>已标价工程量清单</w:t>
            </w:r>
            <w:r>
              <w:rPr>
                <w:rFonts w:hint="eastAsia" w:cs="仿宋"/>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trPr>
        <w:tc>
          <w:tcPr>
            <w:tcW w:w="663" w:type="dxa"/>
            <w:vAlign w:val="center"/>
          </w:tcPr>
          <w:p>
            <w:pPr>
              <w:pStyle w:val="87"/>
              <w:spacing w:line="360" w:lineRule="auto"/>
              <w:ind w:left="9"/>
              <w:jc w:val="center"/>
              <w:rPr>
                <w:rFonts w:hint="default" w:eastAsia="宋体" w:cs="仿宋"/>
                <w:color w:val="auto"/>
                <w:lang w:val="en-US" w:eastAsia="zh-CN"/>
              </w:rPr>
            </w:pPr>
            <w:r>
              <w:rPr>
                <w:rFonts w:hint="eastAsia" w:cs="仿宋"/>
                <w:color w:val="auto"/>
                <w:lang w:val="en-US" w:eastAsia="zh-CN"/>
              </w:rPr>
              <w:t>14</w:t>
            </w:r>
          </w:p>
        </w:tc>
        <w:tc>
          <w:tcPr>
            <w:tcW w:w="2145" w:type="dxa"/>
            <w:vAlign w:val="center"/>
          </w:tcPr>
          <w:p>
            <w:pPr>
              <w:topLinePunct/>
              <w:jc w:val="center"/>
              <w:rPr>
                <w:rFonts w:ascii="宋体" w:hAnsi="宋体"/>
                <w:bCs/>
                <w:color w:val="auto"/>
                <w:sz w:val="24"/>
                <w:szCs w:val="24"/>
              </w:rPr>
            </w:pPr>
            <w:r>
              <w:rPr>
                <w:rFonts w:hint="eastAsia" w:ascii="宋体" w:hAnsi="宋体"/>
                <w:bCs/>
                <w:color w:val="auto"/>
                <w:sz w:val="24"/>
                <w:szCs w:val="24"/>
                <w:lang w:val="zh-CN"/>
              </w:rPr>
              <w:t>响应</w:t>
            </w:r>
            <w:r>
              <w:rPr>
                <w:rFonts w:hint="eastAsia" w:ascii="宋体" w:hAnsi="宋体"/>
                <w:bCs/>
                <w:color w:val="auto"/>
                <w:sz w:val="24"/>
                <w:szCs w:val="24"/>
              </w:rPr>
              <w:t>文件递交</w:t>
            </w:r>
          </w:p>
          <w:p>
            <w:pPr>
              <w:topLinePunct/>
              <w:jc w:val="center"/>
              <w:rPr>
                <w:rFonts w:hint="eastAsia" w:cs="仿宋"/>
                <w:color w:val="auto"/>
                <w:lang w:val="zh-CN"/>
              </w:rPr>
            </w:pPr>
            <w:r>
              <w:rPr>
                <w:rFonts w:hint="eastAsia" w:ascii="宋体" w:hAnsi="宋体"/>
                <w:bCs/>
                <w:color w:val="auto"/>
                <w:sz w:val="24"/>
                <w:szCs w:val="24"/>
              </w:rPr>
              <w:t>截止时间</w:t>
            </w:r>
          </w:p>
        </w:tc>
        <w:tc>
          <w:tcPr>
            <w:tcW w:w="6169" w:type="dxa"/>
            <w:vAlign w:val="center"/>
          </w:tcPr>
          <w:p>
            <w:pPr>
              <w:pStyle w:val="18"/>
              <w:widowControl w:val="0"/>
              <w:topLinePunct/>
              <w:spacing w:before="0" w:beforeAutospacing="0" w:after="0" w:afterAutospacing="0"/>
              <w:jc w:val="left"/>
              <w:rPr>
                <w:rFonts w:hint="eastAsia" w:cs="仿宋"/>
                <w:color w:val="auto"/>
                <w:lang w:val="zh-CN"/>
              </w:rPr>
            </w:pPr>
            <w:r>
              <w:rPr>
                <w:rFonts w:hint="eastAsia" w:ascii="宋体" w:hAnsi="宋体" w:cs="Tahoma"/>
                <w:color w:val="auto"/>
                <w:sz w:val="24"/>
                <w:lang w:val="en-US" w:eastAsia="zh-CN"/>
              </w:rPr>
              <w:t>2020</w:t>
            </w:r>
            <w:r>
              <w:rPr>
                <w:rFonts w:hint="eastAsia" w:ascii="宋体" w:hAnsi="宋体" w:cs="Tahoma"/>
                <w:color w:val="auto"/>
                <w:sz w:val="24"/>
              </w:rPr>
              <w:t>年</w:t>
            </w:r>
            <w:r>
              <w:rPr>
                <w:rFonts w:hint="eastAsia" w:ascii="宋体" w:hAnsi="宋体" w:cs="Tahoma"/>
                <w:color w:val="auto"/>
                <w:sz w:val="24"/>
                <w:lang w:val="en-US" w:eastAsia="zh-CN"/>
              </w:rPr>
              <w:t xml:space="preserve"> 06 </w:t>
            </w:r>
            <w:r>
              <w:rPr>
                <w:rFonts w:hint="eastAsia" w:ascii="宋体" w:hAnsi="宋体" w:cs="Tahoma"/>
                <w:color w:val="auto"/>
                <w:sz w:val="24"/>
              </w:rPr>
              <w:t>月</w:t>
            </w:r>
            <w:r>
              <w:rPr>
                <w:rFonts w:hint="eastAsia" w:ascii="宋体" w:hAnsi="宋体" w:cs="Tahoma"/>
                <w:color w:val="auto"/>
                <w:sz w:val="24"/>
                <w:lang w:val="en-US" w:eastAsia="zh-CN"/>
              </w:rPr>
              <w:t xml:space="preserve">  12 </w:t>
            </w:r>
            <w:r>
              <w:rPr>
                <w:rFonts w:hint="eastAsia" w:ascii="宋体" w:hAnsi="宋体" w:cs="Tahoma"/>
                <w:color w:val="auto"/>
                <w:sz w:val="24"/>
              </w:rPr>
              <w:t>日</w:t>
            </w:r>
            <w:r>
              <w:rPr>
                <w:rFonts w:hint="eastAsia" w:ascii="宋体" w:hAnsi="宋体" w:cs="Tahoma"/>
                <w:color w:val="auto"/>
                <w:sz w:val="24"/>
                <w:lang w:val="en-US" w:eastAsia="zh-CN"/>
              </w:rPr>
              <w:t>8</w:t>
            </w:r>
            <w:r>
              <w:rPr>
                <w:rFonts w:hint="eastAsia" w:ascii="宋体" w:hAnsi="宋体" w:cs="Tahoma"/>
                <w:color w:val="auto"/>
                <w:sz w:val="24"/>
              </w:rPr>
              <w:t>:</w:t>
            </w:r>
            <w:r>
              <w:rPr>
                <w:rFonts w:hint="eastAsia" w:ascii="宋体" w:hAnsi="宋体" w:cs="Tahoma"/>
                <w:color w:val="auto"/>
                <w:sz w:val="24"/>
                <w:lang w:val="en-US" w:eastAsia="zh-CN"/>
              </w:rPr>
              <w:t>3</w:t>
            </w:r>
            <w:r>
              <w:rPr>
                <w:rFonts w:hint="eastAsia" w:ascii="宋体" w:hAnsi="宋体" w:cs="Tahoma"/>
                <w:color w:val="auto"/>
                <w:sz w:val="24"/>
              </w:rPr>
              <w:t>0</w:t>
            </w:r>
            <w:r>
              <w:rPr>
                <w:bCs/>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trPr>
        <w:tc>
          <w:tcPr>
            <w:tcW w:w="663" w:type="dxa"/>
            <w:vAlign w:val="center"/>
          </w:tcPr>
          <w:p>
            <w:pPr>
              <w:pStyle w:val="87"/>
              <w:spacing w:line="360" w:lineRule="auto"/>
              <w:ind w:left="9"/>
              <w:jc w:val="center"/>
              <w:rPr>
                <w:rFonts w:hint="default" w:eastAsia="宋体" w:cs="仿宋"/>
                <w:color w:val="auto"/>
                <w:lang w:val="en-US" w:eastAsia="zh-CN"/>
              </w:rPr>
            </w:pPr>
            <w:r>
              <w:rPr>
                <w:rFonts w:hint="eastAsia" w:cs="仿宋"/>
                <w:color w:val="auto"/>
                <w:lang w:val="en-US" w:eastAsia="zh-CN"/>
              </w:rPr>
              <w:t>15</w:t>
            </w:r>
          </w:p>
        </w:tc>
        <w:tc>
          <w:tcPr>
            <w:tcW w:w="2145" w:type="dxa"/>
            <w:vAlign w:val="center"/>
          </w:tcPr>
          <w:p>
            <w:pPr>
              <w:topLinePunct/>
              <w:jc w:val="center"/>
              <w:rPr>
                <w:rFonts w:hint="eastAsia" w:cs="仿宋"/>
                <w:color w:val="auto"/>
                <w:lang w:val="zh-CN"/>
              </w:rPr>
            </w:pPr>
            <w:r>
              <w:rPr>
                <w:rFonts w:hint="eastAsia" w:ascii="宋体" w:hAnsi="宋体"/>
                <w:bCs/>
                <w:color w:val="auto"/>
                <w:sz w:val="24"/>
                <w:szCs w:val="24"/>
              </w:rPr>
              <w:t>开标时间及地点</w:t>
            </w:r>
          </w:p>
        </w:tc>
        <w:tc>
          <w:tcPr>
            <w:tcW w:w="6169" w:type="dxa"/>
            <w:vAlign w:val="center"/>
          </w:tcPr>
          <w:p>
            <w:pPr>
              <w:spacing w:line="360" w:lineRule="auto"/>
              <w:rPr>
                <w:rFonts w:hint="eastAsia" w:ascii="宋体" w:hAnsi="宋体" w:cs="Tahoma"/>
                <w:color w:val="auto"/>
                <w:sz w:val="24"/>
              </w:rPr>
            </w:pPr>
            <w:r>
              <w:rPr>
                <w:rFonts w:hint="eastAsia" w:ascii="宋体" w:hAnsi="宋体" w:cs="Tahoma"/>
                <w:color w:val="auto"/>
                <w:sz w:val="24"/>
                <w:lang w:val="en-US" w:eastAsia="zh-CN"/>
              </w:rPr>
              <w:t>2020</w:t>
            </w:r>
            <w:r>
              <w:rPr>
                <w:rFonts w:hint="eastAsia" w:ascii="宋体" w:hAnsi="宋体" w:cs="Tahoma"/>
                <w:color w:val="auto"/>
                <w:sz w:val="24"/>
              </w:rPr>
              <w:t>年</w:t>
            </w:r>
            <w:r>
              <w:rPr>
                <w:rFonts w:hint="eastAsia" w:ascii="宋体" w:hAnsi="宋体" w:cs="Tahoma"/>
                <w:color w:val="auto"/>
                <w:sz w:val="24"/>
                <w:lang w:val="en-US" w:eastAsia="zh-CN"/>
              </w:rPr>
              <w:t xml:space="preserve"> 06 </w:t>
            </w:r>
            <w:r>
              <w:rPr>
                <w:rFonts w:hint="eastAsia" w:ascii="宋体" w:hAnsi="宋体" w:cs="Tahoma"/>
                <w:color w:val="auto"/>
                <w:sz w:val="24"/>
              </w:rPr>
              <w:t>月</w:t>
            </w:r>
            <w:r>
              <w:rPr>
                <w:rFonts w:hint="eastAsia" w:ascii="宋体" w:hAnsi="宋体" w:cs="Tahoma"/>
                <w:color w:val="auto"/>
                <w:sz w:val="24"/>
                <w:lang w:val="en-US" w:eastAsia="zh-CN"/>
              </w:rPr>
              <w:t xml:space="preserve">  12 </w:t>
            </w:r>
            <w:r>
              <w:rPr>
                <w:rFonts w:hint="eastAsia" w:ascii="宋体" w:hAnsi="宋体" w:cs="Tahoma"/>
                <w:color w:val="auto"/>
                <w:sz w:val="24"/>
              </w:rPr>
              <w:t>日</w:t>
            </w:r>
            <w:r>
              <w:rPr>
                <w:rFonts w:hint="eastAsia" w:ascii="宋体" w:hAnsi="宋体" w:cs="Tahoma"/>
                <w:color w:val="auto"/>
                <w:sz w:val="24"/>
                <w:lang w:val="en-US" w:eastAsia="zh-CN"/>
              </w:rPr>
              <w:t>8</w:t>
            </w:r>
            <w:r>
              <w:rPr>
                <w:rFonts w:hint="eastAsia" w:ascii="宋体" w:hAnsi="宋体" w:cs="Tahoma"/>
                <w:color w:val="auto"/>
                <w:sz w:val="24"/>
              </w:rPr>
              <w:t>:</w:t>
            </w:r>
            <w:r>
              <w:rPr>
                <w:rFonts w:hint="eastAsia" w:ascii="宋体" w:hAnsi="宋体" w:cs="Tahoma"/>
                <w:color w:val="auto"/>
                <w:sz w:val="24"/>
                <w:lang w:val="en-US" w:eastAsia="zh-CN"/>
              </w:rPr>
              <w:t>3</w:t>
            </w:r>
            <w:r>
              <w:rPr>
                <w:rFonts w:hint="eastAsia" w:ascii="宋体" w:hAnsi="宋体" w:cs="Tahoma"/>
                <w:color w:val="auto"/>
                <w:sz w:val="24"/>
              </w:rPr>
              <w:t>0</w:t>
            </w:r>
          </w:p>
          <w:p>
            <w:pPr>
              <w:spacing w:line="360" w:lineRule="auto"/>
              <w:rPr>
                <w:rFonts w:hint="eastAsia" w:cs="仿宋"/>
                <w:color w:val="auto"/>
                <w:lang w:val="zh-CN"/>
              </w:rPr>
            </w:pPr>
            <w:r>
              <w:rPr>
                <w:rFonts w:hint="eastAsia" w:ascii="宋体" w:hAnsi="宋体"/>
                <w:bCs/>
                <w:color w:val="auto"/>
                <w:sz w:val="24"/>
              </w:rPr>
              <w:t>海口市美兰区五指山路16-3号康业花园西湖苑G栋2A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trPr>
        <w:tc>
          <w:tcPr>
            <w:tcW w:w="663" w:type="dxa"/>
            <w:vAlign w:val="center"/>
          </w:tcPr>
          <w:p>
            <w:pPr>
              <w:pStyle w:val="5"/>
              <w:spacing w:line="360" w:lineRule="auto"/>
              <w:ind w:left="9" w:firstLine="0"/>
              <w:jc w:val="center"/>
              <w:rPr>
                <w:rFonts w:hint="eastAsia" w:ascii="宋体" w:hAnsi="宋体" w:eastAsia="宋体" w:cs="仿宋"/>
                <w:color w:val="auto"/>
                <w:sz w:val="24"/>
                <w:szCs w:val="24"/>
                <w:lang w:val="zh-CN" w:eastAsia="zh-CN"/>
              </w:rPr>
            </w:pPr>
            <w:r>
              <w:rPr>
                <w:rFonts w:ascii="宋体" w:hAnsi="宋体" w:cs="仿宋"/>
                <w:color w:val="auto"/>
                <w:sz w:val="24"/>
                <w:szCs w:val="24"/>
              </w:rPr>
              <w:t>1</w:t>
            </w:r>
            <w:r>
              <w:rPr>
                <w:rFonts w:hint="eastAsia" w:ascii="宋体" w:hAnsi="宋体" w:cs="仿宋"/>
                <w:color w:val="auto"/>
                <w:sz w:val="24"/>
                <w:szCs w:val="24"/>
                <w:lang w:val="en-US" w:eastAsia="zh-CN"/>
              </w:rPr>
              <w:t>6</w:t>
            </w:r>
          </w:p>
        </w:tc>
        <w:tc>
          <w:tcPr>
            <w:tcW w:w="2145" w:type="dxa"/>
            <w:vAlign w:val="center"/>
          </w:tcPr>
          <w:p>
            <w:pPr>
              <w:spacing w:line="360" w:lineRule="auto"/>
              <w:rPr>
                <w:rFonts w:hint="eastAsia" w:ascii="宋体" w:hAnsi="宋体" w:eastAsia="宋体" w:cs="仿宋"/>
                <w:color w:val="auto"/>
                <w:sz w:val="24"/>
                <w:szCs w:val="24"/>
                <w:lang w:eastAsia="zh-CN"/>
              </w:rPr>
            </w:pPr>
            <w:r>
              <w:rPr>
                <w:rFonts w:hint="eastAsia" w:ascii="宋体" w:hAnsi="宋体" w:cs="仿宋"/>
                <w:color w:val="auto"/>
                <w:sz w:val="24"/>
                <w:szCs w:val="24"/>
              </w:rPr>
              <w:t>响应文件</w:t>
            </w:r>
            <w:r>
              <w:rPr>
                <w:rFonts w:hint="eastAsia" w:ascii="宋体" w:hAnsi="宋体" w:cs="仿宋"/>
                <w:color w:val="auto"/>
                <w:sz w:val="24"/>
                <w:szCs w:val="24"/>
                <w:lang w:eastAsia="zh-CN"/>
              </w:rPr>
              <w:t>正面</w:t>
            </w:r>
            <w:r>
              <w:rPr>
                <w:rFonts w:hint="eastAsia" w:ascii="宋体" w:hAnsi="宋体" w:cs="仿宋"/>
                <w:color w:val="auto"/>
                <w:sz w:val="24"/>
                <w:szCs w:val="24"/>
              </w:rPr>
              <w:t>封套</w:t>
            </w:r>
            <w:r>
              <w:rPr>
                <w:rFonts w:hint="eastAsia" w:ascii="宋体" w:hAnsi="宋体" w:cs="仿宋"/>
                <w:color w:val="auto"/>
                <w:sz w:val="24"/>
                <w:szCs w:val="24"/>
                <w:lang w:eastAsia="zh-CN"/>
              </w:rPr>
              <w:t>标明</w:t>
            </w:r>
          </w:p>
        </w:tc>
        <w:tc>
          <w:tcPr>
            <w:tcW w:w="6169" w:type="dxa"/>
            <w:vAlign w:val="center"/>
          </w:tcPr>
          <w:p>
            <w:pPr>
              <w:spacing w:line="360" w:lineRule="auto"/>
              <w:jc w:val="left"/>
              <w:rPr>
                <w:rFonts w:ascii="宋体" w:hAnsi="宋体" w:cs="仿宋"/>
                <w:color w:val="auto"/>
                <w:sz w:val="24"/>
                <w:szCs w:val="24"/>
              </w:rPr>
            </w:pPr>
            <w:r>
              <w:rPr>
                <w:rFonts w:hint="eastAsia" w:ascii="宋体" w:hAnsi="宋体" w:cs="仿宋"/>
                <w:color w:val="auto"/>
                <w:sz w:val="24"/>
                <w:szCs w:val="24"/>
              </w:rPr>
              <w:t>响应文件：正本/副本</w:t>
            </w:r>
            <w:r>
              <w:rPr>
                <w:rFonts w:hint="eastAsia" w:ascii="宋体" w:hAnsi="宋体" w:cs="仿宋"/>
                <w:color w:val="auto"/>
                <w:sz w:val="24"/>
                <w:szCs w:val="24"/>
                <w:lang w:val="en-US" w:eastAsia="zh-CN"/>
              </w:rPr>
              <w:t>/开标一览表</w:t>
            </w:r>
            <w:r>
              <w:rPr>
                <w:rFonts w:hint="eastAsia" w:ascii="宋体" w:hAnsi="宋体" w:cs="仿宋"/>
                <w:color w:val="auto"/>
                <w:sz w:val="24"/>
                <w:szCs w:val="24"/>
              </w:rPr>
              <w:t>/</w:t>
            </w:r>
            <w:r>
              <w:rPr>
                <w:rFonts w:hint="eastAsia" w:ascii="宋体" w:hAnsi="宋体"/>
                <w:color w:val="auto"/>
                <w:sz w:val="24"/>
              </w:rPr>
              <w:t>电子文档</w:t>
            </w:r>
          </w:p>
          <w:p>
            <w:pPr>
              <w:spacing w:line="360" w:lineRule="auto"/>
              <w:jc w:val="left"/>
              <w:rPr>
                <w:rFonts w:ascii="宋体" w:hAnsi="宋体" w:cs="仿宋"/>
                <w:color w:val="auto"/>
                <w:sz w:val="24"/>
                <w:szCs w:val="24"/>
                <w:u w:val="single"/>
              </w:rPr>
            </w:pPr>
            <w:r>
              <w:rPr>
                <w:rFonts w:hint="eastAsia" w:ascii="宋体" w:hAnsi="宋体" w:cs="仿宋"/>
                <w:color w:val="auto"/>
                <w:sz w:val="24"/>
                <w:szCs w:val="24"/>
              </w:rPr>
              <w:t>项目名称:</w:t>
            </w:r>
          </w:p>
          <w:p>
            <w:pPr>
              <w:spacing w:line="360" w:lineRule="auto"/>
              <w:jc w:val="left"/>
              <w:rPr>
                <w:rFonts w:ascii="宋体" w:hAnsi="宋体" w:cs="仿宋"/>
                <w:color w:val="auto"/>
                <w:sz w:val="24"/>
                <w:szCs w:val="24"/>
              </w:rPr>
            </w:pPr>
            <w:r>
              <w:rPr>
                <w:rFonts w:hint="eastAsia" w:ascii="宋体" w:hAnsi="宋体" w:cs="仿宋"/>
                <w:color w:val="auto"/>
                <w:sz w:val="24"/>
                <w:szCs w:val="24"/>
              </w:rPr>
              <w:t>项目编号：</w:t>
            </w:r>
          </w:p>
          <w:p>
            <w:pPr>
              <w:spacing w:line="360" w:lineRule="auto"/>
              <w:jc w:val="left"/>
              <w:rPr>
                <w:rFonts w:ascii="宋体" w:hAnsi="宋体" w:cs="仿宋"/>
                <w:color w:val="auto"/>
                <w:sz w:val="24"/>
                <w:szCs w:val="24"/>
              </w:rPr>
            </w:pPr>
            <w:r>
              <w:rPr>
                <w:rFonts w:hint="eastAsia" w:ascii="宋体" w:hAnsi="宋体" w:cs="仿宋"/>
                <w:color w:val="auto"/>
                <w:sz w:val="24"/>
                <w:szCs w:val="24"/>
              </w:rPr>
              <w:t>供应商的名称（加盖公章）：</w:t>
            </w:r>
          </w:p>
          <w:p>
            <w:pPr>
              <w:spacing w:line="360" w:lineRule="auto"/>
              <w:jc w:val="left"/>
              <w:rPr>
                <w:rFonts w:ascii="宋体" w:hAnsi="宋体" w:cs="仿宋"/>
                <w:color w:val="auto"/>
                <w:sz w:val="24"/>
                <w:szCs w:val="24"/>
              </w:rPr>
            </w:pPr>
            <w:r>
              <w:rPr>
                <w:rFonts w:hint="eastAsia" w:ascii="宋体" w:hAnsi="宋体" w:cs="仿宋"/>
                <w:color w:val="auto"/>
                <w:sz w:val="24"/>
                <w:szCs w:val="24"/>
              </w:rPr>
              <w:t>供应商联系人姓名、联系电话：</w:t>
            </w:r>
          </w:p>
          <w:p>
            <w:pPr>
              <w:spacing w:line="360" w:lineRule="auto"/>
              <w:jc w:val="left"/>
              <w:rPr>
                <w:rFonts w:ascii="宋体" w:hAnsi="宋体" w:cs="仿宋"/>
                <w:color w:val="auto"/>
                <w:sz w:val="24"/>
                <w:szCs w:val="24"/>
              </w:rPr>
            </w:pPr>
            <w:r>
              <w:rPr>
                <w:rFonts w:hint="eastAsia" w:ascii="宋体" w:hAnsi="宋体" w:cs="仿宋"/>
                <w:color w:val="auto"/>
                <w:sz w:val="24"/>
                <w:szCs w:val="24"/>
              </w:rPr>
              <w:t>在</w:t>
            </w:r>
            <w:r>
              <w:rPr>
                <w:rFonts w:hint="eastAsia" w:ascii="宋体" w:hAnsi="宋体" w:cs="Tahoma"/>
                <w:color w:val="auto"/>
                <w:sz w:val="24"/>
                <w:lang w:val="en-US" w:eastAsia="zh-CN"/>
              </w:rPr>
              <w:t>2020</w:t>
            </w:r>
            <w:r>
              <w:rPr>
                <w:rFonts w:hint="eastAsia" w:ascii="宋体" w:hAnsi="宋体" w:cs="Tahoma"/>
                <w:color w:val="auto"/>
                <w:sz w:val="24"/>
              </w:rPr>
              <w:t>年</w:t>
            </w:r>
            <w:r>
              <w:rPr>
                <w:rFonts w:hint="eastAsia" w:ascii="宋体" w:hAnsi="宋体" w:cs="Tahoma"/>
                <w:color w:val="auto"/>
                <w:sz w:val="24"/>
                <w:lang w:val="en-US" w:eastAsia="zh-CN"/>
              </w:rPr>
              <w:t xml:space="preserve"> 06 </w:t>
            </w:r>
            <w:r>
              <w:rPr>
                <w:rFonts w:hint="eastAsia" w:ascii="宋体" w:hAnsi="宋体" w:cs="Tahoma"/>
                <w:color w:val="auto"/>
                <w:sz w:val="24"/>
              </w:rPr>
              <w:t>月</w:t>
            </w:r>
            <w:r>
              <w:rPr>
                <w:rFonts w:hint="eastAsia" w:ascii="宋体" w:hAnsi="宋体" w:cs="Tahoma"/>
                <w:color w:val="auto"/>
                <w:sz w:val="24"/>
                <w:lang w:val="en-US" w:eastAsia="zh-CN"/>
              </w:rPr>
              <w:t xml:space="preserve">  12 </w:t>
            </w:r>
            <w:r>
              <w:rPr>
                <w:rFonts w:hint="eastAsia" w:ascii="宋体" w:hAnsi="宋体" w:cs="Tahoma"/>
                <w:color w:val="auto"/>
                <w:sz w:val="24"/>
              </w:rPr>
              <w:t>日</w:t>
            </w:r>
            <w:r>
              <w:rPr>
                <w:rFonts w:hint="eastAsia" w:ascii="宋体" w:hAnsi="宋体" w:cs="Tahoma"/>
                <w:color w:val="auto"/>
                <w:sz w:val="24"/>
                <w:lang w:val="en-US" w:eastAsia="zh-CN"/>
              </w:rPr>
              <w:t>8</w:t>
            </w:r>
            <w:r>
              <w:rPr>
                <w:rFonts w:hint="eastAsia" w:ascii="宋体" w:hAnsi="宋体" w:cs="Tahoma"/>
                <w:color w:val="auto"/>
                <w:sz w:val="24"/>
              </w:rPr>
              <w:t>:</w:t>
            </w:r>
            <w:r>
              <w:rPr>
                <w:rFonts w:hint="eastAsia" w:ascii="宋体" w:hAnsi="宋体" w:cs="Tahoma"/>
                <w:color w:val="auto"/>
                <w:sz w:val="24"/>
                <w:lang w:val="en-US" w:eastAsia="zh-CN"/>
              </w:rPr>
              <w:t>3</w:t>
            </w:r>
            <w:r>
              <w:rPr>
                <w:rFonts w:hint="eastAsia" w:ascii="宋体" w:hAnsi="宋体" w:cs="Tahoma"/>
                <w:color w:val="auto"/>
                <w:sz w:val="24"/>
              </w:rPr>
              <w:t>0</w:t>
            </w:r>
            <w:r>
              <w:rPr>
                <w:rFonts w:hint="eastAsia" w:ascii="宋体" w:hAnsi="宋体" w:cs="仿宋"/>
                <w:color w:val="auto"/>
                <w:kern w:val="0"/>
                <w:sz w:val="24"/>
                <w:szCs w:val="24"/>
                <w:lang w:val="zh-CN"/>
              </w:rPr>
              <w:t>前</w:t>
            </w:r>
            <w:r>
              <w:rPr>
                <w:rFonts w:hint="eastAsia" w:ascii="宋体" w:hAnsi="宋体" w:cs="仿宋"/>
                <w:color w:val="auto"/>
                <w:sz w:val="24"/>
                <w:szCs w:val="24"/>
              </w:rPr>
              <w:t xml:space="preserve">（开标时间）不得开启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2" w:hRule="atLeast"/>
        </w:trPr>
        <w:tc>
          <w:tcPr>
            <w:tcW w:w="663" w:type="dxa"/>
            <w:vAlign w:val="center"/>
          </w:tcPr>
          <w:p>
            <w:pPr>
              <w:pStyle w:val="5"/>
              <w:spacing w:line="360" w:lineRule="auto"/>
              <w:ind w:left="9" w:firstLine="0"/>
              <w:jc w:val="center"/>
              <w:rPr>
                <w:rFonts w:hint="eastAsia" w:ascii="宋体" w:hAnsi="宋体" w:eastAsia="宋体" w:cs="仿宋"/>
                <w:color w:val="auto"/>
                <w:sz w:val="24"/>
                <w:szCs w:val="24"/>
                <w:lang w:val="en-US" w:eastAsia="zh-CN"/>
              </w:rPr>
            </w:pPr>
            <w:r>
              <w:rPr>
                <w:rFonts w:ascii="宋体" w:hAnsi="宋体" w:cs="仿宋"/>
                <w:color w:val="auto"/>
                <w:sz w:val="24"/>
                <w:szCs w:val="24"/>
              </w:rPr>
              <w:t>1</w:t>
            </w:r>
            <w:r>
              <w:rPr>
                <w:rFonts w:hint="eastAsia" w:ascii="宋体" w:hAnsi="宋体" w:cs="仿宋"/>
                <w:color w:val="auto"/>
                <w:sz w:val="24"/>
                <w:szCs w:val="24"/>
                <w:lang w:val="en-US" w:eastAsia="zh-CN"/>
              </w:rPr>
              <w:t>7</w:t>
            </w:r>
          </w:p>
        </w:tc>
        <w:tc>
          <w:tcPr>
            <w:tcW w:w="2145" w:type="dxa"/>
            <w:vAlign w:val="center"/>
          </w:tcPr>
          <w:p>
            <w:pPr>
              <w:spacing w:line="360" w:lineRule="auto"/>
              <w:rPr>
                <w:rFonts w:hint="eastAsia" w:ascii="宋体" w:hAnsi="宋体" w:eastAsia="宋体" w:cs="仿宋"/>
                <w:color w:val="auto"/>
                <w:kern w:val="2"/>
                <w:sz w:val="24"/>
                <w:szCs w:val="24"/>
                <w:lang w:val="en-US" w:eastAsia="zh-CN" w:bidi="ar-SA"/>
              </w:rPr>
            </w:pPr>
            <w:r>
              <w:rPr>
                <w:rFonts w:hint="eastAsia" w:ascii="宋体" w:hAnsi="宋体" w:eastAsia="宋体" w:cs="仿宋"/>
                <w:color w:val="auto"/>
                <w:kern w:val="2"/>
                <w:sz w:val="24"/>
                <w:szCs w:val="24"/>
                <w:lang w:val="en-US" w:eastAsia="zh-CN" w:bidi="ar-SA"/>
              </w:rPr>
              <w:t>代理服务费</w:t>
            </w:r>
          </w:p>
        </w:tc>
        <w:tc>
          <w:tcPr>
            <w:tcW w:w="6169" w:type="dxa"/>
            <w:vAlign w:val="center"/>
          </w:tcPr>
          <w:p>
            <w:pPr>
              <w:spacing w:line="360" w:lineRule="auto"/>
              <w:outlineLvl w:val="1"/>
              <w:rPr>
                <w:rFonts w:hint="eastAsia" w:ascii="宋体" w:hAnsi="宋体" w:eastAsia="宋体" w:cs="仿宋"/>
                <w:color w:val="auto"/>
                <w:kern w:val="2"/>
                <w:sz w:val="24"/>
                <w:szCs w:val="24"/>
                <w:lang w:val="en-US" w:eastAsia="zh-CN" w:bidi="ar-SA"/>
              </w:rPr>
            </w:pPr>
            <w:r>
              <w:rPr>
                <w:rFonts w:hint="eastAsia" w:ascii="宋体" w:hAnsi="宋体" w:cs="仿宋"/>
                <w:color w:val="auto"/>
                <w:sz w:val="24"/>
                <w:szCs w:val="24"/>
              </w:rPr>
              <w:t>本次采购活动采购代理服务费按</w:t>
            </w:r>
            <w:r>
              <w:rPr>
                <w:rFonts w:hint="eastAsia" w:ascii="宋体" w:hAnsi="宋体" w:eastAsia="宋体" w:cs="宋体"/>
                <w:color w:val="auto"/>
                <w:sz w:val="24"/>
                <w:szCs w:val="24"/>
              </w:rPr>
              <w:t>琼价费管【2011】225号收取</w:t>
            </w:r>
            <w:r>
              <w:rPr>
                <w:rFonts w:hint="eastAsia" w:ascii="宋体" w:hAnsi="宋体" w:cs="仿宋"/>
                <w:color w:val="auto"/>
                <w:sz w:val="24"/>
                <w:szCs w:val="24"/>
              </w:rPr>
              <w:t>，由</w:t>
            </w:r>
            <w:r>
              <w:rPr>
                <w:rFonts w:hint="eastAsia" w:ascii="宋体" w:hAnsi="宋体" w:cs="仿宋"/>
                <w:color w:val="auto"/>
                <w:sz w:val="24"/>
                <w:szCs w:val="24"/>
                <w:lang w:eastAsia="zh-CN"/>
              </w:rPr>
              <w:t>采购人</w:t>
            </w:r>
            <w:r>
              <w:rPr>
                <w:rFonts w:hint="eastAsia" w:ascii="宋体" w:hAnsi="宋体" w:cs="仿宋"/>
                <w:color w:val="auto"/>
                <w:sz w:val="24"/>
                <w:szCs w:val="24"/>
              </w:rPr>
              <w:t>向海南政辉招投标代理有限公司支付。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9" w:hRule="atLeast"/>
        </w:trPr>
        <w:tc>
          <w:tcPr>
            <w:tcW w:w="663" w:type="dxa"/>
            <w:vAlign w:val="center"/>
          </w:tcPr>
          <w:p>
            <w:pPr>
              <w:pStyle w:val="5"/>
              <w:spacing w:line="360" w:lineRule="auto"/>
              <w:ind w:left="9" w:firstLine="0"/>
              <w:jc w:val="center"/>
              <w:rPr>
                <w:rFonts w:hint="default" w:ascii="宋体" w:hAnsi="宋体" w:eastAsia="宋体" w:cs="仿宋"/>
                <w:color w:val="auto"/>
                <w:sz w:val="24"/>
                <w:szCs w:val="24"/>
                <w:lang w:val="en-US" w:eastAsia="zh-CN"/>
              </w:rPr>
            </w:pPr>
            <w:r>
              <w:rPr>
                <w:rFonts w:hint="eastAsia" w:ascii="宋体" w:hAnsi="宋体" w:cs="仿宋"/>
                <w:color w:val="auto"/>
                <w:sz w:val="24"/>
                <w:szCs w:val="24"/>
                <w:lang w:val="en-US" w:eastAsia="zh-CN"/>
              </w:rPr>
              <w:t>18</w:t>
            </w:r>
          </w:p>
        </w:tc>
        <w:tc>
          <w:tcPr>
            <w:tcW w:w="2145" w:type="dxa"/>
            <w:vAlign w:val="center"/>
          </w:tcPr>
          <w:p>
            <w:pPr>
              <w:spacing w:line="360" w:lineRule="auto"/>
              <w:rPr>
                <w:rFonts w:hint="eastAsia" w:ascii="宋体" w:hAnsi="宋体" w:cs="仿宋"/>
                <w:color w:val="auto"/>
                <w:sz w:val="24"/>
                <w:szCs w:val="24"/>
              </w:rPr>
            </w:pPr>
            <w:r>
              <w:rPr>
                <w:rFonts w:hint="eastAsia" w:ascii="宋体" w:hAnsi="宋体" w:cs="仿宋"/>
                <w:color w:val="auto"/>
                <w:sz w:val="24"/>
                <w:szCs w:val="24"/>
              </w:rPr>
              <w:t>采购合同</w:t>
            </w:r>
          </w:p>
        </w:tc>
        <w:tc>
          <w:tcPr>
            <w:tcW w:w="6169" w:type="dxa"/>
            <w:vAlign w:val="center"/>
          </w:tcPr>
          <w:p>
            <w:pPr>
              <w:pStyle w:val="18"/>
              <w:spacing w:before="0" w:beforeAutospacing="0" w:after="0" w:afterAutospacing="0" w:line="555" w:lineRule="atLeast"/>
              <w:ind w:firstLine="480" w:firstLineChars="200"/>
              <w:rPr>
                <w:rFonts w:hint="eastAsia" w:ascii="宋体" w:hAnsi="宋体" w:cs="仿宋"/>
                <w:color w:val="auto"/>
                <w:sz w:val="24"/>
                <w:szCs w:val="24"/>
              </w:rPr>
            </w:pPr>
            <w:r>
              <w:rPr>
                <w:rFonts w:hint="eastAsia" w:cs="仿宋"/>
                <w:color w:val="auto"/>
                <w:kern w:val="2"/>
                <w:szCs w:val="24"/>
              </w:rPr>
              <w:t>中标供应商在领取到通知书后需在一个月内与采购人签订合同，并在签订合同后</w:t>
            </w:r>
            <w:r>
              <w:rPr>
                <w:rFonts w:cs="仿宋"/>
                <w:color w:val="auto"/>
                <w:kern w:val="2"/>
                <w:szCs w:val="24"/>
              </w:rPr>
              <w:t>2</w:t>
            </w:r>
            <w:r>
              <w:rPr>
                <w:rFonts w:hint="eastAsia" w:cs="仿宋"/>
                <w:color w:val="auto"/>
                <w:kern w:val="2"/>
                <w:szCs w:val="24"/>
              </w:rPr>
              <w:t>个工作日内将合同送回我司，我司将根据法律法规依法公告；法律依据：《中华人民共和国政府采购法实施条例》</w:t>
            </w:r>
            <w:r>
              <w:rPr>
                <w:rFonts w:hint="eastAsia" w:cs="仿宋"/>
                <w:b/>
                <w:bCs/>
                <w:color w:val="auto"/>
                <w:kern w:val="2"/>
                <w:szCs w:val="24"/>
              </w:rPr>
              <w:t>第五十</w:t>
            </w:r>
            <w:r>
              <w:rPr>
                <w:rFonts w:hint="eastAsia" w:cs="仿宋"/>
                <w:color w:val="auto"/>
                <w:kern w:val="2"/>
                <w:szCs w:val="24"/>
              </w:rPr>
              <w:t>条款“采购人应当自政府采购合同签订之日起</w:t>
            </w:r>
            <w:r>
              <w:rPr>
                <w:rFonts w:cs="仿宋"/>
                <w:color w:val="auto"/>
                <w:kern w:val="2"/>
                <w:szCs w:val="24"/>
              </w:rPr>
              <w:t>2</w:t>
            </w:r>
            <w:r>
              <w:rPr>
                <w:rFonts w:hint="eastAsia" w:cs="仿宋"/>
                <w:color w:val="auto"/>
                <w:kern w:val="2"/>
                <w:szCs w:val="24"/>
              </w:rPr>
              <w:t>个工作日内，将政府采购合同在省级以上人民政府财政部门指定的媒体上公告，但政府采购合同中涉及国家秘密、商业秘密的内容除外。”</w:t>
            </w:r>
          </w:p>
        </w:tc>
      </w:tr>
    </w:tbl>
    <w:p>
      <w:pPr>
        <w:spacing w:line="460" w:lineRule="exact"/>
        <w:ind w:firstLine="560"/>
        <w:jc w:val="center"/>
        <w:outlineLvl w:val="1"/>
        <w:rPr>
          <w:rFonts w:ascii="宋体" w:hAnsi="宋体" w:cs="黑体"/>
          <w:b/>
          <w:color w:val="auto"/>
          <w:kern w:val="0"/>
          <w:sz w:val="24"/>
        </w:rPr>
      </w:pPr>
      <w:bookmarkStart w:id="3" w:name="_Toc1660486"/>
      <w:r>
        <w:rPr>
          <w:rFonts w:hint="eastAsia" w:ascii="宋体" w:hAnsi="宋体" w:cs="黑体"/>
          <w:b/>
          <w:color w:val="auto"/>
          <w:kern w:val="0"/>
          <w:sz w:val="24"/>
        </w:rPr>
        <w:t>一、总则</w:t>
      </w:r>
      <w:bookmarkEnd w:id="3"/>
    </w:p>
    <w:p>
      <w:pPr>
        <w:spacing w:line="460" w:lineRule="exact"/>
        <w:ind w:firstLine="561"/>
        <w:rPr>
          <w:rFonts w:ascii="宋体" w:hAnsi="宋体" w:cs="宋体"/>
          <w:b/>
          <w:bCs/>
          <w:color w:val="auto"/>
          <w:kern w:val="0"/>
          <w:sz w:val="24"/>
        </w:rPr>
      </w:pPr>
    </w:p>
    <w:p>
      <w:pPr>
        <w:spacing w:line="360" w:lineRule="auto"/>
        <w:rPr>
          <w:rFonts w:ascii="宋体" w:hAnsi="宋体" w:cs="仿宋"/>
          <w:b/>
          <w:bCs/>
          <w:color w:val="auto"/>
          <w:kern w:val="0"/>
          <w:sz w:val="24"/>
          <w:szCs w:val="24"/>
        </w:rPr>
      </w:pPr>
      <w:r>
        <w:rPr>
          <w:rFonts w:hint="eastAsia" w:ascii="宋体" w:hAnsi="宋体" w:cs="仿宋"/>
          <w:b/>
          <w:bCs/>
          <w:color w:val="auto"/>
          <w:kern w:val="0"/>
          <w:sz w:val="24"/>
          <w:szCs w:val="24"/>
        </w:rPr>
        <w:t>1.基本要求</w:t>
      </w:r>
    </w:p>
    <w:p>
      <w:pPr>
        <w:pStyle w:val="91"/>
        <w:spacing w:line="360" w:lineRule="auto"/>
        <w:ind w:firstLine="480"/>
        <w:rPr>
          <w:rFonts w:ascii="宋体" w:hAnsi="宋体" w:cs="仿宋"/>
          <w:color w:val="auto"/>
          <w:sz w:val="24"/>
          <w:szCs w:val="24"/>
        </w:rPr>
      </w:pPr>
      <w:r>
        <w:rPr>
          <w:rFonts w:hint="eastAsia" w:ascii="宋体" w:hAnsi="宋体" w:cs="仿宋"/>
          <w:color w:val="auto"/>
          <w:kern w:val="0"/>
          <w:sz w:val="24"/>
          <w:szCs w:val="24"/>
        </w:rPr>
        <w:t xml:space="preserve">1.1 </w:t>
      </w:r>
      <w:r>
        <w:rPr>
          <w:rFonts w:hint="eastAsia" w:ascii="宋体" w:hAnsi="宋体" w:cs="仿宋"/>
          <w:color w:val="auto"/>
          <w:sz w:val="24"/>
          <w:szCs w:val="24"/>
        </w:rPr>
        <w:t>本竞争性谈判文件适用于本文件</w:t>
      </w:r>
      <w:r>
        <w:rPr>
          <w:rFonts w:hint="eastAsia" w:ascii="宋体" w:hAnsi="宋体" w:cs="仿宋"/>
          <w:b/>
          <w:bCs/>
          <w:color w:val="auto"/>
          <w:sz w:val="24"/>
          <w:szCs w:val="24"/>
        </w:rPr>
        <w:t>第二章</w:t>
      </w:r>
      <w:r>
        <w:rPr>
          <w:rFonts w:hint="eastAsia" w:ascii="宋体" w:hAnsi="宋体" w:cs="仿宋"/>
          <w:color w:val="auto"/>
          <w:sz w:val="24"/>
          <w:szCs w:val="24"/>
        </w:rPr>
        <w:t>中所述货物及相关服务的谈判响应。</w:t>
      </w:r>
    </w:p>
    <w:p>
      <w:pPr>
        <w:pStyle w:val="91"/>
        <w:spacing w:line="360" w:lineRule="auto"/>
        <w:ind w:firstLine="480"/>
        <w:rPr>
          <w:rFonts w:ascii="宋体" w:hAnsi="宋体" w:cs="仿宋"/>
          <w:color w:val="auto"/>
          <w:sz w:val="24"/>
          <w:szCs w:val="24"/>
        </w:rPr>
      </w:pPr>
      <w:r>
        <w:rPr>
          <w:rFonts w:hint="eastAsia" w:ascii="宋体" w:hAnsi="宋体" w:cs="仿宋"/>
          <w:color w:val="auto"/>
          <w:kern w:val="0"/>
          <w:sz w:val="24"/>
          <w:szCs w:val="24"/>
        </w:rPr>
        <w:t>1.2 具体谈判范围、采购范围及所应达到的具体要求，以本竞争性谈判文件中商务、技术和服务的相应规定为准。供应商的响应文件必须满足本次采购的实质目的，完全实现所应有的全部要求。供应商若存在任何理解上无法正确确定之处，均应当按照竞争性谈判文件所规定的提交响应文件截止时间前的澄清、修改等程序提出，否则，由此导致的任何不利后果均应当由供应商自行承担。</w:t>
      </w:r>
    </w:p>
    <w:p>
      <w:pPr>
        <w:spacing w:line="360" w:lineRule="auto"/>
        <w:rPr>
          <w:rFonts w:ascii="宋体" w:hAnsi="宋体" w:cs="仿宋"/>
          <w:b/>
          <w:bCs/>
          <w:color w:val="auto"/>
          <w:sz w:val="24"/>
          <w:szCs w:val="24"/>
        </w:rPr>
      </w:pPr>
      <w:r>
        <w:rPr>
          <w:rFonts w:hint="eastAsia" w:ascii="宋体" w:hAnsi="宋体" w:cs="仿宋"/>
          <w:b/>
          <w:bCs/>
          <w:color w:val="auto"/>
          <w:sz w:val="24"/>
          <w:szCs w:val="24"/>
        </w:rPr>
        <w:t>2.定义</w:t>
      </w:r>
    </w:p>
    <w:p>
      <w:pPr>
        <w:spacing w:line="360" w:lineRule="auto"/>
        <w:ind w:firstLine="480" w:firstLineChars="200"/>
        <w:rPr>
          <w:rFonts w:ascii="宋体" w:hAnsi="宋体" w:cs="仿宋"/>
          <w:color w:val="auto"/>
          <w:sz w:val="24"/>
          <w:szCs w:val="24"/>
        </w:rPr>
      </w:pPr>
      <w:r>
        <w:rPr>
          <w:rFonts w:hint="eastAsia" w:ascii="宋体" w:hAnsi="宋体" w:cs="仿宋"/>
          <w:color w:val="auto"/>
          <w:sz w:val="24"/>
          <w:szCs w:val="24"/>
        </w:rPr>
        <w:t>2.1“采购人”系指本项目的采购人，含采购需求者和使用者，在履行合同阶段称为甲方或买方，名称详见供应商须知前附表第1条。</w:t>
      </w:r>
    </w:p>
    <w:p>
      <w:pPr>
        <w:spacing w:line="360" w:lineRule="auto"/>
        <w:ind w:firstLine="480" w:firstLineChars="200"/>
        <w:rPr>
          <w:rFonts w:ascii="宋体" w:hAnsi="宋体" w:cs="仿宋"/>
          <w:color w:val="auto"/>
          <w:sz w:val="24"/>
          <w:szCs w:val="24"/>
        </w:rPr>
      </w:pPr>
      <w:r>
        <w:rPr>
          <w:rFonts w:hint="eastAsia" w:ascii="宋体" w:hAnsi="宋体" w:cs="仿宋"/>
          <w:color w:val="auto"/>
          <w:sz w:val="24"/>
          <w:szCs w:val="24"/>
        </w:rPr>
        <w:t>2.2“采购代理机构”系指组织本次采购活动的海南政辉</w:t>
      </w:r>
      <w:r>
        <w:rPr>
          <w:rFonts w:ascii="宋体" w:hAnsi="宋体" w:cs="仿宋"/>
          <w:color w:val="auto"/>
          <w:sz w:val="24"/>
          <w:szCs w:val="24"/>
        </w:rPr>
        <w:t>招投标代理有限公司</w:t>
      </w:r>
      <w:r>
        <w:rPr>
          <w:rFonts w:hint="eastAsia" w:ascii="宋体" w:hAnsi="宋体" w:cs="仿宋"/>
          <w:color w:val="auto"/>
          <w:sz w:val="24"/>
          <w:szCs w:val="24"/>
        </w:rPr>
        <w:t>。</w:t>
      </w:r>
    </w:p>
    <w:p>
      <w:pPr>
        <w:spacing w:line="360" w:lineRule="auto"/>
        <w:ind w:firstLine="480" w:firstLineChars="200"/>
        <w:rPr>
          <w:rFonts w:ascii="宋体" w:hAnsi="宋体" w:cs="仿宋"/>
          <w:color w:val="auto"/>
          <w:sz w:val="24"/>
          <w:szCs w:val="24"/>
        </w:rPr>
      </w:pPr>
      <w:r>
        <w:rPr>
          <w:rFonts w:hint="eastAsia" w:ascii="宋体" w:hAnsi="宋体" w:cs="仿宋"/>
          <w:color w:val="auto"/>
          <w:sz w:val="24"/>
          <w:szCs w:val="24"/>
        </w:rPr>
        <w:t>2.3“供应商”系指</w:t>
      </w:r>
      <w:r>
        <w:rPr>
          <w:rFonts w:hint="eastAsia" w:ascii="宋体" w:hAnsi="宋体" w:cs="仿宋"/>
          <w:color w:val="auto"/>
          <w:sz w:val="24"/>
          <w:szCs w:val="24"/>
          <w:lang w:val="zh-CN"/>
        </w:rPr>
        <w:t>响应并且符合竞争性谈判文件规定资格条件和参加谈判的法人、其他组织或者自然人。</w:t>
      </w:r>
      <w:r>
        <w:rPr>
          <w:rFonts w:hint="eastAsia" w:ascii="宋体" w:hAnsi="宋体" w:cs="仿宋"/>
          <w:color w:val="auto"/>
          <w:sz w:val="24"/>
          <w:szCs w:val="24"/>
        </w:rPr>
        <w:t>在谈判阶段称为供应商、供应商在签订和履行合同阶段称为乙方、卖方或成交供应商。</w:t>
      </w:r>
    </w:p>
    <w:p>
      <w:pPr>
        <w:spacing w:line="360" w:lineRule="auto"/>
        <w:ind w:firstLine="480" w:firstLineChars="200"/>
        <w:rPr>
          <w:rFonts w:ascii="宋体" w:hAnsi="宋体" w:cs="仿宋"/>
          <w:color w:val="auto"/>
          <w:sz w:val="24"/>
          <w:szCs w:val="24"/>
        </w:rPr>
      </w:pPr>
      <w:r>
        <w:rPr>
          <w:rFonts w:hint="eastAsia" w:ascii="宋体" w:hAnsi="宋体" w:cs="仿宋"/>
          <w:color w:val="auto"/>
          <w:sz w:val="24"/>
          <w:szCs w:val="24"/>
        </w:rPr>
        <w:t>2.4“潜在供应商”指符合本竞争性谈判文件各项规定的合格供应商。</w:t>
      </w:r>
    </w:p>
    <w:p>
      <w:pPr>
        <w:spacing w:line="360" w:lineRule="auto"/>
        <w:ind w:firstLine="480" w:firstLineChars="200"/>
        <w:rPr>
          <w:rFonts w:ascii="宋体" w:hAnsi="宋体" w:cs="仿宋"/>
          <w:color w:val="auto"/>
          <w:sz w:val="24"/>
          <w:szCs w:val="24"/>
        </w:rPr>
      </w:pPr>
      <w:r>
        <w:rPr>
          <w:rFonts w:hint="eastAsia" w:ascii="宋体" w:hAnsi="宋体" w:cs="仿宋"/>
          <w:color w:val="auto"/>
          <w:sz w:val="24"/>
          <w:szCs w:val="24"/>
        </w:rPr>
        <w:t>2.5 “服务”指本竞争性谈判文件</w:t>
      </w:r>
      <w:r>
        <w:rPr>
          <w:rFonts w:hint="eastAsia" w:ascii="宋体" w:hAnsi="宋体" w:cs="仿宋"/>
          <w:b/>
          <w:bCs/>
          <w:color w:val="auto"/>
          <w:sz w:val="24"/>
          <w:szCs w:val="24"/>
        </w:rPr>
        <w:t>第二章</w:t>
      </w:r>
      <w:r>
        <w:rPr>
          <w:rFonts w:hint="eastAsia" w:ascii="宋体" w:hAnsi="宋体" w:cs="仿宋"/>
          <w:color w:val="auto"/>
          <w:sz w:val="24"/>
          <w:szCs w:val="24"/>
        </w:rPr>
        <w:t>所述供应商应该履行的承诺和义务。</w:t>
      </w:r>
      <w:bookmarkStart w:id="4" w:name="_Toc267320062"/>
    </w:p>
    <w:p>
      <w:pPr>
        <w:spacing w:line="360" w:lineRule="auto"/>
        <w:ind w:firstLine="480" w:firstLineChars="200"/>
        <w:rPr>
          <w:rFonts w:ascii="宋体" w:hAnsi="宋体" w:cs="仿宋"/>
          <w:color w:val="auto"/>
          <w:sz w:val="24"/>
          <w:szCs w:val="24"/>
        </w:rPr>
      </w:pPr>
      <w:r>
        <w:rPr>
          <w:rFonts w:hint="eastAsia" w:ascii="宋体" w:hAnsi="宋体" w:cs="仿宋"/>
          <w:color w:val="auto"/>
          <w:sz w:val="24"/>
          <w:szCs w:val="24"/>
        </w:rPr>
        <w:t>2.6 本竞争性谈判文件规定按日计算期间的，开始当天不计入，从次日开始计算。期限的最后一日是国家法定节假日的，顺延到节假日后的次日为期限的最后一日。</w:t>
      </w:r>
    </w:p>
    <w:p>
      <w:pPr>
        <w:spacing w:line="360" w:lineRule="auto"/>
        <w:rPr>
          <w:rFonts w:ascii="宋体" w:hAnsi="宋体" w:cs="仿宋"/>
          <w:b/>
          <w:bCs/>
          <w:color w:val="auto"/>
          <w:sz w:val="24"/>
          <w:szCs w:val="24"/>
        </w:rPr>
      </w:pPr>
      <w:r>
        <w:rPr>
          <w:rFonts w:hint="eastAsia" w:ascii="宋体" w:hAnsi="宋体" w:cs="仿宋"/>
          <w:b/>
          <w:bCs/>
          <w:color w:val="auto"/>
          <w:sz w:val="24"/>
          <w:szCs w:val="24"/>
        </w:rPr>
        <w:t>3.合格的</w:t>
      </w:r>
      <w:bookmarkEnd w:id="4"/>
      <w:r>
        <w:rPr>
          <w:rFonts w:hint="eastAsia" w:ascii="宋体" w:hAnsi="宋体" w:cs="仿宋"/>
          <w:b/>
          <w:bCs/>
          <w:color w:val="auto"/>
          <w:sz w:val="24"/>
          <w:szCs w:val="24"/>
        </w:rPr>
        <w:t>供应商</w:t>
      </w:r>
    </w:p>
    <w:p>
      <w:pPr>
        <w:spacing w:line="360" w:lineRule="auto"/>
        <w:ind w:firstLine="482" w:firstLineChars="200"/>
        <w:rPr>
          <w:rFonts w:ascii="宋体" w:hAnsi="宋体" w:cs="仿宋"/>
          <w:b/>
          <w:bCs/>
          <w:color w:val="auto"/>
          <w:sz w:val="24"/>
          <w:szCs w:val="24"/>
        </w:rPr>
      </w:pPr>
      <w:r>
        <w:rPr>
          <w:rFonts w:hint="eastAsia" w:ascii="宋体" w:hAnsi="宋体" w:cs="仿宋"/>
          <w:b/>
          <w:bCs/>
          <w:color w:val="auto"/>
          <w:sz w:val="24"/>
          <w:szCs w:val="24"/>
        </w:rPr>
        <w:t>3.1合格供应商条件</w:t>
      </w:r>
    </w:p>
    <w:p>
      <w:pPr>
        <w:spacing w:line="360" w:lineRule="auto"/>
        <w:ind w:firstLine="480" w:firstLineChars="200"/>
        <w:rPr>
          <w:rFonts w:ascii="宋体" w:hAnsi="宋体" w:cs="仿宋"/>
          <w:color w:val="auto"/>
          <w:sz w:val="24"/>
          <w:szCs w:val="24"/>
        </w:rPr>
      </w:pPr>
      <w:r>
        <w:rPr>
          <w:rFonts w:hint="eastAsia" w:ascii="宋体" w:hAnsi="宋体" w:cs="仿宋"/>
          <w:color w:val="auto"/>
          <w:sz w:val="24"/>
          <w:szCs w:val="24"/>
        </w:rPr>
        <w:t>3.1.1具有本项目实施能力，符合、承认并承诺履行本竞争性谈判文件各项规定的国内供应商均可参加谈判。</w:t>
      </w:r>
    </w:p>
    <w:p>
      <w:pPr>
        <w:spacing w:line="360" w:lineRule="auto"/>
        <w:ind w:firstLine="480" w:firstLineChars="200"/>
        <w:rPr>
          <w:rFonts w:ascii="宋体" w:hAnsi="宋体" w:cs="仿宋"/>
          <w:color w:val="auto"/>
          <w:sz w:val="24"/>
          <w:szCs w:val="24"/>
        </w:rPr>
      </w:pPr>
      <w:r>
        <w:rPr>
          <w:rFonts w:hint="eastAsia" w:ascii="宋体" w:hAnsi="宋体" w:cs="仿宋"/>
          <w:color w:val="auto"/>
          <w:sz w:val="24"/>
          <w:szCs w:val="24"/>
        </w:rPr>
        <w:t>3.1.2 供应商应符合《中华人民共和国政府采购法》规定的条件：</w:t>
      </w:r>
    </w:p>
    <w:p>
      <w:pPr>
        <w:spacing w:line="360" w:lineRule="auto"/>
        <w:ind w:firstLine="480" w:firstLineChars="200"/>
        <w:rPr>
          <w:rFonts w:ascii="宋体" w:hAnsi="宋体" w:cs="仿宋"/>
          <w:color w:val="auto"/>
          <w:sz w:val="24"/>
          <w:szCs w:val="24"/>
        </w:rPr>
      </w:pPr>
      <w:r>
        <w:rPr>
          <w:rFonts w:hint="eastAsia" w:ascii="宋体" w:hAnsi="宋体" w:cs="仿宋"/>
          <w:color w:val="auto"/>
          <w:sz w:val="24"/>
          <w:szCs w:val="24"/>
        </w:rPr>
        <w:t>（1）具有独立承担民事责任的能力；</w:t>
      </w:r>
    </w:p>
    <w:p>
      <w:pPr>
        <w:spacing w:line="360" w:lineRule="auto"/>
        <w:ind w:firstLine="480" w:firstLineChars="200"/>
        <w:rPr>
          <w:rFonts w:ascii="宋体" w:hAnsi="宋体" w:cs="仿宋"/>
          <w:color w:val="auto"/>
          <w:sz w:val="24"/>
          <w:szCs w:val="24"/>
        </w:rPr>
      </w:pPr>
      <w:r>
        <w:rPr>
          <w:rFonts w:hint="eastAsia" w:ascii="宋体" w:hAnsi="宋体" w:cs="仿宋"/>
          <w:color w:val="auto"/>
          <w:sz w:val="24"/>
          <w:szCs w:val="24"/>
        </w:rPr>
        <w:t>（2）具有良好的商业信誉和健全的财务会计制度；</w:t>
      </w:r>
    </w:p>
    <w:p>
      <w:pPr>
        <w:spacing w:line="360" w:lineRule="auto"/>
        <w:ind w:firstLine="480" w:firstLineChars="200"/>
        <w:rPr>
          <w:rFonts w:ascii="宋体" w:hAnsi="宋体" w:cs="仿宋"/>
          <w:color w:val="auto"/>
          <w:sz w:val="24"/>
          <w:szCs w:val="24"/>
        </w:rPr>
      </w:pPr>
      <w:r>
        <w:rPr>
          <w:rFonts w:hint="eastAsia" w:ascii="宋体" w:hAnsi="宋体" w:cs="仿宋"/>
          <w:color w:val="auto"/>
          <w:sz w:val="24"/>
          <w:szCs w:val="24"/>
        </w:rPr>
        <w:t>（3）具有履行合同所必需的设备和专业技术能力；</w:t>
      </w:r>
    </w:p>
    <w:p>
      <w:pPr>
        <w:spacing w:line="360" w:lineRule="auto"/>
        <w:ind w:firstLine="480" w:firstLineChars="200"/>
        <w:rPr>
          <w:rFonts w:ascii="宋体" w:hAnsi="宋体" w:cs="仿宋"/>
          <w:color w:val="auto"/>
          <w:sz w:val="24"/>
          <w:szCs w:val="24"/>
        </w:rPr>
      </w:pPr>
      <w:r>
        <w:rPr>
          <w:rFonts w:hint="eastAsia" w:ascii="宋体" w:hAnsi="宋体" w:cs="仿宋"/>
          <w:color w:val="auto"/>
          <w:sz w:val="24"/>
          <w:szCs w:val="24"/>
        </w:rPr>
        <w:t>（4）有依法缴纳税收和社会保障资金的良好记录；</w:t>
      </w:r>
    </w:p>
    <w:p>
      <w:pPr>
        <w:spacing w:line="360" w:lineRule="auto"/>
        <w:ind w:firstLine="480" w:firstLineChars="200"/>
        <w:rPr>
          <w:rFonts w:ascii="宋体" w:hAnsi="宋体" w:cs="仿宋"/>
          <w:color w:val="auto"/>
          <w:sz w:val="24"/>
          <w:szCs w:val="24"/>
        </w:rPr>
      </w:pPr>
      <w:r>
        <w:rPr>
          <w:rFonts w:hint="eastAsia" w:ascii="宋体" w:hAnsi="宋体" w:cs="仿宋"/>
          <w:color w:val="auto"/>
          <w:sz w:val="24"/>
          <w:szCs w:val="24"/>
        </w:rPr>
        <w:t>（5）参加此项采购活动前三年内，在经营活动中没有重大违法记录；</w:t>
      </w:r>
    </w:p>
    <w:p>
      <w:pPr>
        <w:spacing w:line="360" w:lineRule="auto"/>
        <w:ind w:firstLine="480" w:firstLineChars="200"/>
        <w:rPr>
          <w:rFonts w:ascii="宋体" w:hAnsi="宋体" w:cs="仿宋"/>
          <w:color w:val="auto"/>
          <w:sz w:val="24"/>
          <w:szCs w:val="24"/>
        </w:rPr>
      </w:pPr>
      <w:r>
        <w:rPr>
          <w:rFonts w:hint="eastAsia" w:ascii="宋体" w:hAnsi="宋体" w:cs="仿宋"/>
          <w:color w:val="auto"/>
          <w:sz w:val="24"/>
          <w:szCs w:val="24"/>
        </w:rPr>
        <w:t>（6）法律、行政法规规定的其他条件。</w:t>
      </w:r>
    </w:p>
    <w:p>
      <w:pPr>
        <w:spacing w:line="360" w:lineRule="auto"/>
        <w:ind w:firstLine="480" w:firstLineChars="200"/>
        <w:rPr>
          <w:rFonts w:hint="eastAsia" w:ascii="宋体" w:hAnsi="宋体"/>
          <w:color w:val="auto"/>
          <w:sz w:val="24"/>
          <w:szCs w:val="22"/>
          <w:lang w:eastAsia="zh-CN"/>
        </w:rPr>
      </w:pPr>
      <w:r>
        <w:rPr>
          <w:rFonts w:hint="eastAsia" w:ascii="宋体" w:hAnsi="宋体" w:cs="仿宋"/>
          <w:color w:val="auto"/>
          <w:sz w:val="24"/>
          <w:szCs w:val="24"/>
        </w:rPr>
        <w:t>3.1.3</w:t>
      </w:r>
      <w:r>
        <w:rPr>
          <w:rFonts w:hint="eastAsia" w:ascii="宋体" w:hAnsi="宋体"/>
          <w:color w:val="auto"/>
          <w:sz w:val="24"/>
          <w:szCs w:val="22"/>
        </w:rPr>
        <w:t>“信用中国”网站(www.creditchina.gov.cn)渠道查询供应商信用记录，经查询</w:t>
      </w:r>
      <w:r>
        <w:rPr>
          <w:rFonts w:hint="eastAsia" w:ascii="宋体" w:hAnsi="宋体"/>
          <w:color w:val="auto"/>
          <w:sz w:val="24"/>
          <w:szCs w:val="22"/>
          <w:lang w:eastAsia="zh-CN"/>
        </w:rPr>
        <w:t>未</w:t>
      </w:r>
      <w:r>
        <w:rPr>
          <w:rFonts w:hint="eastAsia" w:ascii="宋体" w:hAnsi="宋体"/>
          <w:color w:val="auto"/>
          <w:sz w:val="24"/>
          <w:szCs w:val="22"/>
        </w:rPr>
        <w:t>列入失信被执行人、重大税收违法案件当事人名单</w:t>
      </w:r>
      <w:r>
        <w:rPr>
          <w:rFonts w:hint="eastAsia" w:ascii="宋体" w:hAnsi="宋体"/>
          <w:color w:val="auto"/>
          <w:sz w:val="24"/>
          <w:szCs w:val="22"/>
          <w:lang w:eastAsia="zh-CN"/>
        </w:rPr>
        <w:t>的截图和</w:t>
      </w:r>
      <w:r>
        <w:rPr>
          <w:rFonts w:hint="eastAsia" w:ascii="宋体" w:hAnsi="宋体"/>
          <w:color w:val="auto"/>
          <w:sz w:val="24"/>
          <w:szCs w:val="22"/>
        </w:rPr>
        <w:t>中国政府采购网(www.ccgp.gov.cn)渠道查询供应商信用记录，经查询</w:t>
      </w:r>
      <w:r>
        <w:rPr>
          <w:rFonts w:hint="eastAsia" w:ascii="宋体" w:hAnsi="宋体"/>
          <w:color w:val="auto"/>
          <w:sz w:val="24"/>
          <w:szCs w:val="22"/>
          <w:lang w:eastAsia="zh-CN"/>
        </w:rPr>
        <w:t>未</w:t>
      </w:r>
      <w:r>
        <w:rPr>
          <w:rFonts w:hint="eastAsia" w:ascii="宋体" w:hAnsi="宋体"/>
          <w:color w:val="auto"/>
          <w:sz w:val="24"/>
          <w:szCs w:val="22"/>
        </w:rPr>
        <w:t>列入政府采购严重违法失信行为记录名单</w:t>
      </w:r>
      <w:r>
        <w:rPr>
          <w:rFonts w:hint="eastAsia" w:ascii="宋体" w:hAnsi="宋体"/>
          <w:color w:val="auto"/>
          <w:sz w:val="24"/>
          <w:szCs w:val="22"/>
          <w:lang w:eastAsia="zh-CN"/>
        </w:rPr>
        <w:t>的截图（提供网址证明截图并加盖公章）。</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仿宋"/>
          <w:color w:val="auto"/>
          <w:sz w:val="24"/>
          <w:szCs w:val="24"/>
        </w:rPr>
        <w:t>3.1.</w:t>
      </w:r>
      <w:r>
        <w:rPr>
          <w:rFonts w:hint="eastAsia" w:ascii="宋体" w:hAnsi="宋体" w:cs="仿宋"/>
          <w:color w:val="auto"/>
          <w:sz w:val="24"/>
          <w:szCs w:val="24"/>
          <w:lang w:val="en-US" w:eastAsia="zh-CN"/>
        </w:rPr>
        <w:t>4</w:t>
      </w:r>
      <w:r>
        <w:rPr>
          <w:rFonts w:hint="eastAsia" w:ascii="宋体" w:hAnsi="宋体"/>
          <w:color w:val="auto"/>
          <w:sz w:val="24"/>
        </w:rPr>
        <w:t>、</w:t>
      </w:r>
      <w:r>
        <w:rPr>
          <w:rFonts w:hint="eastAsia" w:ascii="宋体" w:hAnsi="宋体" w:cs="宋体"/>
          <w:color w:val="auto"/>
          <w:sz w:val="24"/>
          <w:highlight w:val="none"/>
          <w:lang w:val="en-US" w:eastAsia="zh-CN"/>
        </w:rPr>
        <w:t>本次招标要求供应商须具备建筑工程施工总承包三级或以上资质或建筑装修装饰工程专业承包贰级或以上资质且具有有效的安全生产许可证，并在人员、设备、资金等方面具有相应的施工能力。其中投标人拟派项目负责人（项目经理）须具有建筑工程专业二级或以上注册建造师资格，要求未担任其他在施建设工程项目的项目负责人（项目经理）。</w:t>
      </w:r>
    </w:p>
    <w:p>
      <w:pPr>
        <w:spacing w:line="360" w:lineRule="auto"/>
        <w:ind w:firstLine="480" w:firstLineChars="200"/>
        <w:rPr>
          <w:color w:val="auto"/>
        </w:rPr>
      </w:pPr>
      <w:r>
        <w:rPr>
          <w:rFonts w:hint="eastAsia" w:ascii="宋体" w:hAnsi="宋体" w:cs="仿宋"/>
          <w:color w:val="auto"/>
          <w:sz w:val="24"/>
          <w:szCs w:val="24"/>
        </w:rPr>
        <w:t>3.1.</w:t>
      </w:r>
      <w:r>
        <w:rPr>
          <w:rFonts w:hint="eastAsia" w:ascii="宋体" w:hAnsi="宋体" w:cs="仿宋"/>
          <w:color w:val="auto"/>
          <w:sz w:val="24"/>
          <w:szCs w:val="24"/>
          <w:lang w:val="en-US" w:eastAsia="zh-CN"/>
        </w:rPr>
        <w:t>5</w:t>
      </w:r>
      <w:r>
        <w:rPr>
          <w:rFonts w:hint="eastAsia" w:ascii="宋体" w:hAnsi="宋体"/>
          <w:color w:val="auto"/>
          <w:sz w:val="24"/>
          <w:szCs w:val="22"/>
        </w:rPr>
        <w:t>、具备《海南省建筑企业诚信档案手册》</w:t>
      </w:r>
      <w:r>
        <w:rPr>
          <w:rFonts w:hint="eastAsia" w:ascii="宋体" w:hAnsi="宋体"/>
          <w:color w:val="auto"/>
          <w:sz w:val="24"/>
          <w:szCs w:val="22"/>
          <w:lang w:val="en-US" w:eastAsia="zh-CN"/>
        </w:rPr>
        <w:t>。</w:t>
      </w:r>
    </w:p>
    <w:p>
      <w:pPr>
        <w:spacing w:line="360" w:lineRule="auto"/>
        <w:ind w:firstLine="482" w:firstLineChars="200"/>
        <w:rPr>
          <w:rFonts w:ascii="宋体" w:hAnsi="宋体" w:cs="仿宋"/>
          <w:b/>
          <w:bCs/>
          <w:color w:val="auto"/>
          <w:sz w:val="24"/>
          <w:szCs w:val="24"/>
        </w:rPr>
      </w:pPr>
      <w:r>
        <w:rPr>
          <w:rFonts w:hint="eastAsia" w:ascii="宋体" w:hAnsi="宋体" w:cs="仿宋"/>
          <w:b/>
          <w:bCs/>
          <w:color w:val="auto"/>
          <w:sz w:val="24"/>
          <w:szCs w:val="24"/>
        </w:rPr>
        <w:t>3.2 关系供应商限制</w:t>
      </w:r>
    </w:p>
    <w:p>
      <w:pPr>
        <w:spacing w:line="360" w:lineRule="auto"/>
        <w:ind w:firstLine="480" w:firstLineChars="200"/>
        <w:rPr>
          <w:rFonts w:ascii="宋体" w:hAnsi="宋体" w:cs="仿宋"/>
          <w:color w:val="auto"/>
          <w:sz w:val="24"/>
          <w:szCs w:val="24"/>
        </w:rPr>
      </w:pPr>
      <w:r>
        <w:rPr>
          <w:rFonts w:hint="eastAsia" w:ascii="宋体" w:hAnsi="宋体" w:cs="仿宋"/>
          <w:color w:val="auto"/>
          <w:sz w:val="24"/>
          <w:szCs w:val="24"/>
        </w:rPr>
        <w:t>3.2.1 利害关系供应商处理。单位负责人为同一人或者存在直接控股、管理关系的不同供应商不得参加同一合同项下的政府采购活动，否则，其响应文件作为无效处理。</w:t>
      </w:r>
    </w:p>
    <w:p>
      <w:pPr>
        <w:spacing w:line="360" w:lineRule="auto"/>
        <w:ind w:firstLine="480" w:firstLineChars="200"/>
        <w:rPr>
          <w:rFonts w:ascii="宋体" w:hAnsi="宋体" w:cs="仿宋"/>
          <w:color w:val="auto"/>
          <w:sz w:val="24"/>
          <w:szCs w:val="24"/>
        </w:rPr>
      </w:pPr>
      <w:r>
        <w:rPr>
          <w:rFonts w:hint="eastAsia" w:ascii="宋体" w:hAnsi="宋体" w:cs="仿宋"/>
          <w:color w:val="auto"/>
          <w:sz w:val="24"/>
          <w:szCs w:val="24"/>
        </w:rPr>
        <w:t>3.2.2 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spacing w:line="360" w:lineRule="auto"/>
        <w:ind w:firstLine="480" w:firstLineChars="200"/>
        <w:rPr>
          <w:rFonts w:ascii="宋体" w:hAnsi="宋体" w:cs="仿宋"/>
          <w:color w:val="auto"/>
          <w:sz w:val="24"/>
          <w:szCs w:val="24"/>
        </w:rPr>
      </w:pPr>
      <w:r>
        <w:rPr>
          <w:rFonts w:hint="eastAsia" w:ascii="宋体" w:hAnsi="宋体" w:cs="仿宋"/>
          <w:color w:val="auto"/>
          <w:sz w:val="24"/>
          <w:szCs w:val="24"/>
        </w:rPr>
        <w:t>3.2.3 利害关系代理人处理。2家以上的供应商不得在同一合同项下的采购项目中，同时委托同一个自然人、同一家庭的人员、同一单位的人员作为其代理人，否则，其响应文件作为无效处理。</w:t>
      </w:r>
    </w:p>
    <w:p>
      <w:pPr>
        <w:spacing w:line="360" w:lineRule="auto"/>
        <w:ind w:firstLine="482" w:firstLineChars="200"/>
        <w:rPr>
          <w:rFonts w:ascii="宋体" w:hAnsi="宋体" w:cs="仿宋"/>
          <w:b/>
          <w:bCs/>
          <w:color w:val="auto"/>
          <w:sz w:val="24"/>
          <w:szCs w:val="24"/>
        </w:rPr>
      </w:pPr>
      <w:r>
        <w:rPr>
          <w:rFonts w:hint="eastAsia" w:ascii="宋体" w:hAnsi="宋体" w:cs="仿宋"/>
          <w:b/>
          <w:bCs/>
          <w:color w:val="auto"/>
          <w:sz w:val="24"/>
          <w:szCs w:val="24"/>
        </w:rPr>
        <w:t>3.3 联合体响应</w:t>
      </w:r>
    </w:p>
    <w:p>
      <w:pPr>
        <w:spacing w:line="360" w:lineRule="auto"/>
        <w:ind w:firstLine="480" w:firstLineChars="200"/>
        <w:rPr>
          <w:rFonts w:ascii="宋体" w:hAnsi="宋体" w:cs="仿宋"/>
          <w:b/>
          <w:bCs/>
          <w:color w:val="auto"/>
          <w:sz w:val="24"/>
          <w:szCs w:val="24"/>
        </w:rPr>
      </w:pPr>
      <w:r>
        <w:rPr>
          <w:rFonts w:hint="eastAsia" w:ascii="宋体" w:hAnsi="宋体" w:cs="仿宋"/>
          <w:color w:val="auto"/>
          <w:sz w:val="24"/>
          <w:szCs w:val="24"/>
        </w:rPr>
        <w:t>本项目不接受联合体响应。</w:t>
      </w:r>
    </w:p>
    <w:p>
      <w:pPr>
        <w:spacing w:line="360" w:lineRule="auto"/>
        <w:ind w:firstLine="482" w:firstLineChars="200"/>
        <w:rPr>
          <w:rFonts w:ascii="宋体" w:hAnsi="宋体" w:cs="仿宋"/>
          <w:b/>
          <w:bCs/>
          <w:color w:val="auto"/>
          <w:sz w:val="24"/>
          <w:szCs w:val="24"/>
        </w:rPr>
      </w:pPr>
      <w:r>
        <w:rPr>
          <w:rFonts w:hint="eastAsia" w:ascii="宋体" w:hAnsi="宋体" w:cs="仿宋"/>
          <w:b/>
          <w:bCs/>
          <w:color w:val="auto"/>
          <w:sz w:val="24"/>
          <w:szCs w:val="24"/>
        </w:rPr>
        <w:t>3.4供应商的风险</w:t>
      </w:r>
    </w:p>
    <w:p>
      <w:pPr>
        <w:spacing w:line="360" w:lineRule="auto"/>
        <w:ind w:firstLine="480" w:firstLineChars="200"/>
        <w:rPr>
          <w:rFonts w:ascii="宋体" w:hAnsi="宋体" w:cs="仿宋"/>
          <w:color w:val="auto"/>
          <w:sz w:val="24"/>
          <w:szCs w:val="24"/>
        </w:rPr>
      </w:pPr>
      <w:r>
        <w:rPr>
          <w:rFonts w:hint="eastAsia" w:ascii="宋体" w:hAnsi="宋体" w:cs="仿宋"/>
          <w:color w:val="auto"/>
          <w:sz w:val="24"/>
          <w:szCs w:val="24"/>
        </w:rPr>
        <w:t>3.4.1如供应商代表不是法定代表人/主要负责人，在递交响应文件时须出示身份证原件，并递交身份证复印件和法定代表人/主要负责人授权委托书原件（按竞争性谈判文件格式填写），否则响应文件将被</w:t>
      </w:r>
      <w:r>
        <w:rPr>
          <w:rFonts w:hint="eastAsia" w:ascii="宋体" w:hAnsi="宋体" w:cs="仿宋"/>
          <w:b/>
          <w:bCs/>
          <w:color w:val="auto"/>
          <w:sz w:val="24"/>
          <w:szCs w:val="24"/>
        </w:rPr>
        <w:t>拒绝</w:t>
      </w:r>
      <w:r>
        <w:rPr>
          <w:rFonts w:hint="eastAsia" w:ascii="宋体" w:hAnsi="宋体" w:cs="仿宋"/>
          <w:color w:val="auto"/>
          <w:sz w:val="24"/>
          <w:szCs w:val="24"/>
        </w:rPr>
        <w:t>；如供应商代表是法定代表人/主要负责人，在递交响应文件时须出示身份证原件，并递交身份证复印件，否则响应文件将被</w:t>
      </w:r>
      <w:r>
        <w:rPr>
          <w:rFonts w:hint="eastAsia" w:ascii="宋体" w:hAnsi="宋体" w:cs="仿宋"/>
          <w:b/>
          <w:bCs/>
          <w:color w:val="auto"/>
          <w:sz w:val="24"/>
          <w:szCs w:val="24"/>
        </w:rPr>
        <w:t>拒绝</w:t>
      </w:r>
      <w:r>
        <w:rPr>
          <w:rFonts w:hint="eastAsia" w:ascii="宋体" w:hAnsi="宋体" w:cs="仿宋"/>
          <w:color w:val="auto"/>
          <w:sz w:val="24"/>
          <w:szCs w:val="24"/>
        </w:rPr>
        <w:t>。</w:t>
      </w:r>
    </w:p>
    <w:p>
      <w:pPr>
        <w:spacing w:line="360" w:lineRule="auto"/>
        <w:ind w:firstLine="480" w:firstLineChars="200"/>
        <w:rPr>
          <w:rFonts w:ascii="宋体" w:hAnsi="宋体" w:cs="仿宋"/>
          <w:color w:val="auto"/>
          <w:sz w:val="24"/>
          <w:szCs w:val="24"/>
        </w:rPr>
      </w:pPr>
      <w:r>
        <w:rPr>
          <w:rFonts w:hint="eastAsia" w:ascii="宋体" w:hAnsi="宋体" w:cs="仿宋"/>
          <w:color w:val="auto"/>
          <w:sz w:val="24"/>
          <w:szCs w:val="24"/>
        </w:rPr>
        <w:t>3.4.2供应商没有按照竞争性谈判文件的要求编制、签署、密封、标记、递交及修正响应文件的，自行承担响应无效的风险。</w:t>
      </w:r>
    </w:p>
    <w:p>
      <w:pPr>
        <w:spacing w:line="360" w:lineRule="auto"/>
        <w:ind w:firstLine="480" w:firstLineChars="200"/>
        <w:rPr>
          <w:rFonts w:ascii="宋体" w:hAnsi="宋体" w:cs="仿宋"/>
          <w:color w:val="auto"/>
          <w:sz w:val="24"/>
          <w:szCs w:val="24"/>
        </w:rPr>
      </w:pPr>
      <w:r>
        <w:rPr>
          <w:rFonts w:hint="eastAsia" w:ascii="宋体" w:hAnsi="宋体" w:cs="仿宋"/>
          <w:color w:val="auto"/>
          <w:sz w:val="24"/>
          <w:szCs w:val="24"/>
        </w:rPr>
        <w:t>3.4.3响应文件没有对竞争性谈判文件在各方面都做出实质性响应的，视为不合格供应商。</w:t>
      </w:r>
    </w:p>
    <w:p>
      <w:pPr>
        <w:spacing w:line="360" w:lineRule="auto"/>
        <w:ind w:firstLine="480" w:firstLineChars="200"/>
        <w:rPr>
          <w:rFonts w:ascii="宋体" w:hAnsi="宋体" w:cs="仿宋"/>
          <w:color w:val="auto"/>
          <w:sz w:val="24"/>
          <w:szCs w:val="24"/>
        </w:rPr>
      </w:pPr>
      <w:r>
        <w:rPr>
          <w:rFonts w:hint="eastAsia" w:ascii="宋体" w:hAnsi="宋体" w:cs="仿宋"/>
          <w:color w:val="auto"/>
          <w:sz w:val="24"/>
          <w:szCs w:val="24"/>
        </w:rPr>
        <w:t>3.4.4供应商提交的响应文件内容有下列情形之一的，一经发现，采购代理机构或采购人在任何时候都有权依法追究供应商的责任：</w:t>
      </w:r>
    </w:p>
    <w:p>
      <w:pPr>
        <w:spacing w:line="360" w:lineRule="auto"/>
        <w:ind w:firstLine="480" w:firstLineChars="200"/>
        <w:rPr>
          <w:rFonts w:ascii="宋体" w:hAnsi="宋体" w:cs="仿宋"/>
          <w:color w:val="auto"/>
          <w:sz w:val="24"/>
          <w:szCs w:val="24"/>
        </w:rPr>
      </w:pPr>
      <w:r>
        <w:rPr>
          <w:rFonts w:hint="eastAsia" w:ascii="宋体" w:hAnsi="宋体" w:cs="仿宋"/>
          <w:color w:val="auto"/>
          <w:sz w:val="24"/>
          <w:szCs w:val="24"/>
        </w:rPr>
        <w:t>（1）提供虚假的资料。</w:t>
      </w:r>
    </w:p>
    <w:p>
      <w:pPr>
        <w:spacing w:line="360" w:lineRule="auto"/>
        <w:ind w:firstLine="480" w:firstLineChars="200"/>
        <w:rPr>
          <w:rFonts w:ascii="宋体" w:hAnsi="宋体" w:cs="仿宋"/>
          <w:color w:val="auto"/>
          <w:sz w:val="24"/>
          <w:szCs w:val="24"/>
        </w:rPr>
      </w:pPr>
      <w:r>
        <w:rPr>
          <w:rFonts w:hint="eastAsia" w:ascii="宋体" w:hAnsi="宋体" w:cs="仿宋"/>
          <w:color w:val="auto"/>
          <w:sz w:val="24"/>
          <w:szCs w:val="24"/>
        </w:rPr>
        <w:t>（2）在实质性方面失实。</w:t>
      </w:r>
    </w:p>
    <w:p>
      <w:pPr>
        <w:spacing w:line="360" w:lineRule="auto"/>
        <w:rPr>
          <w:rFonts w:ascii="宋体" w:hAnsi="宋体" w:cs="仿宋"/>
          <w:b/>
          <w:bCs/>
          <w:color w:val="auto"/>
          <w:sz w:val="24"/>
          <w:szCs w:val="24"/>
        </w:rPr>
      </w:pPr>
      <w:r>
        <w:rPr>
          <w:rFonts w:hint="eastAsia" w:ascii="宋体" w:hAnsi="宋体" w:cs="仿宋"/>
          <w:b/>
          <w:bCs/>
          <w:color w:val="auto"/>
          <w:sz w:val="24"/>
          <w:szCs w:val="24"/>
        </w:rPr>
        <w:t>4.响应费用</w:t>
      </w:r>
    </w:p>
    <w:p>
      <w:pPr>
        <w:spacing w:line="360" w:lineRule="auto"/>
        <w:ind w:firstLine="480" w:firstLineChars="200"/>
        <w:rPr>
          <w:rFonts w:ascii="宋体" w:hAnsi="宋体" w:cs="仿宋"/>
          <w:color w:val="auto"/>
          <w:sz w:val="24"/>
          <w:szCs w:val="24"/>
        </w:rPr>
      </w:pPr>
      <w:r>
        <w:rPr>
          <w:rFonts w:hint="eastAsia" w:ascii="宋体" w:hAnsi="宋体" w:cs="仿宋"/>
          <w:color w:val="auto"/>
          <w:sz w:val="24"/>
          <w:szCs w:val="24"/>
        </w:rPr>
        <w:t>4.1无论谈判过程中的做法和结果如何，供应商自行承担所有与参加谈判活动有关的全部费用，采购代理机构和采购人在任何情况下均无义务和责任承担这些费用；</w:t>
      </w:r>
    </w:p>
    <w:p>
      <w:pPr>
        <w:spacing w:line="360" w:lineRule="auto"/>
        <w:ind w:firstLine="480" w:firstLineChars="200"/>
        <w:rPr>
          <w:rFonts w:ascii="宋体" w:hAnsi="宋体" w:cs="仿宋"/>
          <w:color w:val="auto"/>
          <w:sz w:val="24"/>
          <w:szCs w:val="24"/>
        </w:rPr>
      </w:pPr>
      <w:r>
        <w:rPr>
          <w:rFonts w:hint="eastAsia" w:ascii="宋体" w:hAnsi="宋体" w:cs="仿宋"/>
          <w:color w:val="auto"/>
          <w:sz w:val="24"/>
          <w:szCs w:val="24"/>
        </w:rPr>
        <w:t>4.2本次采购活动，代理服务费的交纳详见供应商须知前附表要求。</w:t>
      </w:r>
    </w:p>
    <w:p>
      <w:pPr>
        <w:spacing w:line="360" w:lineRule="auto"/>
        <w:rPr>
          <w:rFonts w:ascii="宋体" w:hAnsi="宋体" w:cs="仿宋"/>
          <w:b/>
          <w:bCs/>
          <w:color w:val="auto"/>
          <w:sz w:val="24"/>
        </w:rPr>
      </w:pPr>
      <w:r>
        <w:rPr>
          <w:rFonts w:hint="eastAsia" w:ascii="宋体" w:hAnsi="宋体" w:cs="仿宋"/>
          <w:b/>
          <w:bCs/>
          <w:color w:val="auto"/>
          <w:sz w:val="24"/>
        </w:rPr>
        <w:t>5.中小企业政策及节能环保、信息安全要求</w:t>
      </w:r>
    </w:p>
    <w:p>
      <w:pPr>
        <w:spacing w:line="360" w:lineRule="auto"/>
        <w:ind w:firstLine="480" w:firstLineChars="200"/>
        <w:rPr>
          <w:rFonts w:ascii="宋体" w:hAnsi="宋体" w:cs="仿宋"/>
          <w:color w:val="auto"/>
          <w:sz w:val="24"/>
          <w:szCs w:val="24"/>
        </w:rPr>
      </w:pPr>
      <w:r>
        <w:rPr>
          <w:rFonts w:hint="eastAsia" w:ascii="宋体" w:hAnsi="宋体" w:cs="仿宋"/>
          <w:color w:val="auto"/>
          <w:sz w:val="24"/>
          <w:szCs w:val="24"/>
        </w:rPr>
        <w:t>政策优惠条件及要求:根据财政部、工业和信息化部关于《政府采购促进中小企业发展暂行办法》（财库【2011】181号）的要求，政府采购项目的政策优惠条件及要求如下：</w:t>
      </w:r>
    </w:p>
    <w:p>
      <w:pPr>
        <w:spacing w:line="360" w:lineRule="auto"/>
        <w:ind w:firstLine="480" w:firstLineChars="200"/>
        <w:rPr>
          <w:rFonts w:ascii="宋体" w:hAnsi="宋体" w:cs="仿宋"/>
          <w:color w:val="auto"/>
          <w:sz w:val="24"/>
          <w:szCs w:val="24"/>
        </w:rPr>
      </w:pPr>
      <w:r>
        <w:rPr>
          <w:rFonts w:hint="eastAsia" w:ascii="宋体" w:hAnsi="宋体" w:cs="仿宋"/>
          <w:color w:val="auto"/>
          <w:sz w:val="24"/>
          <w:szCs w:val="24"/>
        </w:rPr>
        <w:t>5.1根据财政部、工业和信息化部关于《政府采购促进中小企业发展暂行办法》（财库【2011】181号）的要求，对于非专门面对中小企业的项目，对小型和微型企业的价格给予6%的扣除，用扣除后的价格参与评审。</w:t>
      </w:r>
    </w:p>
    <w:p>
      <w:pPr>
        <w:pStyle w:val="87"/>
        <w:spacing w:line="360" w:lineRule="auto"/>
        <w:ind w:firstLine="480" w:firstLineChars="200"/>
        <w:rPr>
          <w:rFonts w:cs="仿宋"/>
          <w:color w:val="auto"/>
          <w:kern w:val="2"/>
        </w:rPr>
      </w:pPr>
      <w:r>
        <w:rPr>
          <w:rFonts w:hint="eastAsia" w:cs="仿宋"/>
          <w:color w:val="auto"/>
          <w:kern w:val="2"/>
        </w:rPr>
        <w:t xml:space="preserve">享受政策优惠的小型、微型投标人须提供合法有效的“中小企业声明函”原件及中华人民共和国工商行政管理总局官网上“小微企业名录”查询截图（ </w:t>
      </w:r>
      <w:r>
        <w:rPr>
          <w:color w:val="auto"/>
        </w:rPr>
        <w:fldChar w:fldCharType="begin"/>
      </w:r>
      <w:r>
        <w:rPr>
          <w:color w:val="auto"/>
        </w:rPr>
        <w:instrText xml:space="preserve"> HYPERLINK "http://xwqy.gsxt.gov.cn/））或残疾人福利性单位声明函。如不满足以上三项要求，采购代理机构一律不给予价格评审优惠政策。" </w:instrText>
      </w:r>
      <w:r>
        <w:rPr>
          <w:color w:val="auto"/>
        </w:rPr>
        <w:fldChar w:fldCharType="separate"/>
      </w:r>
      <w:r>
        <w:rPr>
          <w:rStyle w:val="31"/>
          <w:rFonts w:hint="eastAsia" w:cs="仿宋"/>
          <w:color w:val="auto"/>
          <w:kern w:val="2"/>
        </w:rPr>
        <w:t>http://xwqy.gsxt.gov.cn/）</w:t>
      </w:r>
      <w:r>
        <w:rPr>
          <w:rStyle w:val="31"/>
          <w:rFonts w:hint="eastAsia" w:cs="仿宋"/>
          <w:color w:val="auto"/>
          <w:kern w:val="2"/>
          <w:lang w:val="zh-CN"/>
        </w:rPr>
        <w:t>）；</w:t>
      </w:r>
      <w:r>
        <w:rPr>
          <w:rStyle w:val="31"/>
          <w:rFonts w:hint="eastAsia" w:cs="仿宋"/>
          <w:color w:val="auto"/>
          <w:kern w:val="2"/>
          <w:lang w:val="zh-CN"/>
        </w:rPr>
        <w:fldChar w:fldCharType="end"/>
      </w:r>
      <w:r>
        <w:rPr>
          <w:rFonts w:hint="eastAsia" w:cs="仿宋"/>
          <w:color w:val="auto"/>
          <w:kern w:val="2"/>
        </w:rPr>
        <w:t>未按要求提供的，视为放弃享受小微企业价格扣除优惠政策。</w:t>
      </w:r>
    </w:p>
    <w:p>
      <w:pPr>
        <w:spacing w:line="360" w:lineRule="auto"/>
        <w:ind w:firstLine="480" w:firstLineChars="200"/>
        <w:rPr>
          <w:rFonts w:ascii="宋体" w:hAnsi="宋体" w:cs="仿宋"/>
          <w:color w:val="auto"/>
          <w:sz w:val="24"/>
          <w:szCs w:val="24"/>
        </w:rPr>
      </w:pPr>
      <w:r>
        <w:rPr>
          <w:rFonts w:hint="eastAsia" w:ascii="宋体" w:hAnsi="宋体" w:cs="仿宋"/>
          <w:color w:val="auto"/>
          <w:sz w:val="24"/>
          <w:szCs w:val="24"/>
        </w:rPr>
        <w:t>小微企业（投标人）是指符合《小企业划型标准规定》的投标人，通过响应提供该企业制造的货物，由该企业承担工程、提供服务，或者提供其他小微企业制造的货物。本项所指货物不包括使用大型、中型企业注册商标的货物。</w:t>
      </w:r>
    </w:p>
    <w:p>
      <w:pPr>
        <w:spacing w:line="360" w:lineRule="auto"/>
        <w:ind w:firstLine="480" w:firstLineChars="200"/>
        <w:rPr>
          <w:rFonts w:ascii="宋体" w:hAnsi="宋体" w:cs="仿宋"/>
          <w:color w:val="auto"/>
          <w:sz w:val="24"/>
          <w:szCs w:val="24"/>
        </w:rPr>
      </w:pPr>
      <w:r>
        <w:rPr>
          <w:rFonts w:hint="eastAsia" w:ascii="宋体" w:hAnsi="宋体" w:cs="仿宋"/>
          <w:color w:val="auto"/>
          <w:sz w:val="24"/>
          <w:szCs w:val="24"/>
        </w:rPr>
        <w:t>5.2 参加政府采购活动的残疾人福利性单位应当提供《残疾人福利性单位声明函》原件，未提供的，视为放弃享受小微企业价格扣除优惠政策。</w:t>
      </w:r>
    </w:p>
    <w:p>
      <w:pPr>
        <w:spacing w:line="360" w:lineRule="auto"/>
        <w:ind w:firstLine="480" w:firstLineChars="200"/>
        <w:rPr>
          <w:rFonts w:ascii="宋体" w:hAnsi="宋体" w:cs="仿宋"/>
          <w:color w:val="auto"/>
          <w:sz w:val="24"/>
          <w:szCs w:val="24"/>
        </w:rPr>
      </w:pPr>
      <w:r>
        <w:rPr>
          <w:rFonts w:hint="eastAsia" w:ascii="宋体" w:hAnsi="宋体" w:cs="仿宋"/>
          <w:color w:val="auto"/>
          <w:sz w:val="24"/>
          <w:szCs w:val="24"/>
        </w:rPr>
        <w:t>5.3 根据《司法部关于政府采购支持监狱企业发展有关问题的通知》（财库[2014]68号）及《海南省财政厅、海南省司法厅关于政府采购支持监狱企业发展的实施意见》（琼财采[2018]611号）的规定，在政府采购活动中，监狱企业视同小型、微型企业。（提供由省级以上监狱管理局、戒毒管理局（含新疆生产建设兵团）出具的属于监狱企业的证明文件复印件，提交原件核查）。</w:t>
      </w:r>
    </w:p>
    <w:p>
      <w:pPr>
        <w:spacing w:line="360" w:lineRule="auto"/>
        <w:ind w:firstLine="480" w:firstLineChars="200"/>
        <w:rPr>
          <w:rFonts w:ascii="宋体" w:hAnsi="宋体" w:cs="仿宋"/>
          <w:color w:val="auto"/>
          <w:sz w:val="24"/>
        </w:rPr>
      </w:pPr>
      <w:r>
        <w:rPr>
          <w:rFonts w:hint="eastAsia" w:ascii="宋体" w:hAnsi="宋体" w:cs="仿宋"/>
          <w:color w:val="auto"/>
          <w:sz w:val="24"/>
        </w:rPr>
        <w:t>5.4本次招标优先选购中华人民共和国财政部公布的《节能环保产品目录》的标的物。</w:t>
      </w:r>
    </w:p>
    <w:p>
      <w:pPr>
        <w:spacing w:line="360" w:lineRule="auto"/>
        <w:ind w:firstLine="480" w:firstLineChars="200"/>
        <w:rPr>
          <w:rFonts w:ascii="宋体" w:hAnsi="宋体" w:cs="仿宋"/>
          <w:color w:val="auto"/>
          <w:sz w:val="24"/>
        </w:rPr>
      </w:pPr>
      <w:r>
        <w:rPr>
          <w:rFonts w:hint="eastAsia" w:ascii="宋体" w:hAnsi="宋体" w:cs="仿宋"/>
          <w:color w:val="auto"/>
          <w:sz w:val="24"/>
        </w:rPr>
        <w:t>5.5 关于强制采购节能产品和优先采购环境标志产品的要求</w:t>
      </w:r>
    </w:p>
    <w:p>
      <w:pPr>
        <w:spacing w:line="360" w:lineRule="auto"/>
        <w:ind w:firstLine="480" w:firstLineChars="200"/>
        <w:rPr>
          <w:rFonts w:ascii="宋体" w:hAnsi="宋体" w:cs="仿宋"/>
          <w:color w:val="auto"/>
          <w:sz w:val="24"/>
        </w:rPr>
      </w:pPr>
      <w:r>
        <w:rPr>
          <w:rFonts w:hint="eastAsia" w:ascii="宋体" w:hAnsi="宋体" w:cs="仿宋"/>
          <w:color w:val="auto"/>
          <w:sz w:val="24"/>
        </w:rPr>
        <w:t>5.5.1 投标产品属于政府强制采购节能产品的，投标人应当选择《节能产品政府采购清单》中的产品投标，并提供有效的节能产品认证证书复印件。本次投标产品型号如列入最新一期（节能清单在标书发布之日后公布的，同时执行上期和本期节能清单）节能产品政府采购清单内型号（投标产品型号和节能清单型号须完全一致）。施行强制采购的产品如无证明材料，投标无效；非强制采购产品无证明材料，不予认定。政府强制采购节能产品以最新一期节能产品政府采购清单中标注"★"的产品为准。</w:t>
      </w:r>
      <w:r>
        <w:rPr>
          <w:rFonts w:hint="eastAsia" w:ascii="宋体" w:hAnsi="宋体" w:cs="仿宋"/>
          <w:color w:val="auto"/>
          <w:sz w:val="24"/>
        </w:rPr>
        <w:br w:type="textWrapping"/>
      </w:r>
      <w:r>
        <w:rPr>
          <w:rFonts w:hint="eastAsia" w:ascii="宋体" w:hAnsi="宋体" w:cs="仿宋"/>
          <w:color w:val="auto"/>
          <w:sz w:val="24"/>
        </w:rPr>
        <w:t xml:space="preserve">    5.5.2 本次投标产品型号如为列入最新一期（环保清单在标书发布之日后公布的，同时执行上期和本期环保清单）环境标志产品政府采购清单内型号，投标人须在投标文件中提供有效的环保产品认证证书复印件，否则不予认定。</w:t>
      </w:r>
    </w:p>
    <w:p>
      <w:pPr>
        <w:spacing w:line="360" w:lineRule="auto"/>
        <w:rPr>
          <w:rFonts w:ascii="宋体" w:hAnsi="宋体" w:cs="仿宋"/>
          <w:b/>
          <w:bCs/>
          <w:color w:val="auto"/>
          <w:sz w:val="24"/>
          <w:szCs w:val="24"/>
        </w:rPr>
      </w:pPr>
      <w:r>
        <w:rPr>
          <w:rFonts w:hint="eastAsia" w:ascii="宋体" w:hAnsi="宋体" w:cs="仿宋"/>
          <w:b/>
          <w:bCs/>
          <w:color w:val="auto"/>
          <w:sz w:val="24"/>
          <w:szCs w:val="24"/>
        </w:rPr>
        <w:t>6、注意事项</w:t>
      </w:r>
    </w:p>
    <w:p>
      <w:pPr>
        <w:spacing w:line="360" w:lineRule="auto"/>
        <w:ind w:firstLine="480" w:firstLineChars="200"/>
        <w:rPr>
          <w:rFonts w:ascii="宋体" w:hAnsi="宋体" w:cs="仿宋"/>
          <w:color w:val="auto"/>
          <w:sz w:val="24"/>
          <w:szCs w:val="24"/>
        </w:rPr>
      </w:pPr>
      <w:r>
        <w:rPr>
          <w:rFonts w:hint="eastAsia" w:ascii="宋体" w:hAnsi="宋体" w:cs="仿宋"/>
          <w:color w:val="auto"/>
          <w:sz w:val="24"/>
          <w:szCs w:val="24"/>
        </w:rPr>
        <w:t>如果没有特别声明或要求，供应商被视为充分熟悉本谈判项目所在地与履行合同有关的各种情况，包括自然环境、气候条件、劳动力及公用设施等，本竞争性谈判文件不再对上述情况进行描述。</w:t>
      </w:r>
    </w:p>
    <w:p>
      <w:pPr>
        <w:spacing w:line="360" w:lineRule="auto"/>
        <w:ind w:firstLine="590" w:firstLineChars="245"/>
        <w:jc w:val="center"/>
        <w:rPr>
          <w:rFonts w:ascii="宋体" w:hAnsi="宋体" w:cs="宋体"/>
          <w:b/>
          <w:color w:val="auto"/>
          <w:sz w:val="24"/>
        </w:rPr>
      </w:pPr>
      <w:bookmarkStart w:id="5" w:name="_Toc246826107"/>
      <w:r>
        <w:rPr>
          <w:rFonts w:hint="eastAsia" w:ascii="宋体" w:hAnsi="宋体" w:cs="黑体"/>
          <w:b/>
          <w:color w:val="auto"/>
          <w:sz w:val="24"/>
        </w:rPr>
        <w:t>二、</w:t>
      </w:r>
      <w:bookmarkEnd w:id="5"/>
      <w:r>
        <w:rPr>
          <w:rFonts w:hint="eastAsia" w:ascii="宋体" w:hAnsi="宋体" w:cs="黑体"/>
          <w:b/>
          <w:color w:val="auto"/>
          <w:sz w:val="24"/>
        </w:rPr>
        <w:t>竞争性谈判文件</w:t>
      </w:r>
    </w:p>
    <w:p>
      <w:pPr>
        <w:spacing w:line="360" w:lineRule="auto"/>
        <w:ind w:firstLine="561"/>
        <w:outlineLvl w:val="1"/>
        <w:rPr>
          <w:rFonts w:ascii="宋体" w:hAnsi="宋体" w:cs="宋体"/>
          <w:color w:val="auto"/>
          <w:sz w:val="24"/>
        </w:rPr>
      </w:pPr>
    </w:p>
    <w:p>
      <w:pPr>
        <w:spacing w:line="360" w:lineRule="auto"/>
        <w:rPr>
          <w:rFonts w:ascii="宋体" w:hAnsi="宋体" w:cs="仿宋"/>
          <w:b/>
          <w:bCs/>
          <w:color w:val="auto"/>
          <w:sz w:val="24"/>
          <w:szCs w:val="24"/>
        </w:rPr>
      </w:pPr>
      <w:r>
        <w:rPr>
          <w:rFonts w:hint="eastAsia" w:ascii="宋体" w:hAnsi="宋体" w:cs="仿宋"/>
          <w:b/>
          <w:bCs/>
          <w:color w:val="auto"/>
          <w:sz w:val="24"/>
          <w:szCs w:val="24"/>
        </w:rPr>
        <w:t>7.竞争性谈判文件的组成</w:t>
      </w:r>
    </w:p>
    <w:p>
      <w:pPr>
        <w:spacing w:line="360" w:lineRule="auto"/>
        <w:ind w:firstLine="480" w:firstLineChars="200"/>
        <w:rPr>
          <w:rFonts w:ascii="宋体" w:hAnsi="宋体" w:cs="仿宋"/>
          <w:color w:val="auto"/>
          <w:sz w:val="24"/>
          <w:szCs w:val="24"/>
        </w:rPr>
      </w:pPr>
      <w:r>
        <w:rPr>
          <w:rFonts w:hint="eastAsia" w:ascii="宋体" w:hAnsi="宋体" w:cs="仿宋"/>
          <w:color w:val="auto"/>
          <w:sz w:val="24"/>
          <w:szCs w:val="24"/>
        </w:rPr>
        <w:t>7.1竞争性谈判文件用以阐明供应商准备响应文件所必须的信息，以及谈判、开标、评审和签订合同等有关规定。竞争性谈判文件由下述部分组成：</w:t>
      </w:r>
    </w:p>
    <w:p>
      <w:pPr>
        <w:spacing w:line="360" w:lineRule="auto"/>
        <w:ind w:firstLine="480" w:firstLineChars="200"/>
        <w:rPr>
          <w:rFonts w:ascii="宋体" w:hAnsi="宋体" w:cs="仿宋"/>
          <w:color w:val="auto"/>
          <w:sz w:val="24"/>
          <w:szCs w:val="24"/>
        </w:rPr>
      </w:pPr>
      <w:r>
        <w:rPr>
          <w:rFonts w:hint="eastAsia" w:ascii="宋体" w:hAnsi="宋体" w:cs="仿宋"/>
          <w:color w:val="auto"/>
          <w:sz w:val="24"/>
          <w:szCs w:val="24"/>
        </w:rPr>
        <w:t>（1）谈判邀请</w:t>
      </w:r>
    </w:p>
    <w:p>
      <w:pPr>
        <w:spacing w:line="360" w:lineRule="auto"/>
        <w:ind w:firstLine="480" w:firstLineChars="200"/>
        <w:rPr>
          <w:rFonts w:ascii="宋体" w:hAnsi="宋体" w:cs="仿宋"/>
          <w:color w:val="auto"/>
          <w:sz w:val="24"/>
          <w:szCs w:val="24"/>
        </w:rPr>
      </w:pPr>
      <w:r>
        <w:rPr>
          <w:rFonts w:hint="eastAsia" w:ascii="宋体" w:hAnsi="宋体" w:cs="仿宋"/>
          <w:color w:val="auto"/>
          <w:sz w:val="24"/>
          <w:szCs w:val="24"/>
        </w:rPr>
        <w:t>（</w:t>
      </w:r>
      <w:r>
        <w:rPr>
          <w:rFonts w:ascii="宋体" w:hAnsi="宋体" w:cs="仿宋"/>
          <w:color w:val="auto"/>
          <w:sz w:val="24"/>
          <w:szCs w:val="24"/>
        </w:rPr>
        <w:t>2</w:t>
      </w:r>
      <w:r>
        <w:rPr>
          <w:rFonts w:hint="eastAsia" w:ascii="宋体" w:hAnsi="宋体" w:cs="仿宋"/>
          <w:color w:val="auto"/>
          <w:sz w:val="24"/>
          <w:szCs w:val="24"/>
        </w:rPr>
        <w:t>）谈判须知</w:t>
      </w:r>
    </w:p>
    <w:p>
      <w:pPr>
        <w:spacing w:line="360" w:lineRule="auto"/>
        <w:ind w:firstLine="480" w:firstLineChars="200"/>
        <w:rPr>
          <w:rFonts w:hint="eastAsia" w:ascii="宋体" w:hAnsi="宋体" w:eastAsia="宋体" w:cs="仿宋"/>
          <w:color w:val="auto"/>
          <w:sz w:val="24"/>
          <w:szCs w:val="24"/>
          <w:lang w:eastAsia="zh-CN"/>
        </w:rPr>
      </w:pPr>
      <w:r>
        <w:rPr>
          <w:rFonts w:hint="eastAsia" w:ascii="宋体" w:hAnsi="宋体" w:cs="仿宋"/>
          <w:color w:val="auto"/>
          <w:sz w:val="24"/>
          <w:szCs w:val="24"/>
        </w:rPr>
        <w:t>（</w:t>
      </w:r>
      <w:r>
        <w:rPr>
          <w:rFonts w:ascii="宋体" w:hAnsi="宋体" w:cs="仿宋"/>
          <w:color w:val="auto"/>
          <w:sz w:val="24"/>
          <w:szCs w:val="24"/>
        </w:rPr>
        <w:t>3</w:t>
      </w:r>
      <w:r>
        <w:rPr>
          <w:rFonts w:hint="eastAsia" w:ascii="宋体" w:hAnsi="宋体" w:cs="仿宋"/>
          <w:color w:val="auto"/>
          <w:sz w:val="24"/>
          <w:szCs w:val="24"/>
        </w:rPr>
        <w:t>）</w:t>
      </w:r>
      <w:r>
        <w:rPr>
          <w:rFonts w:hint="eastAsia" w:ascii="宋体" w:hAnsi="宋体" w:cs="仿宋"/>
          <w:color w:val="auto"/>
          <w:sz w:val="24"/>
          <w:szCs w:val="24"/>
          <w:lang w:eastAsia="zh-CN"/>
        </w:rPr>
        <w:t>工程量清单</w:t>
      </w:r>
    </w:p>
    <w:p>
      <w:pPr>
        <w:spacing w:line="360" w:lineRule="auto"/>
        <w:ind w:firstLine="480" w:firstLineChars="200"/>
        <w:rPr>
          <w:rFonts w:ascii="宋体" w:hAnsi="宋体" w:cs="仿宋"/>
          <w:color w:val="auto"/>
          <w:sz w:val="24"/>
          <w:szCs w:val="24"/>
        </w:rPr>
      </w:pPr>
      <w:r>
        <w:rPr>
          <w:rFonts w:hint="eastAsia" w:ascii="宋体" w:hAnsi="宋体" w:cs="仿宋"/>
          <w:color w:val="auto"/>
          <w:sz w:val="24"/>
          <w:szCs w:val="24"/>
        </w:rPr>
        <w:t>（4）合同文本</w:t>
      </w:r>
    </w:p>
    <w:p>
      <w:pPr>
        <w:spacing w:line="360" w:lineRule="auto"/>
        <w:ind w:firstLine="480" w:firstLineChars="200"/>
        <w:rPr>
          <w:rFonts w:ascii="宋体" w:hAnsi="宋体" w:cs="仿宋"/>
          <w:color w:val="auto"/>
          <w:sz w:val="24"/>
          <w:szCs w:val="24"/>
        </w:rPr>
      </w:pPr>
      <w:r>
        <w:rPr>
          <w:rFonts w:hint="eastAsia" w:ascii="宋体" w:hAnsi="宋体" w:cs="仿宋"/>
          <w:color w:val="auto"/>
          <w:sz w:val="24"/>
          <w:szCs w:val="24"/>
        </w:rPr>
        <w:t>（5）</w:t>
      </w:r>
      <w:r>
        <w:rPr>
          <w:rFonts w:hint="eastAsia" w:ascii="宋体" w:hAnsi="宋体" w:cs="仿宋"/>
          <w:color w:val="auto"/>
          <w:sz w:val="24"/>
          <w:szCs w:val="24"/>
          <w:lang w:eastAsia="zh-CN"/>
        </w:rPr>
        <w:t>响应</w:t>
      </w:r>
      <w:r>
        <w:rPr>
          <w:rFonts w:ascii="宋体" w:hAnsi="宋体" w:cs="仿宋"/>
          <w:color w:val="auto"/>
          <w:sz w:val="24"/>
          <w:szCs w:val="24"/>
        </w:rPr>
        <w:t>内容和格式</w:t>
      </w:r>
    </w:p>
    <w:p>
      <w:pPr>
        <w:spacing w:line="360" w:lineRule="auto"/>
        <w:ind w:firstLine="480" w:firstLineChars="200"/>
        <w:rPr>
          <w:rFonts w:ascii="宋体" w:hAnsi="宋体" w:cs="仿宋"/>
          <w:color w:val="auto"/>
          <w:sz w:val="24"/>
          <w:szCs w:val="24"/>
        </w:rPr>
      </w:pPr>
      <w:r>
        <w:rPr>
          <w:rFonts w:hint="eastAsia" w:ascii="宋体" w:hAnsi="宋体" w:cs="仿宋"/>
          <w:color w:val="auto"/>
          <w:sz w:val="24"/>
          <w:szCs w:val="24"/>
        </w:rPr>
        <w:t>（6）评审办法</w:t>
      </w:r>
    </w:p>
    <w:p>
      <w:pPr>
        <w:spacing w:line="360" w:lineRule="auto"/>
        <w:ind w:firstLine="480" w:firstLineChars="200"/>
        <w:rPr>
          <w:rFonts w:ascii="宋体" w:hAnsi="宋体" w:cs="仿宋"/>
          <w:color w:val="auto"/>
          <w:sz w:val="24"/>
          <w:szCs w:val="24"/>
        </w:rPr>
      </w:pPr>
      <w:r>
        <w:rPr>
          <w:rFonts w:hint="eastAsia" w:ascii="宋体" w:hAnsi="宋体" w:cs="仿宋"/>
          <w:color w:val="auto"/>
          <w:sz w:val="24"/>
          <w:szCs w:val="24"/>
        </w:rPr>
        <w:t>7.2 谈判供应商应详细阅读竞争性谈判文件的全部内容。如果谈判供应商没有按照竞争性谈判文件要求提交全部资料或者没有对竞争性谈判文件在各方面的要求都做出实质性响应，可能导致其谈判被拒绝。</w:t>
      </w:r>
    </w:p>
    <w:p>
      <w:pPr>
        <w:spacing w:line="360" w:lineRule="auto"/>
        <w:rPr>
          <w:rFonts w:ascii="宋体" w:hAnsi="宋体" w:cs="仿宋"/>
          <w:b/>
          <w:bCs/>
          <w:color w:val="auto"/>
          <w:sz w:val="24"/>
          <w:szCs w:val="24"/>
        </w:rPr>
      </w:pPr>
      <w:bookmarkStart w:id="6" w:name="_Toc183582211"/>
      <w:bookmarkStart w:id="7" w:name="_Toc183682348"/>
      <w:bookmarkStart w:id="8" w:name="_Toc217446040"/>
      <w:r>
        <w:rPr>
          <w:rFonts w:hint="eastAsia" w:ascii="宋体" w:hAnsi="宋体" w:cs="仿宋"/>
          <w:b/>
          <w:bCs/>
          <w:color w:val="auto"/>
          <w:sz w:val="24"/>
          <w:szCs w:val="24"/>
        </w:rPr>
        <w:t>8.竞争性谈判文件的澄清</w:t>
      </w:r>
      <w:bookmarkEnd w:id="6"/>
      <w:bookmarkEnd w:id="7"/>
      <w:r>
        <w:rPr>
          <w:rFonts w:hint="eastAsia" w:ascii="宋体" w:hAnsi="宋体" w:cs="仿宋"/>
          <w:b/>
          <w:bCs/>
          <w:color w:val="auto"/>
          <w:sz w:val="24"/>
          <w:szCs w:val="24"/>
        </w:rPr>
        <w:t>和修改</w:t>
      </w:r>
      <w:bookmarkEnd w:id="8"/>
    </w:p>
    <w:p>
      <w:pPr>
        <w:spacing w:line="360" w:lineRule="auto"/>
        <w:ind w:firstLine="480" w:firstLineChars="200"/>
        <w:rPr>
          <w:rFonts w:ascii="宋体" w:hAnsi="宋体" w:cs="仿宋"/>
          <w:color w:val="auto"/>
          <w:sz w:val="24"/>
          <w:szCs w:val="24"/>
        </w:rPr>
      </w:pPr>
      <w:r>
        <w:rPr>
          <w:rFonts w:hint="eastAsia" w:ascii="宋体" w:hAnsi="宋体" w:cs="仿宋"/>
          <w:color w:val="auto"/>
          <w:sz w:val="24"/>
          <w:szCs w:val="24"/>
        </w:rPr>
        <w:t>8.1 在谈判截止时间前，采购代理机构无论出于何种原因，可以对竞争性谈判文件进行必要的补遗、澄清或修改。</w:t>
      </w:r>
    </w:p>
    <w:p>
      <w:pPr>
        <w:spacing w:line="360" w:lineRule="auto"/>
        <w:ind w:firstLine="480" w:firstLineChars="200"/>
        <w:rPr>
          <w:rFonts w:ascii="宋体" w:hAnsi="宋体" w:cs="仿宋"/>
          <w:color w:val="auto"/>
          <w:sz w:val="24"/>
          <w:szCs w:val="24"/>
        </w:rPr>
      </w:pPr>
      <w:r>
        <w:rPr>
          <w:rFonts w:hint="eastAsia" w:ascii="宋体" w:hAnsi="宋体" w:cs="仿宋"/>
          <w:color w:val="auto"/>
          <w:sz w:val="24"/>
          <w:szCs w:val="24"/>
        </w:rPr>
        <w:t>8.2</w:t>
      </w:r>
      <w:bookmarkStart w:id="9" w:name="_Toc430489120"/>
      <w:bookmarkStart w:id="10" w:name="_Toc430492127"/>
      <w:bookmarkStart w:id="11" w:name="_Toc430422414"/>
      <w:bookmarkStart w:id="12" w:name="_Toc415567498"/>
      <w:bookmarkStart w:id="13" w:name="_Toc430488645"/>
      <w:bookmarkStart w:id="14" w:name="_Toc430490613"/>
      <w:bookmarkStart w:id="15" w:name="_Toc430488852"/>
      <w:r>
        <w:rPr>
          <w:rFonts w:hint="eastAsia" w:ascii="宋体" w:hAnsi="宋体" w:cs="仿宋"/>
          <w:color w:val="auto"/>
          <w:sz w:val="24"/>
          <w:szCs w:val="24"/>
        </w:rPr>
        <w:t xml:space="preserve"> 竞争性谈判文件的</w:t>
      </w:r>
      <w:bookmarkEnd w:id="9"/>
      <w:bookmarkEnd w:id="10"/>
      <w:bookmarkEnd w:id="11"/>
      <w:bookmarkEnd w:id="12"/>
      <w:bookmarkEnd w:id="13"/>
      <w:bookmarkEnd w:id="14"/>
      <w:bookmarkEnd w:id="15"/>
      <w:r>
        <w:rPr>
          <w:rFonts w:hint="eastAsia" w:ascii="宋体" w:hAnsi="宋体" w:cs="仿宋"/>
          <w:color w:val="auto"/>
          <w:sz w:val="24"/>
          <w:szCs w:val="24"/>
        </w:rPr>
        <w:t>补遗、澄清或修改</w:t>
      </w:r>
    </w:p>
    <w:p>
      <w:pPr>
        <w:spacing w:line="360" w:lineRule="auto"/>
        <w:ind w:firstLine="480" w:firstLineChars="200"/>
        <w:rPr>
          <w:rFonts w:ascii="宋体" w:hAnsi="宋体" w:cs="仿宋"/>
          <w:color w:val="auto"/>
          <w:sz w:val="24"/>
          <w:szCs w:val="24"/>
        </w:rPr>
      </w:pPr>
      <w:bookmarkStart w:id="16" w:name="OLE_LINK5"/>
      <w:bookmarkStart w:id="17" w:name="_Toc208848971"/>
      <w:bookmarkStart w:id="18" w:name="_Toc217446041"/>
      <w:r>
        <w:rPr>
          <w:rFonts w:hint="eastAsia" w:ascii="宋体" w:hAnsi="宋体" w:cs="仿宋"/>
          <w:color w:val="auto"/>
          <w:sz w:val="24"/>
          <w:szCs w:val="24"/>
        </w:rPr>
        <w:t>（</w:t>
      </w:r>
      <w:bookmarkStart w:id="19" w:name="OLE_LINK4"/>
      <w:r>
        <w:rPr>
          <w:rFonts w:hint="eastAsia" w:ascii="宋体" w:hAnsi="宋体" w:cs="仿宋"/>
          <w:color w:val="auto"/>
          <w:sz w:val="24"/>
          <w:szCs w:val="24"/>
        </w:rPr>
        <w:t>1）在提交首次响应文件截止之日前，采购人、采购代理机构无论出于何种原因，可以对竞争性谈判文件进行必要的补遗、澄清或修改；补遗、澄清或修改内容可能影响响应文件编制的，</w:t>
      </w:r>
      <w:bookmarkStart w:id="20" w:name="OLE_LINK3"/>
      <w:r>
        <w:rPr>
          <w:rFonts w:hint="eastAsia" w:ascii="宋体" w:hAnsi="宋体" w:cs="仿宋"/>
          <w:color w:val="auto"/>
          <w:sz w:val="24"/>
          <w:szCs w:val="24"/>
        </w:rPr>
        <w:t>采购代理机构</w:t>
      </w:r>
      <w:bookmarkEnd w:id="20"/>
      <w:r>
        <w:rPr>
          <w:rFonts w:hint="eastAsia" w:ascii="宋体" w:hAnsi="宋体" w:cs="仿宋"/>
          <w:color w:val="auto"/>
          <w:sz w:val="24"/>
          <w:szCs w:val="24"/>
        </w:rPr>
        <w:t>须在首次递交响应文件截止之日3个工作日前，发布公告或以书面形式通知所有获取竞争性谈判文件的潜在供应商；不足3个工作日的，采购代理机构应当顺延首次递交响应文件和谈判时间，在此情况下，采购当事人受首次递交响应文件截止期制约的所有权利和义务均应延长至新的截止日期；</w:t>
      </w:r>
    </w:p>
    <w:p>
      <w:pPr>
        <w:spacing w:line="360" w:lineRule="auto"/>
        <w:ind w:firstLine="480" w:firstLineChars="200"/>
        <w:rPr>
          <w:rFonts w:ascii="宋体" w:hAnsi="宋体" w:cs="仿宋"/>
          <w:color w:val="auto"/>
          <w:sz w:val="24"/>
          <w:szCs w:val="24"/>
        </w:rPr>
      </w:pPr>
      <w:r>
        <w:rPr>
          <w:rFonts w:hint="eastAsia" w:ascii="宋体" w:hAnsi="宋体" w:cs="仿宋"/>
          <w:color w:val="auto"/>
          <w:sz w:val="24"/>
          <w:szCs w:val="24"/>
        </w:rPr>
        <w:t>（2）澄清或修改后的内容是竞争性谈判文件的组成部分，并对潜在供应商具有约束力。有关本项目竞争性谈判文件的澄清及变更信息以第一章指定网站公告及下载内容为准，采购代理机构不再另行通知，潜在供应商须及时关注关于本项目采购信息的更新事项，否则自行承担由此产生的风险。竞争性谈判文件与更正公告的内容相互矛盾时，以最后发出的更正公告为准。</w:t>
      </w:r>
      <w:bookmarkEnd w:id="16"/>
      <w:bookmarkEnd w:id="19"/>
    </w:p>
    <w:p>
      <w:pPr>
        <w:spacing w:line="360" w:lineRule="auto"/>
        <w:rPr>
          <w:rFonts w:ascii="宋体" w:hAnsi="宋体" w:cs="仿宋"/>
          <w:b/>
          <w:bCs/>
          <w:color w:val="auto"/>
          <w:sz w:val="24"/>
          <w:szCs w:val="24"/>
        </w:rPr>
      </w:pPr>
      <w:r>
        <w:rPr>
          <w:rFonts w:hint="eastAsia" w:ascii="宋体" w:hAnsi="宋体" w:cs="仿宋"/>
          <w:b/>
          <w:bCs/>
          <w:color w:val="auto"/>
          <w:sz w:val="24"/>
          <w:szCs w:val="24"/>
        </w:rPr>
        <w:t>9.其他</w:t>
      </w:r>
    </w:p>
    <w:p>
      <w:pPr>
        <w:spacing w:line="360" w:lineRule="auto"/>
        <w:ind w:firstLine="480" w:firstLineChars="200"/>
        <w:rPr>
          <w:rFonts w:ascii="宋体" w:hAnsi="宋体" w:cs="仿宋"/>
          <w:color w:val="auto"/>
          <w:sz w:val="24"/>
          <w:szCs w:val="24"/>
        </w:rPr>
      </w:pPr>
      <w:r>
        <w:rPr>
          <w:rFonts w:hint="eastAsia" w:ascii="宋体" w:hAnsi="宋体" w:cs="仿宋"/>
          <w:color w:val="auto"/>
          <w:sz w:val="24"/>
          <w:szCs w:val="24"/>
        </w:rPr>
        <w:t>9.1标前答疑会和现场</w:t>
      </w:r>
      <w:bookmarkEnd w:id="17"/>
      <w:bookmarkEnd w:id="18"/>
      <w:r>
        <w:rPr>
          <w:rFonts w:hint="eastAsia" w:ascii="宋体" w:hAnsi="宋体" w:cs="仿宋"/>
          <w:color w:val="auto"/>
          <w:sz w:val="24"/>
          <w:szCs w:val="24"/>
        </w:rPr>
        <w:t>踏勘</w:t>
      </w:r>
    </w:p>
    <w:p>
      <w:pPr>
        <w:spacing w:line="360" w:lineRule="auto"/>
        <w:ind w:firstLine="480" w:firstLineChars="200"/>
        <w:rPr>
          <w:rFonts w:ascii="宋体" w:hAnsi="宋体" w:cs="仿宋"/>
          <w:color w:val="auto"/>
          <w:sz w:val="24"/>
          <w:szCs w:val="24"/>
        </w:rPr>
      </w:pPr>
      <w:r>
        <w:rPr>
          <w:rFonts w:hint="eastAsia" w:ascii="宋体" w:hAnsi="宋体" w:cs="仿宋"/>
          <w:color w:val="auto"/>
          <w:sz w:val="24"/>
          <w:szCs w:val="24"/>
        </w:rPr>
        <w:t>9.1.1供应商须知前附表规定组织答疑会或/和现场踏勘的，采购代理机构按供应商须知前附表规定的时间、地点组织答疑会或/和供应商踏勘项目现场，供应商如不参加的，其风险由供应商自行承担，采购代理机构不承担任何责任。采购代理机构不组织踏勘现场的，供应商可以自行决定是否踏勘现场。</w:t>
      </w:r>
    </w:p>
    <w:p>
      <w:pPr>
        <w:spacing w:line="360" w:lineRule="auto"/>
        <w:ind w:firstLine="480" w:firstLineChars="200"/>
        <w:rPr>
          <w:rFonts w:ascii="宋体" w:hAnsi="宋体" w:cs="仿宋"/>
          <w:color w:val="auto"/>
          <w:sz w:val="24"/>
          <w:szCs w:val="24"/>
        </w:rPr>
      </w:pPr>
      <w:r>
        <w:rPr>
          <w:rFonts w:hint="eastAsia" w:ascii="宋体" w:hAnsi="宋体" w:cs="仿宋"/>
          <w:color w:val="auto"/>
          <w:sz w:val="24"/>
          <w:szCs w:val="24"/>
        </w:rPr>
        <w:t>9.1.2答疑会上，采购代理机构或/和采购人将解答供应商的疑问。</w:t>
      </w:r>
    </w:p>
    <w:p>
      <w:pPr>
        <w:spacing w:line="360" w:lineRule="auto"/>
        <w:ind w:firstLine="480" w:firstLineChars="200"/>
        <w:rPr>
          <w:rFonts w:ascii="宋体" w:hAnsi="宋体" w:cs="仿宋"/>
          <w:color w:val="auto"/>
          <w:sz w:val="24"/>
          <w:szCs w:val="24"/>
        </w:rPr>
      </w:pPr>
      <w:r>
        <w:rPr>
          <w:rFonts w:hint="eastAsia" w:ascii="宋体" w:hAnsi="宋体" w:cs="仿宋"/>
          <w:color w:val="auto"/>
          <w:sz w:val="24"/>
          <w:szCs w:val="24"/>
        </w:rPr>
        <w:t>9.1.3采购代理机构或/和采购人在踏勘现场中口头介绍的情况（如有），供供应商在编制响应文件时参考，采购代理机构或/和采购人不对供应商据此作出的判断和决策负责。</w:t>
      </w:r>
    </w:p>
    <w:p>
      <w:pPr>
        <w:spacing w:line="360" w:lineRule="auto"/>
        <w:ind w:firstLine="480" w:firstLineChars="200"/>
        <w:rPr>
          <w:rFonts w:ascii="宋体" w:hAnsi="宋体" w:cs="仿宋"/>
          <w:color w:val="auto"/>
          <w:sz w:val="24"/>
          <w:szCs w:val="24"/>
        </w:rPr>
      </w:pPr>
      <w:r>
        <w:rPr>
          <w:rFonts w:hint="eastAsia" w:ascii="宋体" w:hAnsi="宋体" w:cs="仿宋"/>
          <w:color w:val="auto"/>
          <w:sz w:val="24"/>
          <w:szCs w:val="24"/>
        </w:rPr>
        <w:t>9.1.4采购代理机构不单独或者分别组织只有1个供应商参加的现场考察。</w:t>
      </w:r>
    </w:p>
    <w:p>
      <w:pPr>
        <w:spacing w:line="360" w:lineRule="auto"/>
        <w:ind w:firstLine="480" w:firstLineChars="200"/>
        <w:rPr>
          <w:rFonts w:ascii="宋体" w:hAnsi="宋体" w:cs="仿宋"/>
          <w:color w:val="auto"/>
          <w:sz w:val="24"/>
          <w:szCs w:val="24"/>
        </w:rPr>
      </w:pPr>
      <w:r>
        <w:rPr>
          <w:rFonts w:hint="eastAsia" w:ascii="宋体" w:hAnsi="宋体" w:cs="仿宋"/>
          <w:color w:val="auto"/>
          <w:sz w:val="24"/>
          <w:szCs w:val="24"/>
        </w:rPr>
        <w:t>9.1.5供应商自行承担参加答疑或现场考察所发生的一切费用。</w:t>
      </w:r>
    </w:p>
    <w:p>
      <w:pPr>
        <w:spacing w:line="360" w:lineRule="auto"/>
        <w:ind w:firstLine="480" w:firstLineChars="200"/>
        <w:rPr>
          <w:rFonts w:ascii="宋体" w:hAnsi="宋体" w:cs="仿宋"/>
          <w:color w:val="auto"/>
          <w:sz w:val="24"/>
          <w:szCs w:val="24"/>
        </w:rPr>
      </w:pPr>
    </w:p>
    <w:p>
      <w:pPr>
        <w:numPr>
          <w:ilvl w:val="0"/>
          <w:numId w:val="3"/>
        </w:numPr>
        <w:spacing w:line="360" w:lineRule="auto"/>
        <w:ind w:firstLine="561"/>
        <w:jc w:val="center"/>
        <w:outlineLvl w:val="1"/>
        <w:rPr>
          <w:rFonts w:ascii="宋体" w:hAnsi="宋体" w:cs="黑体"/>
          <w:b/>
          <w:color w:val="auto"/>
          <w:sz w:val="24"/>
        </w:rPr>
      </w:pPr>
      <w:bookmarkStart w:id="21" w:name="_Toc246826110"/>
      <w:bookmarkStart w:id="22" w:name="_Toc1660487"/>
      <w:r>
        <w:rPr>
          <w:rFonts w:hint="eastAsia" w:ascii="宋体" w:hAnsi="宋体" w:cs="黑体"/>
          <w:b/>
          <w:color w:val="auto"/>
          <w:sz w:val="24"/>
        </w:rPr>
        <w:t>响应文件</w:t>
      </w:r>
      <w:bookmarkEnd w:id="21"/>
      <w:bookmarkEnd w:id="22"/>
    </w:p>
    <w:p>
      <w:pPr>
        <w:spacing w:line="360" w:lineRule="auto"/>
        <w:outlineLvl w:val="1"/>
        <w:rPr>
          <w:rFonts w:ascii="宋体" w:hAnsi="宋体" w:cs="仿宋"/>
          <w:b/>
          <w:color w:val="auto"/>
          <w:sz w:val="24"/>
          <w:szCs w:val="24"/>
        </w:rPr>
      </w:pPr>
    </w:p>
    <w:p>
      <w:pPr>
        <w:pStyle w:val="91"/>
        <w:spacing w:line="360" w:lineRule="auto"/>
        <w:ind w:firstLine="0" w:firstLineChars="0"/>
        <w:rPr>
          <w:rFonts w:ascii="宋体" w:hAnsi="宋体" w:cs="仿宋"/>
          <w:b/>
          <w:bCs/>
          <w:color w:val="auto"/>
          <w:sz w:val="24"/>
          <w:szCs w:val="24"/>
        </w:rPr>
      </w:pPr>
      <w:r>
        <w:rPr>
          <w:rFonts w:hint="eastAsia" w:ascii="宋体" w:hAnsi="宋体" w:cs="仿宋"/>
          <w:b/>
          <w:bCs/>
          <w:color w:val="auto"/>
          <w:sz w:val="24"/>
          <w:szCs w:val="24"/>
        </w:rPr>
        <w:t>10.响应文件的语言和计量单位</w:t>
      </w:r>
    </w:p>
    <w:p>
      <w:pPr>
        <w:pStyle w:val="91"/>
        <w:spacing w:line="360" w:lineRule="auto"/>
        <w:ind w:firstLine="480"/>
        <w:rPr>
          <w:rFonts w:ascii="宋体" w:hAnsi="宋体" w:cs="仿宋"/>
          <w:color w:val="auto"/>
          <w:sz w:val="24"/>
          <w:szCs w:val="24"/>
        </w:rPr>
      </w:pPr>
      <w:r>
        <w:rPr>
          <w:rFonts w:hint="eastAsia" w:ascii="宋体" w:hAnsi="宋体" w:cs="仿宋"/>
          <w:color w:val="auto"/>
          <w:sz w:val="24"/>
          <w:szCs w:val="24"/>
        </w:rPr>
        <w:t>10.1 供应商提交的响应文件（包括技术文件和资料、图纸中的说明）以及供应商与采购人或采购代理机构就有关响应的所有来往函电均应使用中文简体字。原版为外文的证书类文件，以及由外国人作出的本人签名、外国公司的名称或外国印章等可以是外文，但应当提供中文翻译文件（可以是复印件）并加盖供应商公章。原版为外文的证书类、证明类文件，与供应商名称或其他实际情况不符的，供应商应当提供相关证明文件。</w:t>
      </w:r>
    </w:p>
    <w:p>
      <w:pPr>
        <w:pStyle w:val="91"/>
        <w:spacing w:line="360" w:lineRule="auto"/>
        <w:ind w:firstLine="480"/>
        <w:rPr>
          <w:rFonts w:ascii="宋体" w:hAnsi="宋体" w:cs="仿宋"/>
          <w:color w:val="auto"/>
          <w:sz w:val="24"/>
          <w:szCs w:val="24"/>
        </w:rPr>
      </w:pPr>
      <w:r>
        <w:rPr>
          <w:rFonts w:hint="eastAsia" w:ascii="宋体" w:hAnsi="宋体" w:cs="仿宋"/>
          <w:color w:val="auto"/>
          <w:sz w:val="24"/>
          <w:szCs w:val="24"/>
        </w:rPr>
        <w:t>10.2计量单位：除技术规格及要求中另有规定外，本采购项下的响应均采用国家法定的计量单位。</w:t>
      </w:r>
    </w:p>
    <w:p>
      <w:pPr>
        <w:pStyle w:val="91"/>
        <w:spacing w:line="360" w:lineRule="auto"/>
        <w:ind w:firstLine="480"/>
        <w:rPr>
          <w:rFonts w:ascii="宋体" w:hAnsi="宋体" w:cs="仿宋"/>
          <w:color w:val="auto"/>
          <w:sz w:val="24"/>
          <w:szCs w:val="24"/>
        </w:rPr>
      </w:pPr>
      <w:r>
        <w:rPr>
          <w:rFonts w:hint="eastAsia" w:ascii="宋体" w:hAnsi="宋体" w:cs="仿宋"/>
          <w:color w:val="auto"/>
          <w:sz w:val="24"/>
          <w:szCs w:val="24"/>
        </w:rPr>
        <w:t>10.3货币单位：本次采购项目的响应均以人民币报价。</w:t>
      </w:r>
    </w:p>
    <w:p>
      <w:pPr>
        <w:pStyle w:val="91"/>
        <w:spacing w:line="360" w:lineRule="auto"/>
        <w:ind w:firstLine="0" w:firstLineChars="0"/>
        <w:rPr>
          <w:rFonts w:ascii="宋体" w:hAnsi="宋体" w:cs="仿宋"/>
          <w:b/>
          <w:bCs/>
          <w:color w:val="auto"/>
          <w:sz w:val="24"/>
          <w:szCs w:val="24"/>
        </w:rPr>
      </w:pPr>
      <w:r>
        <w:rPr>
          <w:rFonts w:hint="eastAsia" w:ascii="宋体" w:hAnsi="宋体" w:cs="仿宋"/>
          <w:b/>
          <w:bCs/>
          <w:color w:val="auto"/>
          <w:sz w:val="24"/>
          <w:szCs w:val="24"/>
        </w:rPr>
        <w:t>11.知识产权</w:t>
      </w:r>
    </w:p>
    <w:p>
      <w:pPr>
        <w:pStyle w:val="10"/>
        <w:ind w:left="0" w:firstLine="480" w:firstLineChars="200"/>
        <w:rPr>
          <w:rFonts w:ascii="宋体" w:hAnsi="宋体" w:cs="仿宋"/>
          <w:color w:val="auto"/>
          <w:szCs w:val="24"/>
        </w:rPr>
      </w:pPr>
      <w:r>
        <w:rPr>
          <w:rFonts w:hint="eastAsia" w:ascii="宋体" w:hAnsi="宋体" w:cs="仿宋"/>
          <w:color w:val="auto"/>
          <w:szCs w:val="24"/>
        </w:rPr>
        <w:t>11.1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pPr>
        <w:pStyle w:val="10"/>
        <w:ind w:left="0" w:firstLine="480" w:firstLineChars="200"/>
        <w:rPr>
          <w:rFonts w:ascii="宋体" w:hAnsi="宋体" w:cs="仿宋"/>
          <w:color w:val="auto"/>
          <w:szCs w:val="24"/>
        </w:rPr>
      </w:pPr>
      <w:r>
        <w:rPr>
          <w:rFonts w:hint="eastAsia" w:ascii="宋体" w:hAnsi="宋体" w:cs="仿宋"/>
          <w:color w:val="auto"/>
          <w:szCs w:val="24"/>
        </w:rPr>
        <w:t>11.2 采购人享有本项目实施过程中产生的知识成果及知识产权。</w:t>
      </w:r>
    </w:p>
    <w:p>
      <w:pPr>
        <w:spacing w:line="360" w:lineRule="auto"/>
        <w:ind w:firstLine="480" w:firstLineChars="200"/>
        <w:rPr>
          <w:rFonts w:ascii="宋体" w:hAnsi="宋体" w:cs="仿宋"/>
          <w:color w:val="auto"/>
          <w:sz w:val="24"/>
          <w:szCs w:val="24"/>
        </w:rPr>
      </w:pPr>
      <w:r>
        <w:rPr>
          <w:rFonts w:hint="eastAsia" w:ascii="宋体" w:hAnsi="宋体" w:cs="仿宋"/>
          <w:color w:val="auto"/>
          <w:sz w:val="24"/>
          <w:szCs w:val="24"/>
        </w:rPr>
        <w:t>11.3 供应商如欲在项目实施过程中采用自有知识成果，需在响应文件中声明，并提供相关知识产权证明文件。使用该知识成果后，供应商需提供开发接口和开发手册等技术文档，并承诺提供无限期技术支持，采购人享有永久使用权。</w:t>
      </w:r>
    </w:p>
    <w:p>
      <w:pPr>
        <w:spacing w:line="360" w:lineRule="auto"/>
        <w:ind w:firstLine="480" w:firstLineChars="200"/>
        <w:rPr>
          <w:rFonts w:ascii="宋体" w:hAnsi="宋体" w:cs="仿宋"/>
          <w:color w:val="auto"/>
          <w:sz w:val="24"/>
          <w:szCs w:val="24"/>
        </w:rPr>
      </w:pPr>
      <w:r>
        <w:rPr>
          <w:rFonts w:hint="eastAsia" w:ascii="宋体" w:hAnsi="宋体" w:cs="仿宋"/>
          <w:color w:val="auto"/>
          <w:sz w:val="24"/>
          <w:szCs w:val="24"/>
        </w:rPr>
        <w:t xml:space="preserve">11.4 如采用供应商所不拥有的知识产权，则在报价中必须包括合法获取该知识产权的相关费用。 </w:t>
      </w:r>
    </w:p>
    <w:p>
      <w:pPr>
        <w:pStyle w:val="91"/>
        <w:spacing w:line="360" w:lineRule="auto"/>
        <w:ind w:firstLine="0" w:firstLineChars="0"/>
        <w:rPr>
          <w:rFonts w:ascii="宋体" w:hAnsi="宋体" w:cs="仿宋"/>
          <w:b/>
          <w:bCs/>
          <w:color w:val="auto"/>
          <w:sz w:val="24"/>
          <w:szCs w:val="24"/>
        </w:rPr>
      </w:pPr>
      <w:r>
        <w:rPr>
          <w:rFonts w:hint="eastAsia" w:ascii="宋体" w:hAnsi="宋体" w:cs="仿宋"/>
          <w:b/>
          <w:bCs/>
          <w:color w:val="auto"/>
          <w:sz w:val="24"/>
          <w:szCs w:val="24"/>
        </w:rPr>
        <w:t>12.响应文件要求</w:t>
      </w:r>
    </w:p>
    <w:p>
      <w:pPr>
        <w:pStyle w:val="91"/>
        <w:spacing w:line="360" w:lineRule="auto"/>
        <w:ind w:firstLine="480"/>
        <w:rPr>
          <w:rFonts w:ascii="宋体" w:hAnsi="宋体" w:cs="仿宋"/>
          <w:color w:val="auto"/>
          <w:sz w:val="24"/>
          <w:szCs w:val="24"/>
        </w:rPr>
      </w:pPr>
      <w:r>
        <w:rPr>
          <w:rFonts w:hint="eastAsia" w:ascii="宋体" w:hAnsi="宋体" w:cs="仿宋"/>
          <w:color w:val="auto"/>
          <w:sz w:val="24"/>
          <w:szCs w:val="24"/>
        </w:rPr>
        <w:t>12.1响应文件分为商务部分和技术部分。响应文件须对竞争性谈判文件中的内容做出实质性和完整的响应，如果响应文件填报的内容资料不详，或没有提供竞争性谈判文件中所要求的全部资料及数据，将被视为响应文件完整性有缺陷。</w:t>
      </w:r>
    </w:p>
    <w:p>
      <w:pPr>
        <w:spacing w:line="360" w:lineRule="auto"/>
        <w:ind w:firstLine="480" w:firstLineChars="200"/>
        <w:rPr>
          <w:rFonts w:ascii="宋体" w:hAnsi="宋体" w:cs="仿宋"/>
          <w:color w:val="auto"/>
          <w:sz w:val="24"/>
          <w:szCs w:val="24"/>
        </w:rPr>
      </w:pPr>
      <w:r>
        <w:rPr>
          <w:rFonts w:hint="eastAsia" w:ascii="宋体" w:hAnsi="宋体" w:cs="仿宋"/>
          <w:color w:val="auto"/>
          <w:sz w:val="24"/>
          <w:szCs w:val="24"/>
        </w:rPr>
        <w:t>12.2技术部分指供应商提交的能够证明供应商提供的货物及服务符合竞争性谈判文件规定的文件，这些文件可以是但不限于文字资料、图纸和数据等。商务部分指供应商提交的证明其有资格参加响应和成交后有能力履行合同的文件，这些文件可以是但不限于文字资料、证书复印件和数据报表等。</w:t>
      </w:r>
    </w:p>
    <w:p>
      <w:pPr>
        <w:pStyle w:val="91"/>
        <w:spacing w:line="360" w:lineRule="auto"/>
        <w:ind w:firstLine="0" w:firstLineChars="0"/>
        <w:rPr>
          <w:rFonts w:ascii="宋体" w:hAnsi="宋体" w:cs="仿宋"/>
          <w:b/>
          <w:bCs/>
          <w:color w:val="auto"/>
          <w:sz w:val="24"/>
          <w:szCs w:val="24"/>
        </w:rPr>
      </w:pPr>
      <w:r>
        <w:rPr>
          <w:rFonts w:hint="eastAsia" w:ascii="宋体" w:hAnsi="宋体" w:cs="仿宋"/>
          <w:b/>
          <w:bCs/>
          <w:color w:val="auto"/>
          <w:sz w:val="24"/>
          <w:szCs w:val="24"/>
        </w:rPr>
        <w:t>13.响应文件编写</w:t>
      </w:r>
    </w:p>
    <w:p>
      <w:pPr>
        <w:pStyle w:val="91"/>
        <w:spacing w:line="360" w:lineRule="auto"/>
        <w:ind w:firstLine="480"/>
        <w:rPr>
          <w:rFonts w:ascii="宋体" w:hAnsi="宋体" w:cs="仿宋"/>
          <w:color w:val="auto"/>
          <w:sz w:val="24"/>
          <w:szCs w:val="24"/>
        </w:rPr>
      </w:pPr>
      <w:r>
        <w:rPr>
          <w:rFonts w:hint="eastAsia" w:ascii="宋体" w:hAnsi="宋体" w:cs="仿宋"/>
          <w:color w:val="auto"/>
          <w:sz w:val="24"/>
          <w:szCs w:val="24"/>
        </w:rPr>
        <w:t>13.1按照竞争性谈判文件中</w:t>
      </w:r>
      <w:r>
        <w:rPr>
          <w:rFonts w:hint="eastAsia" w:ascii="宋体" w:hAnsi="宋体" w:cs="仿宋"/>
          <w:bCs/>
          <w:color w:val="auto"/>
          <w:sz w:val="24"/>
          <w:szCs w:val="24"/>
        </w:rPr>
        <w:t>第五章</w:t>
      </w:r>
      <w:r>
        <w:rPr>
          <w:rFonts w:hint="eastAsia" w:ascii="宋体" w:hAnsi="宋体" w:cs="仿宋"/>
          <w:color w:val="auto"/>
          <w:sz w:val="24"/>
          <w:szCs w:val="24"/>
        </w:rPr>
        <w:t>对响应材料格式部分规定的顺序，统一编目编码并编制目录，响应文件应装订牢固不可拆卸（如：胶订）。由于编排混乱导致响应文件被误读或查找不到，责任应当由供应商承担。</w:t>
      </w:r>
    </w:p>
    <w:p>
      <w:pPr>
        <w:pStyle w:val="91"/>
        <w:spacing w:line="360" w:lineRule="auto"/>
        <w:ind w:firstLine="480"/>
        <w:rPr>
          <w:rFonts w:ascii="宋体" w:hAnsi="宋体" w:cs="仿宋"/>
          <w:color w:val="auto"/>
          <w:sz w:val="24"/>
          <w:szCs w:val="24"/>
        </w:rPr>
      </w:pPr>
      <w:r>
        <w:rPr>
          <w:rFonts w:hint="eastAsia" w:ascii="宋体" w:hAnsi="宋体" w:cs="仿宋"/>
          <w:color w:val="auto"/>
          <w:sz w:val="24"/>
          <w:szCs w:val="24"/>
        </w:rPr>
        <w:t>13.2除非另有规定，第三章“采购需求”中如有分包号的，供应商可对所列的全部包号或部分包号进行响应，评标与授标以包为单位。同一包号内所有采购内容响应时必须完整无缺项，响应文件必须按每个包号的要求分别编制、装订和封装，否则视为不合格供应商。</w:t>
      </w:r>
    </w:p>
    <w:p>
      <w:pPr>
        <w:spacing w:line="360" w:lineRule="auto"/>
        <w:ind w:firstLine="480" w:firstLineChars="200"/>
        <w:outlineLvl w:val="1"/>
        <w:rPr>
          <w:rFonts w:ascii="宋体" w:hAnsi="宋体" w:cs="仿宋"/>
          <w:color w:val="auto"/>
          <w:sz w:val="24"/>
          <w:szCs w:val="24"/>
        </w:rPr>
      </w:pPr>
      <w:bookmarkStart w:id="23" w:name="_Toc1660488"/>
      <w:r>
        <w:rPr>
          <w:rFonts w:hint="eastAsia" w:ascii="宋体" w:hAnsi="宋体" w:cs="仿宋"/>
          <w:color w:val="auto"/>
          <w:sz w:val="24"/>
          <w:szCs w:val="24"/>
        </w:rPr>
        <w:t>13.3供应商根据竞争性谈判文件载明的采购项目实际情况，拟在成交后将成交项目的非主体、非关键性工作交由他人完成的，应当在响应文件中载明分包承担主体、分包承担主体应当具备相应资质条件且不得再次分包。小型、微型企业不得分包或者转包给大型、中型企业，中型企业不得分包或者转包给大型企业。</w:t>
      </w:r>
      <w:bookmarkEnd w:id="23"/>
    </w:p>
    <w:p>
      <w:pPr>
        <w:pStyle w:val="91"/>
        <w:spacing w:line="360" w:lineRule="auto"/>
        <w:ind w:firstLine="0" w:firstLineChars="0"/>
        <w:rPr>
          <w:rFonts w:ascii="宋体" w:hAnsi="宋体" w:cs="仿宋"/>
          <w:b/>
          <w:bCs/>
          <w:color w:val="auto"/>
          <w:sz w:val="24"/>
          <w:szCs w:val="24"/>
        </w:rPr>
      </w:pPr>
      <w:r>
        <w:rPr>
          <w:rFonts w:hint="eastAsia" w:ascii="宋体" w:hAnsi="宋体" w:cs="仿宋"/>
          <w:b/>
          <w:bCs/>
          <w:color w:val="auto"/>
          <w:sz w:val="24"/>
          <w:szCs w:val="24"/>
        </w:rPr>
        <w:t>14.响应报价</w:t>
      </w:r>
    </w:p>
    <w:p>
      <w:pPr>
        <w:pStyle w:val="91"/>
        <w:spacing w:line="360" w:lineRule="auto"/>
        <w:ind w:firstLine="480"/>
        <w:rPr>
          <w:rFonts w:ascii="宋体" w:hAnsi="宋体" w:cs="仿宋"/>
          <w:color w:val="auto"/>
          <w:sz w:val="24"/>
          <w:szCs w:val="24"/>
        </w:rPr>
      </w:pPr>
      <w:r>
        <w:rPr>
          <w:rFonts w:hint="eastAsia" w:ascii="宋体" w:hAnsi="宋体" w:cs="仿宋"/>
          <w:color w:val="auto"/>
          <w:sz w:val="24"/>
          <w:szCs w:val="24"/>
        </w:rPr>
        <w:t>14.1 响应报价要求</w:t>
      </w:r>
    </w:p>
    <w:p>
      <w:pPr>
        <w:pStyle w:val="91"/>
        <w:spacing w:line="360" w:lineRule="auto"/>
        <w:ind w:firstLine="480"/>
        <w:rPr>
          <w:rFonts w:ascii="宋体" w:hAnsi="宋体" w:cs="仿宋"/>
          <w:color w:val="auto"/>
          <w:sz w:val="24"/>
          <w:szCs w:val="24"/>
        </w:rPr>
      </w:pPr>
      <w:r>
        <w:rPr>
          <w:rFonts w:hint="eastAsia" w:ascii="宋体" w:hAnsi="宋体" w:cs="仿宋"/>
          <w:color w:val="auto"/>
          <w:sz w:val="24"/>
          <w:szCs w:val="24"/>
        </w:rPr>
        <w:t>14.1.1所有响应报价均以人民币元为计算单位。只要投报了一个确定数额的总价，无论分项价格是否全部填报了相应的金额或免费字样，报价应被视为已经包含了但并不限于各项购买货物及其保管、运送、安装、调试、验收、保险和相关服务等的费用和所需缴纳的所有价格、税、费。在其他情况下，由于分项报价填报不完整、不清楚或存在其他任何失误，所导致的任何不利后果均应当由供应商自行承担。</w:t>
      </w:r>
    </w:p>
    <w:p>
      <w:pPr>
        <w:pStyle w:val="91"/>
        <w:spacing w:line="360" w:lineRule="auto"/>
        <w:ind w:firstLine="480"/>
        <w:rPr>
          <w:rFonts w:ascii="宋体" w:hAnsi="宋体" w:cs="仿宋"/>
          <w:color w:val="auto"/>
          <w:sz w:val="24"/>
          <w:szCs w:val="24"/>
        </w:rPr>
      </w:pPr>
      <w:r>
        <w:rPr>
          <w:rFonts w:hint="eastAsia" w:ascii="宋体" w:hAnsi="宋体" w:cs="仿宋"/>
          <w:color w:val="auto"/>
          <w:sz w:val="24"/>
          <w:szCs w:val="24"/>
        </w:rPr>
        <w:t>14.1.2供应商投报多包的，应对每包分别报价并分别填报开标一览表。</w:t>
      </w:r>
    </w:p>
    <w:p>
      <w:pPr>
        <w:pStyle w:val="91"/>
        <w:spacing w:line="360" w:lineRule="auto"/>
        <w:ind w:firstLine="480"/>
        <w:rPr>
          <w:rFonts w:ascii="宋体" w:hAnsi="宋体" w:cs="仿宋"/>
          <w:color w:val="auto"/>
          <w:sz w:val="24"/>
          <w:szCs w:val="24"/>
        </w:rPr>
      </w:pPr>
      <w:r>
        <w:rPr>
          <w:rFonts w:hint="eastAsia" w:ascii="宋体" w:hAnsi="宋体" w:cs="仿宋"/>
          <w:color w:val="auto"/>
          <w:sz w:val="24"/>
          <w:szCs w:val="24"/>
        </w:rPr>
        <w:t>14.1.3开标一览表中价格填报处不应有空白，如无费用可填报“/”。</w:t>
      </w:r>
    </w:p>
    <w:p>
      <w:pPr>
        <w:pStyle w:val="91"/>
        <w:spacing w:line="360" w:lineRule="auto"/>
        <w:ind w:firstLine="480"/>
        <w:rPr>
          <w:rFonts w:hint="eastAsia" w:ascii="宋体" w:hAnsi="宋体" w:eastAsia="宋体" w:cs="仿宋"/>
          <w:color w:val="auto"/>
          <w:sz w:val="24"/>
          <w:szCs w:val="24"/>
          <w:lang w:eastAsia="zh-CN"/>
        </w:rPr>
      </w:pPr>
      <w:r>
        <w:rPr>
          <w:rFonts w:hint="eastAsia" w:ascii="宋体" w:hAnsi="宋体" w:cs="仿宋"/>
          <w:color w:val="auto"/>
          <w:sz w:val="24"/>
          <w:szCs w:val="24"/>
        </w:rPr>
        <w:t>14.1.4供应商对响应报价若有说明应在开标一览表显著处注明，只有开标时唱出的报价和优惠才会在评标时予以考虑。</w:t>
      </w:r>
      <w:r>
        <w:rPr>
          <w:rFonts w:hint="eastAsia" w:ascii="宋体" w:hAnsi="宋体" w:cs="仿宋"/>
          <w:color w:val="auto"/>
          <w:sz w:val="24"/>
          <w:szCs w:val="24"/>
          <w:lang w:eastAsia="zh-CN"/>
        </w:rPr>
        <w:t>开标一览表须单独密封递交。</w:t>
      </w:r>
    </w:p>
    <w:p>
      <w:pPr>
        <w:pStyle w:val="91"/>
        <w:spacing w:line="360" w:lineRule="auto"/>
        <w:ind w:firstLine="480"/>
        <w:rPr>
          <w:rFonts w:ascii="宋体" w:hAnsi="宋体" w:cs="仿宋"/>
          <w:color w:val="auto"/>
          <w:sz w:val="24"/>
          <w:szCs w:val="24"/>
        </w:rPr>
      </w:pPr>
      <w:r>
        <w:rPr>
          <w:rFonts w:hint="eastAsia" w:ascii="宋体" w:hAnsi="宋体" w:cs="仿宋"/>
          <w:color w:val="auto"/>
          <w:sz w:val="24"/>
          <w:szCs w:val="24"/>
        </w:rPr>
        <w:t>14.1.5响应的报价优惠应对应开标一览表</w:t>
      </w:r>
      <w:r>
        <w:rPr>
          <w:rFonts w:hint="eastAsia" w:ascii="宋体" w:hAnsi="宋体" w:cs="仿宋"/>
          <w:color w:val="auto"/>
          <w:sz w:val="24"/>
          <w:szCs w:val="24"/>
          <w:lang w:eastAsia="zh-CN"/>
        </w:rPr>
        <w:t>、已标价工程量清单</w:t>
      </w:r>
      <w:r>
        <w:rPr>
          <w:rFonts w:hint="eastAsia" w:ascii="宋体" w:hAnsi="宋体" w:cs="仿宋"/>
          <w:color w:val="auto"/>
          <w:sz w:val="24"/>
          <w:szCs w:val="24"/>
        </w:rPr>
        <w:t>等提供相应的明细清单。除报价优惠外，任何超出竞争性谈判文件要求而额外赠送的货物、免费培训等其他形式的优惠，在评审时将不具有竞争优势。</w:t>
      </w:r>
    </w:p>
    <w:p>
      <w:pPr>
        <w:pStyle w:val="91"/>
        <w:spacing w:line="360" w:lineRule="auto"/>
        <w:ind w:firstLine="480"/>
        <w:rPr>
          <w:rFonts w:ascii="宋体" w:hAnsi="宋体" w:cs="仿宋"/>
          <w:color w:val="auto"/>
          <w:sz w:val="24"/>
          <w:szCs w:val="24"/>
        </w:rPr>
      </w:pPr>
      <w:r>
        <w:rPr>
          <w:rFonts w:hint="eastAsia" w:ascii="宋体" w:hAnsi="宋体" w:cs="仿宋"/>
          <w:color w:val="auto"/>
          <w:sz w:val="24"/>
          <w:szCs w:val="24"/>
        </w:rPr>
        <w:t>14.1.6对于有分项及特殊需求的服务内容，应由供应商自行设计相关格式。供应商按照上述要求分类报价，其目的是便于评标，但在任何情况下并不限制采购代理机构或采购人以其他条款签订合同的权利。</w:t>
      </w:r>
    </w:p>
    <w:p>
      <w:pPr>
        <w:pStyle w:val="91"/>
        <w:spacing w:line="360" w:lineRule="auto"/>
        <w:ind w:firstLine="480"/>
        <w:rPr>
          <w:rFonts w:ascii="宋体" w:hAnsi="宋体" w:cs="仿宋"/>
          <w:color w:val="auto"/>
          <w:sz w:val="24"/>
          <w:szCs w:val="24"/>
        </w:rPr>
      </w:pPr>
      <w:r>
        <w:rPr>
          <w:rFonts w:hint="eastAsia" w:ascii="宋体" w:hAnsi="宋体" w:cs="仿宋"/>
          <w:color w:val="auto"/>
          <w:sz w:val="24"/>
          <w:szCs w:val="24"/>
        </w:rPr>
        <w:t>14.2最低报价不能作为成交的保证。</w:t>
      </w:r>
    </w:p>
    <w:p>
      <w:pPr>
        <w:pStyle w:val="91"/>
        <w:spacing w:line="360" w:lineRule="auto"/>
        <w:ind w:firstLine="480"/>
        <w:rPr>
          <w:rFonts w:ascii="宋体" w:hAnsi="宋体" w:cs="仿宋"/>
          <w:color w:val="auto"/>
          <w:sz w:val="24"/>
          <w:szCs w:val="24"/>
        </w:rPr>
      </w:pPr>
      <w:r>
        <w:rPr>
          <w:rFonts w:hint="eastAsia" w:ascii="宋体" w:hAnsi="宋体" w:cs="仿宋"/>
          <w:color w:val="auto"/>
          <w:sz w:val="24"/>
          <w:szCs w:val="24"/>
        </w:rPr>
        <w:t>14.3 响应文件报价出现前后不一致的，按照下列规定修正：</w:t>
      </w:r>
    </w:p>
    <w:p>
      <w:pPr>
        <w:pStyle w:val="91"/>
        <w:spacing w:line="360" w:lineRule="auto"/>
        <w:ind w:firstLine="480"/>
        <w:rPr>
          <w:rFonts w:ascii="宋体" w:hAnsi="宋体" w:cs="仿宋"/>
          <w:color w:val="auto"/>
          <w:sz w:val="24"/>
          <w:szCs w:val="24"/>
        </w:rPr>
      </w:pPr>
      <w:r>
        <w:rPr>
          <w:rFonts w:hint="eastAsia" w:ascii="宋体" w:hAnsi="宋体" w:cs="仿宋"/>
          <w:color w:val="auto"/>
          <w:sz w:val="24"/>
          <w:szCs w:val="24"/>
        </w:rPr>
        <w:t xml:space="preserve">（1）响应文件中开标一览表内容与竞争性谈判文件中相应内容不一致的，以开标一览表为准； </w:t>
      </w:r>
    </w:p>
    <w:p>
      <w:pPr>
        <w:pStyle w:val="91"/>
        <w:spacing w:line="360" w:lineRule="auto"/>
        <w:ind w:firstLine="480"/>
        <w:rPr>
          <w:rFonts w:ascii="宋体" w:hAnsi="宋体" w:cs="仿宋"/>
          <w:color w:val="auto"/>
          <w:sz w:val="24"/>
          <w:szCs w:val="24"/>
        </w:rPr>
      </w:pPr>
      <w:r>
        <w:rPr>
          <w:rFonts w:hint="eastAsia" w:ascii="宋体" w:hAnsi="宋体" w:cs="仿宋"/>
          <w:color w:val="auto"/>
          <w:sz w:val="24"/>
          <w:szCs w:val="24"/>
        </w:rPr>
        <w:t>（2）大写金额和小写金额不一致的，以大写金额为准；</w:t>
      </w:r>
    </w:p>
    <w:p>
      <w:pPr>
        <w:pStyle w:val="91"/>
        <w:spacing w:line="360" w:lineRule="auto"/>
        <w:ind w:firstLine="480"/>
        <w:rPr>
          <w:rFonts w:ascii="宋体" w:hAnsi="宋体" w:cs="仿宋"/>
          <w:color w:val="auto"/>
          <w:sz w:val="24"/>
          <w:szCs w:val="24"/>
        </w:rPr>
      </w:pPr>
      <w:r>
        <w:rPr>
          <w:rFonts w:hint="eastAsia" w:ascii="宋体" w:hAnsi="宋体" w:cs="仿宋"/>
          <w:color w:val="auto"/>
          <w:sz w:val="24"/>
          <w:szCs w:val="24"/>
        </w:rPr>
        <w:t>（3）单价金额小数点或者百分比有明显错位的，以开标一览表的总价为准，并修改单价；</w:t>
      </w:r>
    </w:p>
    <w:p>
      <w:pPr>
        <w:pStyle w:val="91"/>
        <w:spacing w:line="360" w:lineRule="auto"/>
        <w:ind w:firstLine="480"/>
        <w:rPr>
          <w:rFonts w:ascii="宋体" w:hAnsi="宋体" w:cs="仿宋"/>
          <w:color w:val="auto"/>
          <w:sz w:val="24"/>
          <w:szCs w:val="24"/>
        </w:rPr>
      </w:pPr>
      <w:r>
        <w:rPr>
          <w:rFonts w:hint="eastAsia" w:ascii="宋体" w:hAnsi="宋体" w:cs="仿宋"/>
          <w:color w:val="auto"/>
          <w:sz w:val="24"/>
          <w:szCs w:val="24"/>
        </w:rPr>
        <w:t>（4）总价金额与按单价汇总金额不一致的，以单价金额计算结果为准。</w:t>
      </w:r>
    </w:p>
    <w:p>
      <w:pPr>
        <w:pStyle w:val="91"/>
        <w:spacing w:line="360" w:lineRule="auto"/>
        <w:ind w:firstLine="480"/>
        <w:rPr>
          <w:rFonts w:ascii="宋体" w:hAnsi="宋体" w:cs="仿宋"/>
          <w:color w:val="auto"/>
          <w:sz w:val="24"/>
          <w:szCs w:val="24"/>
        </w:rPr>
      </w:pPr>
      <w:r>
        <w:rPr>
          <w:rFonts w:hint="eastAsia" w:ascii="宋体" w:hAnsi="宋体" w:cs="仿宋"/>
          <w:color w:val="auto"/>
          <w:sz w:val="24"/>
          <w:szCs w:val="24"/>
        </w:rPr>
        <w:t>同时出现两种以上不一致的，按照前款规定的顺序修正。修正后的报价按照24.8条的规定经供应商确认后产生约束力，供应商不确认的，其响应无效。</w:t>
      </w:r>
    </w:p>
    <w:p>
      <w:pPr>
        <w:spacing w:line="360" w:lineRule="auto"/>
        <w:rPr>
          <w:rFonts w:ascii="宋体" w:hAnsi="宋体" w:cs="仿宋"/>
          <w:b/>
          <w:bCs/>
          <w:color w:val="auto"/>
          <w:sz w:val="24"/>
          <w:szCs w:val="24"/>
        </w:rPr>
      </w:pPr>
      <w:r>
        <w:rPr>
          <w:rFonts w:hint="eastAsia" w:ascii="宋体" w:hAnsi="宋体" w:cs="仿宋"/>
          <w:b/>
          <w:bCs/>
          <w:color w:val="auto"/>
          <w:sz w:val="24"/>
          <w:szCs w:val="24"/>
        </w:rPr>
        <w:t>15.谈判保证金</w:t>
      </w:r>
    </w:p>
    <w:p>
      <w:pPr>
        <w:spacing w:line="360" w:lineRule="auto"/>
        <w:ind w:firstLine="470" w:firstLineChars="196"/>
        <w:rPr>
          <w:rFonts w:hint="eastAsia" w:ascii="宋体" w:hAnsi="宋体" w:eastAsia="宋体" w:cs="仿宋"/>
          <w:color w:val="auto"/>
          <w:sz w:val="24"/>
          <w:szCs w:val="24"/>
          <w:lang w:eastAsia="zh-CN"/>
        </w:rPr>
      </w:pPr>
      <w:r>
        <w:rPr>
          <w:rFonts w:hint="eastAsia" w:ascii="宋体" w:hAnsi="宋体" w:cs="仿宋"/>
          <w:color w:val="auto"/>
          <w:sz w:val="24"/>
          <w:szCs w:val="24"/>
        </w:rPr>
        <w:t>15.1 谈判保证金为响应文件的组成部分之一，谈判保证金用于保护本次采购活动免受供应商的行为而引起的风险。</w:t>
      </w:r>
      <w:r>
        <w:rPr>
          <w:rFonts w:hint="eastAsia" w:ascii="宋体" w:hAnsi="宋体" w:cs="仿宋"/>
          <w:color w:val="auto"/>
          <w:sz w:val="24"/>
          <w:szCs w:val="24"/>
          <w:lang w:eastAsia="zh-CN"/>
        </w:rPr>
        <w:t>供应商缴纳保证金时必须注明：</w:t>
      </w:r>
      <w:r>
        <w:rPr>
          <w:rFonts w:hint="eastAsia" w:ascii="宋体" w:hAnsi="宋体"/>
          <w:color w:val="auto"/>
          <w:kern w:val="28"/>
          <w:sz w:val="24"/>
          <w:lang w:eastAsia="zh-CN"/>
        </w:rPr>
        <w:t>HNZH-2020-188保证金，否则视为无效投标。</w:t>
      </w:r>
    </w:p>
    <w:p>
      <w:pPr>
        <w:pStyle w:val="7"/>
        <w:spacing w:line="360" w:lineRule="auto"/>
        <w:rPr>
          <w:rFonts w:ascii="宋体" w:hAnsi="宋体" w:cs="仿宋"/>
          <w:color w:val="auto"/>
          <w:sz w:val="24"/>
          <w:szCs w:val="24"/>
        </w:rPr>
      </w:pPr>
      <w:r>
        <w:rPr>
          <w:rFonts w:hint="eastAsia" w:ascii="宋体" w:hAnsi="宋体" w:cs="仿宋"/>
          <w:color w:val="auto"/>
          <w:sz w:val="24"/>
          <w:szCs w:val="24"/>
        </w:rPr>
        <w:t xml:space="preserve">    15.2采购人或采购代理机构应当自成交通知书发出之日起5个工作日内退还未成交供应商的谈判保证金，自签订合同之日起5个工作日内退还成交供应商的谈判保证金或者转化为成交供应商的履约保证金。由于供应商的自身原因未及时办理谈判保证金退还的，其责任和由此造成的后果由供应商自行承担。</w:t>
      </w:r>
    </w:p>
    <w:p>
      <w:pPr>
        <w:spacing w:line="360" w:lineRule="auto"/>
        <w:ind w:firstLine="470" w:firstLineChars="196"/>
        <w:rPr>
          <w:rFonts w:ascii="宋体" w:hAnsi="宋体" w:cs="仿宋"/>
          <w:color w:val="auto"/>
          <w:sz w:val="24"/>
          <w:szCs w:val="24"/>
        </w:rPr>
      </w:pPr>
      <w:r>
        <w:rPr>
          <w:rFonts w:hint="eastAsia" w:ascii="宋体" w:hAnsi="宋体" w:cs="仿宋"/>
          <w:color w:val="auto"/>
          <w:sz w:val="24"/>
          <w:szCs w:val="24"/>
        </w:rPr>
        <w:t>15.3谈判保证金的有效期与响应有效期一致，否则视为无效响应。</w:t>
      </w:r>
    </w:p>
    <w:p>
      <w:pPr>
        <w:spacing w:line="360" w:lineRule="auto"/>
        <w:ind w:firstLine="470" w:firstLineChars="196"/>
        <w:rPr>
          <w:rFonts w:ascii="宋体" w:hAnsi="宋体" w:cs="仿宋"/>
          <w:color w:val="auto"/>
          <w:sz w:val="24"/>
          <w:szCs w:val="24"/>
        </w:rPr>
      </w:pPr>
      <w:r>
        <w:rPr>
          <w:rFonts w:hint="eastAsia" w:ascii="宋体" w:hAnsi="宋体" w:cs="仿宋"/>
          <w:color w:val="auto"/>
          <w:sz w:val="24"/>
          <w:szCs w:val="24"/>
        </w:rPr>
        <w:t>15.4供应商办理谈判保证金手续时，在“付款人”一栏中填写响应单位名称（须与购买竞争性谈判文件的单位名称一致，否则自行承担由此产生的风险）。</w:t>
      </w:r>
    </w:p>
    <w:p>
      <w:pPr>
        <w:spacing w:line="360" w:lineRule="auto"/>
        <w:ind w:firstLine="470" w:firstLineChars="196"/>
        <w:rPr>
          <w:rFonts w:ascii="宋体" w:hAnsi="宋体" w:cs="仿宋"/>
          <w:color w:val="auto"/>
          <w:sz w:val="24"/>
          <w:szCs w:val="24"/>
        </w:rPr>
      </w:pPr>
      <w:r>
        <w:rPr>
          <w:rFonts w:hint="eastAsia" w:ascii="宋体" w:hAnsi="宋体" w:cs="仿宋"/>
          <w:color w:val="auto"/>
          <w:sz w:val="24"/>
          <w:szCs w:val="24"/>
        </w:rPr>
        <w:t>15.5供应商在谈判截止时间前撤回已提交的响应文件的，采购代理机构应当自收到供应商书面撤回通知之日起5个工作日内，退还已收取的谈判保证金，但因供应商自身原因导致无法退还的除外。</w:t>
      </w:r>
    </w:p>
    <w:p>
      <w:pPr>
        <w:spacing w:line="360" w:lineRule="auto"/>
        <w:ind w:firstLine="480" w:firstLineChars="200"/>
        <w:rPr>
          <w:rFonts w:ascii="宋体" w:hAnsi="宋体" w:cs="仿宋"/>
          <w:color w:val="auto"/>
          <w:sz w:val="24"/>
          <w:szCs w:val="24"/>
        </w:rPr>
      </w:pPr>
      <w:r>
        <w:rPr>
          <w:rFonts w:hint="eastAsia" w:ascii="宋体" w:hAnsi="宋体" w:cs="仿宋"/>
          <w:color w:val="auto"/>
          <w:sz w:val="24"/>
          <w:szCs w:val="24"/>
        </w:rPr>
        <w:t>15.6发生以下情况之一的，谈判保证金可以不予退还：</w:t>
      </w:r>
    </w:p>
    <w:p>
      <w:pPr>
        <w:spacing w:line="360" w:lineRule="auto"/>
        <w:ind w:firstLine="480" w:firstLineChars="200"/>
        <w:rPr>
          <w:rFonts w:ascii="宋体" w:hAnsi="宋体" w:cs="仿宋"/>
          <w:color w:val="auto"/>
          <w:sz w:val="24"/>
          <w:szCs w:val="24"/>
        </w:rPr>
      </w:pPr>
      <w:r>
        <w:rPr>
          <w:rFonts w:hint="eastAsia" w:ascii="宋体" w:hAnsi="宋体" w:cs="仿宋"/>
          <w:color w:val="auto"/>
          <w:sz w:val="24"/>
          <w:szCs w:val="24"/>
        </w:rPr>
        <w:t>（1）在提交响应文件截止时间后撤回响应文件的；</w:t>
      </w:r>
    </w:p>
    <w:p>
      <w:pPr>
        <w:spacing w:line="360" w:lineRule="auto"/>
        <w:ind w:firstLine="480" w:firstLineChars="200"/>
        <w:rPr>
          <w:rFonts w:ascii="宋体" w:hAnsi="宋体" w:cs="仿宋"/>
          <w:color w:val="auto"/>
          <w:sz w:val="24"/>
          <w:szCs w:val="24"/>
        </w:rPr>
      </w:pPr>
      <w:r>
        <w:rPr>
          <w:rFonts w:hint="eastAsia" w:ascii="宋体" w:hAnsi="宋体" w:cs="仿宋"/>
          <w:color w:val="auto"/>
          <w:sz w:val="24"/>
          <w:szCs w:val="24"/>
        </w:rPr>
        <w:t>（2）在响应文件中提供虚假材料的；</w:t>
      </w:r>
    </w:p>
    <w:p>
      <w:pPr>
        <w:spacing w:line="360" w:lineRule="auto"/>
        <w:ind w:firstLine="480" w:firstLineChars="200"/>
        <w:rPr>
          <w:rFonts w:ascii="宋体" w:hAnsi="宋体" w:cs="仿宋"/>
          <w:color w:val="auto"/>
          <w:sz w:val="24"/>
          <w:szCs w:val="24"/>
        </w:rPr>
      </w:pPr>
      <w:r>
        <w:rPr>
          <w:rFonts w:hint="eastAsia" w:ascii="宋体" w:hAnsi="宋体" w:cs="仿宋"/>
          <w:color w:val="auto"/>
          <w:sz w:val="24"/>
          <w:szCs w:val="24"/>
        </w:rPr>
        <w:t>（3）除因不可抗力或竞争性谈判文件认可的情形以外，成交供应商不与采购人签订合同的；</w:t>
      </w:r>
    </w:p>
    <w:p>
      <w:pPr>
        <w:spacing w:line="360" w:lineRule="auto"/>
        <w:ind w:firstLine="480" w:firstLineChars="200"/>
        <w:rPr>
          <w:rFonts w:ascii="宋体" w:hAnsi="宋体" w:cs="仿宋"/>
          <w:color w:val="auto"/>
          <w:sz w:val="24"/>
          <w:szCs w:val="24"/>
        </w:rPr>
      </w:pPr>
      <w:r>
        <w:rPr>
          <w:rFonts w:hint="eastAsia" w:ascii="宋体" w:hAnsi="宋体" w:cs="仿宋"/>
          <w:color w:val="auto"/>
          <w:sz w:val="24"/>
          <w:szCs w:val="24"/>
        </w:rPr>
        <w:t>（4）供应商与采购人、其他供应商或者采购代理机构恶意串通的；</w:t>
      </w:r>
    </w:p>
    <w:p>
      <w:pPr>
        <w:spacing w:line="360" w:lineRule="auto"/>
        <w:ind w:firstLine="480" w:firstLineChars="200"/>
        <w:rPr>
          <w:rFonts w:ascii="宋体" w:hAnsi="宋体" w:cs="仿宋"/>
          <w:color w:val="auto"/>
          <w:sz w:val="24"/>
          <w:szCs w:val="24"/>
        </w:rPr>
      </w:pPr>
      <w:r>
        <w:rPr>
          <w:rFonts w:hint="eastAsia" w:ascii="宋体" w:hAnsi="宋体" w:cs="仿宋"/>
          <w:color w:val="auto"/>
          <w:sz w:val="24"/>
          <w:szCs w:val="24"/>
        </w:rPr>
        <w:t>（5）成交后不领取或者不接收成交通知书的；</w:t>
      </w:r>
    </w:p>
    <w:p>
      <w:pPr>
        <w:spacing w:line="360" w:lineRule="auto"/>
        <w:ind w:firstLine="480" w:firstLineChars="200"/>
        <w:rPr>
          <w:rFonts w:ascii="宋体" w:hAnsi="宋体" w:cs="仿宋"/>
          <w:color w:val="auto"/>
          <w:sz w:val="24"/>
          <w:szCs w:val="24"/>
        </w:rPr>
      </w:pPr>
      <w:r>
        <w:rPr>
          <w:rFonts w:hint="eastAsia" w:ascii="宋体" w:hAnsi="宋体" w:cs="仿宋"/>
          <w:color w:val="auto"/>
          <w:sz w:val="24"/>
          <w:szCs w:val="24"/>
        </w:rPr>
        <w:t>（6）由于成交供应商的原因未能按照竞争性谈判文件的规定交纳履约保证金的；</w:t>
      </w:r>
    </w:p>
    <w:p>
      <w:pPr>
        <w:spacing w:line="360" w:lineRule="auto"/>
        <w:ind w:firstLine="480" w:firstLineChars="200"/>
        <w:rPr>
          <w:rFonts w:ascii="宋体" w:hAnsi="宋体" w:cs="仿宋"/>
          <w:color w:val="auto"/>
          <w:sz w:val="24"/>
          <w:szCs w:val="24"/>
        </w:rPr>
      </w:pPr>
      <w:r>
        <w:rPr>
          <w:rFonts w:hint="eastAsia" w:ascii="宋体" w:hAnsi="宋体" w:cs="仿宋"/>
          <w:color w:val="auto"/>
          <w:sz w:val="24"/>
          <w:szCs w:val="24"/>
        </w:rPr>
        <w:t>（7）响应有效期内，供应商在政府采购活动中有违法、违规、违纪行为。</w:t>
      </w:r>
    </w:p>
    <w:p>
      <w:pPr>
        <w:spacing w:line="360" w:lineRule="auto"/>
        <w:ind w:firstLine="480" w:firstLineChars="200"/>
        <w:rPr>
          <w:rFonts w:ascii="宋体" w:hAnsi="宋体" w:cs="仿宋"/>
          <w:color w:val="auto"/>
          <w:sz w:val="24"/>
          <w:szCs w:val="24"/>
        </w:rPr>
      </w:pPr>
      <w:r>
        <w:rPr>
          <w:rFonts w:hint="eastAsia" w:ascii="宋体" w:hAnsi="宋体" w:cs="仿宋"/>
          <w:color w:val="auto"/>
          <w:sz w:val="24"/>
          <w:szCs w:val="24"/>
        </w:rPr>
        <w:t>（8）响应有效期内，供应商撤销响应文件的。</w:t>
      </w:r>
    </w:p>
    <w:p>
      <w:pPr>
        <w:spacing w:line="360" w:lineRule="auto"/>
        <w:ind w:firstLine="480" w:firstLineChars="200"/>
        <w:rPr>
          <w:rFonts w:ascii="宋体" w:hAnsi="宋体" w:cs="仿宋"/>
          <w:color w:val="auto"/>
          <w:sz w:val="24"/>
          <w:szCs w:val="24"/>
        </w:rPr>
      </w:pPr>
      <w:r>
        <w:rPr>
          <w:rFonts w:hint="eastAsia" w:ascii="宋体" w:hAnsi="宋体" w:cs="仿宋"/>
          <w:color w:val="auto"/>
          <w:sz w:val="24"/>
          <w:szCs w:val="24"/>
        </w:rPr>
        <w:t>上述不予退还谈判保证金的情况给采购代理机构造成损失的，还要承担赔偿责任。</w:t>
      </w:r>
    </w:p>
    <w:p>
      <w:pPr>
        <w:pStyle w:val="91"/>
        <w:spacing w:line="360" w:lineRule="auto"/>
        <w:ind w:firstLine="0" w:firstLineChars="0"/>
        <w:rPr>
          <w:rFonts w:ascii="宋体" w:hAnsi="宋体" w:cs="仿宋"/>
          <w:b/>
          <w:bCs/>
          <w:color w:val="auto"/>
          <w:sz w:val="24"/>
          <w:szCs w:val="24"/>
        </w:rPr>
      </w:pPr>
      <w:r>
        <w:rPr>
          <w:rFonts w:hint="eastAsia" w:ascii="宋体" w:hAnsi="宋体" w:cs="仿宋"/>
          <w:b/>
          <w:bCs/>
          <w:color w:val="auto"/>
          <w:sz w:val="24"/>
          <w:szCs w:val="24"/>
        </w:rPr>
        <w:t>16.响应文件的有效期</w:t>
      </w:r>
    </w:p>
    <w:p>
      <w:pPr>
        <w:pStyle w:val="91"/>
        <w:spacing w:line="360" w:lineRule="auto"/>
        <w:ind w:firstLine="480"/>
        <w:rPr>
          <w:rFonts w:ascii="宋体" w:hAnsi="宋体" w:cs="仿宋"/>
          <w:color w:val="auto"/>
          <w:sz w:val="24"/>
          <w:szCs w:val="24"/>
        </w:rPr>
      </w:pPr>
      <w:r>
        <w:rPr>
          <w:rFonts w:hint="eastAsia" w:ascii="宋体" w:hAnsi="宋体" w:cs="仿宋"/>
          <w:color w:val="auto"/>
          <w:sz w:val="24"/>
          <w:szCs w:val="24"/>
        </w:rPr>
        <w:t>16.1本项目响应文件的有效期详见供应商须知前附表第1</w:t>
      </w:r>
      <w:r>
        <w:rPr>
          <w:rFonts w:hint="eastAsia" w:ascii="宋体" w:hAnsi="宋体" w:cs="仿宋"/>
          <w:color w:val="auto"/>
          <w:sz w:val="24"/>
          <w:szCs w:val="24"/>
          <w:lang w:val="en-US" w:eastAsia="zh-CN"/>
        </w:rPr>
        <w:t>1</w:t>
      </w:r>
      <w:r>
        <w:rPr>
          <w:rFonts w:hint="eastAsia" w:ascii="宋体" w:hAnsi="宋体" w:cs="仿宋"/>
          <w:color w:val="auto"/>
          <w:sz w:val="24"/>
          <w:szCs w:val="24"/>
        </w:rPr>
        <w:t>条。有效期不足将导致其响应无效。响应截止时间后，供应商在响应有效期内不得撤销响应文件。</w:t>
      </w:r>
    </w:p>
    <w:p>
      <w:pPr>
        <w:spacing w:line="360" w:lineRule="auto"/>
        <w:ind w:firstLine="480" w:firstLineChars="200"/>
        <w:rPr>
          <w:rFonts w:ascii="宋体" w:hAnsi="宋体" w:cs="仿宋"/>
          <w:color w:val="auto"/>
          <w:sz w:val="24"/>
          <w:szCs w:val="24"/>
        </w:rPr>
      </w:pPr>
      <w:r>
        <w:rPr>
          <w:rFonts w:hint="eastAsia" w:ascii="宋体" w:hAnsi="宋体" w:cs="仿宋"/>
          <w:color w:val="auto"/>
          <w:sz w:val="24"/>
          <w:szCs w:val="24"/>
        </w:rPr>
        <w:t xml:space="preserve">16.2特殊情况下采购代理机构可于响应有效期满之前书面要求供应商同意延长有效期，供应商应在采购代理机构规定的期限内以书面形式予以答复，供应商答复不明确或者逾期未答复的，均视为拒绝上述要求。供应商拒绝上述要求的，其响应保证金可按规定予以退还。对于接受该要求的供应商，既不要求也不允许其修改响应文件，但将要求其相应延长响应保证金有效期，有关退还和不予退还响应保证金的规定在响应有效期延长期内继续有效。同意响应有效期延长的，供应商自行承担由此产生的费用；同意响应有效期延长的供应商不足三家的，予以废标。不同意延长响应有效期的，响应有效期满自动失效。 </w:t>
      </w:r>
    </w:p>
    <w:p>
      <w:pPr>
        <w:pStyle w:val="91"/>
        <w:spacing w:line="360" w:lineRule="auto"/>
        <w:ind w:firstLine="0" w:firstLineChars="0"/>
        <w:rPr>
          <w:rFonts w:ascii="宋体" w:hAnsi="宋体" w:cs="仿宋"/>
          <w:b/>
          <w:bCs/>
          <w:color w:val="auto"/>
          <w:sz w:val="24"/>
          <w:szCs w:val="24"/>
        </w:rPr>
      </w:pPr>
      <w:r>
        <w:rPr>
          <w:rFonts w:hint="eastAsia" w:ascii="宋体" w:hAnsi="宋体" w:cs="仿宋"/>
          <w:b/>
          <w:bCs/>
          <w:color w:val="auto"/>
          <w:sz w:val="24"/>
          <w:szCs w:val="24"/>
        </w:rPr>
        <w:t>17.响应文件的签署及其他规定</w:t>
      </w:r>
    </w:p>
    <w:p>
      <w:pPr>
        <w:pStyle w:val="91"/>
        <w:spacing w:line="360" w:lineRule="auto"/>
        <w:ind w:firstLine="480"/>
        <w:rPr>
          <w:rFonts w:ascii="宋体" w:hAnsi="宋体" w:cs="仿宋"/>
          <w:color w:val="auto"/>
          <w:sz w:val="24"/>
          <w:szCs w:val="24"/>
        </w:rPr>
      </w:pPr>
      <w:r>
        <w:rPr>
          <w:rFonts w:hint="eastAsia" w:ascii="宋体" w:hAnsi="宋体" w:cs="仿宋"/>
          <w:color w:val="auto"/>
          <w:sz w:val="24"/>
          <w:szCs w:val="24"/>
        </w:rPr>
        <w:t>17.1组成响应文件的各项文件均应遵守本条规定。</w:t>
      </w:r>
    </w:p>
    <w:p>
      <w:pPr>
        <w:pStyle w:val="91"/>
        <w:spacing w:line="360" w:lineRule="auto"/>
        <w:ind w:firstLine="480"/>
        <w:rPr>
          <w:rFonts w:ascii="宋体" w:hAnsi="宋体" w:cs="仿宋"/>
          <w:color w:val="auto"/>
          <w:sz w:val="24"/>
          <w:szCs w:val="24"/>
        </w:rPr>
      </w:pPr>
      <w:r>
        <w:rPr>
          <w:rFonts w:hint="eastAsia" w:ascii="宋体" w:hAnsi="宋体" w:cs="仿宋"/>
          <w:color w:val="auto"/>
          <w:sz w:val="24"/>
          <w:szCs w:val="24"/>
        </w:rPr>
        <w:t>17.2响应文件签署要求如下：</w:t>
      </w:r>
    </w:p>
    <w:p>
      <w:pPr>
        <w:pStyle w:val="91"/>
        <w:numPr>
          <w:ilvl w:val="0"/>
          <w:numId w:val="4"/>
        </w:numPr>
        <w:spacing w:line="360" w:lineRule="auto"/>
        <w:ind w:firstLine="480"/>
        <w:rPr>
          <w:rFonts w:ascii="宋体" w:hAnsi="宋体" w:cs="仿宋"/>
          <w:color w:val="auto"/>
          <w:sz w:val="24"/>
          <w:szCs w:val="24"/>
        </w:rPr>
      </w:pPr>
      <w:r>
        <w:rPr>
          <w:rFonts w:hint="eastAsia" w:ascii="宋体" w:hAnsi="宋体" w:cs="仿宋"/>
          <w:color w:val="auto"/>
          <w:sz w:val="24"/>
          <w:szCs w:val="24"/>
        </w:rPr>
        <w:t>响应文件所使用的印章必须为单位公章，且与供应商单位名称完全一致，不能以其它业务章或附属机构印章代替，否则视为无效响应文件；</w:t>
      </w:r>
    </w:p>
    <w:p>
      <w:pPr>
        <w:pStyle w:val="91"/>
        <w:spacing w:line="360" w:lineRule="auto"/>
        <w:ind w:firstLine="480"/>
        <w:rPr>
          <w:rFonts w:ascii="宋体" w:hAnsi="宋体" w:cs="仿宋"/>
          <w:color w:val="auto"/>
          <w:sz w:val="24"/>
          <w:szCs w:val="24"/>
        </w:rPr>
      </w:pPr>
      <w:r>
        <w:rPr>
          <w:rFonts w:hint="eastAsia" w:ascii="宋体" w:hAnsi="宋体" w:cs="仿宋"/>
          <w:color w:val="auto"/>
          <w:sz w:val="24"/>
          <w:szCs w:val="24"/>
        </w:rPr>
        <w:t>（2）响应文件如有改动，必须在改动之处加盖单位公章或响应代表签字（或盖名章）摁手印；</w:t>
      </w:r>
    </w:p>
    <w:p>
      <w:pPr>
        <w:pStyle w:val="91"/>
        <w:spacing w:line="360" w:lineRule="auto"/>
        <w:ind w:firstLine="480"/>
        <w:rPr>
          <w:rFonts w:ascii="宋体" w:hAnsi="宋体" w:cs="仿宋"/>
          <w:color w:val="auto"/>
          <w:sz w:val="24"/>
          <w:szCs w:val="24"/>
        </w:rPr>
      </w:pPr>
      <w:r>
        <w:rPr>
          <w:rFonts w:hint="eastAsia" w:ascii="宋体" w:hAnsi="宋体" w:cs="仿宋"/>
          <w:color w:val="auto"/>
          <w:sz w:val="24"/>
          <w:szCs w:val="24"/>
        </w:rPr>
        <w:t>17.3供应商应按照竞争性谈判文件第六章中提供的“响应文件格式”编制响应文件，如自有格式并按其格式编制的响应文件，其内容必须包含“响应文件格式”中所有的实质性内容并受其约束。</w:t>
      </w:r>
    </w:p>
    <w:p>
      <w:pPr>
        <w:pStyle w:val="91"/>
        <w:spacing w:line="360" w:lineRule="auto"/>
        <w:ind w:firstLine="480"/>
        <w:rPr>
          <w:rFonts w:ascii="宋体" w:hAnsi="宋体" w:cs="仿宋"/>
          <w:color w:val="auto"/>
          <w:sz w:val="24"/>
          <w:szCs w:val="24"/>
        </w:rPr>
      </w:pPr>
      <w:r>
        <w:rPr>
          <w:rFonts w:hint="eastAsia" w:ascii="宋体" w:hAnsi="宋体" w:cs="仿宋"/>
          <w:color w:val="auto"/>
          <w:sz w:val="24"/>
          <w:szCs w:val="24"/>
        </w:rPr>
        <w:t>17.4正本、副本必须打印装订，响应文件的正本须经法人代表/负责人或</w:t>
      </w:r>
      <w:r>
        <w:rPr>
          <w:rFonts w:hint="eastAsia" w:ascii="宋体" w:hAnsi="宋体" w:cs="仿宋"/>
          <w:color w:val="auto"/>
          <w:sz w:val="24"/>
          <w:szCs w:val="24"/>
          <w:lang w:eastAsia="zh-CN"/>
        </w:rPr>
        <w:t>被</w:t>
      </w:r>
      <w:r>
        <w:rPr>
          <w:rFonts w:hint="eastAsia" w:ascii="宋体" w:hAnsi="宋体" w:cs="仿宋"/>
          <w:color w:val="auto"/>
          <w:sz w:val="24"/>
          <w:szCs w:val="24"/>
        </w:rPr>
        <w:t>授权代表在规定处签字，并</w:t>
      </w:r>
      <w:r>
        <w:rPr>
          <w:rFonts w:hint="eastAsia" w:ascii="宋体" w:hAnsi="宋体" w:cs="仿宋"/>
          <w:color w:val="auto"/>
          <w:sz w:val="24"/>
          <w:szCs w:val="24"/>
          <w:lang w:eastAsia="zh-CN"/>
        </w:rPr>
        <w:t>逐页</w:t>
      </w:r>
      <w:r>
        <w:rPr>
          <w:rFonts w:hint="eastAsia" w:ascii="宋体" w:hAnsi="宋体" w:cs="仿宋"/>
          <w:color w:val="auto"/>
          <w:sz w:val="24"/>
          <w:szCs w:val="24"/>
        </w:rPr>
        <w:t>加盖公章，副本可以用正本的完整复印件，并在封面标明“正本”、“副本”字样。正本与副本如有不一致，则以正本为准。响应文件正本所加盖的供应商公章必须为鲜章，否则投标无效。</w:t>
      </w:r>
    </w:p>
    <w:p>
      <w:pPr>
        <w:pStyle w:val="91"/>
        <w:spacing w:line="360" w:lineRule="auto"/>
        <w:ind w:firstLine="480"/>
        <w:rPr>
          <w:rFonts w:hint="eastAsia" w:ascii="宋体" w:hAnsi="宋体" w:cs="仿宋"/>
          <w:color w:val="auto"/>
          <w:sz w:val="24"/>
          <w:szCs w:val="24"/>
        </w:rPr>
      </w:pPr>
      <w:r>
        <w:rPr>
          <w:rFonts w:hint="eastAsia" w:ascii="宋体" w:hAnsi="宋体" w:cs="仿宋"/>
          <w:color w:val="auto"/>
          <w:sz w:val="24"/>
          <w:szCs w:val="24"/>
        </w:rPr>
        <w:t>17.5因响应文件字迹潦草或表达不清所引起的不利后果由供应商承担。</w:t>
      </w:r>
    </w:p>
    <w:p>
      <w:pPr>
        <w:pStyle w:val="91"/>
        <w:spacing w:line="360" w:lineRule="auto"/>
        <w:ind w:firstLine="480"/>
        <w:rPr>
          <w:rFonts w:hint="eastAsia" w:ascii="宋体" w:hAnsi="宋体" w:cs="仿宋"/>
          <w:color w:val="auto"/>
          <w:sz w:val="24"/>
          <w:szCs w:val="24"/>
        </w:rPr>
      </w:pPr>
      <w:r>
        <w:rPr>
          <w:rFonts w:hint="eastAsia" w:ascii="宋体" w:hAnsi="宋体"/>
          <w:color w:val="auto"/>
          <w:sz w:val="24"/>
          <w:lang w:val="en-US" w:eastAsia="zh-CN"/>
        </w:rPr>
        <w:t>17.6</w:t>
      </w:r>
      <w:r>
        <w:rPr>
          <w:rFonts w:hint="eastAsia" w:ascii="宋体" w:hAnsi="宋体"/>
          <w:color w:val="auto"/>
          <w:sz w:val="24"/>
        </w:rPr>
        <w:t>响应文件不得涂改和增删，如要修改错漏处，修改处必须由法人代表或</w:t>
      </w:r>
      <w:r>
        <w:rPr>
          <w:rFonts w:hint="eastAsia" w:ascii="宋体" w:hAnsi="宋体"/>
          <w:color w:val="auto"/>
          <w:sz w:val="24"/>
          <w:lang w:eastAsia="zh-CN"/>
        </w:rPr>
        <w:t>被</w:t>
      </w:r>
      <w:r>
        <w:rPr>
          <w:rFonts w:hint="eastAsia" w:ascii="宋体" w:hAnsi="宋体"/>
          <w:color w:val="auto"/>
          <w:sz w:val="24"/>
        </w:rPr>
        <w:t>授权代表签名、或盖公章。</w:t>
      </w:r>
    </w:p>
    <w:p>
      <w:pPr>
        <w:numPr>
          <w:ilvl w:val="0"/>
          <w:numId w:val="5"/>
        </w:numPr>
        <w:spacing w:line="360" w:lineRule="auto"/>
        <w:ind w:leftChars="0"/>
        <w:rPr>
          <w:rFonts w:hint="eastAsia" w:ascii="宋体" w:hAnsi="宋体" w:cs="仿宋"/>
          <w:b/>
          <w:color w:val="auto"/>
          <w:sz w:val="24"/>
          <w:szCs w:val="24"/>
        </w:rPr>
      </w:pPr>
      <w:r>
        <w:rPr>
          <w:rFonts w:hint="eastAsia" w:ascii="宋体" w:hAnsi="宋体" w:cs="仿宋"/>
          <w:b/>
          <w:color w:val="auto"/>
          <w:sz w:val="24"/>
          <w:szCs w:val="24"/>
        </w:rPr>
        <w:t>响应文件的密封和递交</w:t>
      </w:r>
    </w:p>
    <w:p>
      <w:pPr>
        <w:numPr>
          <w:ilvl w:val="0"/>
          <w:numId w:val="0"/>
        </w:numPr>
        <w:spacing w:line="360" w:lineRule="auto"/>
        <w:ind w:firstLine="482" w:firstLineChars="200"/>
        <w:rPr>
          <w:rFonts w:ascii="宋体" w:hAnsi="宋体" w:cs="仿宋"/>
          <w:b/>
          <w:color w:val="auto"/>
          <w:sz w:val="24"/>
          <w:szCs w:val="24"/>
        </w:rPr>
      </w:pPr>
      <w:r>
        <w:rPr>
          <w:rFonts w:hint="eastAsia" w:ascii="宋体" w:hAnsi="宋体"/>
          <w:b/>
          <w:bCs/>
          <w:color w:val="auto"/>
          <w:sz w:val="24"/>
        </w:rPr>
        <w:t>1</w:t>
      </w:r>
      <w:r>
        <w:rPr>
          <w:rFonts w:hint="eastAsia" w:ascii="宋体" w:hAnsi="宋体"/>
          <w:b/>
          <w:bCs/>
          <w:color w:val="auto"/>
          <w:sz w:val="24"/>
          <w:lang w:val="en-US" w:eastAsia="zh-CN"/>
        </w:rPr>
        <w:t>8</w:t>
      </w:r>
      <w:r>
        <w:rPr>
          <w:rFonts w:hint="eastAsia" w:ascii="宋体" w:hAnsi="宋体"/>
          <w:b/>
          <w:bCs/>
          <w:color w:val="auto"/>
          <w:sz w:val="24"/>
        </w:rPr>
        <w:t>．l 响应文件的密封及标记</w:t>
      </w:r>
    </w:p>
    <w:p>
      <w:pPr>
        <w:spacing w:before="120" w:after="240" w:line="500" w:lineRule="exact"/>
        <w:ind w:firstLine="480" w:firstLineChars="200"/>
        <w:jc w:val="left"/>
        <w:rPr>
          <w:rFonts w:hint="eastAsia" w:ascii="宋体" w:hAnsi="宋体"/>
          <w:color w:val="auto"/>
          <w:sz w:val="24"/>
          <w:lang w:eastAsia="zh-CN"/>
        </w:rPr>
      </w:pPr>
      <w:r>
        <w:rPr>
          <w:rFonts w:hint="eastAsia" w:ascii="宋体" w:hAnsi="宋体"/>
          <w:color w:val="auto"/>
          <w:sz w:val="24"/>
          <w:lang w:val="en-US" w:eastAsia="zh-CN"/>
        </w:rPr>
        <w:t>18.1.1</w:t>
      </w:r>
      <w:r>
        <w:rPr>
          <w:rFonts w:hint="eastAsia" w:ascii="宋体" w:hAnsi="宋体"/>
          <w:color w:val="auto"/>
          <w:sz w:val="24"/>
        </w:rPr>
        <w:t>供应商应将响应文件正本和所有副本分别密封在两个专用袋（箱）中（正本一包，副本一包），电子文档单独密封</w:t>
      </w:r>
      <w:r>
        <w:rPr>
          <w:rFonts w:hint="eastAsia" w:ascii="宋体" w:hAnsi="宋体"/>
          <w:color w:val="auto"/>
          <w:sz w:val="24"/>
          <w:lang w:eastAsia="zh-CN"/>
        </w:rPr>
        <w:t>一包，开标一览表一包。</w:t>
      </w:r>
      <w:r>
        <w:rPr>
          <w:rFonts w:hint="eastAsia" w:ascii="宋体" w:hAnsi="宋体"/>
          <w:color w:val="auto"/>
          <w:sz w:val="24"/>
        </w:rPr>
        <w:t>并在报价专用袋（箱）上标明“正本”、“副本”、“电子文档”</w:t>
      </w:r>
      <w:r>
        <w:rPr>
          <w:rFonts w:hint="eastAsia" w:ascii="宋体" w:hAnsi="宋体"/>
          <w:color w:val="auto"/>
          <w:sz w:val="24"/>
          <w:lang w:eastAsia="zh-CN"/>
        </w:rPr>
        <w:t>“开标一览表”</w:t>
      </w:r>
      <w:r>
        <w:rPr>
          <w:rFonts w:hint="eastAsia" w:ascii="宋体" w:hAnsi="宋体"/>
          <w:color w:val="auto"/>
          <w:sz w:val="24"/>
        </w:rPr>
        <w:t>字样，封口处应加盖骑缝章。正面封</w:t>
      </w:r>
      <w:r>
        <w:rPr>
          <w:rFonts w:hint="eastAsia" w:ascii="宋体" w:hAnsi="宋体"/>
          <w:color w:val="auto"/>
          <w:sz w:val="24"/>
          <w:lang w:eastAsia="zh-CN"/>
        </w:rPr>
        <w:t>套标</w:t>
      </w:r>
      <w:r>
        <w:rPr>
          <w:rFonts w:hint="eastAsia" w:ascii="宋体" w:hAnsi="宋体"/>
          <w:color w:val="auto"/>
          <w:sz w:val="24"/>
        </w:rPr>
        <w:t>明</w:t>
      </w:r>
      <w:r>
        <w:rPr>
          <w:rFonts w:hint="eastAsia" w:ascii="宋体" w:hAnsi="宋体"/>
          <w:color w:val="auto"/>
          <w:sz w:val="24"/>
          <w:lang w:eastAsia="zh-CN"/>
        </w:rPr>
        <w:t>（详见谈判须知前附表</w:t>
      </w:r>
      <w:r>
        <w:rPr>
          <w:rFonts w:hint="eastAsia" w:ascii="宋体" w:hAnsi="宋体"/>
          <w:color w:val="auto"/>
          <w:sz w:val="24"/>
          <w:lang w:val="en-US" w:eastAsia="zh-CN"/>
        </w:rPr>
        <w:t>16.</w:t>
      </w:r>
      <w:r>
        <w:rPr>
          <w:rFonts w:hint="eastAsia" w:ascii="宋体" w:hAnsi="宋体"/>
          <w:color w:val="auto"/>
          <w:sz w:val="24"/>
          <w:lang w:eastAsia="zh-CN"/>
        </w:rPr>
        <w:t>）。</w:t>
      </w:r>
    </w:p>
    <w:p>
      <w:pPr>
        <w:spacing w:line="360" w:lineRule="auto"/>
        <w:ind w:firstLine="480" w:firstLineChars="200"/>
        <w:rPr>
          <w:rFonts w:hint="eastAsia" w:ascii="宋体" w:hAnsi="宋体"/>
          <w:color w:val="auto"/>
          <w:sz w:val="24"/>
          <w:szCs w:val="22"/>
        </w:rPr>
      </w:pPr>
      <w:r>
        <w:rPr>
          <w:rFonts w:hint="eastAsia" w:ascii="宋体" w:hAnsi="宋体"/>
          <w:color w:val="auto"/>
          <w:sz w:val="24"/>
          <w:lang w:val="en-US" w:eastAsia="zh-CN"/>
        </w:rPr>
        <w:t>18.1.2</w:t>
      </w:r>
      <w:r>
        <w:rPr>
          <w:rFonts w:hint="eastAsia" w:ascii="宋体" w:hAnsi="宋体"/>
          <w:color w:val="auto"/>
          <w:sz w:val="24"/>
          <w:szCs w:val="22"/>
        </w:rPr>
        <w:t>密封袋</w:t>
      </w:r>
      <w:r>
        <w:rPr>
          <w:rFonts w:hint="eastAsia" w:ascii="宋体" w:hAnsi="宋体"/>
          <w:color w:val="auto"/>
          <w:sz w:val="24"/>
          <w:szCs w:val="22"/>
          <w:lang w:eastAsia="zh-CN"/>
        </w:rPr>
        <w:t>背面</w:t>
      </w:r>
      <w:r>
        <w:rPr>
          <w:rFonts w:hint="eastAsia" w:ascii="宋体" w:hAnsi="宋体"/>
          <w:color w:val="auto"/>
          <w:sz w:val="24"/>
          <w:szCs w:val="22"/>
        </w:rPr>
        <w:t>封口处</w:t>
      </w:r>
      <w:r>
        <w:rPr>
          <w:rFonts w:hint="eastAsia" w:ascii="宋体" w:hAnsi="宋体"/>
          <w:color w:val="auto"/>
          <w:sz w:val="24"/>
          <w:szCs w:val="22"/>
          <w:lang w:eastAsia="zh-CN"/>
        </w:rPr>
        <w:t>上下</w:t>
      </w:r>
      <w:r>
        <w:rPr>
          <w:rFonts w:hint="eastAsia" w:ascii="宋体" w:hAnsi="宋体"/>
          <w:color w:val="auto"/>
          <w:sz w:val="24"/>
          <w:szCs w:val="22"/>
        </w:rPr>
        <w:t>两端粘贴“</w:t>
      </w:r>
      <w:r>
        <w:rPr>
          <w:rFonts w:hint="eastAsia" w:ascii="宋体" w:hAnsi="宋体"/>
          <w:color w:val="auto"/>
          <w:sz w:val="24"/>
          <w:szCs w:val="22"/>
          <w:lang w:eastAsia="zh-CN"/>
        </w:rPr>
        <w:t>密封条</w:t>
      </w:r>
      <w:r>
        <w:rPr>
          <w:rFonts w:hint="eastAsia" w:ascii="宋体" w:hAnsi="宋体"/>
          <w:color w:val="auto"/>
          <w:sz w:val="24"/>
          <w:szCs w:val="22"/>
        </w:rPr>
        <w:t>”字样</w:t>
      </w:r>
      <w:r>
        <w:rPr>
          <w:rFonts w:hint="eastAsia" w:ascii="宋体" w:hAnsi="宋体"/>
          <w:color w:val="auto"/>
          <w:sz w:val="24"/>
          <w:szCs w:val="22"/>
          <w:lang w:eastAsia="zh-CN"/>
        </w:rPr>
        <w:t>并由法定代表人签字及</w:t>
      </w:r>
      <w:r>
        <w:rPr>
          <w:rFonts w:hint="eastAsia" w:ascii="宋体" w:hAnsi="宋体"/>
          <w:color w:val="auto"/>
          <w:sz w:val="24"/>
          <w:szCs w:val="22"/>
        </w:rPr>
        <w:t>加盖公章。</w:t>
      </w:r>
    </w:p>
    <w:p>
      <w:pPr>
        <w:spacing w:line="360" w:lineRule="auto"/>
        <w:ind w:firstLine="480" w:firstLineChars="200"/>
        <w:rPr>
          <w:rFonts w:hint="eastAsia" w:ascii="宋体" w:hAnsi="宋体" w:eastAsia="宋体"/>
          <w:color w:val="auto"/>
          <w:sz w:val="24"/>
          <w:lang w:eastAsia="zh-CN"/>
        </w:rPr>
      </w:pPr>
      <w:r>
        <w:rPr>
          <w:rFonts w:hint="eastAsia" w:ascii="宋体" w:hAnsi="宋体"/>
          <w:color w:val="auto"/>
          <w:sz w:val="24"/>
          <w:lang w:val="en-US" w:eastAsia="zh-CN"/>
        </w:rPr>
        <w:t>18.1.3</w:t>
      </w:r>
      <w:r>
        <w:rPr>
          <w:rFonts w:hint="eastAsia" w:ascii="宋体" w:hAnsi="宋体"/>
          <w:color w:val="auto"/>
          <w:sz w:val="24"/>
        </w:rPr>
        <w:t>响应文件未按</w:t>
      </w:r>
      <w:r>
        <w:rPr>
          <w:rFonts w:hint="eastAsia" w:ascii="宋体" w:hAnsi="宋体"/>
          <w:color w:val="auto"/>
          <w:sz w:val="24"/>
          <w:lang w:val="en-US" w:eastAsia="zh-CN"/>
        </w:rPr>
        <w:t>18.1.1、18.1.2</w:t>
      </w:r>
      <w:r>
        <w:rPr>
          <w:rFonts w:hint="eastAsia" w:ascii="宋体" w:hAnsi="宋体"/>
          <w:color w:val="auto"/>
          <w:sz w:val="24"/>
        </w:rPr>
        <w:t>上述规定书写标记和密封者，</w:t>
      </w:r>
      <w:r>
        <w:rPr>
          <w:rFonts w:hAnsi="宋体"/>
          <w:color w:val="auto"/>
          <w:sz w:val="24"/>
          <w:szCs w:val="24"/>
        </w:rPr>
        <w:t>应视为非响应性响应予以拒绝</w:t>
      </w:r>
      <w:r>
        <w:rPr>
          <w:rFonts w:hint="eastAsia" w:hAnsi="宋体"/>
          <w:color w:val="auto"/>
          <w:sz w:val="24"/>
          <w:szCs w:val="24"/>
        </w:rPr>
        <w:t>，</w:t>
      </w:r>
      <w:r>
        <w:rPr>
          <w:rFonts w:hint="eastAsia" w:ascii="宋体" w:hAnsi="宋体"/>
          <w:color w:val="auto"/>
          <w:sz w:val="24"/>
        </w:rPr>
        <w:t>招标人不对响应文件被错放或先期启封负责。</w:t>
      </w:r>
    </w:p>
    <w:p>
      <w:pPr>
        <w:spacing w:line="360" w:lineRule="auto"/>
        <w:ind w:firstLine="482" w:firstLineChars="200"/>
        <w:rPr>
          <w:rFonts w:ascii="宋体" w:hAnsi="宋体" w:cs="仿宋"/>
          <w:b/>
          <w:bCs/>
          <w:color w:val="auto"/>
          <w:sz w:val="24"/>
          <w:szCs w:val="24"/>
        </w:rPr>
      </w:pPr>
      <w:r>
        <w:rPr>
          <w:rFonts w:hint="eastAsia" w:ascii="宋体" w:hAnsi="宋体" w:cs="仿宋"/>
          <w:b/>
          <w:bCs/>
          <w:color w:val="auto"/>
          <w:sz w:val="24"/>
          <w:szCs w:val="24"/>
        </w:rPr>
        <w:t>18.</w:t>
      </w:r>
      <w:r>
        <w:rPr>
          <w:rFonts w:hint="eastAsia" w:ascii="宋体" w:hAnsi="宋体" w:cs="仿宋"/>
          <w:b/>
          <w:bCs/>
          <w:color w:val="auto"/>
          <w:sz w:val="24"/>
          <w:szCs w:val="24"/>
          <w:lang w:val="en-US" w:eastAsia="zh-CN"/>
        </w:rPr>
        <w:t>2</w:t>
      </w:r>
      <w:r>
        <w:rPr>
          <w:rFonts w:hint="eastAsia" w:ascii="宋体" w:hAnsi="宋体" w:cs="仿宋"/>
          <w:b/>
          <w:bCs/>
          <w:color w:val="auto"/>
          <w:sz w:val="24"/>
          <w:szCs w:val="24"/>
        </w:rPr>
        <w:t>响应文件的递交方式</w:t>
      </w:r>
    </w:p>
    <w:p>
      <w:pPr>
        <w:spacing w:line="360" w:lineRule="auto"/>
        <w:ind w:firstLine="480" w:firstLineChars="200"/>
        <w:rPr>
          <w:rFonts w:hint="eastAsia" w:ascii="宋体" w:hAnsi="宋体" w:eastAsia="宋体"/>
          <w:color w:val="auto"/>
          <w:sz w:val="24"/>
          <w:lang w:eastAsia="zh-CN"/>
        </w:rPr>
      </w:pPr>
      <w:r>
        <w:rPr>
          <w:rFonts w:hint="eastAsia" w:ascii="宋体" w:hAnsi="宋体" w:cs="仿宋"/>
          <w:color w:val="auto"/>
          <w:sz w:val="24"/>
          <w:szCs w:val="24"/>
        </w:rPr>
        <w:t>18.2.1</w:t>
      </w:r>
      <w:r>
        <w:rPr>
          <w:rFonts w:hint="eastAsia" w:ascii="宋体" w:hAnsi="宋体"/>
          <w:color w:val="auto"/>
          <w:sz w:val="24"/>
        </w:rPr>
        <w:t>供应商须在递交响应文件截止时间前将响应文件送达</w:t>
      </w:r>
      <w:r>
        <w:rPr>
          <w:rFonts w:hint="eastAsia" w:ascii="宋体" w:hAnsi="宋体"/>
          <w:color w:val="auto"/>
          <w:sz w:val="24"/>
          <w:lang w:eastAsia="zh-CN"/>
        </w:rPr>
        <w:t>招标代理机构</w:t>
      </w:r>
      <w:r>
        <w:rPr>
          <w:rFonts w:hint="eastAsia" w:ascii="宋体" w:hAnsi="宋体"/>
          <w:color w:val="auto"/>
          <w:sz w:val="24"/>
        </w:rPr>
        <w:t>规定的</w:t>
      </w:r>
      <w:r>
        <w:rPr>
          <w:rFonts w:hint="eastAsia" w:ascii="宋体" w:hAnsi="宋体"/>
          <w:color w:val="auto"/>
          <w:sz w:val="24"/>
          <w:lang w:eastAsia="zh-CN"/>
        </w:rPr>
        <w:t>开标</w:t>
      </w:r>
      <w:r>
        <w:rPr>
          <w:rFonts w:hint="eastAsia" w:ascii="宋体" w:hAnsi="宋体"/>
          <w:color w:val="auto"/>
          <w:sz w:val="24"/>
        </w:rPr>
        <w:t>地点。在递交响应文件截止时间后递交的响应文件，</w:t>
      </w:r>
      <w:r>
        <w:rPr>
          <w:rFonts w:hint="eastAsia" w:ascii="宋体" w:hAnsi="宋体"/>
          <w:color w:val="auto"/>
          <w:sz w:val="24"/>
          <w:lang w:eastAsia="zh-CN"/>
        </w:rPr>
        <w:t>招标代理机构</w:t>
      </w:r>
      <w:r>
        <w:rPr>
          <w:rFonts w:hint="eastAsia" w:ascii="宋体" w:hAnsi="宋体"/>
          <w:color w:val="auto"/>
          <w:sz w:val="24"/>
        </w:rPr>
        <w:t>将拒绝接受</w:t>
      </w:r>
      <w:r>
        <w:rPr>
          <w:rFonts w:hint="eastAsia" w:ascii="宋体" w:hAnsi="宋体"/>
          <w:color w:val="auto"/>
          <w:sz w:val="24"/>
          <w:lang w:eastAsia="zh-CN"/>
        </w:rPr>
        <w:t>。</w:t>
      </w:r>
    </w:p>
    <w:p>
      <w:pPr>
        <w:spacing w:line="360" w:lineRule="auto"/>
        <w:ind w:firstLine="480" w:firstLineChars="200"/>
        <w:rPr>
          <w:rFonts w:ascii="宋体" w:hAnsi="宋体" w:cs="仿宋"/>
          <w:color w:val="auto"/>
          <w:sz w:val="24"/>
          <w:szCs w:val="24"/>
        </w:rPr>
      </w:pPr>
      <w:r>
        <w:rPr>
          <w:rFonts w:hint="eastAsia" w:ascii="宋体" w:hAnsi="宋体" w:cs="仿宋"/>
          <w:color w:val="auto"/>
          <w:sz w:val="24"/>
          <w:szCs w:val="24"/>
        </w:rPr>
        <w:t>18.2.</w:t>
      </w:r>
      <w:r>
        <w:rPr>
          <w:rFonts w:hint="eastAsia" w:ascii="宋体" w:hAnsi="宋体"/>
          <w:color w:val="auto"/>
          <w:sz w:val="24"/>
        </w:rPr>
        <w:t>2 若招标人推迟了递交响应文件截止时间，应以公告的形式通知所有供应商。在这种情况下，谈判方和供应商的权利和义务均应以新的截止时间为准。</w:t>
      </w:r>
    </w:p>
    <w:p>
      <w:pPr>
        <w:spacing w:line="360" w:lineRule="auto"/>
        <w:ind w:firstLine="480" w:firstLineChars="200"/>
        <w:outlineLvl w:val="1"/>
        <w:rPr>
          <w:rFonts w:ascii="宋体" w:hAnsi="宋体" w:cs="仿宋"/>
          <w:color w:val="auto"/>
          <w:sz w:val="24"/>
          <w:szCs w:val="24"/>
        </w:rPr>
      </w:pPr>
      <w:bookmarkStart w:id="24" w:name="_Toc1660489"/>
      <w:r>
        <w:rPr>
          <w:rFonts w:hint="eastAsia" w:ascii="宋体" w:hAnsi="宋体" w:cs="仿宋"/>
          <w:color w:val="auto"/>
          <w:sz w:val="24"/>
          <w:szCs w:val="24"/>
        </w:rPr>
        <w:t>18.2.</w:t>
      </w:r>
      <w:r>
        <w:rPr>
          <w:rFonts w:hint="eastAsia" w:ascii="宋体" w:hAnsi="宋体" w:cs="仿宋"/>
          <w:color w:val="auto"/>
          <w:sz w:val="24"/>
          <w:szCs w:val="24"/>
          <w:lang w:val="en-US" w:eastAsia="zh-CN"/>
        </w:rPr>
        <w:t>3</w:t>
      </w:r>
      <w:r>
        <w:rPr>
          <w:rFonts w:hint="eastAsia" w:ascii="宋体" w:hAnsi="宋体" w:cs="仿宋"/>
          <w:color w:val="auto"/>
          <w:sz w:val="24"/>
          <w:szCs w:val="24"/>
        </w:rPr>
        <w:t>截至谈判截止时间，参加谈判的供应商（以递交响应文件家数为准）不足法定家数的，予以采购失败，响应文件原封退还给供应商；</w:t>
      </w:r>
      <w:bookmarkEnd w:id="24"/>
    </w:p>
    <w:p>
      <w:pPr>
        <w:spacing w:line="360" w:lineRule="auto"/>
        <w:ind w:firstLine="480" w:firstLineChars="200"/>
        <w:outlineLvl w:val="1"/>
        <w:rPr>
          <w:rFonts w:ascii="宋体" w:hAnsi="宋体" w:cs="仿宋"/>
          <w:color w:val="auto"/>
          <w:sz w:val="24"/>
          <w:szCs w:val="24"/>
        </w:rPr>
      </w:pPr>
      <w:bookmarkStart w:id="25" w:name="_Toc1660490"/>
      <w:r>
        <w:rPr>
          <w:rFonts w:hint="eastAsia" w:ascii="宋体" w:hAnsi="宋体" w:cs="仿宋"/>
          <w:color w:val="auto"/>
          <w:sz w:val="24"/>
          <w:szCs w:val="24"/>
        </w:rPr>
        <w:t>18.2.</w:t>
      </w:r>
      <w:r>
        <w:rPr>
          <w:rFonts w:hint="eastAsia" w:ascii="宋体" w:hAnsi="宋体" w:cs="仿宋"/>
          <w:color w:val="auto"/>
          <w:sz w:val="24"/>
          <w:szCs w:val="24"/>
          <w:lang w:val="en-US" w:eastAsia="zh-CN"/>
        </w:rPr>
        <w:t>4</w:t>
      </w:r>
      <w:r>
        <w:rPr>
          <w:rFonts w:hint="eastAsia" w:ascii="宋体" w:hAnsi="宋体" w:cs="仿宋"/>
          <w:color w:val="auto"/>
          <w:sz w:val="24"/>
          <w:szCs w:val="24"/>
        </w:rPr>
        <w:t>参加响应供应商数量满足法定家数的，同一时间予以开标，开标后，响应文件一律不予退还。</w:t>
      </w:r>
      <w:bookmarkEnd w:id="25"/>
    </w:p>
    <w:p>
      <w:pPr>
        <w:pStyle w:val="91"/>
        <w:spacing w:line="360" w:lineRule="auto"/>
        <w:ind w:firstLine="0" w:firstLineChars="0"/>
        <w:rPr>
          <w:rFonts w:ascii="宋体" w:hAnsi="宋体" w:cs="仿宋"/>
          <w:b/>
          <w:bCs/>
          <w:color w:val="auto"/>
          <w:sz w:val="24"/>
          <w:szCs w:val="24"/>
        </w:rPr>
      </w:pPr>
      <w:r>
        <w:rPr>
          <w:rFonts w:hint="eastAsia" w:ascii="宋体" w:hAnsi="宋体" w:cs="仿宋"/>
          <w:b/>
          <w:bCs/>
          <w:color w:val="auto"/>
          <w:sz w:val="24"/>
          <w:szCs w:val="24"/>
        </w:rPr>
        <w:t>19.响应文件补充、修改和撤回</w:t>
      </w:r>
    </w:p>
    <w:p>
      <w:pPr>
        <w:spacing w:line="360" w:lineRule="auto"/>
        <w:ind w:firstLine="480" w:firstLineChars="200"/>
        <w:rPr>
          <w:rFonts w:ascii="宋体" w:hAnsi="宋体" w:cs="仿宋"/>
          <w:color w:val="auto"/>
          <w:sz w:val="24"/>
          <w:szCs w:val="24"/>
        </w:rPr>
      </w:pPr>
      <w:r>
        <w:rPr>
          <w:rFonts w:hint="eastAsia" w:ascii="宋体" w:hAnsi="宋体" w:cs="仿宋"/>
          <w:color w:val="auto"/>
          <w:sz w:val="24"/>
          <w:szCs w:val="24"/>
        </w:rPr>
        <w:t>19.l 供应商在响应截止时间前，可以对所递交的响应文件进行补充、修改或者撤回，并书面通知采购人或者采购代理机构。补充、修改的内容应当按照竞争性谈判文件要求签署、盖章、密封后，作为响应文件的组成部分。</w:t>
      </w:r>
    </w:p>
    <w:p>
      <w:pPr>
        <w:spacing w:line="360" w:lineRule="auto"/>
        <w:ind w:firstLine="480" w:firstLineChars="200"/>
        <w:rPr>
          <w:rFonts w:ascii="宋体" w:hAnsi="宋体" w:cs="仿宋"/>
          <w:color w:val="auto"/>
          <w:sz w:val="24"/>
          <w:szCs w:val="24"/>
        </w:rPr>
      </w:pPr>
      <w:r>
        <w:rPr>
          <w:rFonts w:hint="eastAsia" w:ascii="宋体" w:hAnsi="宋体" w:cs="仿宋"/>
          <w:color w:val="auto"/>
          <w:sz w:val="24"/>
          <w:szCs w:val="24"/>
        </w:rPr>
        <w:t>19.2 响应文件的修改文件应按18</w:t>
      </w:r>
      <w:r>
        <w:rPr>
          <w:rFonts w:hint="eastAsia" w:ascii="宋体" w:hAnsi="宋体" w:cs="仿宋"/>
          <w:color w:val="auto"/>
          <w:sz w:val="24"/>
          <w:szCs w:val="24"/>
          <w:lang w:val="en-US" w:eastAsia="zh-CN"/>
        </w:rPr>
        <w:t>.1</w:t>
      </w:r>
      <w:r>
        <w:rPr>
          <w:rFonts w:hint="eastAsia" w:ascii="宋体" w:hAnsi="宋体" w:cs="仿宋"/>
          <w:color w:val="auto"/>
          <w:sz w:val="24"/>
          <w:szCs w:val="24"/>
        </w:rPr>
        <w:t>规定密封和递交，还须注明“修改响应文件”和“开标前不得启封”字样。修改文件须在响应截止时间前送达规定的响应地点。上述补充或修改若涉及响应报价，必须注明“最终唯一报价”字样，否则将视为有选择的报价。</w:t>
      </w:r>
    </w:p>
    <w:p>
      <w:pPr>
        <w:spacing w:line="360" w:lineRule="auto"/>
        <w:ind w:firstLine="480" w:firstLineChars="200"/>
        <w:rPr>
          <w:rFonts w:ascii="宋体" w:hAnsi="宋体" w:cs="仿宋"/>
          <w:color w:val="auto"/>
          <w:sz w:val="24"/>
          <w:szCs w:val="24"/>
        </w:rPr>
      </w:pPr>
      <w:r>
        <w:rPr>
          <w:rFonts w:hint="eastAsia" w:ascii="宋体" w:hAnsi="宋体" w:cs="仿宋"/>
          <w:color w:val="auto"/>
          <w:sz w:val="24"/>
          <w:szCs w:val="24"/>
        </w:rPr>
        <w:t>19.3 供应商不得在响应截止时间以后修改或/和撤回响应文件。</w:t>
      </w:r>
    </w:p>
    <w:p>
      <w:pPr>
        <w:spacing w:line="360" w:lineRule="auto"/>
        <w:rPr>
          <w:rFonts w:ascii="宋体" w:hAnsi="宋体" w:cs="仿宋"/>
          <w:bCs/>
          <w:color w:val="auto"/>
          <w:sz w:val="24"/>
          <w:szCs w:val="24"/>
        </w:rPr>
      </w:pPr>
      <w:r>
        <w:rPr>
          <w:rFonts w:hint="eastAsia" w:ascii="宋体" w:hAnsi="宋体" w:cs="仿宋"/>
          <w:b/>
          <w:bCs/>
          <w:color w:val="auto"/>
          <w:sz w:val="24"/>
          <w:szCs w:val="24"/>
        </w:rPr>
        <w:t>20.供应商注意事项</w:t>
      </w:r>
    </w:p>
    <w:p>
      <w:pPr>
        <w:pStyle w:val="91"/>
        <w:spacing w:line="360" w:lineRule="auto"/>
        <w:ind w:firstLine="482"/>
        <w:rPr>
          <w:rFonts w:ascii="宋体" w:hAnsi="宋体" w:cs="仿宋"/>
          <w:b/>
          <w:bCs/>
          <w:color w:val="auto"/>
          <w:sz w:val="24"/>
          <w:szCs w:val="24"/>
        </w:rPr>
      </w:pPr>
      <w:r>
        <w:rPr>
          <w:rFonts w:hint="eastAsia" w:ascii="宋体" w:hAnsi="宋体" w:cs="仿宋"/>
          <w:b/>
          <w:bCs/>
          <w:color w:val="auto"/>
          <w:sz w:val="24"/>
          <w:szCs w:val="24"/>
        </w:rPr>
        <w:t>20.1供应商有下列情形之一的,评标委员会认定为供应商串通响应，其响应无效，书面报告财政部门：</w:t>
      </w:r>
    </w:p>
    <w:p>
      <w:pPr>
        <w:pStyle w:val="91"/>
        <w:spacing w:line="360" w:lineRule="auto"/>
        <w:ind w:firstLine="480"/>
        <w:rPr>
          <w:rFonts w:ascii="宋体" w:hAnsi="宋体" w:cs="仿宋"/>
          <w:color w:val="auto"/>
          <w:sz w:val="24"/>
          <w:szCs w:val="24"/>
        </w:rPr>
      </w:pPr>
      <w:r>
        <w:rPr>
          <w:rFonts w:hint="eastAsia" w:ascii="宋体" w:hAnsi="宋体" w:cs="仿宋"/>
          <w:color w:val="auto"/>
          <w:sz w:val="24"/>
          <w:szCs w:val="24"/>
        </w:rPr>
        <w:t>（1）不同供应商的响应文件由同一单位或者个人编制；</w:t>
      </w:r>
    </w:p>
    <w:p>
      <w:pPr>
        <w:pStyle w:val="91"/>
        <w:spacing w:line="360" w:lineRule="auto"/>
        <w:ind w:firstLine="480"/>
        <w:rPr>
          <w:rFonts w:ascii="宋体" w:hAnsi="宋体" w:cs="仿宋"/>
          <w:color w:val="auto"/>
          <w:sz w:val="24"/>
          <w:szCs w:val="24"/>
        </w:rPr>
      </w:pPr>
      <w:r>
        <w:rPr>
          <w:rFonts w:hint="eastAsia" w:ascii="宋体" w:hAnsi="宋体" w:cs="仿宋"/>
          <w:color w:val="auto"/>
          <w:sz w:val="24"/>
          <w:szCs w:val="24"/>
        </w:rPr>
        <w:t>（2）不同供应商委托同一单位或者个人办理响应事宜；</w:t>
      </w:r>
    </w:p>
    <w:p>
      <w:pPr>
        <w:pStyle w:val="91"/>
        <w:spacing w:line="360" w:lineRule="auto"/>
        <w:ind w:firstLine="480"/>
        <w:rPr>
          <w:rFonts w:ascii="宋体" w:hAnsi="宋体" w:cs="仿宋"/>
          <w:color w:val="auto"/>
          <w:sz w:val="24"/>
          <w:szCs w:val="24"/>
        </w:rPr>
      </w:pPr>
      <w:r>
        <w:rPr>
          <w:rFonts w:hint="eastAsia" w:ascii="宋体" w:hAnsi="宋体" w:cs="仿宋"/>
          <w:color w:val="auto"/>
          <w:sz w:val="24"/>
          <w:szCs w:val="24"/>
        </w:rPr>
        <w:t>（3）不同供应商的响应文件载明的项目管理成员或者联系人员为同一人；</w:t>
      </w:r>
    </w:p>
    <w:p>
      <w:pPr>
        <w:pStyle w:val="91"/>
        <w:spacing w:line="360" w:lineRule="auto"/>
        <w:ind w:left="-708" w:leftChars="-337" w:firstLine="1200" w:firstLineChars="500"/>
        <w:rPr>
          <w:rFonts w:ascii="宋体" w:hAnsi="宋体" w:cs="仿宋"/>
          <w:color w:val="auto"/>
          <w:sz w:val="24"/>
          <w:szCs w:val="24"/>
        </w:rPr>
      </w:pPr>
      <w:r>
        <w:rPr>
          <w:rFonts w:hint="eastAsia" w:ascii="宋体" w:hAnsi="宋体" w:cs="仿宋"/>
          <w:color w:val="auto"/>
          <w:sz w:val="24"/>
          <w:szCs w:val="24"/>
        </w:rPr>
        <w:t>（4）不同供应商的响应文件异常一致或者响应报价呈规律性差异；</w:t>
      </w:r>
    </w:p>
    <w:p>
      <w:pPr>
        <w:pStyle w:val="91"/>
        <w:spacing w:line="360" w:lineRule="auto"/>
        <w:ind w:left="-708" w:leftChars="-337" w:firstLine="1200" w:firstLineChars="500"/>
        <w:rPr>
          <w:rFonts w:ascii="宋体" w:hAnsi="宋体" w:cs="仿宋"/>
          <w:color w:val="auto"/>
          <w:sz w:val="24"/>
          <w:szCs w:val="24"/>
        </w:rPr>
      </w:pPr>
      <w:r>
        <w:rPr>
          <w:rFonts w:hint="eastAsia" w:ascii="宋体" w:hAnsi="宋体" w:cs="仿宋"/>
          <w:color w:val="auto"/>
          <w:sz w:val="24"/>
          <w:szCs w:val="24"/>
        </w:rPr>
        <w:t>（5）不同供应商的响应文件相互混装；</w:t>
      </w:r>
    </w:p>
    <w:p>
      <w:pPr>
        <w:pStyle w:val="91"/>
        <w:spacing w:line="360" w:lineRule="auto"/>
        <w:ind w:left="-708" w:leftChars="-337" w:firstLine="1200" w:firstLineChars="500"/>
        <w:rPr>
          <w:rFonts w:ascii="宋体" w:hAnsi="宋体" w:cs="仿宋"/>
          <w:color w:val="auto"/>
          <w:sz w:val="24"/>
          <w:szCs w:val="24"/>
        </w:rPr>
      </w:pPr>
      <w:r>
        <w:rPr>
          <w:rFonts w:hint="eastAsia" w:ascii="宋体" w:hAnsi="宋体" w:cs="仿宋"/>
          <w:color w:val="auto"/>
          <w:sz w:val="24"/>
          <w:szCs w:val="24"/>
        </w:rPr>
        <w:t>（6）不同供应商的响应保证金从同一个单位或者个人账户转出。</w:t>
      </w:r>
    </w:p>
    <w:p>
      <w:pPr>
        <w:pStyle w:val="91"/>
        <w:spacing w:line="360" w:lineRule="auto"/>
        <w:ind w:left="-708" w:leftChars="-337" w:firstLine="1205" w:firstLineChars="500"/>
        <w:rPr>
          <w:rFonts w:ascii="宋体" w:hAnsi="宋体" w:cs="仿宋"/>
          <w:b/>
          <w:bCs/>
          <w:color w:val="auto"/>
          <w:sz w:val="24"/>
        </w:rPr>
      </w:pPr>
      <w:r>
        <w:rPr>
          <w:rFonts w:hint="eastAsia" w:ascii="宋体" w:hAnsi="宋体" w:cs="仿宋"/>
          <w:b/>
          <w:bCs/>
          <w:color w:val="auto"/>
          <w:sz w:val="24"/>
        </w:rPr>
        <w:t>20.2 供应商存在下列情形之一的，响应无效：</w:t>
      </w:r>
    </w:p>
    <w:p>
      <w:pPr>
        <w:spacing w:line="360" w:lineRule="auto"/>
        <w:ind w:firstLine="480" w:firstLineChars="200"/>
        <w:rPr>
          <w:rFonts w:ascii="宋体" w:hAnsi="宋体" w:cs="仿宋"/>
          <w:color w:val="auto"/>
          <w:sz w:val="24"/>
        </w:rPr>
      </w:pPr>
      <w:r>
        <w:rPr>
          <w:rFonts w:hint="eastAsia" w:ascii="宋体" w:hAnsi="宋体" w:cs="仿宋"/>
          <w:color w:val="auto"/>
          <w:sz w:val="24"/>
        </w:rPr>
        <w:t>（1）未按照竞争性谈判文件的规定提交谈判保证金的；</w:t>
      </w:r>
    </w:p>
    <w:p>
      <w:pPr>
        <w:spacing w:line="360" w:lineRule="auto"/>
        <w:ind w:firstLine="480" w:firstLineChars="200"/>
        <w:rPr>
          <w:rFonts w:ascii="宋体" w:hAnsi="宋体" w:cs="仿宋"/>
          <w:color w:val="auto"/>
          <w:sz w:val="24"/>
        </w:rPr>
      </w:pPr>
      <w:r>
        <w:rPr>
          <w:rFonts w:hint="eastAsia" w:ascii="宋体" w:hAnsi="宋体" w:cs="仿宋"/>
          <w:color w:val="auto"/>
          <w:sz w:val="24"/>
        </w:rPr>
        <w:t>（2）响应文件未按照竞争性谈判文件要求签署、盖章的；</w:t>
      </w:r>
    </w:p>
    <w:p>
      <w:pPr>
        <w:spacing w:line="360" w:lineRule="auto"/>
        <w:ind w:firstLine="480" w:firstLineChars="200"/>
        <w:rPr>
          <w:rFonts w:ascii="宋体" w:hAnsi="宋体" w:cs="仿宋"/>
          <w:color w:val="auto"/>
          <w:sz w:val="24"/>
        </w:rPr>
      </w:pPr>
      <w:r>
        <w:rPr>
          <w:rFonts w:hint="eastAsia" w:ascii="宋体" w:hAnsi="宋体" w:cs="仿宋"/>
          <w:color w:val="auto"/>
          <w:sz w:val="24"/>
        </w:rPr>
        <w:t>（3）不具备竞争性谈判文件规定的资格要求的；</w:t>
      </w:r>
    </w:p>
    <w:p>
      <w:pPr>
        <w:spacing w:line="360" w:lineRule="auto"/>
        <w:ind w:firstLine="480" w:firstLineChars="200"/>
        <w:rPr>
          <w:rFonts w:ascii="宋体" w:hAnsi="宋体" w:cs="仿宋"/>
          <w:color w:val="auto"/>
          <w:sz w:val="24"/>
        </w:rPr>
      </w:pPr>
      <w:r>
        <w:rPr>
          <w:rFonts w:hint="eastAsia" w:ascii="宋体" w:hAnsi="宋体" w:cs="仿宋"/>
          <w:color w:val="auto"/>
          <w:sz w:val="24"/>
        </w:rPr>
        <w:t>（4）报价超过竞争性谈判文件规定的预算金额或者最高限价的；</w:t>
      </w:r>
    </w:p>
    <w:p>
      <w:pPr>
        <w:spacing w:line="360" w:lineRule="auto"/>
        <w:ind w:firstLine="480" w:firstLineChars="200"/>
        <w:rPr>
          <w:rFonts w:ascii="宋体" w:hAnsi="宋体" w:cs="仿宋"/>
          <w:color w:val="auto"/>
          <w:sz w:val="24"/>
        </w:rPr>
      </w:pPr>
      <w:r>
        <w:rPr>
          <w:rFonts w:hint="eastAsia" w:ascii="宋体" w:hAnsi="宋体" w:cs="仿宋"/>
          <w:color w:val="auto"/>
          <w:sz w:val="24"/>
        </w:rPr>
        <w:t>（5）响应文件含有采购人不能接受的附加条件的；</w:t>
      </w:r>
    </w:p>
    <w:p>
      <w:pPr>
        <w:spacing w:line="360" w:lineRule="auto"/>
        <w:ind w:firstLine="480" w:firstLineChars="200"/>
        <w:rPr>
          <w:rFonts w:ascii="宋体" w:hAnsi="宋体" w:cs="仿宋"/>
          <w:color w:val="auto"/>
          <w:sz w:val="24"/>
        </w:rPr>
      </w:pPr>
      <w:r>
        <w:rPr>
          <w:rFonts w:hint="eastAsia" w:ascii="宋体" w:hAnsi="宋体" w:cs="仿宋"/>
          <w:color w:val="auto"/>
          <w:sz w:val="24"/>
        </w:rPr>
        <w:t>（6）法律、法规和竞争性谈判文件规定的其他无效情形。</w:t>
      </w:r>
    </w:p>
    <w:p>
      <w:pPr>
        <w:pStyle w:val="91"/>
        <w:spacing w:line="360" w:lineRule="auto"/>
        <w:ind w:firstLine="480"/>
        <w:rPr>
          <w:rFonts w:ascii="宋体" w:hAnsi="宋体" w:cs="宋体"/>
          <w:b/>
          <w:color w:val="auto"/>
          <w:sz w:val="24"/>
        </w:rPr>
      </w:pPr>
      <w:r>
        <w:rPr>
          <w:rFonts w:hint="eastAsia" w:ascii="宋体" w:hAnsi="宋体" w:cs="仿宋"/>
          <w:color w:val="auto"/>
          <w:sz w:val="24"/>
          <w:szCs w:val="24"/>
        </w:rPr>
        <w:t>20.3在评标期间，供应商企图影响采购人、采购代理机构或评标委员会评审公正性的任何活动，将导致响应无效，并由其承担相应的法律责任。</w:t>
      </w:r>
      <w:r>
        <w:rPr>
          <w:rFonts w:hint="eastAsia" w:ascii="宋体" w:hAnsi="宋体" w:cs="仿宋"/>
          <w:b/>
          <w:bCs/>
          <w:color w:val="auto"/>
          <w:sz w:val="24"/>
          <w:szCs w:val="24"/>
        </w:rPr>
        <w:t xml:space="preserve"> </w:t>
      </w:r>
      <w:bookmarkStart w:id="26" w:name="_Toc246826112"/>
    </w:p>
    <w:p>
      <w:pPr>
        <w:numPr>
          <w:ilvl w:val="0"/>
          <w:numId w:val="3"/>
        </w:numPr>
        <w:spacing w:line="360" w:lineRule="auto"/>
        <w:ind w:firstLine="561"/>
        <w:jc w:val="center"/>
        <w:rPr>
          <w:rFonts w:ascii="宋体" w:hAnsi="宋体" w:cs="黑体"/>
          <w:b/>
          <w:color w:val="auto"/>
          <w:sz w:val="24"/>
        </w:rPr>
      </w:pPr>
      <w:r>
        <w:rPr>
          <w:rFonts w:hint="eastAsia" w:ascii="宋体" w:hAnsi="宋体" w:cs="黑体"/>
          <w:b/>
          <w:color w:val="auto"/>
          <w:sz w:val="24"/>
        </w:rPr>
        <w:t>开标与评</w:t>
      </w:r>
      <w:bookmarkEnd w:id="26"/>
      <w:r>
        <w:rPr>
          <w:rFonts w:hint="eastAsia" w:ascii="宋体" w:hAnsi="宋体" w:cs="黑体"/>
          <w:b/>
          <w:color w:val="auto"/>
          <w:sz w:val="24"/>
        </w:rPr>
        <w:t>审</w:t>
      </w:r>
    </w:p>
    <w:p>
      <w:pPr>
        <w:spacing w:line="360" w:lineRule="auto"/>
        <w:rPr>
          <w:rFonts w:ascii="宋体" w:hAnsi="宋体" w:cs="仿宋"/>
          <w:b/>
          <w:color w:val="auto"/>
          <w:sz w:val="24"/>
          <w:szCs w:val="24"/>
        </w:rPr>
      </w:pPr>
      <w:r>
        <w:rPr>
          <w:rFonts w:hint="eastAsia" w:ascii="宋体" w:hAnsi="宋体" w:cs="仿宋"/>
          <w:b/>
          <w:color w:val="auto"/>
          <w:sz w:val="24"/>
          <w:szCs w:val="24"/>
        </w:rPr>
        <w:t>21.开标</w:t>
      </w:r>
    </w:p>
    <w:p>
      <w:pPr>
        <w:spacing w:line="360" w:lineRule="auto"/>
        <w:ind w:firstLine="480" w:firstLineChars="200"/>
        <w:outlineLvl w:val="1"/>
        <w:rPr>
          <w:rFonts w:ascii="宋体" w:hAnsi="宋体" w:cs="仿宋"/>
          <w:bCs/>
          <w:color w:val="auto"/>
          <w:sz w:val="24"/>
          <w:szCs w:val="24"/>
        </w:rPr>
      </w:pPr>
      <w:bookmarkStart w:id="27" w:name="_Toc1660491"/>
      <w:r>
        <w:rPr>
          <w:rFonts w:hint="eastAsia" w:ascii="宋体" w:hAnsi="宋体" w:cs="仿宋"/>
          <w:bCs/>
          <w:color w:val="auto"/>
          <w:sz w:val="24"/>
          <w:szCs w:val="24"/>
        </w:rPr>
        <w:t>21.1采购代理机构按照相关规定，在竞争性谈判文件确定的时间、地点主持开标，并邀请供应商代表参加,</w:t>
      </w:r>
      <w:r>
        <w:rPr>
          <w:rFonts w:hint="eastAsia" w:ascii="宋体" w:hAnsi="宋体" w:cs="仿宋_GB2312"/>
          <w:color w:val="auto"/>
          <w:sz w:val="24"/>
        </w:rPr>
        <w:t>供应商响应代表须携带个人身份证（或其他有效证件）复印件和授权委托书亲自出席开标会并确认开标情况</w:t>
      </w:r>
      <w:r>
        <w:rPr>
          <w:rFonts w:hint="eastAsia" w:ascii="宋体" w:hAnsi="宋体" w:cs="仿宋"/>
          <w:bCs/>
          <w:color w:val="auto"/>
          <w:sz w:val="24"/>
          <w:szCs w:val="24"/>
        </w:rPr>
        <w:t>。如果不参加开标的，则视同该供应商承认开标记录，且不得事后对开标记录提出任何异议，否则，其响应将作无效响应论处。</w:t>
      </w:r>
      <w:bookmarkEnd w:id="27"/>
    </w:p>
    <w:p>
      <w:pPr>
        <w:spacing w:line="360" w:lineRule="auto"/>
        <w:ind w:firstLine="480" w:firstLineChars="200"/>
        <w:outlineLvl w:val="1"/>
        <w:rPr>
          <w:rFonts w:ascii="宋体" w:hAnsi="宋体" w:cs="仿宋"/>
          <w:bCs/>
          <w:color w:val="auto"/>
          <w:sz w:val="24"/>
          <w:szCs w:val="24"/>
        </w:rPr>
      </w:pPr>
      <w:bookmarkStart w:id="28" w:name="_Toc1660492"/>
      <w:r>
        <w:rPr>
          <w:rFonts w:hint="eastAsia" w:ascii="宋体" w:hAnsi="宋体" w:cs="仿宋"/>
          <w:bCs/>
          <w:color w:val="auto"/>
          <w:sz w:val="24"/>
          <w:szCs w:val="24"/>
        </w:rPr>
        <w:t>21.2开标时按规定查验纸质响应文件密封情况。对密封等情形确认后响应文件当众拆封。</w:t>
      </w:r>
      <w:bookmarkEnd w:id="28"/>
    </w:p>
    <w:p>
      <w:pPr>
        <w:spacing w:line="360" w:lineRule="auto"/>
        <w:ind w:firstLine="480" w:firstLineChars="200"/>
        <w:outlineLvl w:val="1"/>
        <w:rPr>
          <w:rFonts w:ascii="宋体" w:hAnsi="宋体" w:cs="仿宋"/>
          <w:bCs/>
          <w:color w:val="auto"/>
          <w:sz w:val="24"/>
          <w:szCs w:val="24"/>
        </w:rPr>
      </w:pPr>
      <w:bookmarkStart w:id="29" w:name="_Toc1660493"/>
      <w:r>
        <w:rPr>
          <w:rFonts w:hint="eastAsia" w:ascii="宋体" w:hAnsi="宋体" w:cs="仿宋"/>
          <w:bCs/>
          <w:color w:val="auto"/>
          <w:sz w:val="24"/>
          <w:szCs w:val="24"/>
        </w:rPr>
        <w:t>21.3 评审小组按照竞争性谈判文件的要求，</w:t>
      </w:r>
      <w:r>
        <w:rPr>
          <w:rFonts w:hint="eastAsia" w:ascii="宋体" w:hAnsi="宋体" w:cs="仿宋"/>
          <w:color w:val="auto"/>
          <w:kern w:val="44"/>
          <w:sz w:val="24"/>
          <w:szCs w:val="24"/>
        </w:rPr>
        <w:t>对供应商提供的资格审查文件</w:t>
      </w:r>
      <w:r>
        <w:rPr>
          <w:rFonts w:hint="eastAsia" w:ascii="宋体" w:hAnsi="宋体" w:cs="仿宋"/>
          <w:bCs/>
          <w:color w:val="auto"/>
          <w:sz w:val="24"/>
          <w:szCs w:val="24"/>
        </w:rPr>
        <w:t>进行审查。</w:t>
      </w:r>
      <w:r>
        <w:rPr>
          <w:rFonts w:hint="eastAsia" w:ascii="宋体" w:hAnsi="宋体" w:cs="仿宋"/>
          <w:color w:val="auto"/>
          <w:kern w:val="44"/>
          <w:sz w:val="24"/>
          <w:szCs w:val="24"/>
        </w:rPr>
        <w:t>供应商的资格审查一般包括有效的营业执照、良好的商业信誉和健全的财务会计制度、依法纳税及社保资金的良好记录等（详见资格性审查表）。资格审查应按照竞争性谈判文件要求，以确认承诺、现场查询等方式进行。</w:t>
      </w:r>
      <w:bookmarkEnd w:id="29"/>
    </w:p>
    <w:p>
      <w:pPr>
        <w:spacing w:line="360" w:lineRule="auto"/>
        <w:ind w:firstLine="480" w:firstLineChars="200"/>
        <w:rPr>
          <w:rFonts w:ascii="宋体" w:hAnsi="宋体" w:cs="仿宋"/>
          <w:bCs/>
          <w:color w:val="auto"/>
          <w:sz w:val="24"/>
          <w:szCs w:val="24"/>
        </w:rPr>
      </w:pPr>
      <w:r>
        <w:rPr>
          <w:rFonts w:hint="eastAsia" w:ascii="宋体" w:hAnsi="宋体" w:cs="仿宋"/>
          <w:bCs/>
          <w:color w:val="auto"/>
          <w:sz w:val="24"/>
          <w:szCs w:val="24"/>
        </w:rPr>
        <w:t>21.4</w:t>
      </w:r>
      <w:r>
        <w:rPr>
          <w:rFonts w:hint="eastAsia" w:ascii="宋体" w:hAnsi="宋体" w:cs="仿宋"/>
          <w:color w:val="auto"/>
          <w:kern w:val="44"/>
          <w:sz w:val="24"/>
          <w:szCs w:val="24"/>
        </w:rPr>
        <w:t xml:space="preserve"> 审查合格供应商进行谈判提交最终报价。</w:t>
      </w:r>
    </w:p>
    <w:p>
      <w:pPr>
        <w:pStyle w:val="103"/>
        <w:numPr>
          <w:ilvl w:val="0"/>
          <w:numId w:val="0"/>
        </w:numPr>
        <w:tabs>
          <w:tab w:val="clear" w:pos="709"/>
        </w:tabs>
        <w:spacing w:line="360" w:lineRule="auto"/>
        <w:ind w:firstLine="480" w:firstLineChars="200"/>
        <w:rPr>
          <w:rFonts w:cs="仿宋"/>
          <w:bCs/>
          <w:color w:val="auto"/>
          <w:sz w:val="24"/>
          <w:szCs w:val="24"/>
        </w:rPr>
      </w:pPr>
      <w:r>
        <w:rPr>
          <w:rFonts w:hint="eastAsia" w:cs="仿宋"/>
          <w:bCs/>
          <w:color w:val="auto"/>
          <w:sz w:val="24"/>
          <w:szCs w:val="24"/>
        </w:rPr>
        <w:t>21.5唱标环节由评审工作人员当众宣读供应商名称、响应报价等“开标一览表”所载明的部分内容及最终报价。供应商若有报价和优惠未被唱出，或对开标过程、开标记录有异议，以及认为相关人员有需要回避情形的，应及时声明。</w:t>
      </w:r>
    </w:p>
    <w:p>
      <w:pPr>
        <w:pStyle w:val="103"/>
        <w:numPr>
          <w:ilvl w:val="0"/>
          <w:numId w:val="0"/>
        </w:numPr>
        <w:tabs>
          <w:tab w:val="clear" w:pos="709"/>
        </w:tabs>
        <w:spacing w:line="360" w:lineRule="auto"/>
        <w:ind w:firstLine="480" w:firstLineChars="200"/>
        <w:rPr>
          <w:rFonts w:cs="仿宋"/>
          <w:bCs/>
          <w:color w:val="auto"/>
          <w:sz w:val="24"/>
          <w:szCs w:val="24"/>
        </w:rPr>
      </w:pPr>
      <w:r>
        <w:rPr>
          <w:rFonts w:hint="eastAsia" w:cs="仿宋"/>
          <w:bCs/>
          <w:color w:val="auto"/>
          <w:sz w:val="24"/>
          <w:szCs w:val="24"/>
        </w:rPr>
        <w:t>21.6评审工作人员做开标记录，并在开标后要求供应商响应代表签字确认。供应商未参加开标的，视同认可开标结果。</w:t>
      </w:r>
    </w:p>
    <w:p>
      <w:pPr>
        <w:pStyle w:val="2"/>
        <w:spacing w:before="0" w:after="0" w:line="360" w:lineRule="auto"/>
        <w:rPr>
          <w:rFonts w:ascii="宋体" w:hAnsi="宋体" w:eastAsia="宋体" w:cs="仿宋"/>
          <w:b w:val="0"/>
          <w:color w:val="auto"/>
          <w:sz w:val="24"/>
          <w:szCs w:val="24"/>
        </w:rPr>
      </w:pPr>
      <w:bookmarkStart w:id="30" w:name="_Toc1660494"/>
      <w:bookmarkStart w:id="31" w:name="_Toc328815997"/>
      <w:r>
        <w:rPr>
          <w:rFonts w:hint="eastAsia" w:ascii="宋体" w:hAnsi="宋体" w:eastAsia="宋体" w:cs="仿宋"/>
          <w:bCs w:val="0"/>
          <w:color w:val="auto"/>
          <w:sz w:val="24"/>
          <w:szCs w:val="24"/>
        </w:rPr>
        <w:t>22.评审</w:t>
      </w:r>
      <w:bookmarkEnd w:id="30"/>
    </w:p>
    <w:p>
      <w:pPr>
        <w:spacing w:line="360" w:lineRule="auto"/>
        <w:ind w:firstLine="480" w:firstLineChars="200"/>
        <w:rPr>
          <w:rFonts w:ascii="宋体" w:hAnsi="宋体" w:cs="仿宋"/>
          <w:bCs/>
          <w:color w:val="auto"/>
          <w:sz w:val="24"/>
          <w:szCs w:val="24"/>
        </w:rPr>
      </w:pPr>
      <w:r>
        <w:rPr>
          <w:rFonts w:hint="eastAsia" w:ascii="宋体" w:hAnsi="宋体" w:cs="仿宋"/>
          <w:bCs/>
          <w:color w:val="auto"/>
          <w:sz w:val="24"/>
          <w:szCs w:val="24"/>
        </w:rPr>
        <w:t>22.1 评审步骤与要求</w:t>
      </w:r>
    </w:p>
    <w:p>
      <w:pPr>
        <w:pStyle w:val="103"/>
        <w:numPr>
          <w:ilvl w:val="0"/>
          <w:numId w:val="0"/>
        </w:numPr>
        <w:tabs>
          <w:tab w:val="clear" w:pos="709"/>
        </w:tabs>
        <w:spacing w:line="360" w:lineRule="auto"/>
        <w:ind w:firstLine="480" w:firstLineChars="200"/>
        <w:rPr>
          <w:rFonts w:cs="仿宋"/>
          <w:bCs/>
          <w:color w:val="auto"/>
          <w:sz w:val="24"/>
          <w:szCs w:val="24"/>
        </w:rPr>
      </w:pPr>
      <w:r>
        <w:rPr>
          <w:rFonts w:hint="eastAsia" w:cs="仿宋"/>
          <w:bCs/>
          <w:color w:val="auto"/>
          <w:sz w:val="24"/>
          <w:szCs w:val="24"/>
        </w:rPr>
        <w:t>22.1.1 组建谈判小组</w:t>
      </w:r>
    </w:p>
    <w:p>
      <w:pPr>
        <w:spacing w:line="360" w:lineRule="auto"/>
        <w:ind w:firstLine="480" w:firstLineChars="200"/>
        <w:rPr>
          <w:rFonts w:ascii="宋体" w:hAnsi="宋体" w:cs="仿宋"/>
          <w:bCs/>
          <w:color w:val="auto"/>
          <w:sz w:val="24"/>
          <w:szCs w:val="24"/>
        </w:rPr>
      </w:pPr>
      <w:r>
        <w:rPr>
          <w:rFonts w:hint="eastAsia" w:ascii="宋体" w:hAnsi="宋体" w:cs="仿宋"/>
          <w:bCs/>
          <w:color w:val="auto"/>
          <w:sz w:val="24"/>
          <w:szCs w:val="24"/>
        </w:rPr>
        <w:t>22.1.1.1代理机构根据有关法律法规和本竞争性谈判文件的规定，结合本谈判项目的特点组建谈判小组，对具备实质性响应的响应文件进行评估和比较。谈判小组由三人以上单数组成。</w:t>
      </w:r>
    </w:p>
    <w:p>
      <w:pPr>
        <w:spacing w:line="360" w:lineRule="auto"/>
        <w:ind w:firstLine="480" w:firstLineChars="200"/>
        <w:rPr>
          <w:rFonts w:ascii="宋体" w:hAnsi="宋体" w:cs="仿宋"/>
          <w:bCs/>
          <w:color w:val="auto"/>
          <w:sz w:val="24"/>
          <w:szCs w:val="24"/>
        </w:rPr>
      </w:pPr>
      <w:r>
        <w:rPr>
          <w:rFonts w:hint="eastAsia" w:ascii="宋体" w:hAnsi="宋体" w:cs="仿宋"/>
          <w:bCs/>
          <w:color w:val="auto"/>
          <w:sz w:val="24"/>
          <w:szCs w:val="24"/>
        </w:rPr>
        <w:t>22.1.1.2采购人或代理机构就竞争性谈判文件征询过意见的专家,不作为评审专家参加评审，采购人代表不能以专家身份参与评审，代理机构工作人员不得参加评审。</w:t>
      </w:r>
    </w:p>
    <w:p>
      <w:pPr>
        <w:spacing w:line="360" w:lineRule="auto"/>
        <w:ind w:firstLine="480" w:firstLineChars="200"/>
        <w:rPr>
          <w:rFonts w:ascii="宋体" w:hAnsi="宋体" w:cs="仿宋"/>
          <w:bCs/>
          <w:color w:val="auto"/>
          <w:sz w:val="24"/>
          <w:szCs w:val="24"/>
        </w:rPr>
      </w:pPr>
      <w:r>
        <w:rPr>
          <w:rFonts w:hint="eastAsia" w:ascii="宋体" w:hAnsi="宋体" w:cs="仿宋"/>
          <w:bCs/>
          <w:color w:val="auto"/>
          <w:sz w:val="24"/>
          <w:szCs w:val="24"/>
        </w:rPr>
        <w:t>22.1.1.3评审专家应当从政府采购评审专家库内相关专业的专家名单中随机抽取。技术复杂、专业性强的采购项目，经主管预算单位同意，可以自行选定评审专家。技术复杂、专业性强的采购项目，评审专家中应当包含1名法律专家。</w:t>
      </w:r>
    </w:p>
    <w:p>
      <w:pPr>
        <w:spacing w:line="360" w:lineRule="auto"/>
        <w:ind w:firstLine="480" w:firstLineChars="200"/>
        <w:rPr>
          <w:rFonts w:ascii="宋体" w:hAnsi="宋体" w:cs="仿宋"/>
          <w:bCs/>
          <w:color w:val="auto"/>
          <w:sz w:val="24"/>
          <w:szCs w:val="24"/>
        </w:rPr>
      </w:pPr>
      <w:r>
        <w:rPr>
          <w:rFonts w:hint="eastAsia" w:ascii="宋体" w:hAnsi="宋体" w:cs="仿宋"/>
          <w:bCs/>
          <w:color w:val="auto"/>
          <w:sz w:val="24"/>
          <w:szCs w:val="24"/>
        </w:rPr>
        <w:t>22.2 谈判准备与初步评审</w:t>
      </w:r>
    </w:p>
    <w:p>
      <w:pPr>
        <w:spacing w:line="360" w:lineRule="auto"/>
        <w:ind w:firstLine="480" w:firstLineChars="200"/>
        <w:rPr>
          <w:rFonts w:ascii="宋体" w:hAnsi="宋体" w:cs="仿宋"/>
          <w:bCs/>
          <w:color w:val="auto"/>
          <w:sz w:val="24"/>
          <w:szCs w:val="24"/>
        </w:rPr>
      </w:pPr>
      <w:r>
        <w:rPr>
          <w:rFonts w:hint="eastAsia" w:ascii="宋体" w:hAnsi="宋体" w:cs="仿宋"/>
          <w:bCs/>
          <w:color w:val="auto"/>
          <w:sz w:val="24"/>
          <w:szCs w:val="24"/>
        </w:rPr>
        <w:t>22.2.1 响应截止时间后，谈判小组将审查响应文件是否符合竞争性谈判文件的基本要求：内容是否完整、资格证明文件是否齐全、有无计算错误、文件签署是否齐全。</w:t>
      </w:r>
    </w:p>
    <w:p>
      <w:pPr>
        <w:spacing w:line="360" w:lineRule="auto"/>
        <w:ind w:firstLine="480" w:firstLineChars="200"/>
        <w:rPr>
          <w:rFonts w:ascii="宋体" w:hAnsi="宋体" w:cs="仿宋"/>
          <w:bCs/>
          <w:color w:val="auto"/>
          <w:sz w:val="24"/>
          <w:szCs w:val="24"/>
        </w:rPr>
      </w:pPr>
      <w:r>
        <w:rPr>
          <w:rFonts w:hint="eastAsia" w:ascii="宋体" w:hAnsi="宋体" w:cs="仿宋"/>
          <w:bCs/>
          <w:color w:val="auto"/>
          <w:sz w:val="24"/>
          <w:szCs w:val="24"/>
        </w:rPr>
        <w:t>22.2.2谈判小组对下列情况进行审查，以判断参与谈判供应商是否实质响应了谈判文件：</w:t>
      </w:r>
    </w:p>
    <w:p>
      <w:pPr>
        <w:spacing w:line="360" w:lineRule="auto"/>
        <w:ind w:firstLine="480" w:firstLineChars="200"/>
        <w:rPr>
          <w:rFonts w:ascii="宋体" w:hAnsi="宋体" w:cs="仿宋"/>
          <w:bCs/>
          <w:color w:val="auto"/>
          <w:sz w:val="24"/>
          <w:szCs w:val="24"/>
        </w:rPr>
      </w:pPr>
      <w:r>
        <w:rPr>
          <w:rFonts w:hint="eastAsia" w:ascii="宋体" w:hAnsi="宋体" w:cs="仿宋"/>
          <w:bCs/>
          <w:color w:val="auto"/>
          <w:sz w:val="24"/>
          <w:szCs w:val="24"/>
        </w:rPr>
        <w:t>（1） 谈判供应商资质条件是否响应谈判文件的要求；</w:t>
      </w:r>
    </w:p>
    <w:p>
      <w:pPr>
        <w:spacing w:line="360" w:lineRule="auto"/>
        <w:ind w:firstLine="480" w:firstLineChars="200"/>
        <w:rPr>
          <w:rFonts w:ascii="宋体" w:hAnsi="宋体" w:cs="仿宋"/>
          <w:bCs/>
          <w:color w:val="auto"/>
          <w:sz w:val="24"/>
          <w:szCs w:val="24"/>
        </w:rPr>
      </w:pPr>
      <w:r>
        <w:rPr>
          <w:rFonts w:hint="eastAsia" w:ascii="宋体" w:hAnsi="宋体" w:cs="仿宋"/>
          <w:bCs/>
          <w:color w:val="auto"/>
          <w:sz w:val="24"/>
          <w:szCs w:val="24"/>
        </w:rPr>
        <w:t>（2） 谈判供应商在响应文件中提交的商务和技术文件是否响应谈判文件的要求；</w:t>
      </w:r>
    </w:p>
    <w:p>
      <w:pPr>
        <w:spacing w:line="360" w:lineRule="auto"/>
        <w:ind w:firstLine="480" w:firstLineChars="200"/>
        <w:rPr>
          <w:rFonts w:ascii="宋体" w:hAnsi="宋体" w:cs="仿宋"/>
          <w:bCs/>
          <w:color w:val="auto"/>
          <w:sz w:val="24"/>
          <w:szCs w:val="24"/>
        </w:rPr>
      </w:pPr>
      <w:r>
        <w:rPr>
          <w:rFonts w:hint="eastAsia" w:ascii="宋体" w:hAnsi="宋体" w:cs="仿宋"/>
          <w:bCs/>
          <w:color w:val="auto"/>
          <w:sz w:val="24"/>
          <w:szCs w:val="24"/>
        </w:rPr>
        <w:t>（3） 谈判供应商自行编写的技术文件是否合理可行；</w:t>
      </w:r>
    </w:p>
    <w:p>
      <w:pPr>
        <w:spacing w:line="360" w:lineRule="auto"/>
        <w:ind w:firstLine="480" w:firstLineChars="200"/>
        <w:rPr>
          <w:rFonts w:ascii="宋体" w:hAnsi="宋体" w:cs="仿宋"/>
          <w:bCs/>
          <w:color w:val="auto"/>
          <w:sz w:val="24"/>
          <w:szCs w:val="24"/>
        </w:rPr>
      </w:pPr>
      <w:r>
        <w:rPr>
          <w:rFonts w:hint="eastAsia" w:ascii="宋体" w:hAnsi="宋体" w:cs="仿宋"/>
          <w:bCs/>
          <w:color w:val="auto"/>
          <w:sz w:val="24"/>
          <w:szCs w:val="24"/>
        </w:rPr>
        <w:t>（4） 谈判供应商是否具备良好的财务状况和偿付能力；</w:t>
      </w:r>
    </w:p>
    <w:p>
      <w:pPr>
        <w:spacing w:line="360" w:lineRule="auto"/>
        <w:ind w:firstLine="480" w:firstLineChars="200"/>
        <w:rPr>
          <w:rFonts w:ascii="宋体" w:hAnsi="宋体" w:cs="仿宋"/>
          <w:bCs/>
          <w:color w:val="auto"/>
          <w:sz w:val="24"/>
          <w:szCs w:val="24"/>
        </w:rPr>
      </w:pPr>
      <w:r>
        <w:rPr>
          <w:rFonts w:hint="eastAsia" w:ascii="宋体" w:hAnsi="宋体" w:cs="仿宋"/>
          <w:bCs/>
          <w:color w:val="auto"/>
          <w:sz w:val="24"/>
          <w:szCs w:val="24"/>
        </w:rPr>
        <w:t>（5） 所报价格是否合理。</w:t>
      </w:r>
    </w:p>
    <w:p>
      <w:pPr>
        <w:spacing w:line="360" w:lineRule="auto"/>
        <w:ind w:firstLine="480" w:firstLineChars="200"/>
        <w:rPr>
          <w:rFonts w:ascii="宋体" w:hAnsi="宋体" w:cs="仿宋"/>
          <w:bCs/>
          <w:color w:val="auto"/>
          <w:sz w:val="24"/>
          <w:szCs w:val="24"/>
        </w:rPr>
      </w:pPr>
      <w:r>
        <w:rPr>
          <w:rFonts w:hint="eastAsia" w:ascii="宋体" w:hAnsi="宋体" w:cs="仿宋"/>
          <w:bCs/>
          <w:color w:val="auto"/>
          <w:sz w:val="24"/>
          <w:szCs w:val="24"/>
        </w:rPr>
        <w:t>22.2.3 实质上响应的响应是指与竞争性谈判文件的主要条款、条件和规格相符，没有重大偏离或保留。</w:t>
      </w:r>
    </w:p>
    <w:p>
      <w:pPr>
        <w:spacing w:line="360" w:lineRule="auto"/>
        <w:ind w:firstLine="480" w:firstLineChars="200"/>
        <w:rPr>
          <w:rFonts w:ascii="宋体" w:hAnsi="宋体" w:cs="仿宋"/>
          <w:bCs/>
          <w:color w:val="auto"/>
          <w:sz w:val="24"/>
          <w:szCs w:val="24"/>
        </w:rPr>
      </w:pPr>
      <w:r>
        <w:rPr>
          <w:rFonts w:hint="eastAsia" w:ascii="宋体" w:hAnsi="宋体" w:cs="仿宋"/>
          <w:bCs/>
          <w:color w:val="auto"/>
          <w:sz w:val="24"/>
          <w:szCs w:val="24"/>
        </w:rPr>
        <w:t>（1）重大偏离或保留系指响应产品的质量、数量和交货期限等明显不能满足竞争性谈判文件的要求，或者实质上与竞争性谈判文件不一致，而且限制了采购人的权利或供应商的义务，纠正这些偏离或保留将对其他实质上响应要求的供应商的竞争地位产生不公正的影响。包括但不限于：</w:t>
      </w:r>
    </w:p>
    <w:p>
      <w:pPr>
        <w:spacing w:line="360" w:lineRule="auto"/>
        <w:ind w:firstLine="480" w:firstLineChars="200"/>
        <w:rPr>
          <w:rFonts w:ascii="宋体" w:hAnsi="宋体" w:cs="仿宋"/>
          <w:bCs/>
          <w:color w:val="auto"/>
          <w:sz w:val="24"/>
          <w:szCs w:val="24"/>
        </w:rPr>
      </w:pPr>
      <w:r>
        <w:rPr>
          <w:rFonts w:hint="eastAsia" w:ascii="宋体" w:hAnsi="宋体" w:cs="仿宋"/>
          <w:bCs/>
          <w:color w:val="auto"/>
          <w:sz w:val="24"/>
          <w:szCs w:val="24"/>
        </w:rPr>
        <w:t>1）应当交纳响应保证金的供应商未提交响应保证金或金额不足的；</w:t>
      </w:r>
    </w:p>
    <w:p>
      <w:pPr>
        <w:spacing w:line="360" w:lineRule="auto"/>
        <w:ind w:firstLine="480" w:firstLineChars="200"/>
        <w:rPr>
          <w:rFonts w:ascii="宋体" w:hAnsi="宋体" w:cs="仿宋"/>
          <w:bCs/>
          <w:color w:val="auto"/>
          <w:sz w:val="24"/>
          <w:szCs w:val="24"/>
        </w:rPr>
      </w:pPr>
      <w:r>
        <w:rPr>
          <w:rFonts w:hint="eastAsia" w:ascii="宋体" w:hAnsi="宋体" w:cs="仿宋"/>
          <w:bCs/>
          <w:color w:val="auto"/>
          <w:sz w:val="24"/>
          <w:szCs w:val="24"/>
        </w:rPr>
        <w:t>2）资格证明文件不全或无效的；</w:t>
      </w:r>
    </w:p>
    <w:p>
      <w:pPr>
        <w:spacing w:line="360" w:lineRule="auto"/>
        <w:ind w:firstLine="480" w:firstLineChars="200"/>
        <w:rPr>
          <w:rFonts w:ascii="宋体" w:hAnsi="宋体" w:cs="仿宋"/>
          <w:bCs/>
          <w:color w:val="auto"/>
          <w:sz w:val="24"/>
          <w:szCs w:val="24"/>
        </w:rPr>
      </w:pPr>
      <w:r>
        <w:rPr>
          <w:rFonts w:hint="eastAsia" w:ascii="宋体" w:hAnsi="宋体" w:cs="仿宋"/>
          <w:bCs/>
          <w:color w:val="auto"/>
          <w:sz w:val="24"/>
          <w:szCs w:val="24"/>
        </w:rPr>
        <w:t>3）响应文件未按竞争性谈判文件的规定签署、盖章的；</w:t>
      </w:r>
    </w:p>
    <w:p>
      <w:pPr>
        <w:spacing w:line="360" w:lineRule="auto"/>
        <w:ind w:firstLine="480" w:firstLineChars="200"/>
        <w:rPr>
          <w:rFonts w:ascii="宋体" w:hAnsi="宋体" w:cs="仿宋"/>
          <w:bCs/>
          <w:color w:val="auto"/>
          <w:sz w:val="24"/>
          <w:szCs w:val="24"/>
        </w:rPr>
      </w:pPr>
      <w:r>
        <w:rPr>
          <w:rFonts w:hint="eastAsia" w:ascii="宋体" w:hAnsi="宋体" w:cs="仿宋"/>
          <w:bCs/>
          <w:color w:val="auto"/>
          <w:sz w:val="24"/>
          <w:szCs w:val="24"/>
        </w:rPr>
        <w:t>4）响应有效期不足的；</w:t>
      </w:r>
    </w:p>
    <w:p>
      <w:pPr>
        <w:spacing w:line="360" w:lineRule="auto"/>
        <w:ind w:firstLine="480" w:firstLineChars="200"/>
        <w:rPr>
          <w:rFonts w:ascii="宋体" w:hAnsi="宋体" w:cs="仿宋"/>
          <w:bCs/>
          <w:color w:val="auto"/>
          <w:sz w:val="24"/>
          <w:szCs w:val="24"/>
        </w:rPr>
      </w:pPr>
      <w:r>
        <w:rPr>
          <w:rFonts w:hint="eastAsia" w:ascii="宋体" w:hAnsi="宋体" w:cs="仿宋"/>
          <w:bCs/>
          <w:color w:val="auto"/>
          <w:sz w:val="24"/>
          <w:szCs w:val="24"/>
        </w:rPr>
        <w:t>5）未按照竞争性谈判文件规定报价的；</w:t>
      </w:r>
    </w:p>
    <w:p>
      <w:pPr>
        <w:spacing w:line="360" w:lineRule="auto"/>
        <w:ind w:firstLine="480" w:firstLineChars="200"/>
        <w:rPr>
          <w:rFonts w:ascii="宋体" w:hAnsi="宋体" w:cs="仿宋"/>
          <w:bCs/>
          <w:color w:val="auto"/>
          <w:sz w:val="24"/>
          <w:szCs w:val="24"/>
        </w:rPr>
      </w:pPr>
      <w:r>
        <w:rPr>
          <w:rFonts w:hint="eastAsia" w:ascii="宋体" w:hAnsi="宋体" w:cs="仿宋"/>
          <w:bCs/>
          <w:color w:val="auto"/>
          <w:sz w:val="24"/>
          <w:szCs w:val="24"/>
        </w:rPr>
        <w:t>6）不符合竞争性谈判文件有关分包、转包规定的；</w:t>
      </w:r>
    </w:p>
    <w:p>
      <w:pPr>
        <w:spacing w:line="360" w:lineRule="auto"/>
        <w:ind w:firstLine="480" w:firstLineChars="200"/>
        <w:rPr>
          <w:rFonts w:ascii="宋体" w:hAnsi="宋体" w:cs="仿宋"/>
          <w:bCs/>
          <w:color w:val="auto"/>
          <w:sz w:val="24"/>
          <w:szCs w:val="24"/>
        </w:rPr>
      </w:pPr>
      <w:r>
        <w:rPr>
          <w:rFonts w:hint="eastAsia" w:ascii="宋体" w:hAnsi="宋体" w:cs="仿宋"/>
          <w:bCs/>
          <w:color w:val="auto"/>
          <w:sz w:val="24"/>
          <w:szCs w:val="24"/>
        </w:rPr>
        <w:t>7）响应文件附有采购人不能接受的条件；</w:t>
      </w:r>
    </w:p>
    <w:p>
      <w:pPr>
        <w:spacing w:line="360" w:lineRule="auto"/>
        <w:ind w:firstLine="480" w:firstLineChars="200"/>
        <w:rPr>
          <w:rFonts w:ascii="宋体" w:hAnsi="宋体" w:cs="仿宋"/>
          <w:bCs/>
          <w:color w:val="auto"/>
          <w:sz w:val="24"/>
          <w:szCs w:val="24"/>
        </w:rPr>
      </w:pPr>
      <w:r>
        <w:rPr>
          <w:rFonts w:hint="eastAsia" w:ascii="宋体" w:hAnsi="宋体" w:cs="仿宋"/>
          <w:bCs/>
          <w:color w:val="auto"/>
          <w:sz w:val="24"/>
          <w:szCs w:val="24"/>
        </w:rPr>
        <w:t>8）不符合竞争性谈判文件中规定的其他实质性要求。</w:t>
      </w:r>
    </w:p>
    <w:p>
      <w:pPr>
        <w:spacing w:line="360" w:lineRule="auto"/>
        <w:ind w:firstLine="480" w:firstLineChars="200"/>
        <w:rPr>
          <w:rFonts w:ascii="宋体" w:hAnsi="宋体" w:cs="仿宋"/>
          <w:bCs/>
          <w:color w:val="auto"/>
          <w:sz w:val="24"/>
          <w:szCs w:val="24"/>
        </w:rPr>
      </w:pPr>
      <w:r>
        <w:rPr>
          <w:rFonts w:hint="eastAsia" w:ascii="宋体" w:hAnsi="宋体" w:cs="仿宋"/>
          <w:bCs/>
          <w:color w:val="auto"/>
          <w:sz w:val="24"/>
          <w:szCs w:val="24"/>
        </w:rPr>
        <w:t>（2）重大偏离不允许在响应截止时间后修正，但谈判小组将允许修正响应中不构成重大偏离的地方，这些修正不会对其他实质上响应竞争性谈判文件要求的供应商的竞争地位产生不公正的影响。</w:t>
      </w:r>
    </w:p>
    <w:p>
      <w:pPr>
        <w:spacing w:line="360" w:lineRule="auto"/>
        <w:ind w:firstLine="480" w:firstLineChars="200"/>
        <w:rPr>
          <w:rFonts w:ascii="宋体" w:hAnsi="宋体" w:cs="仿宋"/>
          <w:bCs/>
          <w:color w:val="auto"/>
          <w:sz w:val="24"/>
          <w:szCs w:val="24"/>
        </w:rPr>
      </w:pPr>
      <w:r>
        <w:rPr>
          <w:rFonts w:hint="eastAsia" w:ascii="宋体" w:hAnsi="宋体" w:cs="仿宋"/>
          <w:bCs/>
          <w:color w:val="auto"/>
          <w:sz w:val="24"/>
          <w:szCs w:val="24"/>
        </w:rPr>
        <w:t>（3）如果响应文件实质上没有响应竞争性谈判文件的要求，谈判小组将予以拒绝，供应商不得再对响应文件进行任何修正从而使其响应成为实质上响应的响应。</w:t>
      </w:r>
    </w:p>
    <w:p>
      <w:pPr>
        <w:spacing w:line="360" w:lineRule="auto"/>
        <w:ind w:firstLine="480" w:firstLineChars="200"/>
        <w:rPr>
          <w:rFonts w:ascii="宋体" w:hAnsi="宋体" w:cs="仿宋"/>
          <w:bCs/>
          <w:color w:val="auto"/>
          <w:sz w:val="24"/>
          <w:szCs w:val="24"/>
        </w:rPr>
      </w:pPr>
      <w:r>
        <w:rPr>
          <w:rFonts w:hint="eastAsia" w:ascii="宋体" w:hAnsi="宋体" w:cs="仿宋"/>
          <w:bCs/>
          <w:color w:val="auto"/>
          <w:sz w:val="24"/>
          <w:szCs w:val="24"/>
        </w:rPr>
        <w:t>22.2.4响应文件的细微偏差是指在实质上响应竞争性谈判文件要求，但在个别地方存在漏项或者提供了不完整的技术信息和数据等情况，并且补正这些遗漏或者不完整不会对其他供应商造成不公平的结果。细微偏差不影响响应文件的有效性。</w:t>
      </w:r>
    </w:p>
    <w:p>
      <w:pPr>
        <w:spacing w:line="360" w:lineRule="auto"/>
        <w:ind w:firstLine="480" w:firstLineChars="200"/>
        <w:rPr>
          <w:rFonts w:ascii="宋体" w:hAnsi="宋体" w:cs="仿宋"/>
          <w:bCs/>
          <w:color w:val="auto"/>
          <w:sz w:val="24"/>
          <w:szCs w:val="24"/>
        </w:rPr>
      </w:pPr>
      <w:r>
        <w:rPr>
          <w:rFonts w:hint="eastAsia" w:ascii="宋体" w:hAnsi="宋体" w:cs="仿宋"/>
          <w:bCs/>
          <w:color w:val="auto"/>
          <w:sz w:val="24"/>
          <w:szCs w:val="24"/>
        </w:rPr>
        <w:t>22.3响应的澄清</w:t>
      </w:r>
    </w:p>
    <w:p>
      <w:pPr>
        <w:spacing w:line="360" w:lineRule="auto"/>
        <w:ind w:firstLine="480" w:firstLineChars="200"/>
        <w:rPr>
          <w:rFonts w:ascii="宋体" w:hAnsi="宋体" w:cs="仿宋"/>
          <w:bCs/>
          <w:color w:val="auto"/>
          <w:sz w:val="24"/>
          <w:szCs w:val="24"/>
        </w:rPr>
      </w:pPr>
      <w:r>
        <w:rPr>
          <w:rFonts w:hint="eastAsia" w:ascii="宋体" w:hAnsi="宋体" w:cs="仿宋"/>
          <w:bCs/>
          <w:color w:val="auto"/>
          <w:sz w:val="24"/>
          <w:szCs w:val="24"/>
        </w:rPr>
        <w:t>22.3.1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并由谈判小组专家签字。供应商的澄清、说明或者更正应当由响应代表签字或者加盖公章。响应代表非法定代表人/主要负责人的，应当附法定代表人/主要负责人授权书。供应商为自然人的，应当由本人签字并附身份证明。</w:t>
      </w:r>
    </w:p>
    <w:p>
      <w:pPr>
        <w:spacing w:line="360" w:lineRule="auto"/>
        <w:ind w:firstLine="480" w:firstLineChars="200"/>
        <w:rPr>
          <w:rFonts w:ascii="宋体" w:hAnsi="宋体" w:cs="仿宋"/>
          <w:bCs/>
          <w:color w:val="auto"/>
          <w:sz w:val="24"/>
          <w:szCs w:val="24"/>
        </w:rPr>
      </w:pPr>
      <w:r>
        <w:rPr>
          <w:rFonts w:hint="eastAsia" w:ascii="宋体" w:hAnsi="宋体" w:cs="仿宋"/>
          <w:bCs/>
          <w:color w:val="auto"/>
          <w:sz w:val="24"/>
          <w:szCs w:val="24"/>
        </w:rPr>
        <w:t>22.3.2供应商必须按照谈判小组通知的内容和时间做出书面答复，该答复经响应代表签字认可，将作为响应文件内容的一部分。澄清、说明或者补正不得超出响应文件的范围或者改变响应文件的实质性内容。供应商拒不按照要求对响应文件进行澄清、说明或者补正的，谈判小组可拒绝该响应。</w:t>
      </w:r>
    </w:p>
    <w:p>
      <w:pPr>
        <w:spacing w:line="360" w:lineRule="auto"/>
        <w:ind w:firstLine="480" w:firstLineChars="200"/>
        <w:rPr>
          <w:rFonts w:ascii="宋体" w:hAnsi="宋体" w:cs="仿宋"/>
          <w:bCs/>
          <w:color w:val="auto"/>
          <w:sz w:val="24"/>
          <w:szCs w:val="24"/>
        </w:rPr>
      </w:pPr>
      <w:r>
        <w:rPr>
          <w:rFonts w:hint="eastAsia" w:ascii="宋体" w:hAnsi="宋体" w:cs="仿宋"/>
          <w:bCs/>
          <w:color w:val="auto"/>
          <w:sz w:val="24"/>
          <w:szCs w:val="24"/>
        </w:rPr>
        <w:t>22.3.3如谈判小组一致认为某个供应商的报价与各供应商报价的平均报价价差较大，存在明显不合理，有低于成本价或降低质量、不能诚信履行的可能，影响公平竞争时，谈判小组有权决定是否通知供应商限期进行书面解释或提供相关证明材料。若已要求，而该供应商在规定期限内未做出解释、作出的解释不合理或不能提供证明材料的，谈判小组可拒绝该响应。</w:t>
      </w:r>
    </w:p>
    <w:p>
      <w:pPr>
        <w:spacing w:line="360" w:lineRule="auto"/>
        <w:ind w:firstLine="480" w:firstLineChars="200"/>
        <w:rPr>
          <w:rFonts w:ascii="宋体" w:hAnsi="宋体" w:cs="仿宋"/>
          <w:bCs/>
          <w:color w:val="auto"/>
          <w:sz w:val="24"/>
          <w:szCs w:val="24"/>
        </w:rPr>
      </w:pPr>
      <w:r>
        <w:rPr>
          <w:rFonts w:hint="eastAsia" w:ascii="宋体" w:hAnsi="宋体" w:cs="仿宋"/>
          <w:bCs/>
          <w:color w:val="auto"/>
          <w:sz w:val="24"/>
          <w:szCs w:val="24"/>
        </w:rPr>
        <w:t>22.4对响应文件的详细评审</w:t>
      </w:r>
    </w:p>
    <w:p>
      <w:pPr>
        <w:spacing w:line="360" w:lineRule="auto"/>
        <w:ind w:firstLine="480" w:firstLineChars="200"/>
        <w:rPr>
          <w:rFonts w:ascii="宋体" w:hAnsi="宋体" w:cs="仿宋"/>
          <w:bCs/>
          <w:color w:val="auto"/>
          <w:sz w:val="24"/>
          <w:szCs w:val="24"/>
        </w:rPr>
      </w:pPr>
      <w:r>
        <w:rPr>
          <w:rFonts w:hint="eastAsia" w:ascii="宋体" w:hAnsi="宋体" w:cs="仿宋"/>
          <w:bCs/>
          <w:color w:val="auto"/>
          <w:sz w:val="24"/>
          <w:szCs w:val="24"/>
        </w:rPr>
        <w:t>22.4.1谈判小组所有成员应当集中与单一供应商分别进行谈判，并给予所有参加谈判的供应商平等的谈判机会。</w:t>
      </w:r>
    </w:p>
    <w:p>
      <w:pPr>
        <w:spacing w:line="360" w:lineRule="auto"/>
        <w:ind w:firstLine="480" w:firstLineChars="200"/>
        <w:rPr>
          <w:rFonts w:ascii="宋体" w:hAnsi="宋体" w:cs="仿宋"/>
          <w:bCs/>
          <w:color w:val="auto"/>
          <w:sz w:val="24"/>
          <w:szCs w:val="24"/>
        </w:rPr>
      </w:pPr>
      <w:r>
        <w:rPr>
          <w:rFonts w:hint="eastAsia" w:ascii="宋体" w:hAnsi="宋体" w:cs="仿宋"/>
          <w:bCs/>
          <w:color w:val="auto"/>
          <w:sz w:val="24"/>
          <w:szCs w:val="24"/>
        </w:rPr>
        <w:t>22.4.2谈判内容包括商务文件和服务要求的响应情况、所报价格等以及谈判小组认为存在偏离或有必要明确的其它问题。谈判小组将对谈判内容以谈判纪要的形式作出书面记录，谈判结束后，谈判供应商代表应在谈判纪要上签字确认。谈判纪要经供应商谈判代表签字确认后生效。</w:t>
      </w:r>
    </w:p>
    <w:p>
      <w:pPr>
        <w:spacing w:line="360" w:lineRule="auto"/>
        <w:ind w:firstLine="480" w:firstLineChars="200"/>
        <w:rPr>
          <w:rFonts w:ascii="宋体" w:hAnsi="宋体" w:cs="仿宋"/>
          <w:bCs/>
          <w:color w:val="auto"/>
          <w:sz w:val="24"/>
          <w:szCs w:val="24"/>
        </w:rPr>
      </w:pPr>
      <w:r>
        <w:rPr>
          <w:rFonts w:hint="eastAsia" w:ascii="宋体" w:hAnsi="宋体" w:cs="仿宋"/>
          <w:bCs/>
          <w:color w:val="auto"/>
          <w:sz w:val="24"/>
          <w:szCs w:val="24"/>
        </w:rPr>
        <w:t>22.4.3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作出的实质性变动是竞争性谈判文件的有效组成部分，如果谈判小组对谈判文件实质性内容作出变更，代理机构将书面通知所有参加谈判的谈判供应商，使每个谈判供应商均有同等机会根据修改后的谈判条件提交新的方案。供应商应当按照竞争性谈判文件的变动情况和谈判小组的要求重新提交响应文件，并由其响应代表签字或者加盖公章。由响应代表非法定代表人/主要负责人的，应当附法定代表人/主要负责人授权书。供应商为自然人的，应当由本人签字并附身份证明。</w:t>
      </w:r>
    </w:p>
    <w:p>
      <w:pPr>
        <w:spacing w:line="360" w:lineRule="auto"/>
        <w:ind w:firstLine="480" w:firstLineChars="200"/>
        <w:rPr>
          <w:rFonts w:ascii="宋体" w:hAnsi="宋体" w:cs="仿宋"/>
          <w:bCs/>
          <w:color w:val="auto"/>
          <w:sz w:val="24"/>
          <w:szCs w:val="24"/>
        </w:rPr>
      </w:pPr>
      <w:r>
        <w:rPr>
          <w:rFonts w:hint="eastAsia" w:ascii="宋体" w:hAnsi="宋体" w:cs="仿宋"/>
          <w:bCs/>
          <w:color w:val="auto"/>
          <w:sz w:val="24"/>
          <w:szCs w:val="24"/>
        </w:rPr>
        <w:t>22.4.4如果谈判中谈判小组确认需要谈判供应商就谈判中的相关问题提交澄清或补正材料，供应商应当在现场说明是否具备该材料并在谈判纪要上作出承诺。谈判供应商</w:t>
      </w:r>
      <w:bookmarkStart w:id="32" w:name="OLE_LINK15"/>
      <w:r>
        <w:rPr>
          <w:rFonts w:hint="eastAsia" w:ascii="宋体" w:hAnsi="宋体" w:cs="仿宋"/>
          <w:bCs/>
          <w:color w:val="auto"/>
          <w:sz w:val="24"/>
          <w:szCs w:val="24"/>
        </w:rPr>
        <w:t>须应按照谈判小组的时限及其它相关要求送达澄清或补正材料，并由其响应代表签字或者加盖公章。若谈判供应商未按要求提交澄清或补正材料，视为谈判供应商放弃成交。</w:t>
      </w:r>
      <w:bookmarkEnd w:id="32"/>
    </w:p>
    <w:p>
      <w:pPr>
        <w:spacing w:line="360" w:lineRule="auto"/>
        <w:ind w:firstLine="480" w:firstLineChars="200"/>
        <w:rPr>
          <w:rFonts w:ascii="宋体" w:hAnsi="宋体" w:cs="仿宋"/>
          <w:bCs/>
          <w:color w:val="auto"/>
          <w:sz w:val="24"/>
          <w:szCs w:val="24"/>
        </w:rPr>
      </w:pPr>
      <w:r>
        <w:rPr>
          <w:rFonts w:hint="eastAsia" w:ascii="宋体" w:hAnsi="宋体" w:cs="仿宋"/>
          <w:bCs/>
          <w:color w:val="auto"/>
          <w:sz w:val="24"/>
          <w:szCs w:val="24"/>
        </w:rPr>
        <w:t>22.4.5已提交响应文件的供应商，在提交最后报价之前，可以根据谈判情况退出谈判。采购代理机构应当退还退出谈判的供应商的谈判保证金。</w:t>
      </w:r>
    </w:p>
    <w:p>
      <w:pPr>
        <w:spacing w:line="360" w:lineRule="auto"/>
        <w:ind w:firstLine="480" w:firstLineChars="200"/>
        <w:rPr>
          <w:rFonts w:ascii="宋体" w:hAnsi="宋体" w:cs="仿宋"/>
          <w:bCs/>
          <w:color w:val="auto"/>
          <w:sz w:val="24"/>
          <w:szCs w:val="24"/>
        </w:rPr>
      </w:pPr>
      <w:r>
        <w:rPr>
          <w:rFonts w:hint="eastAsia" w:ascii="宋体" w:hAnsi="宋体" w:cs="仿宋"/>
          <w:bCs/>
          <w:color w:val="auto"/>
          <w:sz w:val="24"/>
          <w:szCs w:val="24"/>
        </w:rPr>
        <w:t>22.5报价</w:t>
      </w:r>
    </w:p>
    <w:p>
      <w:pPr>
        <w:spacing w:line="360" w:lineRule="auto"/>
        <w:ind w:firstLine="480" w:firstLineChars="200"/>
        <w:rPr>
          <w:rFonts w:ascii="宋体" w:hAnsi="宋体" w:cs="仿宋"/>
          <w:bCs/>
          <w:color w:val="auto"/>
          <w:sz w:val="24"/>
          <w:szCs w:val="24"/>
        </w:rPr>
      </w:pPr>
      <w:r>
        <w:rPr>
          <w:rFonts w:hint="eastAsia" w:ascii="宋体" w:hAnsi="宋体" w:cs="仿宋"/>
          <w:bCs/>
          <w:color w:val="auto"/>
          <w:sz w:val="24"/>
          <w:szCs w:val="24"/>
        </w:rPr>
        <w:t>（1）谈判小组根据谈判情况、各谈判供应商的承诺及其提交的谈判补正澄清材料的情况，要求所有实质响应谈判文件的供应商进行二次报价。</w:t>
      </w:r>
    </w:p>
    <w:p>
      <w:pPr>
        <w:spacing w:line="360" w:lineRule="auto"/>
        <w:ind w:firstLine="480" w:firstLineChars="200"/>
        <w:rPr>
          <w:rFonts w:ascii="宋体" w:hAnsi="宋体" w:cs="仿宋"/>
          <w:bCs/>
          <w:color w:val="auto"/>
          <w:sz w:val="24"/>
          <w:szCs w:val="24"/>
        </w:rPr>
      </w:pPr>
      <w:r>
        <w:rPr>
          <w:rFonts w:hint="eastAsia" w:ascii="宋体" w:hAnsi="宋体" w:cs="仿宋"/>
          <w:bCs/>
          <w:color w:val="auto"/>
          <w:sz w:val="24"/>
          <w:szCs w:val="24"/>
        </w:rPr>
        <w:t>（2）谈判报价经供应商谈判代表签字确认后生效。</w:t>
      </w:r>
    </w:p>
    <w:p>
      <w:pPr>
        <w:spacing w:line="360" w:lineRule="auto"/>
        <w:ind w:firstLine="480" w:firstLineChars="200"/>
        <w:rPr>
          <w:rFonts w:ascii="宋体" w:hAnsi="宋体" w:cs="仿宋"/>
          <w:bCs/>
          <w:color w:val="auto"/>
          <w:sz w:val="24"/>
          <w:szCs w:val="24"/>
        </w:rPr>
      </w:pPr>
      <w:r>
        <w:rPr>
          <w:rFonts w:hint="eastAsia" w:ascii="宋体" w:hAnsi="宋体" w:cs="仿宋"/>
          <w:bCs/>
          <w:color w:val="auto"/>
          <w:sz w:val="24"/>
          <w:szCs w:val="24"/>
        </w:rPr>
        <w:t>（3）如果最低二次报价有两家（含）以上相同，谈判小组可要求所有参加谈判的供应商进行三次报价，依此类推。</w:t>
      </w:r>
    </w:p>
    <w:p>
      <w:pPr>
        <w:spacing w:line="360" w:lineRule="auto"/>
        <w:ind w:firstLine="480" w:firstLineChars="200"/>
        <w:rPr>
          <w:rFonts w:ascii="宋体" w:hAnsi="宋体" w:cs="仿宋"/>
          <w:bCs/>
          <w:color w:val="auto"/>
          <w:sz w:val="24"/>
          <w:szCs w:val="24"/>
        </w:rPr>
      </w:pPr>
      <w:r>
        <w:rPr>
          <w:rFonts w:hint="eastAsia" w:ascii="宋体" w:hAnsi="宋体" w:cs="仿宋"/>
          <w:bCs/>
          <w:color w:val="auto"/>
          <w:sz w:val="24"/>
          <w:szCs w:val="24"/>
        </w:rPr>
        <w:t>22.6确定成交供应商</w:t>
      </w:r>
    </w:p>
    <w:p>
      <w:pPr>
        <w:spacing w:line="360" w:lineRule="auto"/>
        <w:ind w:firstLine="480" w:firstLineChars="200"/>
        <w:rPr>
          <w:rFonts w:ascii="宋体" w:hAnsi="宋体" w:cs="仿宋"/>
          <w:bCs/>
          <w:color w:val="auto"/>
          <w:sz w:val="24"/>
          <w:szCs w:val="24"/>
        </w:rPr>
      </w:pPr>
      <w:r>
        <w:rPr>
          <w:rFonts w:hint="eastAsia" w:ascii="宋体" w:hAnsi="宋体" w:cs="仿宋"/>
          <w:bCs/>
          <w:color w:val="auto"/>
          <w:sz w:val="24"/>
          <w:szCs w:val="24"/>
        </w:rPr>
        <w:t>22.6.1谈判小组根据谈判情况确定实质性响应谈判文件要求的供应商中，按照最后报价由低到高的顺序提出3名以上成交候选人，并编写评审报告。</w:t>
      </w:r>
    </w:p>
    <w:p>
      <w:pPr>
        <w:spacing w:line="360" w:lineRule="auto"/>
        <w:ind w:firstLine="480" w:firstLineChars="200"/>
        <w:rPr>
          <w:rFonts w:ascii="宋体" w:hAnsi="宋体" w:cs="仿宋"/>
          <w:bCs/>
          <w:color w:val="auto"/>
          <w:sz w:val="24"/>
          <w:szCs w:val="24"/>
        </w:rPr>
      </w:pPr>
      <w:r>
        <w:rPr>
          <w:rFonts w:hint="eastAsia" w:ascii="宋体" w:hAnsi="宋体" w:cs="仿宋"/>
          <w:bCs/>
          <w:color w:val="auto"/>
          <w:sz w:val="24"/>
          <w:szCs w:val="24"/>
        </w:rPr>
        <w:t>22.6.2 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spacing w:line="360" w:lineRule="auto"/>
        <w:ind w:firstLine="480" w:firstLineChars="200"/>
        <w:rPr>
          <w:rFonts w:ascii="宋体" w:hAnsi="宋体" w:cs="仿宋"/>
          <w:bCs/>
          <w:color w:val="auto"/>
          <w:sz w:val="24"/>
          <w:szCs w:val="24"/>
        </w:rPr>
      </w:pPr>
      <w:r>
        <w:rPr>
          <w:rFonts w:hint="eastAsia" w:ascii="宋体" w:hAnsi="宋体" w:cs="仿宋"/>
          <w:bCs/>
          <w:color w:val="auto"/>
          <w:sz w:val="24"/>
          <w:szCs w:val="24"/>
        </w:rPr>
        <w:t>22.6.3 采购人将确定排名第一的成交候选人为成交供应商并向其授予合同。排名第一的成交候选人因不可抗力或者自身原因不能履行合同，或者本文件规定应当提交响应保证金而在规定期限未能提交的，采购人可以按照财政部关于《政府采购非招标采购方式管理办法》的通知(第74号令)第二十二条第二款规定的原则确定其他供应商作为成交供应商并签订政府采购合同。</w:t>
      </w:r>
    </w:p>
    <w:p>
      <w:pPr>
        <w:spacing w:line="360" w:lineRule="auto"/>
        <w:ind w:firstLine="480" w:firstLineChars="200"/>
        <w:rPr>
          <w:rFonts w:ascii="宋体" w:hAnsi="宋体" w:cs="仿宋"/>
          <w:bCs/>
          <w:color w:val="auto"/>
          <w:sz w:val="24"/>
          <w:szCs w:val="24"/>
        </w:rPr>
      </w:pPr>
      <w:r>
        <w:rPr>
          <w:rFonts w:hint="eastAsia" w:ascii="宋体" w:hAnsi="宋体" w:cs="仿宋"/>
          <w:bCs/>
          <w:color w:val="auto"/>
          <w:sz w:val="24"/>
          <w:szCs w:val="24"/>
        </w:rPr>
        <w:t xml:space="preserve">22.6.4 </w:t>
      </w:r>
      <w:r>
        <w:rPr>
          <w:rFonts w:hint="eastAsia" w:ascii="宋体" w:hAnsi="宋体" w:cs="仿宋"/>
          <w:color w:val="auto"/>
          <w:kern w:val="44"/>
          <w:sz w:val="24"/>
          <w:szCs w:val="24"/>
        </w:rPr>
        <w:t>采购代理机构</w:t>
      </w:r>
      <w:r>
        <w:rPr>
          <w:rFonts w:hint="eastAsia" w:ascii="宋体" w:hAnsi="宋体" w:cs="仿宋"/>
          <w:bCs/>
          <w:color w:val="auto"/>
          <w:sz w:val="24"/>
          <w:szCs w:val="24"/>
        </w:rPr>
        <w:t>将在评标结束后2个工作日内将评审报告送采购人。采购人自收到评审报告之日起5个工作日内，在评审报告确定的成交供应商候选人名单中按规定确定成交供应商，否则视同按评审报告推荐顺序确定排名第一的成交供应商候选人为成交供应商。采购人也可授权谈判小组按本条规定直接确定成交供应商。</w:t>
      </w:r>
    </w:p>
    <w:p>
      <w:pPr>
        <w:spacing w:line="360" w:lineRule="auto"/>
        <w:ind w:firstLine="480" w:firstLineChars="200"/>
        <w:rPr>
          <w:rFonts w:ascii="宋体" w:hAnsi="宋体" w:cs="仿宋"/>
          <w:bCs/>
          <w:color w:val="auto"/>
          <w:sz w:val="24"/>
          <w:szCs w:val="24"/>
        </w:rPr>
      </w:pPr>
      <w:r>
        <w:rPr>
          <w:rFonts w:hint="eastAsia" w:ascii="宋体" w:hAnsi="宋体" w:cs="仿宋"/>
          <w:bCs/>
          <w:color w:val="auto"/>
          <w:sz w:val="24"/>
          <w:szCs w:val="24"/>
        </w:rPr>
        <w:t>22.6.5除资格性检查认定错误、价格计算错误外，采购人或者采购代理机构不得以任何理由组织重新评审。采购人、采购代理机构发现谈判小组未按照竞争性谈判文件规定的评审标准进行评审的，应当重新开展采购活动，并同时书面报告本级财政部门。</w:t>
      </w:r>
    </w:p>
    <w:p>
      <w:pPr>
        <w:spacing w:line="360" w:lineRule="auto"/>
        <w:ind w:firstLine="480" w:firstLineChars="200"/>
        <w:rPr>
          <w:rFonts w:ascii="宋体" w:hAnsi="宋体" w:cs="仿宋"/>
          <w:bCs/>
          <w:color w:val="auto"/>
          <w:sz w:val="24"/>
          <w:szCs w:val="24"/>
        </w:rPr>
      </w:pPr>
      <w:r>
        <w:rPr>
          <w:rFonts w:hint="eastAsia" w:ascii="宋体" w:hAnsi="宋体" w:cs="仿宋"/>
          <w:bCs/>
          <w:color w:val="auto"/>
          <w:sz w:val="24"/>
          <w:szCs w:val="24"/>
        </w:rPr>
        <w:t>22.6.6采购人或者采购代理机构不得通过对样品进行检测、对供应商进行考察等方式改变评审结果。</w:t>
      </w:r>
    </w:p>
    <w:bookmarkEnd w:id="31"/>
    <w:p>
      <w:pPr>
        <w:spacing w:line="360" w:lineRule="auto"/>
        <w:jc w:val="both"/>
        <w:outlineLvl w:val="1"/>
        <w:rPr>
          <w:rFonts w:hint="eastAsia" w:ascii="宋体" w:hAnsi="宋体" w:cs="黑体"/>
          <w:b/>
          <w:color w:val="auto"/>
          <w:sz w:val="24"/>
        </w:rPr>
      </w:pPr>
      <w:bookmarkStart w:id="33" w:name="_Toc246826113"/>
      <w:bookmarkStart w:id="34" w:name="_Toc1660495"/>
    </w:p>
    <w:p>
      <w:pPr>
        <w:spacing w:line="360" w:lineRule="auto"/>
        <w:ind w:firstLine="561"/>
        <w:jc w:val="center"/>
        <w:outlineLvl w:val="1"/>
        <w:rPr>
          <w:rFonts w:ascii="宋体" w:hAnsi="宋体" w:cs="黑体"/>
          <w:b/>
          <w:color w:val="auto"/>
          <w:sz w:val="24"/>
        </w:rPr>
      </w:pPr>
      <w:r>
        <w:rPr>
          <w:rFonts w:hint="eastAsia" w:ascii="宋体" w:hAnsi="宋体" w:cs="黑体"/>
          <w:b/>
          <w:color w:val="auto"/>
          <w:sz w:val="24"/>
        </w:rPr>
        <w:t>五、定标、合同</w:t>
      </w:r>
      <w:bookmarkEnd w:id="33"/>
      <w:r>
        <w:rPr>
          <w:rFonts w:hint="eastAsia" w:ascii="宋体" w:hAnsi="宋体" w:cs="黑体"/>
          <w:b/>
          <w:color w:val="auto"/>
          <w:sz w:val="24"/>
        </w:rPr>
        <w:t>与验收</w:t>
      </w:r>
      <w:bookmarkEnd w:id="34"/>
    </w:p>
    <w:p>
      <w:pPr>
        <w:spacing w:line="360" w:lineRule="auto"/>
        <w:ind w:firstLine="561"/>
        <w:jc w:val="center"/>
        <w:outlineLvl w:val="1"/>
        <w:rPr>
          <w:rFonts w:ascii="宋体" w:hAnsi="宋体" w:cs="宋体"/>
          <w:b/>
          <w:color w:val="auto"/>
          <w:sz w:val="24"/>
        </w:rPr>
      </w:pPr>
    </w:p>
    <w:p>
      <w:pPr>
        <w:spacing w:line="360" w:lineRule="auto"/>
        <w:jc w:val="left"/>
        <w:rPr>
          <w:rFonts w:ascii="宋体" w:hAnsi="宋体" w:cs="仿宋"/>
          <w:b/>
          <w:color w:val="auto"/>
          <w:sz w:val="24"/>
          <w:szCs w:val="24"/>
        </w:rPr>
      </w:pPr>
      <w:r>
        <w:rPr>
          <w:rFonts w:hint="eastAsia" w:ascii="宋体" w:hAnsi="宋体" w:cs="仿宋"/>
          <w:b/>
          <w:color w:val="auto"/>
          <w:sz w:val="24"/>
          <w:szCs w:val="24"/>
        </w:rPr>
        <w:t>23.定标准则</w:t>
      </w:r>
    </w:p>
    <w:p>
      <w:pPr>
        <w:spacing w:line="360" w:lineRule="auto"/>
        <w:ind w:firstLine="561"/>
        <w:rPr>
          <w:rFonts w:ascii="宋体" w:hAnsi="宋体" w:cs="仿宋"/>
          <w:bCs/>
          <w:color w:val="auto"/>
          <w:sz w:val="24"/>
          <w:szCs w:val="24"/>
        </w:rPr>
      </w:pPr>
      <w:r>
        <w:rPr>
          <w:rFonts w:hint="eastAsia" w:ascii="宋体" w:hAnsi="宋体" w:cs="仿宋"/>
          <w:bCs/>
          <w:color w:val="auto"/>
          <w:sz w:val="24"/>
          <w:szCs w:val="24"/>
        </w:rPr>
        <w:t>评审委员会推荐排名第一且经采购人确认的或经采购人授权评审委员会直接确定的供应商即为成交供应商。</w:t>
      </w:r>
    </w:p>
    <w:p>
      <w:pPr>
        <w:spacing w:line="360" w:lineRule="auto"/>
        <w:rPr>
          <w:rFonts w:ascii="宋体" w:hAnsi="宋体" w:cs="仿宋"/>
          <w:b/>
          <w:color w:val="auto"/>
          <w:sz w:val="24"/>
          <w:szCs w:val="24"/>
        </w:rPr>
      </w:pPr>
      <w:r>
        <w:rPr>
          <w:rFonts w:hint="eastAsia" w:ascii="宋体" w:hAnsi="宋体" w:cs="仿宋"/>
          <w:b/>
          <w:color w:val="auto"/>
          <w:sz w:val="24"/>
          <w:szCs w:val="24"/>
        </w:rPr>
        <w:t>24.成交通知</w:t>
      </w:r>
    </w:p>
    <w:p>
      <w:pPr>
        <w:spacing w:line="360" w:lineRule="auto"/>
        <w:ind w:firstLine="561"/>
        <w:rPr>
          <w:rFonts w:ascii="宋体" w:hAnsi="宋体" w:cs="仿宋"/>
          <w:bCs/>
          <w:color w:val="auto"/>
          <w:sz w:val="24"/>
          <w:szCs w:val="24"/>
        </w:rPr>
      </w:pPr>
      <w:r>
        <w:rPr>
          <w:rFonts w:hint="eastAsia" w:ascii="宋体" w:hAnsi="宋体" w:cs="仿宋"/>
          <w:bCs/>
          <w:color w:val="auto"/>
          <w:sz w:val="24"/>
          <w:szCs w:val="24"/>
        </w:rPr>
        <w:t>24.1由采购代理机构在省级及以上财政部门指定媒体上公布成交结果，向成交供应商发送《成交通知书》，但该成交结果的有效性不依赖于未成交的供应商是否已经收到该通知；</w:t>
      </w:r>
    </w:p>
    <w:p>
      <w:pPr>
        <w:spacing w:line="360" w:lineRule="auto"/>
        <w:ind w:firstLine="480" w:firstLineChars="200"/>
        <w:outlineLvl w:val="1"/>
        <w:rPr>
          <w:rFonts w:ascii="宋体" w:hAnsi="宋体" w:cs="仿宋"/>
          <w:bCs/>
          <w:color w:val="auto"/>
          <w:sz w:val="24"/>
          <w:szCs w:val="24"/>
        </w:rPr>
      </w:pPr>
      <w:bookmarkStart w:id="35" w:name="_Toc1660496"/>
      <w:r>
        <w:rPr>
          <w:rFonts w:hint="eastAsia" w:ascii="宋体" w:hAnsi="宋体" w:cs="仿宋"/>
          <w:bCs/>
          <w:color w:val="auto"/>
          <w:sz w:val="24"/>
          <w:szCs w:val="24"/>
        </w:rPr>
        <w:t>24.2成交通知书是合同的有效组成部分；</w:t>
      </w:r>
      <w:bookmarkEnd w:id="35"/>
    </w:p>
    <w:p>
      <w:pPr>
        <w:spacing w:line="360" w:lineRule="auto"/>
        <w:ind w:firstLine="480" w:firstLineChars="200"/>
        <w:outlineLvl w:val="1"/>
        <w:rPr>
          <w:rFonts w:ascii="宋体" w:hAnsi="宋体" w:cs="仿宋"/>
          <w:bCs/>
          <w:color w:val="auto"/>
          <w:sz w:val="24"/>
          <w:szCs w:val="24"/>
        </w:rPr>
      </w:pPr>
      <w:bookmarkStart w:id="36" w:name="_Toc1660497"/>
      <w:r>
        <w:rPr>
          <w:rFonts w:hint="eastAsia" w:ascii="宋体" w:hAnsi="宋体" w:cs="仿宋"/>
          <w:bCs/>
          <w:color w:val="auto"/>
          <w:sz w:val="24"/>
          <w:szCs w:val="24"/>
        </w:rPr>
        <w:t>24.3成交通知书对采购人和成交供应商均具有法律效力。成交通知书发出后，采购人改变成交结果，或者成交供应商无正当理由放弃成交的，应当承担相应的法律责任；出现争议的，报财政部门处理。</w:t>
      </w:r>
      <w:bookmarkEnd w:id="36"/>
    </w:p>
    <w:p>
      <w:pPr>
        <w:spacing w:line="360" w:lineRule="auto"/>
        <w:ind w:firstLine="480"/>
        <w:outlineLvl w:val="1"/>
        <w:rPr>
          <w:rFonts w:ascii="宋体" w:hAnsi="宋体" w:cs="仿宋"/>
          <w:bCs/>
          <w:color w:val="auto"/>
          <w:sz w:val="24"/>
          <w:szCs w:val="24"/>
        </w:rPr>
      </w:pPr>
      <w:bookmarkStart w:id="37" w:name="_Toc1660498"/>
      <w:r>
        <w:rPr>
          <w:rFonts w:hint="eastAsia" w:ascii="宋体" w:hAnsi="宋体" w:cs="仿宋"/>
          <w:bCs/>
          <w:color w:val="auto"/>
          <w:sz w:val="24"/>
          <w:szCs w:val="24"/>
        </w:rPr>
        <w:t>24.4成交供应商的响应文件如属于本应作为无效响应处理或者有政府采购法律法规规章制度规定成交无效情形的，采购代理机构在取得有权主体的认定以后，应当宣布发出的成交通知书无效，依法重新确定成交供应商或者重新开展采购活动。</w:t>
      </w:r>
      <w:bookmarkEnd w:id="37"/>
    </w:p>
    <w:p>
      <w:pPr>
        <w:spacing w:line="360" w:lineRule="auto"/>
        <w:outlineLvl w:val="1"/>
        <w:rPr>
          <w:rFonts w:ascii="宋体" w:hAnsi="宋体" w:cs="仿宋"/>
          <w:b/>
          <w:color w:val="auto"/>
          <w:sz w:val="24"/>
          <w:szCs w:val="24"/>
        </w:rPr>
      </w:pPr>
      <w:bookmarkStart w:id="38" w:name="_Toc1660499"/>
      <w:r>
        <w:rPr>
          <w:rFonts w:hint="eastAsia" w:ascii="宋体" w:hAnsi="宋体" w:cs="仿宋"/>
          <w:b/>
          <w:color w:val="auto"/>
          <w:sz w:val="24"/>
          <w:szCs w:val="24"/>
        </w:rPr>
        <w:t>25.合同签订</w:t>
      </w:r>
      <w:bookmarkEnd w:id="38"/>
    </w:p>
    <w:p>
      <w:pPr>
        <w:spacing w:line="360" w:lineRule="auto"/>
        <w:ind w:firstLine="480"/>
        <w:outlineLvl w:val="1"/>
        <w:rPr>
          <w:rFonts w:ascii="宋体" w:hAnsi="宋体" w:cs="仿宋"/>
          <w:bCs/>
          <w:color w:val="auto"/>
          <w:sz w:val="24"/>
          <w:szCs w:val="24"/>
        </w:rPr>
      </w:pPr>
      <w:bookmarkStart w:id="39" w:name="_Toc1660500"/>
      <w:r>
        <w:rPr>
          <w:rFonts w:hint="eastAsia" w:ascii="宋体" w:hAnsi="宋体" w:cs="仿宋"/>
          <w:bCs/>
          <w:color w:val="auto"/>
          <w:sz w:val="24"/>
          <w:szCs w:val="24"/>
        </w:rPr>
        <w:t>25.1成交供应商在收到《成交通知书》后，应在规定的时间内与采购人签订采购合同。由于成交供应商的原因逾期未与采购人签订采购合同的，将视为放弃成交，取消其成交资格并将按相关规定进行处理。</w:t>
      </w:r>
      <w:bookmarkEnd w:id="39"/>
    </w:p>
    <w:p>
      <w:pPr>
        <w:spacing w:line="360" w:lineRule="auto"/>
        <w:ind w:firstLine="480"/>
        <w:outlineLvl w:val="1"/>
        <w:rPr>
          <w:rFonts w:ascii="宋体" w:hAnsi="宋体" w:cs="仿宋"/>
          <w:bCs/>
          <w:color w:val="auto"/>
          <w:sz w:val="24"/>
          <w:szCs w:val="24"/>
        </w:rPr>
      </w:pPr>
      <w:bookmarkStart w:id="40" w:name="_Toc1660501"/>
      <w:r>
        <w:rPr>
          <w:rFonts w:hint="eastAsia" w:ascii="宋体" w:hAnsi="宋体" w:cs="仿宋"/>
          <w:bCs/>
          <w:color w:val="auto"/>
          <w:sz w:val="24"/>
          <w:szCs w:val="24"/>
        </w:rPr>
        <w:t>25.2采购人不得向成交供应商提出任何不合理的要求作为签订合同的条件，不得与成交供应商私下订立背离合同实质性内容的任何协议，所签订的合同不得对竞争性谈判文件和成交供应商响应文件作实质性修改。</w:t>
      </w:r>
      <w:bookmarkEnd w:id="40"/>
    </w:p>
    <w:p>
      <w:pPr>
        <w:spacing w:line="360" w:lineRule="auto"/>
        <w:ind w:firstLine="480"/>
        <w:outlineLvl w:val="1"/>
        <w:rPr>
          <w:rFonts w:ascii="宋体" w:hAnsi="宋体" w:cs="仿宋"/>
          <w:bCs/>
          <w:color w:val="auto"/>
          <w:sz w:val="24"/>
          <w:szCs w:val="24"/>
        </w:rPr>
      </w:pPr>
      <w:bookmarkStart w:id="41" w:name="_Toc1660502"/>
      <w:r>
        <w:rPr>
          <w:rFonts w:hint="eastAsia" w:ascii="宋体" w:hAnsi="宋体" w:cs="仿宋"/>
          <w:bCs/>
          <w:color w:val="auto"/>
          <w:sz w:val="24"/>
          <w:szCs w:val="24"/>
        </w:rPr>
        <w:t>25.3采购人如需追加与合同标的相同的货物，在不改变合同其他条款的前提下，成交供应商可与采购人协商签订补充合同，但所有补充合同的采购金额不得超过原合同金额的10%。</w:t>
      </w:r>
      <w:bookmarkEnd w:id="41"/>
    </w:p>
    <w:p>
      <w:pPr>
        <w:spacing w:line="360" w:lineRule="auto"/>
        <w:ind w:firstLine="480"/>
        <w:outlineLvl w:val="1"/>
        <w:rPr>
          <w:rFonts w:ascii="宋体" w:hAnsi="宋体" w:cs="仿宋"/>
          <w:bCs/>
          <w:color w:val="auto"/>
          <w:sz w:val="24"/>
          <w:szCs w:val="24"/>
        </w:rPr>
      </w:pPr>
      <w:bookmarkStart w:id="42" w:name="_Toc1660503"/>
      <w:r>
        <w:rPr>
          <w:rFonts w:hint="eastAsia" w:ascii="宋体" w:hAnsi="宋体" w:cs="仿宋"/>
          <w:bCs/>
          <w:color w:val="auto"/>
          <w:sz w:val="24"/>
          <w:szCs w:val="24"/>
        </w:rPr>
        <w:t>25.4供应商成交及签订合同后，不得擅自转包。</w:t>
      </w:r>
      <w:bookmarkEnd w:id="42"/>
    </w:p>
    <w:p>
      <w:pPr>
        <w:spacing w:line="360" w:lineRule="auto"/>
        <w:outlineLvl w:val="1"/>
        <w:rPr>
          <w:rFonts w:ascii="宋体" w:hAnsi="宋体" w:cs="仿宋"/>
          <w:b/>
          <w:color w:val="auto"/>
          <w:sz w:val="24"/>
          <w:szCs w:val="24"/>
        </w:rPr>
      </w:pPr>
      <w:bookmarkStart w:id="43" w:name="_Toc217446069"/>
      <w:bookmarkStart w:id="44" w:name="_Toc1660504"/>
      <w:r>
        <w:rPr>
          <w:rFonts w:hint="eastAsia" w:ascii="宋体" w:hAnsi="宋体" w:cs="仿宋"/>
          <w:b/>
          <w:color w:val="auto"/>
          <w:sz w:val="24"/>
          <w:szCs w:val="24"/>
        </w:rPr>
        <w:t>26.合同</w:t>
      </w:r>
      <w:bookmarkEnd w:id="43"/>
      <w:r>
        <w:rPr>
          <w:rFonts w:hint="eastAsia" w:ascii="宋体" w:hAnsi="宋体" w:cs="仿宋"/>
          <w:b/>
          <w:color w:val="auto"/>
          <w:sz w:val="24"/>
          <w:szCs w:val="24"/>
        </w:rPr>
        <w:t>履行</w:t>
      </w:r>
      <w:bookmarkEnd w:id="44"/>
    </w:p>
    <w:p>
      <w:pPr>
        <w:spacing w:line="360" w:lineRule="auto"/>
        <w:ind w:firstLine="480"/>
        <w:outlineLvl w:val="1"/>
        <w:rPr>
          <w:rFonts w:ascii="宋体" w:hAnsi="宋体" w:cs="仿宋"/>
          <w:bCs/>
          <w:color w:val="auto"/>
          <w:sz w:val="24"/>
          <w:szCs w:val="24"/>
        </w:rPr>
      </w:pPr>
      <w:bookmarkStart w:id="45" w:name="_Toc1660505"/>
      <w:r>
        <w:rPr>
          <w:rFonts w:hint="eastAsia" w:ascii="宋体" w:hAnsi="宋体" w:cs="仿宋"/>
          <w:bCs/>
          <w:color w:val="auto"/>
          <w:sz w:val="24"/>
          <w:szCs w:val="24"/>
        </w:rPr>
        <w:t>26.1成交供应商与采购人签订合同后，合同双方应严格执行合同条款，履行合同规定的义务，保证合同的顺利完成。</w:t>
      </w:r>
      <w:bookmarkEnd w:id="45"/>
    </w:p>
    <w:p>
      <w:pPr>
        <w:spacing w:line="360" w:lineRule="auto"/>
        <w:ind w:firstLine="480"/>
        <w:outlineLvl w:val="1"/>
        <w:rPr>
          <w:rFonts w:ascii="宋体" w:hAnsi="宋体" w:cs="仿宋"/>
          <w:bCs/>
          <w:color w:val="auto"/>
          <w:sz w:val="24"/>
          <w:szCs w:val="24"/>
        </w:rPr>
      </w:pPr>
      <w:bookmarkStart w:id="46" w:name="_Toc1660506"/>
      <w:r>
        <w:rPr>
          <w:rFonts w:hint="eastAsia" w:ascii="宋体" w:hAnsi="宋体" w:cs="仿宋"/>
          <w:bCs/>
          <w:color w:val="auto"/>
          <w:sz w:val="24"/>
          <w:szCs w:val="24"/>
        </w:rPr>
        <w:t>26.2在合同履行过程中，如发生合同纠纷，合同双方应按照《合同法》的有关规定进行处理。</w:t>
      </w:r>
      <w:bookmarkEnd w:id="46"/>
    </w:p>
    <w:p>
      <w:pPr>
        <w:spacing w:line="360" w:lineRule="auto"/>
        <w:outlineLvl w:val="1"/>
        <w:rPr>
          <w:rFonts w:ascii="宋体" w:hAnsi="宋体" w:cs="仿宋"/>
          <w:bCs/>
          <w:color w:val="auto"/>
          <w:sz w:val="24"/>
          <w:szCs w:val="24"/>
        </w:rPr>
      </w:pPr>
      <w:bookmarkStart w:id="47" w:name="_Toc217446070"/>
      <w:bookmarkStart w:id="48" w:name="_Toc1660507"/>
      <w:r>
        <w:rPr>
          <w:rFonts w:hint="eastAsia" w:ascii="宋体" w:hAnsi="宋体" w:cs="仿宋"/>
          <w:b/>
          <w:color w:val="auto"/>
          <w:sz w:val="24"/>
          <w:szCs w:val="24"/>
        </w:rPr>
        <w:t>27.验收</w:t>
      </w:r>
      <w:bookmarkEnd w:id="47"/>
      <w:r>
        <w:rPr>
          <w:rFonts w:hint="eastAsia" w:ascii="宋体" w:hAnsi="宋体" w:cs="仿宋"/>
          <w:bCs/>
          <w:color w:val="auto"/>
          <w:sz w:val="24"/>
          <w:szCs w:val="24"/>
        </w:rPr>
        <w:t>：</w:t>
      </w:r>
      <w:bookmarkEnd w:id="48"/>
    </w:p>
    <w:p>
      <w:pPr>
        <w:spacing w:line="360" w:lineRule="auto"/>
        <w:ind w:firstLine="480" w:firstLineChars="200"/>
        <w:outlineLvl w:val="1"/>
        <w:rPr>
          <w:rFonts w:ascii="宋体" w:hAnsi="宋体" w:cs="仿宋"/>
          <w:bCs/>
          <w:color w:val="auto"/>
          <w:sz w:val="24"/>
          <w:szCs w:val="24"/>
        </w:rPr>
      </w:pPr>
      <w:bookmarkStart w:id="49" w:name="_Toc1660508"/>
      <w:r>
        <w:rPr>
          <w:rFonts w:hint="eastAsia" w:ascii="宋体" w:hAnsi="宋体" w:cs="仿宋"/>
          <w:bCs/>
          <w:color w:val="auto"/>
          <w:sz w:val="24"/>
          <w:szCs w:val="24"/>
        </w:rPr>
        <w:t>成交供应商与采购人应严格按照要求进行验收。</w:t>
      </w:r>
      <w:bookmarkEnd w:id="49"/>
    </w:p>
    <w:p>
      <w:pPr>
        <w:spacing w:line="360" w:lineRule="auto"/>
        <w:outlineLvl w:val="1"/>
        <w:rPr>
          <w:rFonts w:ascii="宋体" w:hAnsi="宋体" w:cs="仿宋"/>
          <w:bCs/>
          <w:color w:val="auto"/>
          <w:sz w:val="24"/>
          <w:szCs w:val="24"/>
        </w:rPr>
      </w:pPr>
    </w:p>
    <w:p>
      <w:pPr>
        <w:spacing w:line="360" w:lineRule="auto"/>
        <w:ind w:firstLine="561"/>
        <w:jc w:val="center"/>
        <w:outlineLvl w:val="1"/>
        <w:rPr>
          <w:rFonts w:ascii="宋体" w:hAnsi="宋体" w:cs="黑体"/>
          <w:b/>
          <w:color w:val="auto"/>
          <w:sz w:val="24"/>
        </w:rPr>
      </w:pPr>
      <w:bookmarkStart w:id="50" w:name="_Toc1660509"/>
      <w:r>
        <w:rPr>
          <w:rFonts w:hint="eastAsia" w:ascii="宋体" w:hAnsi="宋体" w:cs="黑体"/>
          <w:b/>
          <w:color w:val="auto"/>
          <w:sz w:val="24"/>
        </w:rPr>
        <w:t>六、质疑</w:t>
      </w:r>
      <w:bookmarkEnd w:id="50"/>
    </w:p>
    <w:p>
      <w:pPr>
        <w:spacing w:line="360" w:lineRule="auto"/>
        <w:outlineLvl w:val="1"/>
        <w:rPr>
          <w:rFonts w:ascii="宋体" w:hAnsi="宋体" w:cs="仿宋"/>
          <w:bCs/>
          <w:color w:val="auto"/>
          <w:sz w:val="24"/>
          <w:szCs w:val="24"/>
        </w:rPr>
      </w:pPr>
      <w:bookmarkStart w:id="51" w:name="_Toc1660510"/>
      <w:r>
        <w:rPr>
          <w:rFonts w:hint="eastAsia" w:ascii="宋体" w:hAnsi="宋体" w:cs="仿宋"/>
          <w:b/>
          <w:color w:val="auto"/>
          <w:sz w:val="24"/>
          <w:szCs w:val="24"/>
        </w:rPr>
        <w:t>28.质疑提出</w:t>
      </w:r>
      <w:bookmarkEnd w:id="51"/>
    </w:p>
    <w:p>
      <w:pPr>
        <w:spacing w:line="360" w:lineRule="auto"/>
        <w:ind w:firstLine="480" w:firstLineChars="200"/>
        <w:outlineLvl w:val="1"/>
        <w:rPr>
          <w:rFonts w:ascii="宋体" w:hAnsi="宋体" w:cs="仿宋"/>
          <w:bCs/>
          <w:color w:val="auto"/>
          <w:sz w:val="24"/>
          <w:szCs w:val="24"/>
        </w:rPr>
      </w:pPr>
      <w:bookmarkStart w:id="52" w:name="_Toc1660511"/>
      <w:r>
        <w:rPr>
          <w:rFonts w:hint="eastAsia" w:ascii="宋体" w:hAnsi="宋体" w:cs="仿宋"/>
          <w:bCs/>
          <w:color w:val="auto"/>
          <w:sz w:val="24"/>
          <w:szCs w:val="24"/>
        </w:rPr>
        <w:t>28.1供应商认为竞争性谈判文件、采购过程和中标结果使自己的合法权益受到损害的，可以在知道或者应知其权益受到损害之日起七个工作日内，以书面形式向采购人、采购代理机构提出质疑。</w:t>
      </w:r>
      <w:bookmarkEnd w:id="52"/>
    </w:p>
    <w:p>
      <w:pPr>
        <w:spacing w:line="360" w:lineRule="auto"/>
        <w:ind w:firstLine="480" w:firstLineChars="200"/>
        <w:outlineLvl w:val="1"/>
        <w:rPr>
          <w:rFonts w:ascii="宋体" w:hAnsi="宋体" w:cs="仿宋"/>
          <w:bCs/>
          <w:color w:val="auto"/>
          <w:sz w:val="24"/>
          <w:szCs w:val="24"/>
        </w:rPr>
      </w:pPr>
      <w:bookmarkStart w:id="53" w:name="_Toc1660512"/>
      <w:r>
        <w:rPr>
          <w:rFonts w:hint="eastAsia" w:ascii="宋体" w:hAnsi="宋体" w:cs="仿宋"/>
          <w:bCs/>
          <w:color w:val="auto"/>
          <w:sz w:val="24"/>
          <w:szCs w:val="24"/>
        </w:rPr>
        <w:t>28.2供应商在法定质疑期内须一次性提出针对同一采购程序环节的质疑，采购人、采购代理机构在任何情况下有权拒绝接受供应商在法定质疑期多次性提出针对同一采购程序环节的质疑。</w:t>
      </w:r>
      <w:bookmarkEnd w:id="53"/>
    </w:p>
    <w:p>
      <w:pPr>
        <w:spacing w:line="360" w:lineRule="auto"/>
        <w:ind w:firstLine="480" w:firstLineChars="200"/>
        <w:outlineLvl w:val="1"/>
        <w:rPr>
          <w:rFonts w:ascii="宋体" w:hAnsi="宋体" w:cs="仿宋"/>
          <w:bCs/>
          <w:color w:val="auto"/>
          <w:sz w:val="24"/>
          <w:szCs w:val="24"/>
        </w:rPr>
      </w:pPr>
      <w:bookmarkStart w:id="54" w:name="_Toc1660513"/>
      <w:r>
        <w:rPr>
          <w:rFonts w:hint="eastAsia" w:ascii="宋体" w:hAnsi="宋体" w:cs="仿宋"/>
          <w:bCs/>
          <w:color w:val="auto"/>
          <w:sz w:val="24"/>
          <w:szCs w:val="24"/>
        </w:rPr>
        <w:t>28.3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bookmarkEnd w:id="54"/>
    </w:p>
    <w:p>
      <w:pPr>
        <w:spacing w:line="360" w:lineRule="auto"/>
        <w:ind w:firstLine="480" w:firstLineChars="200"/>
        <w:outlineLvl w:val="1"/>
        <w:rPr>
          <w:rFonts w:ascii="宋体" w:hAnsi="宋体" w:cs="仿宋"/>
          <w:bCs/>
          <w:color w:val="auto"/>
          <w:sz w:val="24"/>
          <w:szCs w:val="24"/>
        </w:rPr>
      </w:pPr>
      <w:bookmarkStart w:id="55" w:name="_Toc1660514"/>
      <w:r>
        <w:rPr>
          <w:rFonts w:hint="eastAsia" w:ascii="宋体" w:hAnsi="宋体" w:cs="仿宋"/>
          <w:bCs/>
          <w:color w:val="auto"/>
          <w:sz w:val="24"/>
          <w:szCs w:val="24"/>
        </w:rPr>
        <w:t>代理人提出质疑和投诉，应当提交供应商签署的授权委托书。</w:t>
      </w:r>
      <w:bookmarkEnd w:id="55"/>
    </w:p>
    <w:p>
      <w:pPr>
        <w:spacing w:line="360" w:lineRule="auto"/>
        <w:outlineLvl w:val="1"/>
        <w:rPr>
          <w:rFonts w:ascii="宋体" w:hAnsi="宋体" w:cs="仿宋"/>
          <w:bCs/>
          <w:color w:val="auto"/>
          <w:sz w:val="24"/>
          <w:szCs w:val="24"/>
        </w:rPr>
      </w:pPr>
      <w:bookmarkStart w:id="56" w:name="_Toc1660515"/>
      <w:r>
        <w:rPr>
          <w:rFonts w:hint="eastAsia" w:ascii="宋体" w:hAnsi="宋体" w:cs="仿宋"/>
          <w:b/>
          <w:color w:val="auto"/>
          <w:sz w:val="24"/>
          <w:szCs w:val="24"/>
        </w:rPr>
        <w:t>29.质疑函</w:t>
      </w:r>
      <w:bookmarkEnd w:id="56"/>
    </w:p>
    <w:p>
      <w:pPr>
        <w:spacing w:line="360" w:lineRule="auto"/>
        <w:ind w:firstLine="480" w:firstLineChars="200"/>
        <w:outlineLvl w:val="1"/>
        <w:rPr>
          <w:rFonts w:ascii="宋体" w:hAnsi="宋体" w:cs="仿宋"/>
          <w:bCs/>
          <w:color w:val="auto"/>
          <w:sz w:val="24"/>
          <w:szCs w:val="24"/>
        </w:rPr>
      </w:pPr>
      <w:bookmarkStart w:id="57" w:name="_Toc1660516"/>
      <w:r>
        <w:rPr>
          <w:rFonts w:hint="eastAsia" w:ascii="宋体" w:hAnsi="宋体" w:cs="仿宋"/>
          <w:bCs/>
          <w:color w:val="auto"/>
          <w:sz w:val="24"/>
          <w:szCs w:val="24"/>
        </w:rPr>
        <w:t>29.1 质疑函须使用财政部制定的政府采购供应商质疑函范本进行编写。</w:t>
      </w:r>
      <w:bookmarkEnd w:id="57"/>
    </w:p>
    <w:p>
      <w:pPr>
        <w:spacing w:line="360" w:lineRule="auto"/>
        <w:ind w:firstLine="480" w:firstLineChars="200"/>
        <w:outlineLvl w:val="1"/>
        <w:rPr>
          <w:rFonts w:ascii="宋体" w:hAnsi="宋体" w:cs="仿宋"/>
          <w:bCs/>
          <w:color w:val="auto"/>
          <w:sz w:val="24"/>
          <w:szCs w:val="24"/>
        </w:rPr>
      </w:pPr>
      <w:bookmarkStart w:id="58" w:name="_Toc1660517"/>
      <w:r>
        <w:rPr>
          <w:rFonts w:hint="eastAsia" w:ascii="宋体" w:hAnsi="宋体" w:cs="仿宋"/>
          <w:bCs/>
          <w:color w:val="auto"/>
          <w:sz w:val="24"/>
          <w:szCs w:val="24"/>
        </w:rPr>
        <w:t>29.2质疑函包括下列内容：</w:t>
      </w:r>
      <w:bookmarkEnd w:id="58"/>
    </w:p>
    <w:p>
      <w:pPr>
        <w:spacing w:line="360" w:lineRule="auto"/>
        <w:ind w:firstLine="480" w:firstLineChars="200"/>
        <w:outlineLvl w:val="1"/>
        <w:rPr>
          <w:rFonts w:ascii="宋体" w:hAnsi="宋体" w:cs="仿宋"/>
          <w:bCs/>
          <w:color w:val="auto"/>
          <w:sz w:val="24"/>
          <w:szCs w:val="24"/>
        </w:rPr>
      </w:pPr>
      <w:bookmarkStart w:id="59" w:name="_Toc1660518"/>
      <w:r>
        <w:rPr>
          <w:rFonts w:hint="eastAsia" w:ascii="宋体" w:hAnsi="宋体" w:cs="仿宋"/>
          <w:bCs/>
          <w:color w:val="auto"/>
          <w:sz w:val="24"/>
          <w:szCs w:val="24"/>
        </w:rPr>
        <w:t>（1）供应商的姓名或者名称、地址、邮编、联系人及联系电话；</w:t>
      </w:r>
      <w:bookmarkEnd w:id="59"/>
    </w:p>
    <w:p>
      <w:pPr>
        <w:spacing w:line="360" w:lineRule="auto"/>
        <w:ind w:firstLine="480" w:firstLineChars="200"/>
        <w:outlineLvl w:val="1"/>
        <w:rPr>
          <w:rFonts w:ascii="宋体" w:hAnsi="宋体" w:cs="仿宋"/>
          <w:bCs/>
          <w:color w:val="auto"/>
          <w:sz w:val="24"/>
          <w:szCs w:val="24"/>
        </w:rPr>
      </w:pPr>
      <w:bookmarkStart w:id="60" w:name="_Toc1660519"/>
      <w:r>
        <w:rPr>
          <w:rFonts w:hint="eastAsia" w:ascii="宋体" w:hAnsi="宋体" w:cs="仿宋"/>
          <w:bCs/>
          <w:color w:val="auto"/>
          <w:sz w:val="24"/>
          <w:szCs w:val="24"/>
        </w:rPr>
        <w:t>（2）质疑项目的名称、编号；</w:t>
      </w:r>
      <w:bookmarkEnd w:id="60"/>
    </w:p>
    <w:p>
      <w:pPr>
        <w:spacing w:line="360" w:lineRule="auto"/>
        <w:ind w:firstLine="480" w:firstLineChars="200"/>
        <w:outlineLvl w:val="1"/>
        <w:rPr>
          <w:rFonts w:ascii="宋体" w:hAnsi="宋体" w:cs="仿宋"/>
          <w:bCs/>
          <w:color w:val="auto"/>
          <w:sz w:val="24"/>
          <w:szCs w:val="24"/>
        </w:rPr>
      </w:pPr>
      <w:bookmarkStart w:id="61" w:name="_Toc1660520"/>
      <w:r>
        <w:rPr>
          <w:rFonts w:hint="eastAsia" w:ascii="宋体" w:hAnsi="宋体" w:cs="仿宋"/>
          <w:bCs/>
          <w:color w:val="auto"/>
          <w:sz w:val="24"/>
          <w:szCs w:val="24"/>
        </w:rPr>
        <w:t>（3）具体、明确的质疑事项和与质疑事项相关的请求；</w:t>
      </w:r>
      <w:bookmarkEnd w:id="61"/>
    </w:p>
    <w:p>
      <w:pPr>
        <w:spacing w:line="360" w:lineRule="auto"/>
        <w:ind w:firstLine="480" w:firstLineChars="200"/>
        <w:outlineLvl w:val="1"/>
        <w:rPr>
          <w:rFonts w:ascii="宋体" w:hAnsi="宋体" w:cs="仿宋"/>
          <w:bCs/>
          <w:color w:val="auto"/>
          <w:sz w:val="24"/>
          <w:szCs w:val="24"/>
        </w:rPr>
      </w:pPr>
      <w:bookmarkStart w:id="62" w:name="_Toc1660521"/>
      <w:r>
        <w:rPr>
          <w:rFonts w:hint="eastAsia" w:ascii="宋体" w:hAnsi="宋体" w:cs="仿宋"/>
          <w:bCs/>
          <w:color w:val="auto"/>
          <w:sz w:val="24"/>
          <w:szCs w:val="24"/>
        </w:rPr>
        <w:t>（4）事实依据；</w:t>
      </w:r>
      <w:bookmarkEnd w:id="62"/>
    </w:p>
    <w:p>
      <w:pPr>
        <w:spacing w:line="360" w:lineRule="auto"/>
        <w:ind w:firstLine="480" w:firstLineChars="200"/>
        <w:outlineLvl w:val="1"/>
        <w:rPr>
          <w:rFonts w:hint="eastAsia" w:ascii="宋体" w:hAnsi="宋体" w:eastAsia="宋体" w:cs="仿宋"/>
          <w:bCs/>
          <w:color w:val="auto"/>
          <w:sz w:val="24"/>
          <w:szCs w:val="24"/>
          <w:lang w:eastAsia="zh-CN"/>
        </w:rPr>
      </w:pPr>
      <w:bookmarkStart w:id="63" w:name="_Toc1660522"/>
      <w:r>
        <w:rPr>
          <w:rFonts w:hint="eastAsia" w:ascii="宋体" w:hAnsi="宋体" w:cs="仿宋"/>
          <w:bCs/>
          <w:color w:val="auto"/>
          <w:sz w:val="24"/>
          <w:szCs w:val="24"/>
        </w:rPr>
        <w:t>（5）必要的法律依据；</w:t>
      </w:r>
      <w:bookmarkEnd w:id="63"/>
    </w:p>
    <w:p>
      <w:pPr>
        <w:spacing w:line="360" w:lineRule="auto"/>
        <w:ind w:firstLine="480" w:firstLineChars="200"/>
        <w:outlineLvl w:val="1"/>
        <w:rPr>
          <w:rFonts w:ascii="宋体" w:hAnsi="宋体" w:cs="仿宋"/>
          <w:bCs/>
          <w:color w:val="auto"/>
          <w:sz w:val="24"/>
          <w:szCs w:val="24"/>
        </w:rPr>
      </w:pPr>
      <w:bookmarkStart w:id="64" w:name="_Toc1660523"/>
      <w:r>
        <w:rPr>
          <w:rFonts w:hint="eastAsia" w:ascii="宋体" w:hAnsi="宋体" w:cs="仿宋"/>
          <w:bCs/>
          <w:color w:val="auto"/>
          <w:sz w:val="24"/>
          <w:szCs w:val="24"/>
        </w:rPr>
        <w:t>（6）提出质疑的日期。</w:t>
      </w:r>
      <w:bookmarkEnd w:id="64"/>
    </w:p>
    <w:p>
      <w:pPr>
        <w:spacing w:line="360" w:lineRule="auto"/>
        <w:ind w:firstLine="480" w:firstLineChars="200"/>
        <w:outlineLvl w:val="1"/>
        <w:rPr>
          <w:rFonts w:ascii="宋体" w:hAnsi="宋体" w:cs="仿宋"/>
          <w:bCs/>
          <w:color w:val="auto"/>
          <w:sz w:val="24"/>
          <w:szCs w:val="24"/>
        </w:rPr>
      </w:pPr>
      <w:bookmarkStart w:id="65" w:name="_Toc1660524"/>
      <w:r>
        <w:rPr>
          <w:rFonts w:hint="eastAsia" w:ascii="宋体" w:hAnsi="宋体" w:cs="仿宋"/>
          <w:bCs/>
          <w:color w:val="auto"/>
          <w:sz w:val="24"/>
          <w:szCs w:val="24"/>
        </w:rPr>
        <w:t>按照“谁主张、谁举证”的原则，质疑书应当附上相关证明材料，否则质疑将视为无有效证据支持，将被予以驳回。</w:t>
      </w:r>
      <w:bookmarkEnd w:id="65"/>
    </w:p>
    <w:p>
      <w:pPr>
        <w:spacing w:line="360" w:lineRule="auto"/>
        <w:ind w:firstLine="480" w:firstLineChars="200"/>
        <w:outlineLvl w:val="1"/>
        <w:rPr>
          <w:rFonts w:ascii="宋体" w:hAnsi="宋体" w:cs="仿宋"/>
          <w:bCs/>
          <w:color w:val="auto"/>
          <w:sz w:val="24"/>
          <w:szCs w:val="24"/>
        </w:rPr>
      </w:pPr>
      <w:bookmarkStart w:id="66" w:name="_Toc1660525"/>
      <w:r>
        <w:rPr>
          <w:rFonts w:hint="eastAsia" w:ascii="宋体" w:hAnsi="宋体" w:cs="仿宋"/>
          <w:bCs/>
          <w:color w:val="auto"/>
          <w:sz w:val="24"/>
          <w:szCs w:val="24"/>
        </w:rPr>
        <w:t>29.3供应商为自然人的，应当由本人签字；供应商为法人或者其他组织的，应当由法定代表人、主要负责人，或者其响应代表签字或者盖章，并加盖单位公章，不得加盖合同专用章、投标专用章等各种形式的专用章。</w:t>
      </w:r>
      <w:bookmarkEnd w:id="66"/>
    </w:p>
    <w:p>
      <w:pPr>
        <w:spacing w:line="360" w:lineRule="auto"/>
        <w:outlineLvl w:val="1"/>
        <w:rPr>
          <w:rFonts w:ascii="宋体" w:hAnsi="宋体" w:cs="仿宋"/>
          <w:bCs/>
          <w:color w:val="auto"/>
          <w:sz w:val="24"/>
          <w:szCs w:val="24"/>
        </w:rPr>
      </w:pPr>
      <w:bookmarkStart w:id="67" w:name="_Toc1660526"/>
      <w:r>
        <w:rPr>
          <w:rFonts w:hint="eastAsia" w:ascii="宋体" w:hAnsi="宋体" w:cs="仿宋"/>
          <w:b/>
          <w:color w:val="auto"/>
          <w:sz w:val="24"/>
          <w:szCs w:val="24"/>
        </w:rPr>
        <w:t>30.质疑受理</w:t>
      </w:r>
      <w:bookmarkEnd w:id="67"/>
    </w:p>
    <w:p>
      <w:pPr>
        <w:spacing w:line="360" w:lineRule="auto"/>
        <w:ind w:firstLine="480" w:firstLineChars="200"/>
        <w:outlineLvl w:val="1"/>
        <w:rPr>
          <w:rFonts w:ascii="宋体" w:hAnsi="宋体" w:cs="仿宋"/>
          <w:bCs/>
          <w:color w:val="auto"/>
          <w:sz w:val="24"/>
          <w:szCs w:val="24"/>
        </w:rPr>
      </w:pPr>
      <w:bookmarkStart w:id="68" w:name="_Toc1660527"/>
      <w:r>
        <w:rPr>
          <w:rFonts w:hint="eastAsia" w:ascii="宋体" w:hAnsi="宋体" w:cs="仿宋"/>
          <w:bCs/>
          <w:color w:val="auto"/>
          <w:sz w:val="24"/>
          <w:szCs w:val="24"/>
        </w:rPr>
        <w:t>30.1质疑书原件可采取当面递交或邮寄、快递的方式送达代理机构。以邮寄、快递方式递交的，质疑提起日期以邮寄件上的戳记日期、邮政快递件上的戳记日期或非邮政快递件上的签注之日计算，受理日期则以代理机构收到质疑函原件之日计算。</w:t>
      </w:r>
      <w:bookmarkEnd w:id="68"/>
    </w:p>
    <w:p>
      <w:pPr>
        <w:spacing w:line="360" w:lineRule="auto"/>
        <w:ind w:firstLine="480" w:firstLineChars="200"/>
        <w:outlineLvl w:val="1"/>
        <w:rPr>
          <w:rFonts w:ascii="宋体" w:hAnsi="宋体" w:cs="仿宋"/>
          <w:bCs/>
          <w:color w:val="auto"/>
          <w:sz w:val="24"/>
          <w:szCs w:val="24"/>
        </w:rPr>
      </w:pPr>
      <w:bookmarkStart w:id="69" w:name="_Toc1660528"/>
      <w:r>
        <w:rPr>
          <w:rFonts w:hint="eastAsia" w:ascii="宋体" w:hAnsi="宋体" w:cs="仿宋"/>
          <w:bCs/>
          <w:color w:val="auto"/>
          <w:sz w:val="24"/>
          <w:szCs w:val="24"/>
        </w:rPr>
        <w:t>以邮寄、快递方式递交质疑函的，质疑人可以在质疑有效期内以清晰扫描及时将质疑事项告知代理机构，并提供邮寄件、快递件的有效查询方式。</w:t>
      </w:r>
      <w:bookmarkEnd w:id="69"/>
    </w:p>
    <w:p>
      <w:pPr>
        <w:spacing w:line="360" w:lineRule="auto"/>
        <w:ind w:firstLine="480" w:firstLineChars="200"/>
        <w:outlineLvl w:val="1"/>
        <w:rPr>
          <w:rFonts w:ascii="宋体" w:hAnsi="宋体" w:cs="仿宋"/>
          <w:bCs/>
          <w:color w:val="auto"/>
          <w:sz w:val="24"/>
          <w:szCs w:val="24"/>
        </w:rPr>
      </w:pPr>
      <w:bookmarkStart w:id="70" w:name="_Toc1660529"/>
      <w:r>
        <w:rPr>
          <w:rFonts w:hint="eastAsia" w:ascii="宋体" w:hAnsi="宋体" w:cs="仿宋"/>
          <w:bCs/>
          <w:color w:val="auto"/>
          <w:sz w:val="24"/>
          <w:szCs w:val="24"/>
        </w:rPr>
        <w:t>30.2 质疑函接收信息</w:t>
      </w:r>
      <w:bookmarkEnd w:id="70"/>
    </w:p>
    <w:p>
      <w:pPr>
        <w:spacing w:line="360" w:lineRule="auto"/>
        <w:ind w:firstLine="480" w:firstLineChars="200"/>
        <w:outlineLvl w:val="1"/>
        <w:rPr>
          <w:rFonts w:ascii="宋体" w:hAnsi="宋体" w:cs="仿宋"/>
          <w:bCs/>
          <w:color w:val="auto"/>
          <w:sz w:val="24"/>
          <w:szCs w:val="24"/>
        </w:rPr>
      </w:pPr>
      <w:bookmarkStart w:id="71" w:name="_Toc1660530"/>
      <w:r>
        <w:rPr>
          <w:rFonts w:hint="eastAsia" w:ascii="宋体" w:hAnsi="宋体" w:cs="仿宋"/>
          <w:bCs/>
          <w:color w:val="auto"/>
          <w:sz w:val="24"/>
          <w:szCs w:val="24"/>
        </w:rPr>
        <w:t>联系部门：海南政</w:t>
      </w:r>
      <w:r>
        <w:rPr>
          <w:rFonts w:ascii="宋体" w:hAnsi="宋体" w:cs="仿宋"/>
          <w:bCs/>
          <w:color w:val="auto"/>
          <w:sz w:val="24"/>
          <w:szCs w:val="24"/>
        </w:rPr>
        <w:t>辉招投标代理有限公司</w:t>
      </w:r>
      <w:r>
        <w:rPr>
          <w:rFonts w:hint="eastAsia" w:ascii="宋体" w:hAnsi="宋体" w:cs="仿宋"/>
          <w:bCs/>
          <w:color w:val="auto"/>
          <w:sz w:val="24"/>
          <w:szCs w:val="24"/>
        </w:rPr>
        <w:t>—项目部</w:t>
      </w:r>
      <w:bookmarkEnd w:id="71"/>
    </w:p>
    <w:p>
      <w:pPr>
        <w:spacing w:line="360" w:lineRule="auto"/>
        <w:ind w:firstLine="480" w:firstLineChars="200"/>
        <w:outlineLvl w:val="1"/>
        <w:rPr>
          <w:rFonts w:hint="eastAsia" w:ascii="宋体" w:hAnsi="宋体" w:eastAsia="宋体" w:cs="仿宋"/>
          <w:bCs/>
          <w:color w:val="auto"/>
          <w:sz w:val="24"/>
          <w:szCs w:val="24"/>
          <w:lang w:eastAsia="zh-CN"/>
        </w:rPr>
      </w:pPr>
      <w:bookmarkStart w:id="72" w:name="_Toc1660531"/>
      <w:r>
        <w:rPr>
          <w:rFonts w:hint="eastAsia" w:ascii="宋体" w:hAnsi="宋体" w:cs="仿宋"/>
          <w:bCs/>
          <w:color w:val="auto"/>
          <w:sz w:val="24"/>
          <w:szCs w:val="24"/>
        </w:rPr>
        <w:t>联系电话及联系人：0898-</w:t>
      </w:r>
      <w:r>
        <w:rPr>
          <w:rFonts w:ascii="宋体" w:hAnsi="宋体" w:cs="仿宋"/>
          <w:bCs/>
          <w:color w:val="auto"/>
          <w:sz w:val="24"/>
          <w:szCs w:val="24"/>
        </w:rPr>
        <w:t>66557609</w:t>
      </w:r>
      <w:r>
        <w:rPr>
          <w:rFonts w:hint="eastAsia" w:ascii="宋体" w:hAnsi="宋体" w:cs="仿宋"/>
          <w:bCs/>
          <w:color w:val="auto"/>
          <w:sz w:val="24"/>
          <w:szCs w:val="24"/>
        </w:rPr>
        <w:t xml:space="preserve">  </w:t>
      </w:r>
      <w:bookmarkEnd w:id="72"/>
      <w:r>
        <w:rPr>
          <w:rFonts w:hint="eastAsia" w:ascii="宋体" w:hAnsi="宋体" w:cs="仿宋"/>
          <w:bCs/>
          <w:color w:val="auto"/>
          <w:sz w:val="24"/>
          <w:szCs w:val="24"/>
          <w:lang w:eastAsia="zh-CN"/>
        </w:rPr>
        <w:t>张工</w:t>
      </w:r>
    </w:p>
    <w:p>
      <w:pPr>
        <w:spacing w:line="360" w:lineRule="auto"/>
        <w:ind w:firstLine="480" w:firstLineChars="200"/>
        <w:outlineLvl w:val="1"/>
        <w:rPr>
          <w:rFonts w:ascii="宋体" w:hAnsi="宋体" w:cs="仿宋"/>
          <w:bCs/>
          <w:color w:val="auto"/>
          <w:sz w:val="24"/>
          <w:szCs w:val="24"/>
        </w:rPr>
      </w:pPr>
      <w:bookmarkStart w:id="73" w:name="_Toc1660532"/>
      <w:r>
        <w:rPr>
          <w:rFonts w:hint="eastAsia" w:ascii="宋体" w:hAnsi="宋体" w:cs="仿宋"/>
          <w:bCs/>
          <w:color w:val="auto"/>
          <w:sz w:val="24"/>
          <w:szCs w:val="24"/>
        </w:rPr>
        <w:t>通讯地址：海南省海口市五指山路康业</w:t>
      </w:r>
      <w:r>
        <w:rPr>
          <w:rFonts w:ascii="宋体" w:hAnsi="宋体" w:cs="仿宋"/>
          <w:bCs/>
          <w:color w:val="auto"/>
          <w:sz w:val="24"/>
          <w:szCs w:val="24"/>
        </w:rPr>
        <w:t>花园西湖苑</w:t>
      </w:r>
      <w:r>
        <w:rPr>
          <w:rFonts w:hint="eastAsia" w:ascii="宋体" w:hAnsi="宋体" w:cs="仿宋"/>
          <w:bCs/>
          <w:color w:val="auto"/>
          <w:sz w:val="24"/>
          <w:szCs w:val="24"/>
        </w:rPr>
        <w:t>G栋2A</w:t>
      </w:r>
      <w:bookmarkEnd w:id="73"/>
    </w:p>
    <w:p>
      <w:pPr>
        <w:spacing w:line="360" w:lineRule="auto"/>
        <w:ind w:firstLine="480" w:firstLineChars="200"/>
        <w:outlineLvl w:val="1"/>
        <w:rPr>
          <w:rFonts w:ascii="宋体" w:hAnsi="宋体" w:cs="仿宋"/>
          <w:bCs/>
          <w:color w:val="auto"/>
          <w:sz w:val="24"/>
          <w:szCs w:val="24"/>
        </w:rPr>
      </w:pPr>
      <w:bookmarkStart w:id="74" w:name="_Toc1660533"/>
      <w:r>
        <w:rPr>
          <w:rFonts w:hint="eastAsia" w:ascii="宋体" w:hAnsi="宋体" w:cs="仿宋"/>
          <w:bCs/>
          <w:color w:val="auto"/>
          <w:sz w:val="24"/>
          <w:szCs w:val="24"/>
        </w:rPr>
        <w:t>30.3有下列情形之一的，属于无效质疑，采购人或采购代理机构可不予受理：</w:t>
      </w:r>
      <w:bookmarkEnd w:id="74"/>
    </w:p>
    <w:p>
      <w:pPr>
        <w:spacing w:line="360" w:lineRule="auto"/>
        <w:ind w:firstLine="480" w:firstLineChars="200"/>
        <w:outlineLvl w:val="1"/>
        <w:rPr>
          <w:rFonts w:ascii="宋体" w:hAnsi="宋体" w:cs="仿宋"/>
          <w:bCs/>
          <w:color w:val="auto"/>
          <w:sz w:val="24"/>
          <w:szCs w:val="24"/>
        </w:rPr>
      </w:pPr>
      <w:bookmarkStart w:id="75" w:name="_Toc1660534"/>
      <w:r>
        <w:rPr>
          <w:rFonts w:hint="eastAsia" w:ascii="宋体" w:hAnsi="宋体" w:cs="仿宋"/>
          <w:bCs/>
          <w:color w:val="auto"/>
          <w:sz w:val="24"/>
          <w:szCs w:val="24"/>
        </w:rPr>
        <w:t>（1）未在有效期限内提出质疑的；</w:t>
      </w:r>
      <w:bookmarkEnd w:id="75"/>
    </w:p>
    <w:p>
      <w:pPr>
        <w:spacing w:line="360" w:lineRule="auto"/>
        <w:ind w:firstLine="480" w:firstLineChars="200"/>
        <w:outlineLvl w:val="1"/>
        <w:rPr>
          <w:rFonts w:ascii="宋体" w:hAnsi="宋体" w:cs="仿宋"/>
          <w:bCs/>
          <w:color w:val="auto"/>
          <w:sz w:val="24"/>
          <w:szCs w:val="24"/>
        </w:rPr>
      </w:pPr>
      <w:bookmarkStart w:id="76" w:name="_Toc1660535"/>
      <w:r>
        <w:rPr>
          <w:rFonts w:hint="eastAsia" w:ascii="宋体" w:hAnsi="宋体" w:cs="仿宋"/>
          <w:bCs/>
          <w:color w:val="auto"/>
          <w:sz w:val="24"/>
          <w:szCs w:val="24"/>
        </w:rPr>
        <w:t>（2）质疑未以书面形式提出的；</w:t>
      </w:r>
      <w:bookmarkEnd w:id="76"/>
    </w:p>
    <w:p>
      <w:pPr>
        <w:spacing w:line="360" w:lineRule="auto"/>
        <w:ind w:firstLine="480" w:firstLineChars="200"/>
        <w:outlineLvl w:val="1"/>
        <w:rPr>
          <w:rFonts w:ascii="宋体" w:hAnsi="宋体" w:cs="仿宋"/>
          <w:bCs/>
          <w:color w:val="auto"/>
          <w:sz w:val="24"/>
          <w:szCs w:val="24"/>
        </w:rPr>
      </w:pPr>
      <w:bookmarkStart w:id="77" w:name="_Toc1660536"/>
      <w:r>
        <w:rPr>
          <w:rFonts w:hint="eastAsia" w:ascii="宋体" w:hAnsi="宋体" w:cs="仿宋"/>
          <w:bCs/>
          <w:color w:val="auto"/>
          <w:sz w:val="24"/>
          <w:szCs w:val="24"/>
        </w:rPr>
        <w:t>（3）所提交材料未明示属于质疑材料的；</w:t>
      </w:r>
      <w:bookmarkEnd w:id="77"/>
    </w:p>
    <w:p>
      <w:pPr>
        <w:spacing w:line="360" w:lineRule="auto"/>
        <w:ind w:firstLine="480" w:firstLineChars="200"/>
        <w:outlineLvl w:val="1"/>
        <w:rPr>
          <w:rFonts w:hint="eastAsia" w:ascii="宋体" w:hAnsi="宋体" w:cs="仿宋"/>
          <w:bCs/>
          <w:color w:val="auto"/>
          <w:sz w:val="24"/>
          <w:szCs w:val="24"/>
        </w:rPr>
      </w:pPr>
      <w:bookmarkStart w:id="78" w:name="_Toc1660537"/>
      <w:r>
        <w:rPr>
          <w:rFonts w:hint="eastAsia" w:ascii="宋体" w:hAnsi="宋体" w:cs="仿宋"/>
          <w:bCs/>
          <w:color w:val="auto"/>
          <w:sz w:val="24"/>
          <w:szCs w:val="24"/>
        </w:rPr>
        <w:t>（4）质疑事项已经进入投诉或者诉讼程序的；</w:t>
      </w:r>
      <w:bookmarkEnd w:id="78"/>
    </w:p>
    <w:p>
      <w:pPr>
        <w:spacing w:line="360" w:lineRule="auto"/>
        <w:ind w:firstLine="480" w:firstLineChars="200"/>
        <w:outlineLvl w:val="1"/>
        <w:rPr>
          <w:color w:val="auto"/>
        </w:rPr>
      </w:pPr>
      <w:r>
        <w:rPr>
          <w:rFonts w:hint="eastAsia" w:ascii="宋体" w:hAnsi="宋体" w:cs="宋体"/>
          <w:bCs/>
          <w:color w:val="auto"/>
          <w:sz w:val="24"/>
          <w:szCs w:val="24"/>
          <w:highlight w:val="none"/>
        </w:rPr>
        <w:t>（5）</w:t>
      </w:r>
      <w:r>
        <w:rPr>
          <w:rFonts w:hint="eastAsia" w:ascii="宋体" w:hAnsi="宋体" w:cs="宋体"/>
          <w:bCs/>
          <w:color w:val="auto"/>
          <w:sz w:val="24"/>
          <w:szCs w:val="24"/>
          <w:highlight w:val="none"/>
          <w:lang w:eastAsia="zh-CN"/>
        </w:rPr>
        <w:t>供应商未在法定质疑期内一次性提出针对本项目采购程序环节的质疑；</w:t>
      </w:r>
    </w:p>
    <w:p>
      <w:pPr>
        <w:spacing w:line="360" w:lineRule="auto"/>
        <w:ind w:firstLine="480" w:firstLineChars="200"/>
        <w:outlineLvl w:val="1"/>
        <w:rPr>
          <w:rFonts w:ascii="宋体" w:hAnsi="宋体" w:cs="仿宋"/>
          <w:bCs/>
          <w:color w:val="auto"/>
          <w:sz w:val="24"/>
          <w:szCs w:val="24"/>
        </w:rPr>
      </w:pPr>
      <w:bookmarkStart w:id="79" w:name="_Toc1660538"/>
      <w:r>
        <w:rPr>
          <w:rFonts w:hint="eastAsia" w:ascii="宋体" w:hAnsi="宋体" w:cs="仿宋"/>
          <w:bCs/>
          <w:color w:val="auto"/>
          <w:sz w:val="24"/>
          <w:szCs w:val="24"/>
        </w:rPr>
        <w:t>（</w:t>
      </w:r>
      <w:r>
        <w:rPr>
          <w:rFonts w:hint="eastAsia" w:ascii="宋体" w:hAnsi="宋体" w:cs="仿宋"/>
          <w:bCs/>
          <w:color w:val="auto"/>
          <w:sz w:val="24"/>
          <w:szCs w:val="24"/>
          <w:lang w:val="en-US" w:eastAsia="zh-CN"/>
        </w:rPr>
        <w:t>6</w:t>
      </w:r>
      <w:r>
        <w:rPr>
          <w:rFonts w:hint="eastAsia" w:ascii="宋体" w:hAnsi="宋体" w:cs="仿宋"/>
          <w:bCs/>
          <w:color w:val="auto"/>
          <w:sz w:val="24"/>
          <w:szCs w:val="24"/>
        </w:rPr>
        <w:t>）其它不符合受理条件的情形。</w:t>
      </w:r>
      <w:bookmarkEnd w:id="79"/>
    </w:p>
    <w:p>
      <w:pPr>
        <w:spacing w:line="360" w:lineRule="auto"/>
        <w:ind w:firstLine="480" w:firstLineChars="200"/>
        <w:outlineLvl w:val="1"/>
        <w:rPr>
          <w:rFonts w:ascii="宋体" w:hAnsi="宋体" w:cs="仿宋"/>
          <w:bCs/>
          <w:color w:val="auto"/>
          <w:sz w:val="24"/>
          <w:szCs w:val="24"/>
        </w:rPr>
      </w:pPr>
      <w:bookmarkStart w:id="80" w:name="_Toc1660539"/>
      <w:r>
        <w:rPr>
          <w:rFonts w:hint="eastAsia" w:ascii="宋体" w:hAnsi="宋体" w:cs="仿宋"/>
          <w:bCs/>
          <w:color w:val="auto"/>
          <w:sz w:val="24"/>
          <w:szCs w:val="24"/>
        </w:rPr>
        <w:t>30.4质疑函的形式有下列情形之一的，采购人或采购代理机构应当一次性告知质疑人在法定质疑期内修改后重新提交。法定质疑期内质疑人未重新提交，或者重新提交的质疑仍不符合形式规定的，由此产生的风险由投标人自行承担：</w:t>
      </w:r>
      <w:bookmarkEnd w:id="80"/>
    </w:p>
    <w:p>
      <w:pPr>
        <w:spacing w:line="360" w:lineRule="auto"/>
        <w:ind w:firstLine="480" w:firstLineChars="200"/>
        <w:outlineLvl w:val="1"/>
        <w:rPr>
          <w:rFonts w:ascii="宋体" w:hAnsi="宋体" w:cs="仿宋"/>
          <w:bCs/>
          <w:color w:val="auto"/>
          <w:sz w:val="24"/>
          <w:szCs w:val="24"/>
        </w:rPr>
      </w:pPr>
      <w:bookmarkStart w:id="81" w:name="_Toc1660540"/>
      <w:r>
        <w:rPr>
          <w:rFonts w:hint="eastAsia" w:ascii="宋体" w:hAnsi="宋体" w:cs="仿宋"/>
          <w:bCs/>
          <w:color w:val="auto"/>
          <w:sz w:val="24"/>
          <w:szCs w:val="24"/>
        </w:rPr>
        <w:t>（1）质疑函未按照谈判须知正文28.3条要求提供的；</w:t>
      </w:r>
      <w:bookmarkEnd w:id="81"/>
    </w:p>
    <w:p>
      <w:pPr>
        <w:spacing w:line="360" w:lineRule="auto"/>
        <w:ind w:firstLine="480" w:firstLineChars="200"/>
        <w:outlineLvl w:val="1"/>
        <w:rPr>
          <w:rFonts w:ascii="宋体" w:hAnsi="宋体" w:cs="仿宋"/>
          <w:bCs/>
          <w:color w:val="auto"/>
          <w:sz w:val="24"/>
          <w:szCs w:val="24"/>
        </w:rPr>
      </w:pPr>
      <w:bookmarkStart w:id="82" w:name="_Toc1660541"/>
      <w:r>
        <w:rPr>
          <w:rFonts w:hint="eastAsia" w:ascii="宋体" w:hAnsi="宋体" w:cs="仿宋"/>
          <w:bCs/>
          <w:color w:val="auto"/>
          <w:sz w:val="24"/>
          <w:szCs w:val="24"/>
        </w:rPr>
        <w:t>（2）质疑函未按照谈判须知正文29.3条要求签署和盖章的；</w:t>
      </w:r>
      <w:bookmarkEnd w:id="82"/>
    </w:p>
    <w:p>
      <w:pPr>
        <w:spacing w:line="360" w:lineRule="auto"/>
        <w:ind w:firstLine="480" w:firstLineChars="200"/>
        <w:outlineLvl w:val="1"/>
        <w:rPr>
          <w:rFonts w:ascii="宋体" w:hAnsi="宋体" w:cs="仿宋"/>
          <w:bCs/>
          <w:color w:val="auto"/>
          <w:sz w:val="24"/>
          <w:szCs w:val="24"/>
        </w:rPr>
      </w:pPr>
      <w:bookmarkStart w:id="83" w:name="_Toc1660542"/>
      <w:r>
        <w:rPr>
          <w:rFonts w:hint="eastAsia" w:ascii="宋体" w:hAnsi="宋体" w:cs="仿宋"/>
          <w:bCs/>
          <w:color w:val="auto"/>
          <w:sz w:val="24"/>
          <w:szCs w:val="24"/>
        </w:rPr>
        <w:t>（3）质疑函未使用财政部制定的政府采购供应商质疑函范本进行编写的；</w:t>
      </w:r>
      <w:bookmarkEnd w:id="83"/>
    </w:p>
    <w:p>
      <w:pPr>
        <w:spacing w:line="360" w:lineRule="auto"/>
        <w:ind w:firstLine="480" w:firstLineChars="200"/>
        <w:outlineLvl w:val="1"/>
        <w:rPr>
          <w:rFonts w:ascii="宋体" w:hAnsi="宋体" w:cs="仿宋"/>
          <w:bCs/>
          <w:color w:val="auto"/>
          <w:sz w:val="24"/>
          <w:szCs w:val="24"/>
        </w:rPr>
      </w:pPr>
      <w:bookmarkStart w:id="84" w:name="_Toc1660543"/>
      <w:r>
        <w:rPr>
          <w:rFonts w:hint="eastAsia" w:ascii="宋体" w:hAnsi="宋体" w:cs="仿宋"/>
          <w:bCs/>
          <w:color w:val="auto"/>
          <w:sz w:val="24"/>
          <w:szCs w:val="24"/>
        </w:rPr>
        <w:t>（4）质疑函内容不全的。</w:t>
      </w:r>
      <w:bookmarkEnd w:id="84"/>
    </w:p>
    <w:p>
      <w:pPr>
        <w:spacing w:line="360" w:lineRule="auto"/>
        <w:ind w:firstLine="480" w:firstLineChars="200"/>
        <w:outlineLvl w:val="1"/>
        <w:rPr>
          <w:rFonts w:ascii="宋体" w:hAnsi="宋体" w:cs="仿宋"/>
          <w:bCs/>
          <w:color w:val="auto"/>
          <w:sz w:val="24"/>
          <w:szCs w:val="24"/>
        </w:rPr>
      </w:pPr>
      <w:bookmarkStart w:id="85" w:name="_Toc1660544"/>
      <w:r>
        <w:rPr>
          <w:rFonts w:hint="eastAsia" w:ascii="宋体" w:hAnsi="宋体" w:cs="仿宋"/>
          <w:bCs/>
          <w:color w:val="auto"/>
          <w:sz w:val="24"/>
          <w:szCs w:val="24"/>
        </w:rPr>
        <w:t>30.5代理机构应于收到质疑函后一个工作日内对质疑函的形式进行审查，符合条件的质疑，应当受理并向质疑人发出质疑签收单。收到质疑函原件并向质疑人发出质疑签收单之日，为质疑正式受理之日。</w:t>
      </w:r>
      <w:bookmarkEnd w:id="85"/>
    </w:p>
    <w:p>
      <w:pPr>
        <w:spacing w:line="360" w:lineRule="auto"/>
        <w:ind w:firstLine="480" w:firstLineChars="200"/>
        <w:outlineLvl w:val="1"/>
        <w:rPr>
          <w:rFonts w:ascii="宋体" w:hAnsi="宋体" w:cs="仿宋"/>
          <w:bCs/>
          <w:color w:val="auto"/>
          <w:sz w:val="24"/>
          <w:szCs w:val="24"/>
        </w:rPr>
      </w:pPr>
      <w:bookmarkStart w:id="86" w:name="_Toc1660545"/>
      <w:r>
        <w:rPr>
          <w:rFonts w:hint="eastAsia" w:ascii="宋体" w:hAnsi="宋体" w:cs="仿宋"/>
          <w:bCs/>
          <w:color w:val="auto"/>
          <w:sz w:val="24"/>
          <w:szCs w:val="24"/>
        </w:rPr>
        <w:t>质疑函在质疑有效期内需要修改、补充的，以提交修改或补充的质疑函原件并发出质疑签收单之日作为质疑正式受理之日。</w:t>
      </w:r>
      <w:bookmarkEnd w:id="86"/>
    </w:p>
    <w:p>
      <w:pPr>
        <w:numPr>
          <w:ilvl w:val="0"/>
          <w:numId w:val="6"/>
        </w:numPr>
        <w:spacing w:line="360" w:lineRule="auto"/>
        <w:ind w:firstLine="561"/>
        <w:jc w:val="center"/>
        <w:outlineLvl w:val="1"/>
        <w:rPr>
          <w:rFonts w:ascii="宋体" w:hAnsi="宋体" w:cs="黑体"/>
          <w:b/>
          <w:color w:val="auto"/>
          <w:sz w:val="24"/>
        </w:rPr>
      </w:pPr>
      <w:bookmarkStart w:id="87" w:name="_Toc1660546"/>
      <w:r>
        <w:rPr>
          <w:rFonts w:hint="eastAsia" w:ascii="宋体" w:hAnsi="宋体" w:cs="黑体"/>
          <w:b/>
          <w:color w:val="auto"/>
          <w:sz w:val="24"/>
        </w:rPr>
        <w:t>其他</w:t>
      </w:r>
      <w:bookmarkEnd w:id="87"/>
    </w:p>
    <w:p>
      <w:pPr>
        <w:pStyle w:val="91"/>
        <w:spacing w:line="360" w:lineRule="auto"/>
        <w:ind w:firstLine="0" w:firstLineChars="0"/>
        <w:jc w:val="left"/>
        <w:rPr>
          <w:rFonts w:ascii="宋体" w:hAnsi="宋体" w:cs="仿宋"/>
          <w:b/>
          <w:color w:val="auto"/>
          <w:sz w:val="24"/>
          <w:szCs w:val="24"/>
        </w:rPr>
      </w:pPr>
      <w:r>
        <w:rPr>
          <w:rFonts w:hint="eastAsia" w:ascii="宋体" w:hAnsi="宋体" w:cs="仿宋"/>
          <w:b/>
          <w:color w:val="auto"/>
          <w:sz w:val="24"/>
          <w:szCs w:val="24"/>
        </w:rPr>
        <w:t>31.采购项目终止</w:t>
      </w:r>
    </w:p>
    <w:p>
      <w:pPr>
        <w:pStyle w:val="91"/>
        <w:spacing w:line="360" w:lineRule="auto"/>
        <w:ind w:firstLine="480"/>
        <w:rPr>
          <w:rFonts w:ascii="宋体" w:hAnsi="宋体" w:cs="仿宋"/>
          <w:bCs/>
          <w:color w:val="auto"/>
          <w:sz w:val="24"/>
          <w:szCs w:val="24"/>
        </w:rPr>
      </w:pPr>
      <w:r>
        <w:rPr>
          <w:rFonts w:hint="eastAsia" w:ascii="宋体" w:hAnsi="宋体" w:cs="仿宋"/>
          <w:bCs/>
          <w:color w:val="auto"/>
          <w:sz w:val="24"/>
          <w:szCs w:val="24"/>
        </w:rPr>
        <w:t>31.1在谈判过程中，谈判小组发现有下列情形之一的，应当终止竞争性谈判采购活动,发布项目终止公告并说明原因，重新开展采购活动：</w:t>
      </w:r>
    </w:p>
    <w:p>
      <w:pPr>
        <w:pStyle w:val="91"/>
        <w:spacing w:line="360" w:lineRule="auto"/>
        <w:ind w:firstLine="480"/>
        <w:rPr>
          <w:rFonts w:ascii="宋体" w:hAnsi="宋体" w:cs="仿宋"/>
          <w:bCs/>
          <w:color w:val="auto"/>
          <w:sz w:val="24"/>
          <w:szCs w:val="24"/>
        </w:rPr>
      </w:pPr>
      <w:r>
        <w:rPr>
          <w:rFonts w:hint="eastAsia" w:ascii="宋体" w:hAnsi="宋体" w:cs="仿宋"/>
          <w:bCs/>
          <w:color w:val="auto"/>
          <w:sz w:val="24"/>
          <w:szCs w:val="24"/>
        </w:rPr>
        <w:t>（1）因情况变化，不再符合规定的竞争性谈判采购方式适用情形的；</w:t>
      </w:r>
    </w:p>
    <w:p>
      <w:pPr>
        <w:pStyle w:val="91"/>
        <w:spacing w:line="360" w:lineRule="auto"/>
        <w:ind w:firstLine="480"/>
        <w:rPr>
          <w:rFonts w:ascii="宋体" w:hAnsi="宋体" w:cs="仿宋"/>
          <w:bCs/>
          <w:color w:val="auto"/>
          <w:sz w:val="24"/>
          <w:szCs w:val="24"/>
        </w:rPr>
      </w:pPr>
      <w:r>
        <w:rPr>
          <w:rFonts w:hint="eastAsia" w:ascii="宋体" w:hAnsi="宋体" w:cs="仿宋"/>
          <w:bCs/>
          <w:color w:val="auto"/>
          <w:sz w:val="24"/>
          <w:szCs w:val="24"/>
        </w:rPr>
        <w:t>（2）出现影响采购公正的违法、违规行为的；</w:t>
      </w:r>
    </w:p>
    <w:p>
      <w:pPr>
        <w:pStyle w:val="91"/>
        <w:spacing w:line="360" w:lineRule="auto"/>
        <w:ind w:firstLine="480"/>
        <w:rPr>
          <w:rFonts w:ascii="宋体" w:hAnsi="宋体" w:cs="仿宋"/>
          <w:bCs/>
          <w:color w:val="auto"/>
          <w:sz w:val="24"/>
          <w:szCs w:val="24"/>
        </w:rPr>
      </w:pPr>
      <w:r>
        <w:rPr>
          <w:rFonts w:hint="eastAsia" w:ascii="宋体" w:hAnsi="宋体" w:cs="仿宋"/>
          <w:bCs/>
          <w:color w:val="auto"/>
          <w:sz w:val="24"/>
          <w:szCs w:val="24"/>
        </w:rPr>
        <w:t>（3）除《政府采购非招标采购方式管理办法》第二十一条第三款规定的情形外，在采购过程中符合要求的供应商或者报价未超过采购预算的供应商不足3家的。</w:t>
      </w:r>
    </w:p>
    <w:p>
      <w:pPr>
        <w:pStyle w:val="91"/>
        <w:spacing w:line="360" w:lineRule="auto"/>
        <w:ind w:firstLine="480"/>
        <w:rPr>
          <w:rFonts w:ascii="宋体" w:hAnsi="宋体" w:cs="仿宋"/>
          <w:bCs/>
          <w:color w:val="auto"/>
          <w:sz w:val="24"/>
          <w:szCs w:val="24"/>
        </w:rPr>
      </w:pPr>
      <w:r>
        <w:rPr>
          <w:rFonts w:hint="eastAsia" w:ascii="宋体" w:hAnsi="宋体" w:cs="仿宋"/>
          <w:bCs/>
          <w:color w:val="auto"/>
          <w:sz w:val="24"/>
          <w:szCs w:val="24"/>
        </w:rPr>
        <w:t xml:space="preserve"> 竞争性谈判采购活动终止后，谈判小组应作出书面报告。</w:t>
      </w:r>
    </w:p>
    <w:p>
      <w:pPr>
        <w:pStyle w:val="91"/>
        <w:spacing w:line="360" w:lineRule="auto"/>
        <w:ind w:firstLine="480"/>
        <w:rPr>
          <w:rFonts w:ascii="宋体" w:hAnsi="宋体" w:cs="仿宋"/>
          <w:bCs/>
          <w:color w:val="auto"/>
          <w:sz w:val="24"/>
          <w:szCs w:val="24"/>
        </w:rPr>
      </w:pPr>
      <w:r>
        <w:rPr>
          <w:rFonts w:hint="eastAsia" w:ascii="宋体" w:hAnsi="宋体" w:cs="仿宋"/>
          <w:bCs/>
          <w:color w:val="auto"/>
          <w:sz w:val="24"/>
          <w:szCs w:val="24"/>
        </w:rPr>
        <w:t>31.2在采购活动中因重大变故，采购任务取消的，采购人或者采购代理机构应当终止采购活动，通知所有参加采购活动的供应商，并将项目实施情况和采购任务取消原因报送本级财政部门。</w:t>
      </w:r>
    </w:p>
    <w:p>
      <w:pPr>
        <w:pStyle w:val="91"/>
        <w:spacing w:line="360" w:lineRule="auto"/>
        <w:ind w:firstLine="480"/>
        <w:rPr>
          <w:rFonts w:ascii="宋体" w:hAnsi="宋体" w:cs="仿宋"/>
          <w:bCs/>
          <w:color w:val="auto"/>
          <w:sz w:val="24"/>
          <w:szCs w:val="24"/>
        </w:rPr>
      </w:pPr>
      <w:r>
        <w:rPr>
          <w:rFonts w:hint="eastAsia" w:ascii="宋体" w:hAnsi="宋体" w:cs="仿宋"/>
          <w:bCs/>
          <w:color w:val="auto"/>
          <w:sz w:val="24"/>
          <w:szCs w:val="24"/>
        </w:rPr>
        <w:t>31.3.终止采购活动后，采购代理机构应当将终止采购活动原因通知所有供应商。</w:t>
      </w:r>
    </w:p>
    <w:p>
      <w:pPr>
        <w:pStyle w:val="91"/>
        <w:spacing w:line="360" w:lineRule="auto"/>
        <w:ind w:firstLine="0" w:firstLineChars="0"/>
        <w:rPr>
          <w:rFonts w:ascii="宋体" w:hAnsi="宋体" w:cs="仿宋"/>
          <w:b/>
          <w:color w:val="auto"/>
          <w:sz w:val="24"/>
          <w:szCs w:val="24"/>
        </w:rPr>
      </w:pPr>
      <w:r>
        <w:rPr>
          <w:rFonts w:hint="eastAsia" w:ascii="宋体" w:hAnsi="宋体" w:cs="仿宋"/>
          <w:b/>
          <w:color w:val="auto"/>
          <w:sz w:val="24"/>
          <w:szCs w:val="24"/>
        </w:rPr>
        <w:t>32.保密和披露</w:t>
      </w:r>
    </w:p>
    <w:p>
      <w:pPr>
        <w:pStyle w:val="91"/>
        <w:spacing w:line="360" w:lineRule="auto"/>
        <w:ind w:firstLine="480"/>
        <w:rPr>
          <w:rFonts w:ascii="宋体" w:hAnsi="宋体" w:cs="仿宋"/>
          <w:bCs/>
          <w:color w:val="auto"/>
          <w:sz w:val="24"/>
          <w:szCs w:val="24"/>
        </w:rPr>
      </w:pPr>
      <w:r>
        <w:rPr>
          <w:rFonts w:hint="eastAsia" w:ascii="宋体" w:hAnsi="宋体" w:cs="仿宋"/>
          <w:bCs/>
          <w:color w:val="auto"/>
          <w:sz w:val="24"/>
          <w:szCs w:val="24"/>
        </w:rPr>
        <w:t>32.1 供应商自领取竞争性谈判文件之日起，须履行本采购项目下保密义务，不得将因本次采购获得的信息向第三人外传。</w:t>
      </w:r>
    </w:p>
    <w:p>
      <w:pPr>
        <w:pStyle w:val="91"/>
        <w:spacing w:line="360" w:lineRule="auto"/>
        <w:ind w:firstLine="480"/>
        <w:rPr>
          <w:rFonts w:ascii="宋体" w:hAnsi="宋体" w:cs="仿宋"/>
          <w:bCs/>
          <w:color w:val="auto"/>
          <w:sz w:val="24"/>
          <w:szCs w:val="24"/>
        </w:rPr>
      </w:pPr>
      <w:r>
        <w:rPr>
          <w:rFonts w:hint="eastAsia" w:ascii="宋体" w:hAnsi="宋体" w:cs="仿宋"/>
          <w:bCs/>
          <w:color w:val="auto"/>
          <w:sz w:val="24"/>
          <w:szCs w:val="24"/>
        </w:rPr>
        <w:t>32.2采购人或采购代理机构有权将供应商提供的所有资料向有关政府部门或评审委员会披露。</w:t>
      </w:r>
    </w:p>
    <w:p>
      <w:pPr>
        <w:pStyle w:val="91"/>
        <w:spacing w:line="360" w:lineRule="auto"/>
        <w:ind w:firstLine="480"/>
        <w:rPr>
          <w:rFonts w:ascii="宋体" w:hAnsi="宋体" w:cs="仿宋"/>
          <w:bCs/>
          <w:color w:val="auto"/>
          <w:sz w:val="24"/>
          <w:szCs w:val="24"/>
        </w:rPr>
      </w:pPr>
      <w:r>
        <w:rPr>
          <w:rFonts w:hint="eastAsia" w:ascii="宋体" w:hAnsi="宋体" w:cs="仿宋"/>
          <w:bCs/>
          <w:color w:val="auto"/>
          <w:sz w:val="24"/>
          <w:szCs w:val="24"/>
        </w:rPr>
        <w:t>32.3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pStyle w:val="91"/>
        <w:spacing w:line="360" w:lineRule="auto"/>
        <w:ind w:firstLine="0" w:firstLineChars="0"/>
        <w:rPr>
          <w:rFonts w:ascii="宋体" w:hAnsi="宋体" w:cs="仿宋"/>
          <w:b/>
          <w:color w:val="auto"/>
          <w:sz w:val="24"/>
          <w:szCs w:val="24"/>
        </w:rPr>
      </w:pPr>
      <w:r>
        <w:rPr>
          <w:rFonts w:hint="eastAsia" w:ascii="宋体" w:hAnsi="宋体" w:cs="仿宋"/>
          <w:b/>
          <w:color w:val="auto"/>
          <w:sz w:val="24"/>
          <w:szCs w:val="24"/>
        </w:rPr>
        <w:t>33.法律及相关政策</w:t>
      </w:r>
    </w:p>
    <w:p>
      <w:pPr>
        <w:pStyle w:val="91"/>
        <w:spacing w:line="360" w:lineRule="auto"/>
        <w:ind w:firstLine="480"/>
        <w:rPr>
          <w:rFonts w:ascii="宋体" w:hAnsi="宋体" w:cs="仿宋"/>
          <w:bCs/>
          <w:color w:val="auto"/>
          <w:sz w:val="24"/>
          <w:szCs w:val="24"/>
        </w:rPr>
      </w:pPr>
      <w:r>
        <w:rPr>
          <w:rFonts w:hint="eastAsia" w:ascii="宋体" w:hAnsi="宋体" w:cs="仿宋"/>
          <w:bCs/>
          <w:color w:val="auto"/>
          <w:sz w:val="24"/>
          <w:szCs w:val="24"/>
        </w:rPr>
        <w:t>采购人、政府采购代理机构及供应商的一切采购响应活动均适用《政府采购法》、《政府采购法实施条例》、《政府采购质疑和投诉办法》及其配套的法规、规章、政策。</w:t>
      </w:r>
    </w:p>
    <w:p>
      <w:pPr>
        <w:pStyle w:val="2"/>
        <w:rPr>
          <w:rFonts w:ascii="宋体" w:hAnsi="宋体" w:eastAsia="宋体"/>
          <w:color w:val="auto"/>
        </w:rPr>
      </w:pPr>
      <w:r>
        <w:rPr>
          <w:rFonts w:ascii="宋体" w:hAnsi="宋体" w:eastAsia="宋体"/>
          <w:color w:val="auto"/>
        </w:rPr>
        <w:br w:type="page"/>
      </w:r>
    </w:p>
    <w:p>
      <w:pPr>
        <w:pStyle w:val="2"/>
        <w:numPr>
          <w:ilvl w:val="0"/>
          <w:numId w:val="7"/>
        </w:numPr>
        <w:jc w:val="center"/>
        <w:rPr>
          <w:rFonts w:hint="eastAsia" w:ascii="宋体" w:hAnsi="宋体" w:eastAsia="宋体" w:cs="黑体"/>
          <w:color w:val="auto"/>
          <w:lang w:eastAsia="zh-CN"/>
        </w:rPr>
      </w:pPr>
      <w:r>
        <w:rPr>
          <w:rFonts w:hint="eastAsia" w:ascii="宋体" w:hAnsi="宋体" w:eastAsia="宋体" w:cs="黑体"/>
          <w:color w:val="auto"/>
          <w:lang w:eastAsia="zh-CN"/>
        </w:rPr>
        <w:t>用户需求书</w:t>
      </w:r>
    </w:p>
    <w:p>
      <w:pPr>
        <w:spacing w:line="360" w:lineRule="auto"/>
        <w:outlineLvl w:val="0"/>
        <w:rPr>
          <w:rFonts w:hint="eastAsia" w:ascii="宋体" w:hAnsi="宋体" w:eastAsia="宋体" w:cs="宋体"/>
          <w:color w:val="auto"/>
          <w:sz w:val="24"/>
          <w:szCs w:val="24"/>
        </w:rPr>
      </w:pPr>
      <w:r>
        <w:rPr>
          <w:rFonts w:hint="eastAsia" w:ascii="宋体" w:hAnsi="宋体" w:eastAsia="宋体" w:cs="宋体"/>
          <w:b/>
          <w:color w:val="auto"/>
          <w:sz w:val="24"/>
          <w:szCs w:val="24"/>
        </w:rPr>
        <w:t>一、项目概况</w:t>
      </w:r>
    </w:p>
    <w:p>
      <w:pPr>
        <w:spacing w:before="72" w:beforeLines="30" w:after="72" w:afterLines="30"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项目</w:t>
      </w:r>
      <w:r>
        <w:rPr>
          <w:rFonts w:hint="eastAsia" w:ascii="宋体" w:hAnsi="宋体" w:eastAsia="宋体" w:cs="宋体"/>
          <w:color w:val="auto"/>
          <w:sz w:val="24"/>
          <w:szCs w:val="24"/>
        </w:rPr>
        <w:t>名称：</w:t>
      </w:r>
      <w:r>
        <w:rPr>
          <w:rFonts w:hint="eastAsia" w:ascii="宋体" w:hAnsi="宋体" w:cs="宋体"/>
          <w:color w:val="auto"/>
          <w:sz w:val="24"/>
          <w:szCs w:val="24"/>
          <w:lang w:eastAsia="zh-CN"/>
        </w:rPr>
        <w:t>白沙县行政审批服务局办事大厅改造（政务中心二楼)</w:t>
      </w:r>
      <w:r>
        <w:rPr>
          <w:rFonts w:hint="eastAsia" w:ascii="宋体" w:hAnsi="宋体" w:eastAsia="宋体" w:cs="宋体"/>
          <w:color w:val="auto"/>
          <w:sz w:val="24"/>
          <w:szCs w:val="24"/>
          <w:lang w:val="en-US" w:eastAsia="zh-CN"/>
        </w:rPr>
        <w:t xml:space="preserve"> </w:t>
      </w:r>
    </w:p>
    <w:p>
      <w:pPr>
        <w:numPr>
          <w:ilvl w:val="0"/>
          <w:numId w:val="0"/>
        </w:numPr>
        <w:spacing w:line="360" w:lineRule="auto"/>
        <w:rPr>
          <w:rFonts w:hint="eastAsia" w:ascii="宋体" w:hAnsi="宋体" w:eastAsia="宋体" w:cs="宋体"/>
          <w:b w:val="0"/>
          <w:bCs w:val="0"/>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w:t>
      </w:r>
      <w:r>
        <w:rPr>
          <w:rFonts w:hint="eastAsia" w:ascii="宋体" w:hAnsi="宋体"/>
          <w:color w:val="auto"/>
          <w:kern w:val="28"/>
          <w:sz w:val="24"/>
          <w:lang w:eastAsia="zh-CN"/>
        </w:rPr>
        <w:t>招标控制价</w:t>
      </w:r>
      <w:r>
        <w:rPr>
          <w:rFonts w:hint="eastAsia" w:ascii="宋体" w:hAnsi="宋体"/>
          <w:color w:val="auto"/>
          <w:kern w:val="28"/>
          <w:sz w:val="24"/>
          <w:lang w:val="en-US" w:eastAsia="zh-CN"/>
        </w:rPr>
        <w:t>：1768533.47元</w:t>
      </w:r>
      <w:r>
        <w:rPr>
          <w:rFonts w:hint="eastAsia" w:ascii="宋体" w:hAnsi="宋体"/>
          <w:color w:val="auto"/>
          <w:kern w:val="28"/>
          <w:sz w:val="24"/>
          <w:lang w:eastAsia="zh-CN"/>
        </w:rPr>
        <w:t>（</w:t>
      </w:r>
      <w:r>
        <w:rPr>
          <w:rFonts w:hint="eastAsia" w:ascii="宋体" w:hAnsi="宋体"/>
          <w:color w:val="auto"/>
          <w:kern w:val="28"/>
          <w:sz w:val="24"/>
        </w:rPr>
        <w:t>投标</w:t>
      </w:r>
      <w:r>
        <w:rPr>
          <w:rFonts w:ascii="宋体" w:hAnsi="宋体"/>
          <w:color w:val="auto"/>
          <w:kern w:val="28"/>
          <w:sz w:val="24"/>
        </w:rPr>
        <w:t>报价超过</w:t>
      </w:r>
      <w:r>
        <w:rPr>
          <w:rFonts w:hint="eastAsia" w:ascii="宋体" w:hAnsi="宋体"/>
          <w:color w:val="auto"/>
          <w:kern w:val="28"/>
          <w:sz w:val="24"/>
          <w:lang w:eastAsia="zh-CN"/>
        </w:rPr>
        <w:t>招标控制价</w:t>
      </w:r>
      <w:r>
        <w:rPr>
          <w:rFonts w:ascii="宋体" w:hAnsi="宋体"/>
          <w:color w:val="auto"/>
          <w:kern w:val="28"/>
          <w:sz w:val="24"/>
        </w:rPr>
        <w:t>按无效投标处理）</w:t>
      </w:r>
      <w:r>
        <w:rPr>
          <w:rFonts w:hint="eastAsia" w:ascii="宋体" w:hAnsi="宋体" w:eastAsia="宋体" w:cs="宋体"/>
          <w:color w:val="auto"/>
          <w:sz w:val="24"/>
          <w:szCs w:val="24"/>
          <w:lang w:val="en-US" w:eastAsia="zh-CN"/>
        </w:rPr>
        <w:t xml:space="preserve"> </w:t>
      </w:r>
    </w:p>
    <w:p>
      <w:pPr>
        <w:pStyle w:val="114"/>
        <w:keepNext w:val="0"/>
        <w:keepLines w:val="0"/>
        <w:widowControl w:val="0"/>
        <w:shd w:val="clear" w:color="auto" w:fill="auto"/>
        <w:tabs>
          <w:tab w:val="left" w:pos="1529"/>
        </w:tabs>
        <w:bidi w:val="0"/>
        <w:spacing w:before="0" w:after="0" w:line="554" w:lineRule="exact"/>
        <w:ind w:left="0" w:leftChars="0" w:right="0" w:firstLine="0" w:firstLineChars="0"/>
        <w:jc w:val="both"/>
        <w:rPr>
          <w:rFonts w:hint="eastAsia" w:ascii="宋体" w:hAnsi="宋体" w:eastAsia="宋体" w:cs="Times New Roman"/>
          <w:color w:val="auto"/>
          <w:kern w:val="28"/>
          <w:sz w:val="24"/>
          <w:szCs w:val="20"/>
          <w:u w:val="none"/>
          <w:shd w:val="clear"/>
          <w:lang w:val="en-US" w:eastAsia="zh-CN" w:bidi="ar-SA"/>
        </w:rPr>
      </w:pPr>
      <w:r>
        <w:rPr>
          <w:rFonts w:hint="eastAsia" w:cs="宋体"/>
          <w:b w:val="0"/>
          <w:bCs w:val="0"/>
          <w:color w:val="auto"/>
          <w:sz w:val="24"/>
          <w:szCs w:val="24"/>
          <w:lang w:val="en-US" w:eastAsia="zh-CN"/>
        </w:rPr>
        <w:t>3</w:t>
      </w:r>
      <w:r>
        <w:rPr>
          <w:rFonts w:hint="eastAsia" w:ascii="宋体" w:hAnsi="宋体" w:eastAsia="宋体" w:cs="宋体"/>
          <w:b w:val="0"/>
          <w:bCs w:val="0"/>
          <w:color w:val="auto"/>
          <w:sz w:val="24"/>
          <w:szCs w:val="24"/>
          <w:lang w:val="en-US" w:eastAsia="zh-CN"/>
        </w:rPr>
        <w:t>、</w:t>
      </w:r>
      <w:r>
        <w:rPr>
          <w:rFonts w:hint="eastAsia" w:ascii="宋体" w:hAnsi="宋体" w:eastAsia="宋体" w:cs="Times New Roman"/>
          <w:color w:val="auto"/>
          <w:kern w:val="28"/>
          <w:sz w:val="24"/>
          <w:szCs w:val="20"/>
          <w:u w:val="none"/>
          <w:shd w:val="clear"/>
          <w:lang w:val="en-US" w:eastAsia="zh-CN" w:bidi="ar-SA"/>
        </w:rPr>
        <w:t xml:space="preserve">工程概况：白沙黎族自治县行政审批服务局办事大厅一栋三层框架结构，建筑高度11.70m，建筑总面积3998.61m²。该项目是对二层进行改造，二层建筑面积1315.55m²。项目工程内容包括拆除、新建。轻质隔墙、墙面装饰、地面、吊顶、灯具等装修改造工程及成品采购项目。 </w:t>
      </w:r>
    </w:p>
    <w:p>
      <w:pPr>
        <w:pStyle w:val="114"/>
        <w:keepNext w:val="0"/>
        <w:keepLines w:val="0"/>
        <w:widowControl w:val="0"/>
        <w:shd w:val="clear" w:color="auto" w:fill="auto"/>
        <w:tabs>
          <w:tab w:val="left" w:pos="1529"/>
        </w:tabs>
        <w:bidi w:val="0"/>
        <w:spacing w:before="0" w:after="0" w:line="554" w:lineRule="exact"/>
        <w:ind w:left="0" w:leftChars="0" w:right="0" w:firstLine="0" w:firstLineChars="0"/>
        <w:jc w:val="both"/>
        <w:rPr>
          <w:rFonts w:hint="eastAsia" w:cs="Times New Roman"/>
          <w:color w:val="auto"/>
          <w:kern w:val="28"/>
          <w:sz w:val="24"/>
          <w:szCs w:val="20"/>
          <w:u w:val="none"/>
          <w:shd w:val="clear"/>
          <w:lang w:val="en-US" w:eastAsia="zh-CN" w:bidi="ar-SA"/>
        </w:rPr>
      </w:pPr>
      <w:r>
        <w:rPr>
          <w:rFonts w:hint="eastAsia" w:cs="Times New Roman"/>
          <w:color w:val="auto"/>
          <w:kern w:val="28"/>
          <w:sz w:val="24"/>
          <w:szCs w:val="20"/>
          <w:u w:val="none"/>
          <w:shd w:val="clear"/>
          <w:lang w:val="en-US" w:eastAsia="zh-CN" w:bidi="ar-SA"/>
        </w:rPr>
        <w:t>4、建设地点：白沙县</w:t>
      </w:r>
    </w:p>
    <w:p>
      <w:pPr>
        <w:pStyle w:val="114"/>
        <w:keepNext w:val="0"/>
        <w:keepLines w:val="0"/>
        <w:widowControl w:val="0"/>
        <w:shd w:val="clear" w:color="auto" w:fill="auto"/>
        <w:tabs>
          <w:tab w:val="left" w:pos="1529"/>
        </w:tabs>
        <w:bidi w:val="0"/>
        <w:spacing w:before="0" w:after="0" w:line="554" w:lineRule="exact"/>
        <w:ind w:left="0" w:leftChars="0" w:right="0" w:firstLine="0" w:firstLineChars="0"/>
        <w:jc w:val="both"/>
        <w:rPr>
          <w:rFonts w:hint="eastAsia" w:ascii="宋体" w:hAnsi="宋体" w:eastAsia="宋体" w:cs="Times New Roman"/>
          <w:color w:val="auto"/>
          <w:kern w:val="28"/>
          <w:sz w:val="24"/>
          <w:szCs w:val="20"/>
          <w:u w:val="none"/>
          <w:shd w:val="clear"/>
          <w:lang w:val="en-US" w:eastAsia="zh-CN" w:bidi="ar-SA"/>
        </w:rPr>
      </w:pPr>
      <w:r>
        <w:rPr>
          <w:rFonts w:hint="eastAsia" w:cs="Times New Roman"/>
          <w:color w:val="auto"/>
          <w:kern w:val="28"/>
          <w:sz w:val="24"/>
          <w:szCs w:val="20"/>
          <w:u w:val="none"/>
          <w:shd w:val="clear"/>
          <w:lang w:val="en-US" w:eastAsia="zh-CN" w:bidi="ar-SA"/>
        </w:rPr>
        <w:t>5、建设范围：装饰及安装工程（</w:t>
      </w:r>
      <w:r>
        <w:rPr>
          <w:rFonts w:hint="eastAsia" w:ascii="宋体" w:hAnsi="宋体" w:eastAsia="宋体" w:cs="Times New Roman"/>
          <w:color w:val="auto"/>
          <w:kern w:val="28"/>
          <w:sz w:val="24"/>
          <w:szCs w:val="20"/>
          <w:u w:val="none"/>
          <w:shd w:val="clear"/>
          <w:lang w:val="en-US" w:eastAsia="zh-CN" w:bidi="ar-SA"/>
        </w:rPr>
        <w:t>具体详见“工程量清单 ”</w:t>
      </w:r>
      <w:r>
        <w:rPr>
          <w:rFonts w:hint="eastAsia" w:ascii="宋体" w:hAnsi="宋体" w:cs="Times New Roman"/>
          <w:color w:val="auto"/>
          <w:kern w:val="28"/>
          <w:sz w:val="24"/>
          <w:szCs w:val="20"/>
          <w:u w:val="none"/>
          <w:shd w:val="clear"/>
          <w:lang w:val="en-US" w:eastAsia="zh-CN" w:bidi="ar-SA"/>
        </w:rPr>
        <w:t>)</w:t>
      </w:r>
      <w:r>
        <w:rPr>
          <w:rFonts w:hint="eastAsia" w:ascii="宋体" w:hAnsi="宋体" w:eastAsia="宋体" w:cs="Times New Roman"/>
          <w:color w:val="auto"/>
          <w:kern w:val="28"/>
          <w:sz w:val="24"/>
          <w:szCs w:val="20"/>
          <w:u w:val="none"/>
          <w:shd w:val="clear"/>
          <w:lang w:val="en-US" w:eastAsia="zh-CN" w:bidi="ar-SA"/>
        </w:rPr>
        <w:t xml:space="preserve"> </w:t>
      </w:r>
    </w:p>
    <w:p>
      <w:pPr>
        <w:spacing w:before="72" w:beforeLines="30" w:after="72" w:afterLines="30" w:line="360" w:lineRule="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xml:space="preserve">5、工期：70日历天  </w:t>
      </w:r>
    </w:p>
    <w:p>
      <w:pPr>
        <w:spacing w:line="360" w:lineRule="auto"/>
        <w:rPr>
          <w:rFonts w:hint="eastAsia"/>
          <w:color w:val="auto"/>
        </w:rPr>
      </w:pP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、付款方式：按照合同约定付款方式付款</w:t>
      </w:r>
    </w:p>
    <w:p>
      <w:pPr>
        <w:spacing w:line="360" w:lineRule="auto"/>
        <w:rPr>
          <w:rFonts w:hint="eastAsia" w:ascii="宋体" w:hAnsi="宋体" w:eastAsia="宋体" w:cs="宋体"/>
          <w:color w:val="auto"/>
          <w:sz w:val="24"/>
          <w:szCs w:val="24"/>
        </w:rPr>
      </w:pP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、质量</w:t>
      </w:r>
      <w:r>
        <w:rPr>
          <w:rFonts w:hint="eastAsia" w:ascii="宋体" w:hAnsi="宋体" w:cs="宋体"/>
          <w:color w:val="auto"/>
          <w:sz w:val="24"/>
          <w:szCs w:val="24"/>
          <w:lang w:eastAsia="zh-CN"/>
        </w:rPr>
        <w:t>标准</w:t>
      </w:r>
      <w:r>
        <w:rPr>
          <w:rFonts w:hint="eastAsia" w:ascii="宋体" w:hAnsi="宋体" w:eastAsia="宋体" w:cs="宋体"/>
          <w:color w:val="auto"/>
          <w:sz w:val="24"/>
          <w:szCs w:val="24"/>
        </w:rPr>
        <w:t>：合格</w:t>
      </w:r>
    </w:p>
    <w:p>
      <w:pPr>
        <w:spacing w:line="360" w:lineRule="auto"/>
        <w:rPr>
          <w:rFonts w:hint="eastAsia" w:ascii="宋体" w:hAnsi="宋体" w:eastAsia="宋体" w:cs="宋体"/>
          <w:color w:val="auto"/>
          <w:sz w:val="24"/>
          <w:szCs w:val="24"/>
        </w:rPr>
      </w:pPr>
      <w:r>
        <w:rPr>
          <w:rFonts w:hint="eastAsia" w:ascii="宋体" w:hAnsi="宋体"/>
          <w:color w:val="auto"/>
          <w:sz w:val="24"/>
          <w:lang w:val="en-US" w:eastAsia="zh-CN"/>
        </w:rPr>
        <w:t>8、</w:t>
      </w:r>
      <w:r>
        <w:rPr>
          <w:rFonts w:hint="eastAsia" w:ascii="宋体" w:hAnsi="宋体"/>
          <w:color w:val="auto"/>
          <w:sz w:val="24"/>
          <w:szCs w:val="22"/>
        </w:rPr>
        <w:t>验收方式：由采购人组织有关部门按照国家有关标准的规定进行验收。</w:t>
      </w:r>
    </w:p>
    <w:p>
      <w:pPr>
        <w:spacing w:line="360" w:lineRule="auto"/>
        <w:outlineLvl w:val="0"/>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二、工程量清单</w:t>
      </w:r>
      <w:bookmarkStart w:id="88" w:name="_Toc1660548"/>
      <w:r>
        <w:rPr>
          <w:rFonts w:hint="eastAsia" w:ascii="宋体" w:hAnsi="宋体" w:eastAsia="宋体" w:cs="宋体"/>
          <w:b/>
          <w:color w:val="auto"/>
          <w:sz w:val="24"/>
          <w:szCs w:val="24"/>
          <w:lang w:eastAsia="zh-CN"/>
        </w:rPr>
        <w:t>（另册）</w:t>
      </w:r>
    </w:p>
    <w:p>
      <w:pPr>
        <w:pStyle w:val="2"/>
        <w:numPr>
          <w:ilvl w:val="0"/>
          <w:numId w:val="0"/>
        </w:numPr>
        <w:jc w:val="both"/>
        <w:rPr>
          <w:rFonts w:hint="eastAsia" w:hAnsi="宋体"/>
          <w:b/>
          <w:bCs/>
          <w:color w:val="auto"/>
          <w:kern w:val="44"/>
          <w:sz w:val="30"/>
          <w:szCs w:val="30"/>
          <w:lang w:eastAsia="zh-CN"/>
        </w:rPr>
      </w:pPr>
    </w:p>
    <w:p>
      <w:pPr>
        <w:ind w:firstLine="643"/>
        <w:jc w:val="center"/>
        <w:outlineLvl w:val="0"/>
        <w:rPr>
          <w:rFonts w:hint="eastAsia" w:hAnsi="宋体"/>
          <w:b/>
          <w:bCs/>
          <w:color w:val="auto"/>
          <w:kern w:val="44"/>
          <w:sz w:val="30"/>
          <w:szCs w:val="30"/>
          <w:lang w:eastAsia="zh-CN"/>
        </w:rPr>
      </w:pPr>
    </w:p>
    <w:p>
      <w:pPr>
        <w:ind w:firstLine="643"/>
        <w:jc w:val="center"/>
        <w:outlineLvl w:val="0"/>
        <w:rPr>
          <w:rFonts w:hint="eastAsia" w:hAnsi="宋体"/>
          <w:b/>
          <w:bCs/>
          <w:color w:val="auto"/>
          <w:kern w:val="44"/>
          <w:sz w:val="30"/>
          <w:szCs w:val="30"/>
          <w:lang w:eastAsia="zh-CN"/>
        </w:rPr>
      </w:pPr>
    </w:p>
    <w:p>
      <w:pPr>
        <w:ind w:firstLine="643"/>
        <w:jc w:val="center"/>
        <w:outlineLvl w:val="0"/>
        <w:rPr>
          <w:rFonts w:hint="eastAsia" w:hAnsi="宋体"/>
          <w:b/>
          <w:bCs/>
          <w:color w:val="auto"/>
          <w:kern w:val="44"/>
          <w:sz w:val="30"/>
          <w:szCs w:val="30"/>
          <w:lang w:eastAsia="zh-CN"/>
        </w:rPr>
      </w:pPr>
    </w:p>
    <w:p>
      <w:pPr>
        <w:ind w:firstLine="643"/>
        <w:jc w:val="center"/>
        <w:outlineLvl w:val="0"/>
        <w:rPr>
          <w:rFonts w:hint="default" w:hAnsi="宋体"/>
          <w:b/>
          <w:bCs/>
          <w:color w:val="auto"/>
          <w:kern w:val="44"/>
          <w:sz w:val="30"/>
          <w:szCs w:val="30"/>
          <w:lang w:val="en-US" w:eastAsia="zh-CN"/>
        </w:rPr>
      </w:pPr>
      <w:r>
        <w:rPr>
          <w:rFonts w:hint="eastAsia" w:hAnsi="宋体"/>
          <w:b/>
          <w:bCs/>
          <w:color w:val="auto"/>
          <w:kern w:val="44"/>
          <w:sz w:val="30"/>
          <w:szCs w:val="30"/>
          <w:lang w:val="en-US" w:eastAsia="zh-CN"/>
        </w:rPr>
        <w:t xml:space="preserve">                     </w:t>
      </w:r>
    </w:p>
    <w:p>
      <w:pPr>
        <w:pStyle w:val="2"/>
        <w:rPr>
          <w:rFonts w:hint="eastAsia" w:hAnsi="宋体"/>
          <w:b/>
          <w:bCs/>
          <w:color w:val="auto"/>
          <w:kern w:val="44"/>
          <w:sz w:val="30"/>
          <w:szCs w:val="30"/>
          <w:lang w:eastAsia="zh-CN"/>
        </w:rPr>
      </w:pPr>
    </w:p>
    <w:p>
      <w:pPr>
        <w:jc w:val="both"/>
        <w:rPr>
          <w:rFonts w:hint="eastAsia"/>
          <w:b/>
          <w:color w:val="auto"/>
          <w:sz w:val="30"/>
          <w:szCs w:val="30"/>
        </w:rPr>
      </w:pPr>
    </w:p>
    <w:bookmarkEnd w:id="88"/>
    <w:p>
      <w:pPr>
        <w:jc w:val="center"/>
        <w:rPr>
          <w:rFonts w:ascii="宋体" w:hAnsi="宋体" w:cs="宋体"/>
          <w:b/>
          <w:color w:val="auto"/>
          <w:sz w:val="24"/>
        </w:rPr>
      </w:pPr>
      <w:r>
        <w:rPr>
          <w:rFonts w:hint="eastAsia"/>
          <w:b/>
          <w:color w:val="auto"/>
          <w:sz w:val="30"/>
          <w:szCs w:val="30"/>
        </w:rPr>
        <w:t>第四章、</w:t>
      </w:r>
      <w:r>
        <w:rPr>
          <w:b/>
          <w:color w:val="auto"/>
          <w:sz w:val="30"/>
          <w:szCs w:val="30"/>
        </w:rPr>
        <w:t>合同文本</w:t>
      </w:r>
      <w:r>
        <w:rPr>
          <w:rFonts w:hint="eastAsia"/>
          <w:b/>
          <w:color w:val="auto"/>
          <w:sz w:val="30"/>
          <w:szCs w:val="30"/>
        </w:rPr>
        <w:t>（参考文本）</w:t>
      </w:r>
    </w:p>
    <w:p>
      <w:pPr>
        <w:widowControl w:val="0"/>
        <w:spacing w:before="100" w:beforeAutospacing="1" w:after="100" w:afterAutospacing="1" w:line="360" w:lineRule="auto"/>
        <w:jc w:val="center"/>
        <w:rPr>
          <w:rFonts w:hint="eastAsia" w:ascii="仿宋_GB2312" w:hAnsi="宋体" w:eastAsia="仿宋_GB2312"/>
          <w:b/>
          <w:color w:val="auto"/>
          <w:kern w:val="2"/>
          <w:sz w:val="36"/>
          <w:szCs w:val="36"/>
        </w:rPr>
      </w:pPr>
      <w:r>
        <w:rPr>
          <w:rFonts w:hint="eastAsia" w:ascii="仿宋_GB2312" w:hAnsi="宋体" w:eastAsia="仿宋_GB2312"/>
          <w:b/>
          <w:color w:val="auto"/>
          <w:kern w:val="2"/>
          <w:sz w:val="36"/>
          <w:szCs w:val="36"/>
        </w:rPr>
        <w:t>合同通用条款部分</w:t>
      </w:r>
    </w:p>
    <w:p>
      <w:pPr>
        <w:widowControl w:val="0"/>
        <w:jc w:val="center"/>
        <w:rPr>
          <w:rFonts w:hint="eastAsia" w:ascii="仿宋_GB2312" w:hAnsi="宋体" w:eastAsia="仿宋_GB2312"/>
          <w:b/>
          <w:color w:val="auto"/>
          <w:kern w:val="2"/>
          <w:sz w:val="36"/>
          <w:szCs w:val="36"/>
        </w:rPr>
      </w:pPr>
      <w:r>
        <w:rPr>
          <w:rFonts w:hint="eastAsia" w:ascii="仿宋_GB2312" w:hAnsi="宋体" w:eastAsia="仿宋_GB2312"/>
          <w:b/>
          <w:color w:val="auto"/>
          <w:kern w:val="2"/>
          <w:sz w:val="36"/>
          <w:szCs w:val="36"/>
        </w:rPr>
        <w:t>（略）</w:t>
      </w:r>
    </w:p>
    <w:p>
      <w:pPr>
        <w:widowControl w:val="0"/>
        <w:jc w:val="center"/>
        <w:rPr>
          <w:rFonts w:hint="eastAsia" w:ascii="仿宋_GB2312" w:hAnsi="宋体" w:eastAsia="仿宋_GB2312"/>
          <w:b/>
          <w:color w:val="auto"/>
          <w:kern w:val="2"/>
          <w:sz w:val="36"/>
          <w:szCs w:val="36"/>
        </w:rPr>
      </w:pPr>
      <w:r>
        <w:rPr>
          <w:rFonts w:hint="eastAsia" w:ascii="仿宋_GB2312" w:hAnsi="宋体" w:eastAsia="仿宋_GB2312"/>
          <w:b/>
          <w:color w:val="auto"/>
          <w:kern w:val="2"/>
          <w:sz w:val="36"/>
          <w:szCs w:val="36"/>
        </w:rPr>
        <w:t>合同专用条款部分</w:t>
      </w:r>
    </w:p>
    <w:p>
      <w:pPr>
        <w:snapToGrid w:val="0"/>
        <w:spacing w:before="19" w:line="500" w:lineRule="exact"/>
        <w:rPr>
          <w:rFonts w:hint="eastAsia" w:ascii="仿宋_GB2312" w:hAnsi="宋体" w:eastAsia="仿宋_GB2312"/>
          <w:b/>
          <w:color w:val="auto"/>
          <w:sz w:val="24"/>
          <w:u w:val="single"/>
        </w:rPr>
      </w:pPr>
      <w:r>
        <w:rPr>
          <w:rFonts w:hint="eastAsia" w:ascii="仿宋_GB2312" w:hAnsi="宋体" w:eastAsia="仿宋_GB2312"/>
          <w:color w:val="auto"/>
          <w:sz w:val="24"/>
        </w:rPr>
        <w:t>甲方:</w:t>
      </w:r>
      <w:r>
        <w:rPr>
          <w:rFonts w:hint="eastAsia" w:ascii="仿宋_GB2312" w:hAnsi="宋体" w:eastAsia="仿宋_GB2312"/>
          <w:b/>
          <w:bCs/>
          <w:color w:val="auto"/>
          <w:sz w:val="24"/>
        </w:rPr>
        <w:t xml:space="preserve"> </w:t>
      </w:r>
      <w:r>
        <w:rPr>
          <w:rFonts w:hint="eastAsia" w:ascii="仿宋_GB2312" w:hAnsi="宋体" w:eastAsia="仿宋_GB2312"/>
          <w:b/>
          <w:color w:val="auto"/>
          <w:sz w:val="24"/>
          <w:u w:val="single"/>
        </w:rPr>
        <w:t xml:space="preserve">                            </w:t>
      </w:r>
    </w:p>
    <w:p>
      <w:pPr>
        <w:snapToGrid w:val="0"/>
        <w:spacing w:before="19" w:line="500" w:lineRule="exact"/>
        <w:rPr>
          <w:rFonts w:hint="eastAsia" w:ascii="仿宋_GB2312" w:hAnsi="宋体" w:eastAsia="仿宋_GB2312"/>
          <w:b/>
          <w:color w:val="auto"/>
          <w:sz w:val="24"/>
          <w:u w:val="single"/>
        </w:rPr>
      </w:pPr>
      <w:r>
        <w:rPr>
          <w:rFonts w:hint="eastAsia" w:ascii="仿宋_GB2312" w:hAnsi="宋体" w:eastAsia="仿宋_GB2312"/>
          <w:color w:val="auto"/>
          <w:sz w:val="24"/>
        </w:rPr>
        <w:t>乙方:</w:t>
      </w:r>
      <w:r>
        <w:rPr>
          <w:rFonts w:hint="eastAsia" w:ascii="仿宋_GB2312" w:hAnsi="宋体" w:eastAsia="仿宋_GB2312"/>
          <w:b/>
          <w:color w:val="auto"/>
          <w:sz w:val="24"/>
        </w:rPr>
        <w:t xml:space="preserve">  </w:t>
      </w:r>
      <w:r>
        <w:rPr>
          <w:rFonts w:hint="eastAsia" w:ascii="仿宋_GB2312" w:hAnsi="宋体" w:eastAsia="仿宋_GB2312"/>
          <w:b/>
          <w:color w:val="auto"/>
          <w:sz w:val="24"/>
          <w:u w:val="single"/>
        </w:rPr>
        <w:t xml:space="preserve">                           </w:t>
      </w:r>
    </w:p>
    <w:p>
      <w:pPr>
        <w:snapToGrid w:val="0"/>
        <w:spacing w:before="19" w:line="500" w:lineRule="exact"/>
        <w:rPr>
          <w:rFonts w:hint="eastAsia" w:ascii="仿宋_GB2312" w:hAnsi="宋体" w:eastAsia="仿宋_GB2312"/>
          <w:color w:val="auto"/>
          <w:sz w:val="24"/>
          <w:u w:val="single"/>
        </w:rPr>
      </w:pPr>
    </w:p>
    <w:p>
      <w:pPr>
        <w:widowControl w:val="0"/>
        <w:snapToGrid w:val="0"/>
        <w:spacing w:line="360" w:lineRule="auto"/>
        <w:ind w:firstLine="480" w:firstLineChars="200"/>
        <w:jc w:val="both"/>
        <w:rPr>
          <w:rFonts w:hint="eastAsia" w:ascii="仿宋_GB2312" w:hAnsi="宋体" w:eastAsia="仿宋_GB2312"/>
          <w:b/>
          <w:color w:val="auto"/>
          <w:kern w:val="2"/>
          <w:sz w:val="36"/>
          <w:szCs w:val="36"/>
        </w:rPr>
      </w:pPr>
      <w:r>
        <w:rPr>
          <w:rFonts w:hint="eastAsia" w:ascii="仿宋_GB2312" w:hAnsi="宋体" w:eastAsia="仿宋_GB2312"/>
          <w:color w:val="auto"/>
          <w:sz w:val="24"/>
        </w:rPr>
        <w:t>甲乙双方根据</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年</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月</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日</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（项目编号:       ）</w:t>
      </w:r>
      <w:r>
        <w:rPr>
          <w:rFonts w:hint="eastAsia" w:ascii="仿宋_GB2312" w:hAnsi="宋体" w:eastAsia="仿宋_GB2312"/>
          <w:color w:val="auto"/>
          <w:sz w:val="24"/>
          <w:lang w:eastAsia="zh-CN"/>
        </w:rPr>
        <w:t>竞争性谈判</w:t>
      </w:r>
      <w:r>
        <w:rPr>
          <w:rFonts w:hint="eastAsia" w:ascii="仿宋_GB2312" w:hAnsi="宋体" w:eastAsia="仿宋_GB2312"/>
          <w:color w:val="auto"/>
          <w:sz w:val="24"/>
        </w:rPr>
        <w:t>结果及</w:t>
      </w:r>
      <w:r>
        <w:rPr>
          <w:rFonts w:hint="eastAsia" w:ascii="仿宋_GB2312" w:hAnsi="宋体" w:eastAsia="仿宋_GB2312"/>
          <w:color w:val="auto"/>
          <w:sz w:val="24"/>
          <w:lang w:eastAsia="zh-CN"/>
        </w:rPr>
        <w:t>竞争性谈判文件</w:t>
      </w:r>
      <w:r>
        <w:rPr>
          <w:rFonts w:hint="eastAsia" w:ascii="仿宋_GB2312" w:hAnsi="宋体" w:eastAsia="仿宋_GB2312"/>
          <w:color w:val="auto"/>
          <w:sz w:val="24"/>
        </w:rPr>
        <w:t>的要求,经协商一致,同意以下专用条款作为本项目合同条款的补充。当合同条款与专用条款不一致时，以专用条款为准。</w:t>
      </w:r>
    </w:p>
    <w:p>
      <w:pPr>
        <w:widowControl w:val="0"/>
        <w:snapToGrid w:val="0"/>
        <w:spacing w:before="19" w:line="500" w:lineRule="exact"/>
        <w:jc w:val="both"/>
        <w:rPr>
          <w:rFonts w:hint="eastAsia" w:ascii="仿宋_GB2312" w:hAnsi="宋体" w:eastAsia="仿宋_GB2312"/>
          <w:b/>
          <w:color w:val="auto"/>
          <w:sz w:val="24"/>
        </w:rPr>
      </w:pPr>
      <w:r>
        <w:rPr>
          <w:rFonts w:hint="eastAsia" w:ascii="仿宋_GB2312" w:hAnsi="宋体" w:eastAsia="仿宋_GB2312"/>
          <w:b/>
          <w:color w:val="auto"/>
          <w:sz w:val="24"/>
        </w:rPr>
        <w:t>一、合同标的及金额等</w:t>
      </w:r>
    </w:p>
    <w:tbl>
      <w:tblPr>
        <w:tblStyle w:val="22"/>
        <w:tblW w:w="0" w:type="auto"/>
        <w:jc w:val="center"/>
        <w:tblLayout w:type="fixed"/>
        <w:tblCellMar>
          <w:top w:w="0" w:type="dxa"/>
          <w:left w:w="30" w:type="dxa"/>
          <w:bottom w:w="0" w:type="dxa"/>
          <w:right w:w="30" w:type="dxa"/>
        </w:tblCellMar>
      </w:tblPr>
      <w:tblGrid>
        <w:gridCol w:w="720"/>
        <w:gridCol w:w="2058"/>
        <w:gridCol w:w="1722"/>
        <w:gridCol w:w="902"/>
        <w:gridCol w:w="720"/>
        <w:gridCol w:w="1260"/>
        <w:gridCol w:w="1260"/>
      </w:tblGrid>
      <w:tr>
        <w:tblPrEx>
          <w:tblCellMar>
            <w:top w:w="0" w:type="dxa"/>
            <w:left w:w="30" w:type="dxa"/>
            <w:bottom w:w="0" w:type="dxa"/>
            <w:right w:w="30" w:type="dxa"/>
          </w:tblCellMar>
        </w:tblPrEx>
        <w:trPr>
          <w:trHeight w:val="593" w:hRule="exact"/>
          <w:jc w:val="center"/>
        </w:trPr>
        <w:tc>
          <w:tcPr>
            <w:tcW w:w="720"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adjustRightInd w:val="0"/>
              <w:jc w:val="center"/>
              <w:rPr>
                <w:rFonts w:hint="eastAsia" w:ascii="仿宋_GB2312" w:hAnsi="宋体" w:eastAsia="仿宋_GB2312" w:cs="Arial"/>
                <w:b/>
                <w:color w:val="auto"/>
                <w:sz w:val="24"/>
                <w:szCs w:val="21"/>
              </w:rPr>
            </w:pPr>
            <w:r>
              <w:rPr>
                <w:rFonts w:hint="eastAsia" w:ascii="仿宋_GB2312" w:hAnsi="宋体" w:eastAsia="仿宋_GB2312" w:cs="Arial"/>
                <w:b/>
                <w:color w:val="auto"/>
                <w:sz w:val="24"/>
                <w:szCs w:val="21"/>
              </w:rPr>
              <w:t>序号</w:t>
            </w:r>
          </w:p>
        </w:tc>
        <w:tc>
          <w:tcPr>
            <w:tcW w:w="2058"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adjustRightInd w:val="0"/>
              <w:jc w:val="center"/>
              <w:rPr>
                <w:rFonts w:hint="eastAsia" w:ascii="仿宋_GB2312" w:hAnsi="宋体" w:eastAsia="仿宋_GB2312" w:cs="Arial"/>
                <w:b/>
                <w:color w:val="auto"/>
                <w:sz w:val="24"/>
                <w:szCs w:val="21"/>
              </w:rPr>
            </w:pPr>
            <w:r>
              <w:rPr>
                <w:rFonts w:hint="eastAsia" w:ascii="仿宋_GB2312" w:hAnsi="宋体" w:eastAsia="仿宋_GB2312" w:cs="Arial"/>
                <w:b/>
                <w:color w:val="auto"/>
                <w:sz w:val="24"/>
                <w:szCs w:val="21"/>
              </w:rPr>
              <w:t>建设项目</w:t>
            </w:r>
          </w:p>
        </w:tc>
        <w:tc>
          <w:tcPr>
            <w:tcW w:w="1722"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adjustRightInd w:val="0"/>
              <w:jc w:val="center"/>
              <w:rPr>
                <w:rFonts w:hint="eastAsia" w:ascii="仿宋_GB2312" w:hAnsi="宋体" w:eastAsia="仿宋_GB2312" w:cs="Arial"/>
                <w:b/>
                <w:color w:val="auto"/>
                <w:sz w:val="24"/>
                <w:szCs w:val="21"/>
              </w:rPr>
            </w:pPr>
            <w:r>
              <w:rPr>
                <w:rFonts w:hint="eastAsia" w:ascii="仿宋_GB2312" w:hAnsi="宋体" w:eastAsia="仿宋_GB2312" w:cs="Arial"/>
                <w:b/>
                <w:color w:val="auto"/>
                <w:sz w:val="24"/>
                <w:szCs w:val="21"/>
              </w:rPr>
              <w:t>技术指标</w:t>
            </w:r>
          </w:p>
        </w:tc>
        <w:tc>
          <w:tcPr>
            <w:tcW w:w="902"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adjustRightInd w:val="0"/>
              <w:jc w:val="center"/>
              <w:rPr>
                <w:rFonts w:hint="eastAsia" w:ascii="仿宋_GB2312" w:hAnsi="宋体" w:eastAsia="仿宋_GB2312" w:cs="Arial"/>
                <w:b/>
                <w:color w:val="auto"/>
                <w:sz w:val="24"/>
                <w:szCs w:val="21"/>
              </w:rPr>
            </w:pPr>
            <w:r>
              <w:rPr>
                <w:rFonts w:hint="eastAsia" w:ascii="仿宋_GB2312" w:hAnsi="宋体" w:eastAsia="仿宋_GB2312" w:cs="Arial"/>
                <w:b/>
                <w:color w:val="auto"/>
                <w:sz w:val="24"/>
                <w:szCs w:val="21"/>
              </w:rPr>
              <w:t>单价</w:t>
            </w:r>
          </w:p>
        </w:tc>
        <w:tc>
          <w:tcPr>
            <w:tcW w:w="720"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adjustRightInd w:val="0"/>
              <w:jc w:val="center"/>
              <w:rPr>
                <w:rFonts w:hint="eastAsia" w:ascii="仿宋_GB2312" w:hAnsi="宋体" w:eastAsia="仿宋_GB2312" w:cs="Arial"/>
                <w:b/>
                <w:color w:val="auto"/>
                <w:sz w:val="24"/>
                <w:szCs w:val="21"/>
              </w:rPr>
            </w:pPr>
            <w:r>
              <w:rPr>
                <w:rFonts w:hint="eastAsia" w:ascii="仿宋_GB2312" w:hAnsi="宋体" w:eastAsia="仿宋_GB2312" w:cs="Arial"/>
                <w:b/>
                <w:color w:val="auto"/>
                <w:sz w:val="24"/>
                <w:szCs w:val="21"/>
              </w:rPr>
              <w:t>数量</w:t>
            </w:r>
          </w:p>
        </w:tc>
        <w:tc>
          <w:tcPr>
            <w:tcW w:w="1260"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adjustRightInd w:val="0"/>
              <w:jc w:val="center"/>
              <w:rPr>
                <w:rFonts w:hint="eastAsia" w:ascii="仿宋_GB2312" w:hAnsi="宋体" w:eastAsia="仿宋_GB2312" w:cs="Arial"/>
                <w:b/>
                <w:color w:val="auto"/>
                <w:sz w:val="24"/>
                <w:szCs w:val="21"/>
              </w:rPr>
            </w:pPr>
            <w:r>
              <w:rPr>
                <w:rFonts w:hint="eastAsia" w:ascii="仿宋_GB2312" w:hAnsi="宋体" w:eastAsia="仿宋_GB2312" w:cs="Arial"/>
                <w:b/>
                <w:color w:val="auto"/>
                <w:sz w:val="24"/>
                <w:szCs w:val="21"/>
              </w:rPr>
              <w:t>合计</w:t>
            </w:r>
          </w:p>
        </w:tc>
        <w:tc>
          <w:tcPr>
            <w:tcW w:w="1260"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adjustRightInd w:val="0"/>
              <w:jc w:val="center"/>
              <w:rPr>
                <w:rFonts w:hint="eastAsia" w:ascii="仿宋_GB2312" w:hAnsi="宋体" w:eastAsia="仿宋_GB2312" w:cs="Arial"/>
                <w:b/>
                <w:color w:val="auto"/>
                <w:sz w:val="24"/>
                <w:szCs w:val="21"/>
              </w:rPr>
            </w:pPr>
            <w:r>
              <w:rPr>
                <w:rFonts w:hint="eastAsia" w:ascii="仿宋_GB2312" w:hAnsi="宋体" w:eastAsia="仿宋_GB2312" w:cs="Arial"/>
                <w:b/>
                <w:color w:val="auto"/>
                <w:sz w:val="24"/>
                <w:szCs w:val="21"/>
              </w:rPr>
              <w:t>备注</w:t>
            </w:r>
          </w:p>
        </w:tc>
      </w:tr>
      <w:tr>
        <w:tblPrEx>
          <w:tblCellMar>
            <w:top w:w="0" w:type="dxa"/>
            <w:left w:w="30" w:type="dxa"/>
            <w:bottom w:w="0" w:type="dxa"/>
            <w:right w:w="30" w:type="dxa"/>
          </w:tblCellMar>
        </w:tblPrEx>
        <w:trPr>
          <w:trHeight w:val="770" w:hRule="exact"/>
          <w:jc w:val="center"/>
        </w:trPr>
        <w:tc>
          <w:tcPr>
            <w:tcW w:w="720"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jc w:val="center"/>
              <w:rPr>
                <w:rFonts w:hint="eastAsia" w:ascii="仿宋_GB2312" w:hAnsi="宋体" w:eastAsia="仿宋_GB2312" w:cs="Arial"/>
                <w:color w:val="auto"/>
                <w:sz w:val="24"/>
                <w:szCs w:val="21"/>
              </w:rPr>
            </w:pPr>
            <w:r>
              <w:rPr>
                <w:rFonts w:hint="eastAsia" w:ascii="仿宋_GB2312" w:hAnsi="宋体" w:eastAsia="仿宋_GB2312" w:cs="Arial"/>
                <w:color w:val="auto"/>
                <w:sz w:val="24"/>
                <w:szCs w:val="21"/>
              </w:rPr>
              <w:t>1</w:t>
            </w:r>
          </w:p>
        </w:tc>
        <w:tc>
          <w:tcPr>
            <w:tcW w:w="2058" w:type="dxa"/>
            <w:tcBorders>
              <w:top w:val="single" w:color="auto" w:sz="8" w:space="0"/>
              <w:left w:val="single" w:color="auto" w:sz="8" w:space="0"/>
              <w:bottom w:val="single" w:color="auto" w:sz="8" w:space="0"/>
              <w:right w:val="single" w:color="auto" w:sz="8" w:space="0"/>
            </w:tcBorders>
            <w:noWrap w:val="0"/>
            <w:vAlign w:val="bottom"/>
          </w:tcPr>
          <w:p>
            <w:pPr>
              <w:rPr>
                <w:rFonts w:hint="eastAsia" w:ascii="仿宋_GB2312" w:hAnsi="宋体" w:eastAsia="仿宋_GB2312" w:cs="宋体"/>
                <w:color w:val="auto"/>
                <w:sz w:val="24"/>
              </w:rPr>
            </w:pPr>
            <w:r>
              <w:rPr>
                <w:rFonts w:hint="eastAsia" w:ascii="仿宋_GB2312" w:hAnsi="宋体" w:eastAsia="仿宋_GB2312"/>
                <w:color w:val="auto"/>
                <w:sz w:val="24"/>
              </w:rPr>
              <w:t xml:space="preserve"> </w:t>
            </w:r>
          </w:p>
          <w:p>
            <w:pPr>
              <w:rPr>
                <w:rFonts w:hint="eastAsia" w:ascii="仿宋_GB2312" w:hAnsi="宋体" w:eastAsia="仿宋_GB2312" w:cs="Arial"/>
                <w:color w:val="auto"/>
                <w:sz w:val="24"/>
              </w:rPr>
            </w:pPr>
          </w:p>
        </w:tc>
        <w:tc>
          <w:tcPr>
            <w:tcW w:w="1722"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jc w:val="right"/>
              <w:rPr>
                <w:rFonts w:hint="eastAsia" w:ascii="仿宋_GB2312" w:hAnsi="宋体" w:eastAsia="仿宋_GB2312" w:cs="Arial"/>
                <w:color w:val="auto"/>
                <w:sz w:val="24"/>
                <w:szCs w:val="21"/>
              </w:rPr>
            </w:pPr>
          </w:p>
        </w:tc>
        <w:tc>
          <w:tcPr>
            <w:tcW w:w="902"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adjustRightInd w:val="0"/>
              <w:jc w:val="right"/>
              <w:rPr>
                <w:rFonts w:hint="eastAsia" w:ascii="仿宋_GB2312" w:hAnsi="宋体" w:eastAsia="仿宋_GB2312" w:cs="Arial"/>
                <w:color w:val="auto"/>
                <w:sz w:val="24"/>
                <w:szCs w:val="21"/>
              </w:rPr>
            </w:pPr>
          </w:p>
        </w:tc>
        <w:tc>
          <w:tcPr>
            <w:tcW w:w="720"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adjustRightInd w:val="0"/>
              <w:jc w:val="right"/>
              <w:rPr>
                <w:rFonts w:hint="eastAsia" w:ascii="仿宋_GB2312" w:hAnsi="宋体" w:eastAsia="仿宋_GB2312" w:cs="Arial"/>
                <w:color w:val="auto"/>
                <w:sz w:val="24"/>
                <w:szCs w:val="21"/>
              </w:rPr>
            </w:pPr>
          </w:p>
        </w:tc>
        <w:tc>
          <w:tcPr>
            <w:tcW w:w="1260" w:type="dxa"/>
            <w:tcBorders>
              <w:top w:val="single" w:color="auto" w:sz="8" w:space="0"/>
              <w:left w:val="single" w:color="auto" w:sz="8" w:space="0"/>
              <w:bottom w:val="single" w:color="auto" w:sz="8" w:space="0"/>
              <w:right w:val="single" w:color="auto" w:sz="8" w:space="0"/>
            </w:tcBorders>
            <w:noWrap w:val="0"/>
            <w:vAlign w:val="top"/>
          </w:tcPr>
          <w:p>
            <w:pPr>
              <w:rPr>
                <w:rFonts w:hint="eastAsia" w:ascii="仿宋_GB2312" w:hAnsi="宋体" w:eastAsia="仿宋_GB2312" w:cs="Arial"/>
                <w:color w:val="auto"/>
                <w:sz w:val="24"/>
                <w:szCs w:val="21"/>
              </w:rPr>
            </w:pPr>
          </w:p>
        </w:tc>
        <w:tc>
          <w:tcPr>
            <w:tcW w:w="1260" w:type="dxa"/>
            <w:tcBorders>
              <w:top w:val="single" w:color="auto" w:sz="8" w:space="0"/>
              <w:left w:val="single" w:color="auto" w:sz="8" w:space="0"/>
              <w:bottom w:val="single" w:color="auto" w:sz="8" w:space="0"/>
              <w:right w:val="single" w:color="auto" w:sz="8" w:space="0"/>
            </w:tcBorders>
            <w:noWrap w:val="0"/>
            <w:vAlign w:val="center"/>
          </w:tcPr>
          <w:p>
            <w:pPr>
              <w:rPr>
                <w:rFonts w:hint="eastAsia" w:ascii="仿宋_GB2312" w:hAnsi="宋体" w:eastAsia="仿宋_GB2312" w:cs="Arial"/>
                <w:color w:val="auto"/>
                <w:sz w:val="24"/>
                <w:szCs w:val="21"/>
              </w:rPr>
            </w:pPr>
          </w:p>
        </w:tc>
      </w:tr>
      <w:tr>
        <w:tblPrEx>
          <w:tblCellMar>
            <w:top w:w="0" w:type="dxa"/>
            <w:left w:w="30" w:type="dxa"/>
            <w:bottom w:w="0" w:type="dxa"/>
            <w:right w:w="30" w:type="dxa"/>
          </w:tblCellMar>
        </w:tblPrEx>
        <w:trPr>
          <w:trHeight w:val="734" w:hRule="exact"/>
          <w:jc w:val="center"/>
        </w:trPr>
        <w:tc>
          <w:tcPr>
            <w:tcW w:w="720"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jc w:val="center"/>
              <w:rPr>
                <w:rFonts w:hint="eastAsia" w:ascii="仿宋_GB2312" w:hAnsi="宋体" w:eastAsia="仿宋_GB2312" w:cs="Arial"/>
                <w:color w:val="auto"/>
                <w:sz w:val="24"/>
                <w:szCs w:val="21"/>
              </w:rPr>
            </w:pPr>
            <w:r>
              <w:rPr>
                <w:rFonts w:hint="eastAsia" w:ascii="仿宋_GB2312" w:hAnsi="宋体" w:eastAsia="仿宋_GB2312" w:cs="Arial"/>
                <w:color w:val="auto"/>
                <w:sz w:val="24"/>
                <w:szCs w:val="21"/>
              </w:rPr>
              <w:t>2</w:t>
            </w:r>
          </w:p>
        </w:tc>
        <w:tc>
          <w:tcPr>
            <w:tcW w:w="2058" w:type="dxa"/>
            <w:tcBorders>
              <w:top w:val="single" w:color="auto" w:sz="8" w:space="0"/>
              <w:left w:val="single" w:color="auto" w:sz="8" w:space="0"/>
              <w:bottom w:val="single" w:color="auto" w:sz="8" w:space="0"/>
              <w:right w:val="single" w:color="auto" w:sz="8" w:space="0"/>
            </w:tcBorders>
            <w:noWrap w:val="0"/>
            <w:vAlign w:val="bottom"/>
          </w:tcPr>
          <w:p>
            <w:pPr>
              <w:rPr>
                <w:rFonts w:hint="eastAsia" w:ascii="仿宋_GB2312" w:hAnsi="宋体" w:eastAsia="仿宋_GB2312" w:cs="宋体"/>
                <w:color w:val="auto"/>
                <w:sz w:val="24"/>
              </w:rPr>
            </w:pPr>
            <w:r>
              <w:rPr>
                <w:rFonts w:hint="eastAsia" w:ascii="仿宋_GB2312" w:hAnsi="宋体" w:eastAsia="仿宋_GB2312"/>
                <w:color w:val="auto"/>
                <w:sz w:val="24"/>
              </w:rPr>
              <w:t xml:space="preserve"> </w:t>
            </w:r>
          </w:p>
          <w:p>
            <w:pPr>
              <w:rPr>
                <w:rFonts w:hint="eastAsia" w:ascii="仿宋_GB2312" w:hAnsi="宋体" w:eastAsia="仿宋_GB2312" w:cs="Arial"/>
                <w:color w:val="auto"/>
                <w:sz w:val="24"/>
              </w:rPr>
            </w:pPr>
          </w:p>
        </w:tc>
        <w:tc>
          <w:tcPr>
            <w:tcW w:w="1722"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jc w:val="right"/>
              <w:rPr>
                <w:rFonts w:hint="eastAsia" w:ascii="仿宋_GB2312" w:hAnsi="宋体" w:eastAsia="仿宋_GB2312" w:cs="Arial"/>
                <w:color w:val="auto"/>
                <w:sz w:val="24"/>
                <w:szCs w:val="21"/>
              </w:rPr>
            </w:pPr>
          </w:p>
        </w:tc>
        <w:tc>
          <w:tcPr>
            <w:tcW w:w="902"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adjustRightInd w:val="0"/>
              <w:jc w:val="right"/>
              <w:rPr>
                <w:rFonts w:hint="eastAsia" w:ascii="仿宋_GB2312" w:hAnsi="宋体" w:eastAsia="仿宋_GB2312" w:cs="Arial"/>
                <w:color w:val="auto"/>
                <w:sz w:val="24"/>
                <w:szCs w:val="21"/>
              </w:rPr>
            </w:pPr>
          </w:p>
        </w:tc>
        <w:tc>
          <w:tcPr>
            <w:tcW w:w="720"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adjustRightInd w:val="0"/>
              <w:jc w:val="right"/>
              <w:rPr>
                <w:rFonts w:hint="eastAsia" w:ascii="仿宋_GB2312" w:hAnsi="宋体" w:eastAsia="仿宋_GB2312" w:cs="Arial"/>
                <w:color w:val="auto"/>
                <w:sz w:val="24"/>
                <w:szCs w:val="21"/>
              </w:rPr>
            </w:pPr>
          </w:p>
        </w:tc>
        <w:tc>
          <w:tcPr>
            <w:tcW w:w="1260" w:type="dxa"/>
            <w:tcBorders>
              <w:top w:val="single" w:color="auto" w:sz="8" w:space="0"/>
              <w:left w:val="single" w:color="auto" w:sz="8" w:space="0"/>
              <w:bottom w:val="single" w:color="auto" w:sz="8" w:space="0"/>
              <w:right w:val="single" w:color="auto" w:sz="8" w:space="0"/>
            </w:tcBorders>
            <w:noWrap w:val="0"/>
            <w:vAlign w:val="top"/>
          </w:tcPr>
          <w:p>
            <w:pPr>
              <w:rPr>
                <w:rFonts w:hint="eastAsia" w:ascii="仿宋_GB2312" w:hAnsi="宋体" w:eastAsia="仿宋_GB2312" w:cs="Arial"/>
                <w:color w:val="auto"/>
                <w:sz w:val="24"/>
                <w:szCs w:val="21"/>
              </w:rPr>
            </w:pPr>
          </w:p>
        </w:tc>
        <w:tc>
          <w:tcPr>
            <w:tcW w:w="1260" w:type="dxa"/>
            <w:tcBorders>
              <w:top w:val="single" w:color="auto" w:sz="8" w:space="0"/>
              <w:left w:val="single" w:color="auto" w:sz="8" w:space="0"/>
              <w:bottom w:val="single" w:color="auto" w:sz="8" w:space="0"/>
              <w:right w:val="single" w:color="auto" w:sz="8" w:space="0"/>
            </w:tcBorders>
            <w:noWrap w:val="0"/>
            <w:vAlign w:val="center"/>
          </w:tcPr>
          <w:p>
            <w:pPr>
              <w:rPr>
                <w:rFonts w:hint="eastAsia" w:ascii="仿宋_GB2312" w:hAnsi="宋体" w:eastAsia="仿宋_GB2312" w:cs="Arial"/>
                <w:color w:val="auto"/>
                <w:sz w:val="24"/>
                <w:szCs w:val="21"/>
              </w:rPr>
            </w:pPr>
          </w:p>
        </w:tc>
      </w:tr>
      <w:tr>
        <w:tblPrEx>
          <w:tblCellMar>
            <w:top w:w="0" w:type="dxa"/>
            <w:left w:w="30" w:type="dxa"/>
            <w:bottom w:w="0" w:type="dxa"/>
            <w:right w:w="30" w:type="dxa"/>
          </w:tblCellMar>
        </w:tblPrEx>
        <w:trPr>
          <w:trHeight w:val="676" w:hRule="exact"/>
          <w:jc w:val="center"/>
        </w:trPr>
        <w:tc>
          <w:tcPr>
            <w:tcW w:w="720"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jc w:val="center"/>
              <w:rPr>
                <w:rFonts w:hint="eastAsia" w:ascii="仿宋_GB2312" w:hAnsi="宋体" w:eastAsia="仿宋_GB2312" w:cs="Arial"/>
                <w:color w:val="auto"/>
                <w:sz w:val="24"/>
                <w:szCs w:val="21"/>
              </w:rPr>
            </w:pPr>
            <w:r>
              <w:rPr>
                <w:rFonts w:hint="eastAsia" w:ascii="仿宋_GB2312" w:hAnsi="宋体" w:eastAsia="仿宋_GB2312" w:cs="Arial"/>
                <w:color w:val="auto"/>
                <w:sz w:val="24"/>
                <w:szCs w:val="21"/>
              </w:rPr>
              <w:t>3</w:t>
            </w:r>
          </w:p>
        </w:tc>
        <w:tc>
          <w:tcPr>
            <w:tcW w:w="2058" w:type="dxa"/>
            <w:tcBorders>
              <w:top w:val="single" w:color="auto" w:sz="8" w:space="0"/>
              <w:left w:val="single" w:color="auto" w:sz="8" w:space="0"/>
              <w:bottom w:val="single" w:color="auto" w:sz="8" w:space="0"/>
              <w:right w:val="single" w:color="auto" w:sz="8" w:space="0"/>
            </w:tcBorders>
            <w:noWrap w:val="0"/>
            <w:vAlign w:val="bottom"/>
          </w:tcPr>
          <w:p>
            <w:pPr>
              <w:rPr>
                <w:rFonts w:hint="eastAsia" w:ascii="仿宋_GB2312" w:hAnsi="宋体" w:eastAsia="仿宋_GB2312" w:cs="宋体"/>
                <w:color w:val="auto"/>
                <w:sz w:val="24"/>
              </w:rPr>
            </w:pPr>
            <w:r>
              <w:rPr>
                <w:rFonts w:hint="eastAsia" w:ascii="仿宋_GB2312" w:hAnsi="宋体" w:eastAsia="仿宋_GB2312"/>
                <w:color w:val="auto"/>
                <w:sz w:val="24"/>
              </w:rPr>
              <w:t xml:space="preserve"> </w:t>
            </w:r>
          </w:p>
          <w:p>
            <w:pPr>
              <w:rPr>
                <w:rFonts w:hint="eastAsia" w:ascii="仿宋_GB2312" w:hAnsi="宋体" w:eastAsia="仿宋_GB2312" w:cs="Arial"/>
                <w:color w:val="auto"/>
                <w:sz w:val="24"/>
              </w:rPr>
            </w:pPr>
          </w:p>
        </w:tc>
        <w:tc>
          <w:tcPr>
            <w:tcW w:w="1722"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jc w:val="right"/>
              <w:rPr>
                <w:rFonts w:hint="eastAsia" w:ascii="仿宋_GB2312" w:hAnsi="宋体" w:eastAsia="仿宋_GB2312" w:cs="Arial"/>
                <w:color w:val="auto"/>
                <w:sz w:val="24"/>
                <w:szCs w:val="21"/>
              </w:rPr>
            </w:pPr>
          </w:p>
        </w:tc>
        <w:tc>
          <w:tcPr>
            <w:tcW w:w="902"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adjustRightInd w:val="0"/>
              <w:jc w:val="right"/>
              <w:rPr>
                <w:rFonts w:hint="eastAsia" w:ascii="仿宋_GB2312" w:hAnsi="宋体" w:eastAsia="仿宋_GB2312" w:cs="Arial"/>
                <w:color w:val="auto"/>
                <w:sz w:val="24"/>
                <w:szCs w:val="21"/>
              </w:rPr>
            </w:pPr>
          </w:p>
        </w:tc>
        <w:tc>
          <w:tcPr>
            <w:tcW w:w="720"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adjustRightInd w:val="0"/>
              <w:jc w:val="right"/>
              <w:rPr>
                <w:rFonts w:hint="eastAsia" w:ascii="仿宋_GB2312" w:hAnsi="宋体" w:eastAsia="仿宋_GB2312" w:cs="Arial"/>
                <w:color w:val="auto"/>
                <w:sz w:val="24"/>
                <w:szCs w:val="21"/>
              </w:rPr>
            </w:pPr>
          </w:p>
        </w:tc>
        <w:tc>
          <w:tcPr>
            <w:tcW w:w="1260" w:type="dxa"/>
            <w:tcBorders>
              <w:top w:val="single" w:color="auto" w:sz="8" w:space="0"/>
              <w:left w:val="single" w:color="auto" w:sz="8" w:space="0"/>
              <w:bottom w:val="single" w:color="auto" w:sz="8" w:space="0"/>
              <w:right w:val="single" w:color="auto" w:sz="8" w:space="0"/>
            </w:tcBorders>
            <w:noWrap w:val="0"/>
            <w:vAlign w:val="top"/>
          </w:tcPr>
          <w:p>
            <w:pPr>
              <w:rPr>
                <w:rFonts w:hint="eastAsia" w:ascii="仿宋_GB2312" w:hAnsi="宋体" w:eastAsia="仿宋_GB2312" w:cs="Arial"/>
                <w:color w:val="auto"/>
                <w:sz w:val="24"/>
                <w:szCs w:val="21"/>
              </w:rPr>
            </w:pPr>
          </w:p>
        </w:tc>
        <w:tc>
          <w:tcPr>
            <w:tcW w:w="1260" w:type="dxa"/>
            <w:tcBorders>
              <w:top w:val="single" w:color="auto" w:sz="8" w:space="0"/>
              <w:left w:val="single" w:color="auto" w:sz="8" w:space="0"/>
              <w:bottom w:val="single" w:color="auto" w:sz="8" w:space="0"/>
              <w:right w:val="single" w:color="auto" w:sz="8" w:space="0"/>
            </w:tcBorders>
            <w:noWrap w:val="0"/>
            <w:vAlign w:val="center"/>
          </w:tcPr>
          <w:p>
            <w:pPr>
              <w:rPr>
                <w:rFonts w:hint="eastAsia" w:ascii="仿宋_GB2312" w:hAnsi="宋体" w:eastAsia="仿宋_GB2312" w:cs="Arial"/>
                <w:color w:val="auto"/>
                <w:sz w:val="24"/>
                <w:szCs w:val="21"/>
              </w:rPr>
            </w:pPr>
          </w:p>
        </w:tc>
      </w:tr>
      <w:tr>
        <w:tblPrEx>
          <w:tblCellMar>
            <w:top w:w="0" w:type="dxa"/>
            <w:left w:w="30" w:type="dxa"/>
            <w:bottom w:w="0" w:type="dxa"/>
            <w:right w:w="30" w:type="dxa"/>
          </w:tblCellMar>
        </w:tblPrEx>
        <w:trPr>
          <w:trHeight w:val="676" w:hRule="exact"/>
          <w:jc w:val="center"/>
        </w:trPr>
        <w:tc>
          <w:tcPr>
            <w:tcW w:w="720"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jc w:val="center"/>
              <w:rPr>
                <w:rFonts w:hint="eastAsia" w:ascii="仿宋_GB2312" w:hAnsi="宋体" w:eastAsia="仿宋_GB2312" w:cs="Arial"/>
                <w:color w:val="auto"/>
                <w:sz w:val="24"/>
                <w:szCs w:val="21"/>
              </w:rPr>
            </w:pPr>
            <w:r>
              <w:rPr>
                <w:rFonts w:hint="eastAsia" w:ascii="仿宋_GB2312" w:hAnsi="宋体" w:eastAsia="仿宋_GB2312" w:cs="Arial"/>
                <w:color w:val="auto"/>
                <w:sz w:val="24"/>
                <w:szCs w:val="21"/>
              </w:rPr>
              <w:t>…</w:t>
            </w:r>
          </w:p>
        </w:tc>
        <w:tc>
          <w:tcPr>
            <w:tcW w:w="2058" w:type="dxa"/>
            <w:tcBorders>
              <w:top w:val="single" w:color="auto" w:sz="8" w:space="0"/>
              <w:left w:val="single" w:color="auto" w:sz="8" w:space="0"/>
              <w:bottom w:val="single" w:color="auto" w:sz="8" w:space="0"/>
              <w:right w:val="single" w:color="auto" w:sz="8" w:space="0"/>
            </w:tcBorders>
            <w:noWrap w:val="0"/>
            <w:vAlign w:val="bottom"/>
          </w:tcPr>
          <w:p>
            <w:pPr>
              <w:rPr>
                <w:rFonts w:hint="eastAsia" w:ascii="仿宋_GB2312" w:hAnsi="宋体" w:eastAsia="仿宋_GB2312"/>
                <w:color w:val="auto"/>
                <w:sz w:val="24"/>
              </w:rPr>
            </w:pPr>
          </w:p>
        </w:tc>
        <w:tc>
          <w:tcPr>
            <w:tcW w:w="1722"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jc w:val="right"/>
              <w:rPr>
                <w:rFonts w:hint="eastAsia" w:ascii="仿宋_GB2312" w:hAnsi="宋体" w:eastAsia="仿宋_GB2312" w:cs="Arial"/>
                <w:color w:val="auto"/>
                <w:sz w:val="24"/>
                <w:szCs w:val="21"/>
              </w:rPr>
            </w:pPr>
          </w:p>
        </w:tc>
        <w:tc>
          <w:tcPr>
            <w:tcW w:w="902"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adjustRightInd w:val="0"/>
              <w:jc w:val="right"/>
              <w:rPr>
                <w:rFonts w:hint="eastAsia" w:ascii="仿宋_GB2312" w:hAnsi="宋体" w:eastAsia="仿宋_GB2312" w:cs="Arial"/>
                <w:color w:val="auto"/>
                <w:sz w:val="24"/>
                <w:szCs w:val="21"/>
              </w:rPr>
            </w:pPr>
          </w:p>
        </w:tc>
        <w:tc>
          <w:tcPr>
            <w:tcW w:w="720"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adjustRightInd w:val="0"/>
              <w:jc w:val="right"/>
              <w:rPr>
                <w:rFonts w:hint="eastAsia" w:ascii="仿宋_GB2312" w:hAnsi="宋体" w:eastAsia="仿宋_GB2312" w:cs="Arial"/>
                <w:color w:val="auto"/>
                <w:sz w:val="24"/>
                <w:szCs w:val="21"/>
              </w:rPr>
            </w:pPr>
          </w:p>
        </w:tc>
        <w:tc>
          <w:tcPr>
            <w:tcW w:w="1260" w:type="dxa"/>
            <w:tcBorders>
              <w:top w:val="single" w:color="auto" w:sz="8" w:space="0"/>
              <w:left w:val="single" w:color="auto" w:sz="8" w:space="0"/>
              <w:bottom w:val="single" w:color="auto" w:sz="8" w:space="0"/>
              <w:right w:val="single" w:color="auto" w:sz="8" w:space="0"/>
            </w:tcBorders>
            <w:noWrap w:val="0"/>
            <w:vAlign w:val="top"/>
          </w:tcPr>
          <w:p>
            <w:pPr>
              <w:rPr>
                <w:rFonts w:hint="eastAsia" w:ascii="仿宋_GB2312" w:hAnsi="宋体" w:eastAsia="仿宋_GB2312" w:cs="Arial"/>
                <w:color w:val="auto"/>
                <w:sz w:val="24"/>
                <w:szCs w:val="21"/>
              </w:rPr>
            </w:pPr>
          </w:p>
        </w:tc>
        <w:tc>
          <w:tcPr>
            <w:tcW w:w="1260" w:type="dxa"/>
            <w:tcBorders>
              <w:top w:val="single" w:color="auto" w:sz="8" w:space="0"/>
              <w:left w:val="single" w:color="auto" w:sz="8" w:space="0"/>
              <w:bottom w:val="single" w:color="auto" w:sz="8" w:space="0"/>
              <w:right w:val="single" w:color="auto" w:sz="8" w:space="0"/>
            </w:tcBorders>
            <w:noWrap w:val="0"/>
            <w:vAlign w:val="center"/>
          </w:tcPr>
          <w:p>
            <w:pPr>
              <w:rPr>
                <w:rFonts w:hint="eastAsia" w:ascii="仿宋_GB2312" w:hAnsi="宋体" w:eastAsia="仿宋_GB2312" w:cs="Arial"/>
                <w:color w:val="auto"/>
                <w:sz w:val="24"/>
                <w:szCs w:val="21"/>
              </w:rPr>
            </w:pPr>
          </w:p>
        </w:tc>
      </w:tr>
      <w:tr>
        <w:tblPrEx>
          <w:tblCellMar>
            <w:top w:w="0" w:type="dxa"/>
            <w:left w:w="30" w:type="dxa"/>
            <w:bottom w:w="0" w:type="dxa"/>
            <w:right w:w="30" w:type="dxa"/>
          </w:tblCellMar>
        </w:tblPrEx>
        <w:trPr>
          <w:trHeight w:val="579" w:hRule="exact"/>
          <w:jc w:val="center"/>
        </w:trPr>
        <w:tc>
          <w:tcPr>
            <w:tcW w:w="2778" w:type="dxa"/>
            <w:gridSpan w:val="2"/>
            <w:vMerge w:val="restart"/>
            <w:tcBorders>
              <w:top w:val="single" w:color="auto" w:sz="8" w:space="0"/>
              <w:left w:val="single" w:color="auto" w:sz="8" w:space="0"/>
              <w:right w:val="single" w:color="auto" w:sz="8" w:space="0"/>
            </w:tcBorders>
            <w:noWrap w:val="0"/>
            <w:vAlign w:val="center"/>
          </w:tcPr>
          <w:p>
            <w:pPr>
              <w:autoSpaceDE w:val="0"/>
              <w:autoSpaceDN w:val="0"/>
              <w:adjustRightInd w:val="0"/>
              <w:jc w:val="center"/>
              <w:rPr>
                <w:rFonts w:hint="eastAsia" w:ascii="仿宋_GB2312" w:hAnsi="宋体" w:eastAsia="仿宋_GB2312" w:cs="Arial"/>
                <w:color w:val="auto"/>
                <w:sz w:val="24"/>
                <w:szCs w:val="21"/>
              </w:rPr>
            </w:pPr>
            <w:r>
              <w:rPr>
                <w:rFonts w:hint="eastAsia" w:ascii="仿宋_GB2312" w:hAnsi="宋体" w:eastAsia="仿宋_GB2312" w:cs="Arial"/>
                <w:b/>
                <w:color w:val="auto"/>
                <w:sz w:val="24"/>
                <w:szCs w:val="21"/>
              </w:rPr>
              <w:t>合同总额</w:t>
            </w:r>
          </w:p>
        </w:tc>
        <w:tc>
          <w:tcPr>
            <w:tcW w:w="5864" w:type="dxa"/>
            <w:gridSpan w:val="5"/>
            <w:tcBorders>
              <w:top w:val="single" w:color="auto" w:sz="8" w:space="0"/>
              <w:left w:val="single" w:color="auto" w:sz="8" w:space="0"/>
              <w:bottom w:val="single" w:color="auto" w:sz="8" w:space="0"/>
              <w:right w:val="single" w:color="auto" w:sz="8" w:space="0"/>
            </w:tcBorders>
            <w:noWrap w:val="0"/>
            <w:vAlign w:val="center"/>
          </w:tcPr>
          <w:p>
            <w:pPr>
              <w:rPr>
                <w:rFonts w:hint="eastAsia" w:ascii="仿宋_GB2312" w:hAnsi="宋体" w:eastAsia="仿宋_GB2312" w:cs="Arial"/>
                <w:color w:val="auto"/>
                <w:sz w:val="24"/>
                <w:szCs w:val="21"/>
              </w:rPr>
            </w:pPr>
            <w:r>
              <w:rPr>
                <w:rFonts w:hint="eastAsia" w:ascii="仿宋_GB2312" w:hAnsi="宋体" w:eastAsia="仿宋_GB2312" w:cs="Arial"/>
                <w:b/>
                <w:color w:val="auto"/>
                <w:sz w:val="24"/>
                <w:szCs w:val="21"/>
              </w:rPr>
              <w:t>（小写）</w:t>
            </w:r>
          </w:p>
        </w:tc>
      </w:tr>
      <w:tr>
        <w:tblPrEx>
          <w:tblCellMar>
            <w:top w:w="0" w:type="dxa"/>
            <w:left w:w="30" w:type="dxa"/>
            <w:bottom w:w="0" w:type="dxa"/>
            <w:right w:w="30" w:type="dxa"/>
          </w:tblCellMar>
        </w:tblPrEx>
        <w:trPr>
          <w:trHeight w:val="579" w:hRule="exact"/>
          <w:jc w:val="center"/>
        </w:trPr>
        <w:tc>
          <w:tcPr>
            <w:tcW w:w="2778" w:type="dxa"/>
            <w:gridSpan w:val="2"/>
            <w:vMerge w:val="continue"/>
            <w:tcBorders>
              <w:left w:val="single" w:color="auto" w:sz="8" w:space="0"/>
              <w:bottom w:val="single" w:color="auto" w:sz="8" w:space="0"/>
              <w:right w:val="single" w:color="auto" w:sz="8" w:space="0"/>
            </w:tcBorders>
            <w:noWrap w:val="0"/>
            <w:vAlign w:val="center"/>
          </w:tcPr>
          <w:p>
            <w:pPr>
              <w:autoSpaceDE w:val="0"/>
              <w:autoSpaceDN w:val="0"/>
              <w:adjustRightInd w:val="0"/>
              <w:jc w:val="center"/>
              <w:rPr>
                <w:rFonts w:hint="eastAsia" w:ascii="仿宋_GB2312" w:hAnsi="宋体" w:eastAsia="仿宋_GB2312" w:cs="Arial"/>
                <w:color w:val="auto"/>
                <w:sz w:val="24"/>
                <w:szCs w:val="21"/>
              </w:rPr>
            </w:pPr>
          </w:p>
        </w:tc>
        <w:tc>
          <w:tcPr>
            <w:tcW w:w="5864" w:type="dxa"/>
            <w:gridSpan w:val="5"/>
            <w:tcBorders>
              <w:top w:val="single" w:color="auto" w:sz="8" w:space="0"/>
              <w:left w:val="single" w:color="auto" w:sz="8" w:space="0"/>
              <w:bottom w:val="single" w:color="auto" w:sz="8" w:space="0"/>
              <w:right w:val="single" w:color="auto" w:sz="8" w:space="0"/>
            </w:tcBorders>
            <w:noWrap w:val="0"/>
            <w:vAlign w:val="center"/>
          </w:tcPr>
          <w:p>
            <w:pPr>
              <w:rPr>
                <w:rFonts w:hint="eastAsia" w:ascii="仿宋_GB2312" w:hAnsi="宋体" w:eastAsia="仿宋_GB2312" w:cs="Arial"/>
                <w:color w:val="auto"/>
                <w:sz w:val="24"/>
                <w:szCs w:val="21"/>
              </w:rPr>
            </w:pPr>
            <w:r>
              <w:rPr>
                <w:rFonts w:hint="eastAsia" w:ascii="仿宋_GB2312" w:hAnsi="宋体" w:eastAsia="仿宋_GB2312" w:cs="Arial"/>
                <w:b/>
                <w:color w:val="auto"/>
                <w:sz w:val="24"/>
                <w:szCs w:val="21"/>
              </w:rPr>
              <w:t>（大写）</w:t>
            </w:r>
          </w:p>
        </w:tc>
      </w:tr>
    </w:tbl>
    <w:p>
      <w:pPr>
        <w:widowControl w:val="0"/>
        <w:snapToGrid w:val="0"/>
        <w:spacing w:line="360" w:lineRule="auto"/>
        <w:jc w:val="both"/>
        <w:rPr>
          <w:rFonts w:hint="eastAsia" w:ascii="仿宋_GB2312" w:hAnsi="宋体" w:eastAsia="仿宋_GB2312"/>
          <w:b/>
          <w:color w:val="auto"/>
          <w:sz w:val="24"/>
        </w:rPr>
      </w:pPr>
    </w:p>
    <w:p>
      <w:pPr>
        <w:rPr>
          <w:rFonts w:hint="eastAsia" w:ascii="仿宋_GB2312" w:hAnsi="宋体" w:eastAsia="仿宋_GB2312"/>
          <w:color w:val="auto"/>
          <w:sz w:val="24"/>
        </w:rPr>
      </w:pPr>
      <w:r>
        <w:rPr>
          <w:rFonts w:hint="eastAsia" w:ascii="仿宋_GB2312" w:hAnsi="宋体" w:eastAsia="仿宋_GB2312"/>
          <w:b/>
          <w:color w:val="auto"/>
          <w:sz w:val="24"/>
        </w:rPr>
        <w:br w:type="page"/>
      </w:r>
      <w:r>
        <w:rPr>
          <w:rFonts w:hint="eastAsia" w:ascii="仿宋_GB2312" w:hAnsi="宋体" w:eastAsia="仿宋_GB2312"/>
          <w:b/>
          <w:color w:val="auto"/>
          <w:sz w:val="24"/>
        </w:rPr>
        <w:t>二、项目建设进度及地点：</w:t>
      </w:r>
    </w:p>
    <w:p>
      <w:pPr>
        <w:spacing w:line="480" w:lineRule="auto"/>
        <w:rPr>
          <w:rFonts w:hint="eastAsia" w:ascii="仿宋_GB2312" w:hAnsi="宋体" w:eastAsia="仿宋_GB2312"/>
          <w:color w:val="auto"/>
          <w:sz w:val="24"/>
        </w:rPr>
      </w:pPr>
      <w:r>
        <w:rPr>
          <w:rFonts w:hint="eastAsia" w:ascii="仿宋_GB2312" w:hAnsi="宋体" w:eastAsia="仿宋_GB2312"/>
          <w:color w:val="auto"/>
          <w:sz w:val="24"/>
        </w:rPr>
        <w:t>1、项目建设进度：</w:t>
      </w:r>
    </w:p>
    <w:p>
      <w:pPr>
        <w:spacing w:line="480" w:lineRule="auto"/>
        <w:rPr>
          <w:rFonts w:hint="eastAsia" w:ascii="仿宋_GB2312" w:hAnsi="宋体" w:eastAsia="仿宋_GB2312"/>
          <w:color w:val="auto"/>
          <w:sz w:val="24"/>
        </w:rPr>
      </w:pPr>
      <w:r>
        <w:rPr>
          <w:rFonts w:hint="eastAsia" w:ascii="仿宋_GB2312" w:hAnsi="宋体" w:eastAsia="仿宋_GB2312"/>
          <w:color w:val="auto"/>
          <w:sz w:val="24"/>
        </w:rPr>
        <w:t>2、地点：采购人指定地点</w:t>
      </w:r>
    </w:p>
    <w:p>
      <w:pPr>
        <w:widowControl w:val="0"/>
        <w:snapToGrid w:val="0"/>
        <w:spacing w:line="360" w:lineRule="auto"/>
        <w:jc w:val="both"/>
        <w:rPr>
          <w:rFonts w:hint="eastAsia" w:ascii="仿宋_GB2312" w:hAnsi="宋体" w:eastAsia="仿宋_GB2312"/>
          <w:color w:val="auto"/>
          <w:sz w:val="24"/>
        </w:rPr>
      </w:pPr>
      <w:r>
        <w:rPr>
          <w:rFonts w:hint="eastAsia" w:ascii="仿宋_GB2312" w:hAnsi="宋体" w:eastAsia="仿宋_GB2312"/>
          <w:b/>
          <w:color w:val="auto"/>
          <w:sz w:val="24"/>
        </w:rPr>
        <w:t>三、付款方式</w:t>
      </w:r>
    </w:p>
    <w:p>
      <w:pPr>
        <w:tabs>
          <w:tab w:val="left" w:pos="1980"/>
        </w:tabs>
        <w:snapToGrid w:val="0"/>
        <w:spacing w:before="19" w:line="500" w:lineRule="exact"/>
        <w:rPr>
          <w:rFonts w:hint="eastAsia" w:ascii="仿宋_GB2312" w:hAnsi="宋体" w:eastAsia="仿宋_GB2312"/>
          <w:b/>
          <w:color w:val="auto"/>
          <w:sz w:val="24"/>
          <w:szCs w:val="24"/>
        </w:rPr>
      </w:pPr>
      <w:r>
        <w:rPr>
          <w:rFonts w:hint="eastAsia" w:ascii="仿宋_GB2312" w:hAnsi="宋体" w:eastAsia="仿宋_GB2312"/>
          <w:b/>
          <w:color w:val="auto"/>
          <w:sz w:val="24"/>
          <w:szCs w:val="24"/>
        </w:rPr>
        <w:t>四、违约赔偿</w:t>
      </w:r>
    </w:p>
    <w:p>
      <w:pPr>
        <w:snapToGrid w:val="0"/>
        <w:spacing w:line="360" w:lineRule="auto"/>
        <w:rPr>
          <w:rFonts w:hint="eastAsia" w:ascii="仿宋_GB2312" w:hAnsi="宋体" w:eastAsia="仿宋_GB2312"/>
          <w:color w:val="auto"/>
          <w:sz w:val="24"/>
        </w:rPr>
      </w:pPr>
    </w:p>
    <w:p>
      <w:pPr>
        <w:snapToGrid w:val="0"/>
        <w:spacing w:line="360" w:lineRule="auto"/>
        <w:rPr>
          <w:rFonts w:hint="eastAsia" w:ascii="仿宋_GB2312" w:hAnsi="宋体" w:eastAsia="仿宋_GB2312"/>
          <w:color w:val="auto"/>
          <w:sz w:val="24"/>
          <w:szCs w:val="24"/>
        </w:rPr>
      </w:pPr>
      <w:r>
        <w:rPr>
          <w:rFonts w:hint="eastAsia" w:ascii="仿宋_GB2312" w:hAnsi="宋体" w:eastAsia="仿宋_GB2312"/>
          <w:color w:val="auto"/>
          <w:sz w:val="24"/>
        </w:rPr>
        <w:t>按《中华人民共和国合同法》执行。</w:t>
      </w:r>
    </w:p>
    <w:p>
      <w:pPr>
        <w:snapToGrid w:val="0"/>
        <w:spacing w:line="360" w:lineRule="auto"/>
        <w:rPr>
          <w:rFonts w:hint="eastAsia" w:ascii="仿宋_GB2312" w:hAnsi="宋体" w:eastAsia="仿宋_GB2312"/>
          <w:b/>
          <w:color w:val="auto"/>
          <w:sz w:val="24"/>
        </w:rPr>
      </w:pPr>
      <w:r>
        <w:rPr>
          <w:rFonts w:hint="eastAsia" w:ascii="仿宋_GB2312" w:hAnsi="宋体" w:eastAsia="仿宋_GB2312"/>
          <w:b/>
          <w:color w:val="auto"/>
          <w:sz w:val="24"/>
        </w:rPr>
        <w:t>五、合同纠纷处理</w:t>
      </w:r>
    </w:p>
    <w:p>
      <w:pPr>
        <w:tabs>
          <w:tab w:val="left" w:pos="1980"/>
        </w:tabs>
        <w:snapToGrid w:val="0"/>
        <w:spacing w:line="360" w:lineRule="auto"/>
        <w:ind w:firstLine="470" w:firstLineChars="196"/>
        <w:rPr>
          <w:rFonts w:hint="eastAsia" w:ascii="仿宋_GB2312" w:hAnsi="宋体" w:eastAsia="仿宋_GB2312"/>
          <w:color w:val="auto"/>
          <w:sz w:val="24"/>
        </w:rPr>
      </w:pPr>
      <w:r>
        <w:rPr>
          <w:rFonts w:hint="eastAsia" w:ascii="仿宋_GB2312" w:hAnsi="宋体" w:eastAsia="仿宋_GB2312"/>
          <w:color w:val="auto"/>
          <w:sz w:val="24"/>
        </w:rPr>
        <w:t>本合同执行过程中发生纠纷，作如下处理：</w:t>
      </w:r>
    </w:p>
    <w:p>
      <w:pPr>
        <w:tabs>
          <w:tab w:val="left" w:pos="1980"/>
        </w:tabs>
        <w:snapToGrid w:val="0"/>
        <w:spacing w:line="360" w:lineRule="auto"/>
        <w:ind w:firstLine="470" w:firstLineChars="196"/>
        <w:rPr>
          <w:rFonts w:hint="eastAsia" w:ascii="仿宋_GB2312" w:hAnsi="宋体" w:eastAsia="仿宋_GB2312"/>
          <w:color w:val="auto"/>
          <w:sz w:val="24"/>
        </w:rPr>
      </w:pPr>
      <w:r>
        <w:rPr>
          <w:rFonts w:hint="eastAsia" w:ascii="仿宋_GB2312" w:hAnsi="宋体" w:eastAsia="仿宋_GB2312"/>
          <w:color w:val="auto"/>
          <w:sz w:val="24"/>
        </w:rPr>
        <w:t>1、申请仲裁。仲裁机构为海南仲裁委员会。</w:t>
      </w:r>
    </w:p>
    <w:p>
      <w:pPr>
        <w:tabs>
          <w:tab w:val="left" w:pos="1980"/>
        </w:tabs>
        <w:snapToGrid w:val="0"/>
        <w:spacing w:line="360" w:lineRule="auto"/>
        <w:ind w:firstLine="470" w:firstLineChars="196"/>
        <w:rPr>
          <w:rFonts w:hint="eastAsia" w:ascii="仿宋_GB2312" w:hAnsi="宋体" w:eastAsia="仿宋_GB2312"/>
          <w:color w:val="auto"/>
          <w:sz w:val="24"/>
        </w:rPr>
      </w:pPr>
      <w:r>
        <w:rPr>
          <w:rFonts w:hint="eastAsia" w:ascii="仿宋_GB2312" w:hAnsi="宋体" w:eastAsia="仿宋_GB2312"/>
          <w:color w:val="auto"/>
          <w:sz w:val="24"/>
        </w:rPr>
        <w:t>2、提起诉讼。诉讼地点为采购人所在地。</w:t>
      </w:r>
    </w:p>
    <w:p>
      <w:pPr>
        <w:widowControl w:val="0"/>
        <w:snapToGrid w:val="0"/>
        <w:spacing w:line="360" w:lineRule="auto"/>
        <w:jc w:val="both"/>
        <w:rPr>
          <w:rFonts w:hint="eastAsia" w:ascii="仿宋_GB2312" w:hAnsi="宋体" w:eastAsia="仿宋_GB2312"/>
          <w:b/>
          <w:color w:val="auto"/>
          <w:sz w:val="24"/>
        </w:rPr>
      </w:pPr>
      <w:r>
        <w:rPr>
          <w:rFonts w:hint="eastAsia" w:ascii="仿宋_GB2312" w:hAnsi="宋体" w:eastAsia="仿宋_GB2312"/>
          <w:b/>
          <w:color w:val="auto"/>
          <w:sz w:val="24"/>
        </w:rPr>
        <w:t>六、合同生效</w:t>
      </w:r>
    </w:p>
    <w:p>
      <w:pPr>
        <w:snapToGrid w:val="0"/>
        <w:spacing w:line="360" w:lineRule="auto"/>
        <w:ind w:left="555"/>
        <w:rPr>
          <w:rFonts w:hint="eastAsia" w:ascii="仿宋_GB2312" w:hAnsi="宋体" w:eastAsia="仿宋_GB2312"/>
          <w:color w:val="auto"/>
          <w:sz w:val="24"/>
        </w:rPr>
      </w:pPr>
      <w:r>
        <w:rPr>
          <w:rFonts w:hint="eastAsia" w:ascii="仿宋_GB2312" w:hAnsi="宋体" w:eastAsia="仿宋_GB2312"/>
          <w:color w:val="auto"/>
          <w:sz w:val="24"/>
        </w:rPr>
        <w:t>本合同由甲乙双方签字盖章后生效。</w:t>
      </w:r>
    </w:p>
    <w:p>
      <w:pPr>
        <w:widowControl w:val="0"/>
        <w:snapToGrid w:val="0"/>
        <w:spacing w:line="360" w:lineRule="auto"/>
        <w:jc w:val="both"/>
        <w:rPr>
          <w:rFonts w:hint="eastAsia" w:ascii="仿宋_GB2312" w:hAnsi="宋体" w:eastAsia="仿宋_GB2312"/>
          <w:b/>
          <w:color w:val="auto"/>
          <w:sz w:val="24"/>
        </w:rPr>
      </w:pPr>
      <w:r>
        <w:rPr>
          <w:rFonts w:hint="eastAsia" w:ascii="仿宋_GB2312" w:hAnsi="宋体" w:eastAsia="仿宋_GB2312"/>
          <w:b/>
          <w:color w:val="auto"/>
          <w:sz w:val="24"/>
        </w:rPr>
        <w:t>七、合同鉴证</w:t>
      </w:r>
    </w:p>
    <w:p>
      <w:pPr>
        <w:snapToGrid w:val="0"/>
        <w:spacing w:line="360" w:lineRule="auto"/>
        <w:ind w:firstLine="480" w:firstLineChars="200"/>
        <w:rPr>
          <w:rFonts w:hint="eastAsia" w:ascii="仿宋_GB2312" w:hAnsi="宋体" w:eastAsia="仿宋_GB2312"/>
          <w:b/>
          <w:color w:val="auto"/>
          <w:sz w:val="24"/>
        </w:rPr>
      </w:pPr>
      <w:r>
        <w:rPr>
          <w:rFonts w:hint="eastAsia" w:ascii="仿宋_GB2312" w:hAnsi="宋体" w:eastAsia="仿宋_GB2312"/>
          <w:color w:val="auto"/>
          <w:sz w:val="24"/>
        </w:rPr>
        <w:t>招标人应当在本合同上签章，以证明本合同条款与采购文件、投标文件的相关要求相符并且未对采购货物和技术参数进行实质性修改。</w:t>
      </w:r>
    </w:p>
    <w:p>
      <w:pPr>
        <w:widowControl w:val="0"/>
        <w:snapToGrid w:val="0"/>
        <w:spacing w:line="360" w:lineRule="auto"/>
        <w:jc w:val="both"/>
        <w:rPr>
          <w:rFonts w:hint="eastAsia" w:ascii="仿宋_GB2312" w:hAnsi="宋体" w:eastAsia="仿宋_GB2312"/>
          <w:b/>
          <w:color w:val="auto"/>
          <w:sz w:val="24"/>
        </w:rPr>
      </w:pPr>
      <w:r>
        <w:rPr>
          <w:rFonts w:hint="eastAsia" w:ascii="仿宋_GB2312" w:hAnsi="宋体" w:eastAsia="仿宋_GB2312"/>
          <w:b/>
          <w:color w:val="auto"/>
          <w:sz w:val="24"/>
        </w:rPr>
        <w:t>八、组成本合同的文件包括：</w:t>
      </w:r>
    </w:p>
    <w:p>
      <w:pPr>
        <w:snapToGrid w:val="0"/>
        <w:spacing w:line="360" w:lineRule="auto"/>
        <w:ind w:left="555"/>
        <w:rPr>
          <w:rFonts w:hint="eastAsia" w:ascii="仿宋_GB2312" w:hAnsi="宋体" w:eastAsia="仿宋_GB2312"/>
          <w:color w:val="auto"/>
          <w:sz w:val="24"/>
        </w:rPr>
      </w:pPr>
      <w:r>
        <w:rPr>
          <w:rFonts w:hint="eastAsia" w:ascii="仿宋_GB2312" w:hAnsi="宋体" w:eastAsia="仿宋_GB2312"/>
          <w:color w:val="auto"/>
          <w:sz w:val="24"/>
        </w:rPr>
        <w:t>1.合同通用条款和专用条款；</w:t>
      </w:r>
    </w:p>
    <w:p>
      <w:pPr>
        <w:snapToGrid w:val="0"/>
        <w:spacing w:line="360" w:lineRule="auto"/>
        <w:ind w:left="555"/>
        <w:rPr>
          <w:rFonts w:hint="eastAsia" w:ascii="仿宋_GB2312" w:hAnsi="宋体" w:eastAsia="仿宋_GB2312"/>
          <w:color w:val="auto"/>
          <w:sz w:val="24"/>
        </w:rPr>
      </w:pPr>
      <w:r>
        <w:rPr>
          <w:rFonts w:hint="eastAsia" w:ascii="仿宋_GB2312" w:hAnsi="宋体" w:eastAsia="仿宋_GB2312"/>
          <w:color w:val="auto"/>
          <w:sz w:val="24"/>
        </w:rPr>
        <w:t>2.招标文件、乙方的投标文件和评标时的澄清函（如有）；</w:t>
      </w:r>
    </w:p>
    <w:p>
      <w:pPr>
        <w:snapToGrid w:val="0"/>
        <w:spacing w:line="360" w:lineRule="auto"/>
        <w:ind w:left="555"/>
        <w:rPr>
          <w:rFonts w:hint="eastAsia" w:ascii="仿宋_GB2312" w:hAnsi="宋体" w:eastAsia="仿宋_GB2312"/>
          <w:color w:val="auto"/>
          <w:sz w:val="24"/>
        </w:rPr>
      </w:pPr>
      <w:r>
        <w:rPr>
          <w:rFonts w:hint="eastAsia" w:ascii="仿宋_GB2312" w:hAnsi="宋体" w:eastAsia="仿宋_GB2312"/>
          <w:color w:val="auto"/>
          <w:sz w:val="24"/>
        </w:rPr>
        <w:t>3.中标通知书；</w:t>
      </w:r>
    </w:p>
    <w:p>
      <w:pPr>
        <w:snapToGrid w:val="0"/>
        <w:spacing w:line="360" w:lineRule="auto"/>
        <w:ind w:left="555"/>
        <w:rPr>
          <w:rFonts w:hint="eastAsia" w:ascii="仿宋_GB2312" w:hAnsi="宋体" w:eastAsia="仿宋_GB2312"/>
          <w:color w:val="auto"/>
          <w:sz w:val="24"/>
        </w:rPr>
      </w:pPr>
      <w:r>
        <w:rPr>
          <w:rFonts w:hint="eastAsia" w:ascii="仿宋_GB2312" w:hAnsi="宋体" w:eastAsia="仿宋_GB2312"/>
          <w:color w:val="auto"/>
          <w:sz w:val="24"/>
        </w:rPr>
        <w:t>4.甲乙双方商定的其他必要文件。</w:t>
      </w:r>
    </w:p>
    <w:p>
      <w:pPr>
        <w:snapToGrid w:val="0"/>
        <w:spacing w:line="360" w:lineRule="auto"/>
        <w:ind w:firstLine="480" w:firstLineChars="200"/>
        <w:rPr>
          <w:rFonts w:hint="eastAsia" w:ascii="仿宋_GB2312" w:hAnsi="宋体" w:eastAsia="仿宋_GB2312"/>
          <w:bCs/>
          <w:color w:val="auto"/>
          <w:sz w:val="24"/>
        </w:rPr>
      </w:pPr>
      <w:r>
        <w:rPr>
          <w:rFonts w:hint="eastAsia" w:ascii="仿宋_GB2312" w:hAnsi="宋体" w:eastAsia="仿宋_GB2312"/>
          <w:bCs/>
          <w:color w:val="auto"/>
          <w:sz w:val="24"/>
        </w:rPr>
        <w:t>上述合同文件内容互为补充，如有不明确，由甲方负责解释。</w:t>
      </w:r>
    </w:p>
    <w:p>
      <w:pPr>
        <w:widowControl w:val="0"/>
        <w:snapToGrid w:val="0"/>
        <w:spacing w:line="360" w:lineRule="auto"/>
        <w:jc w:val="both"/>
        <w:rPr>
          <w:rFonts w:hint="eastAsia" w:ascii="仿宋_GB2312" w:hAnsi="宋体" w:eastAsia="仿宋_GB2312"/>
          <w:b/>
          <w:color w:val="auto"/>
          <w:sz w:val="24"/>
        </w:rPr>
      </w:pPr>
      <w:r>
        <w:rPr>
          <w:rFonts w:hint="eastAsia" w:ascii="仿宋_GB2312" w:hAnsi="宋体" w:eastAsia="仿宋_GB2312"/>
          <w:b/>
          <w:color w:val="auto"/>
          <w:sz w:val="24"/>
        </w:rPr>
        <w:t>九、合同备案</w:t>
      </w:r>
    </w:p>
    <w:p>
      <w:pPr>
        <w:snapToGrid w:val="0"/>
        <w:spacing w:line="360" w:lineRule="auto"/>
        <w:ind w:firstLine="480" w:firstLineChars="200"/>
        <w:rPr>
          <w:rFonts w:hint="eastAsia" w:ascii="仿宋_GB2312" w:hAnsi="宋体" w:eastAsia="仿宋_GB2312"/>
          <w:bCs/>
          <w:color w:val="auto"/>
          <w:sz w:val="24"/>
        </w:rPr>
      </w:pPr>
      <w:r>
        <w:rPr>
          <w:rFonts w:hint="eastAsia" w:ascii="仿宋_GB2312" w:hAnsi="宋体" w:eastAsia="仿宋_GB2312"/>
          <w:bCs/>
          <w:color w:val="auto"/>
          <w:sz w:val="24"/>
        </w:rPr>
        <w:t>本合同一式</w:t>
      </w:r>
      <w:r>
        <w:rPr>
          <w:rFonts w:hint="eastAsia" w:ascii="仿宋_GB2312" w:hAnsi="宋体" w:eastAsia="仿宋_GB2312"/>
          <w:bCs/>
          <w:color w:val="auto"/>
          <w:sz w:val="24"/>
          <w:u w:val="single"/>
          <w:lang w:val="en-US" w:eastAsia="zh-CN"/>
        </w:rPr>
        <w:t xml:space="preserve">  </w:t>
      </w:r>
      <w:r>
        <w:rPr>
          <w:rFonts w:hint="eastAsia" w:ascii="仿宋_GB2312" w:hAnsi="宋体" w:eastAsia="仿宋_GB2312"/>
          <w:bCs/>
          <w:color w:val="auto"/>
          <w:sz w:val="24"/>
        </w:rPr>
        <w:t>份，中文书写。甲方</w:t>
      </w:r>
      <w:r>
        <w:rPr>
          <w:rFonts w:hint="eastAsia" w:ascii="仿宋_GB2312" w:hAnsi="宋体" w:eastAsia="仿宋_GB2312"/>
          <w:bCs/>
          <w:color w:val="auto"/>
          <w:sz w:val="24"/>
          <w:u w:val="single"/>
          <w:lang w:val="en-US" w:eastAsia="zh-CN"/>
        </w:rPr>
        <w:t xml:space="preserve">  </w:t>
      </w:r>
      <w:r>
        <w:rPr>
          <w:rFonts w:hint="eastAsia" w:ascii="仿宋_GB2312" w:hAnsi="宋体" w:eastAsia="仿宋_GB2312"/>
          <w:bCs/>
          <w:color w:val="auto"/>
          <w:sz w:val="24"/>
        </w:rPr>
        <w:t>份，乙方</w:t>
      </w:r>
      <w:r>
        <w:rPr>
          <w:rFonts w:hint="eastAsia" w:ascii="仿宋_GB2312" w:hAnsi="宋体" w:eastAsia="仿宋_GB2312"/>
          <w:bCs/>
          <w:color w:val="auto"/>
          <w:sz w:val="24"/>
          <w:u w:val="single"/>
          <w:lang w:val="en-US" w:eastAsia="zh-CN"/>
        </w:rPr>
        <w:t xml:space="preserve">   </w:t>
      </w:r>
      <w:r>
        <w:rPr>
          <w:rFonts w:hint="eastAsia" w:ascii="仿宋_GB2312" w:hAnsi="宋体" w:eastAsia="仿宋_GB2312"/>
          <w:bCs/>
          <w:color w:val="auto"/>
          <w:sz w:val="24"/>
        </w:rPr>
        <w:t>份，</w:t>
      </w:r>
      <w:r>
        <w:rPr>
          <w:rFonts w:hint="eastAsia" w:ascii="仿宋_GB2312" w:hAnsi="宋体" w:eastAsia="仿宋_GB2312"/>
          <w:bCs/>
          <w:color w:val="auto"/>
          <w:sz w:val="24"/>
          <w:lang w:eastAsia="zh-CN"/>
        </w:rPr>
        <w:t>招标代理机构</w:t>
      </w:r>
      <w:r>
        <w:rPr>
          <w:rFonts w:hint="eastAsia" w:ascii="仿宋_GB2312" w:hAnsi="宋体" w:eastAsia="仿宋_GB2312"/>
          <w:bCs/>
          <w:color w:val="auto"/>
          <w:sz w:val="24"/>
          <w:u w:val="single"/>
          <w:lang w:eastAsia="zh-CN"/>
        </w:rPr>
        <w:t>两</w:t>
      </w:r>
      <w:r>
        <w:rPr>
          <w:rFonts w:hint="eastAsia" w:ascii="仿宋_GB2312" w:hAnsi="宋体" w:eastAsia="仿宋_GB2312"/>
          <w:bCs/>
          <w:color w:val="auto"/>
          <w:sz w:val="24"/>
          <w:lang w:eastAsia="zh-CN"/>
        </w:rPr>
        <w:t>份</w:t>
      </w:r>
      <w:r>
        <w:rPr>
          <w:rFonts w:hint="eastAsia" w:ascii="仿宋_GB2312" w:hAnsi="宋体" w:eastAsia="仿宋_GB2312"/>
          <w:bCs/>
          <w:color w:val="auto"/>
          <w:sz w:val="24"/>
        </w:rPr>
        <w:t>。</w:t>
      </w:r>
    </w:p>
    <w:p>
      <w:pPr>
        <w:snapToGrid w:val="0"/>
        <w:spacing w:before="19" w:line="500" w:lineRule="exact"/>
        <w:ind w:firstLine="480" w:firstLineChars="200"/>
        <w:rPr>
          <w:rFonts w:hint="eastAsia" w:ascii="仿宋_GB2312" w:hAnsi="宋体" w:eastAsia="仿宋_GB2312"/>
          <w:bCs/>
          <w:color w:val="auto"/>
          <w:sz w:val="24"/>
        </w:rPr>
      </w:pPr>
    </w:p>
    <w:p>
      <w:pPr>
        <w:pStyle w:val="2"/>
        <w:rPr>
          <w:rFonts w:hint="eastAsia"/>
          <w:color w:val="auto"/>
        </w:rPr>
      </w:pPr>
    </w:p>
    <w:p>
      <w:pPr>
        <w:rPr>
          <w:rFonts w:hint="eastAsia"/>
          <w:color w:val="auto"/>
        </w:rPr>
      </w:pPr>
    </w:p>
    <w:p>
      <w:pPr>
        <w:snapToGrid w:val="0"/>
        <w:spacing w:before="19" w:line="500" w:lineRule="exact"/>
        <w:rPr>
          <w:rFonts w:hint="eastAsia" w:ascii="仿宋_GB2312" w:hAnsi="宋体" w:eastAsia="仿宋_GB2312"/>
          <w:color w:val="auto"/>
          <w:sz w:val="24"/>
        </w:rPr>
      </w:pPr>
      <w:r>
        <w:rPr>
          <w:rFonts w:hint="eastAsia" w:ascii="仿宋_GB2312" w:hAnsi="宋体" w:eastAsia="仿宋_GB2312"/>
          <w:b/>
          <w:color w:val="auto"/>
          <w:sz w:val="24"/>
        </w:rPr>
        <w:t>甲方：</w:t>
      </w:r>
      <w:r>
        <w:rPr>
          <w:rFonts w:hint="eastAsia" w:ascii="仿宋_GB2312" w:hAnsi="宋体" w:eastAsia="仿宋_GB2312"/>
          <w:b/>
          <w:color w:val="auto"/>
          <w:sz w:val="24"/>
          <w:u w:val="single"/>
        </w:rPr>
        <w:t xml:space="preserve">                   （盖章）</w:t>
      </w:r>
      <w:r>
        <w:rPr>
          <w:rFonts w:hint="eastAsia" w:ascii="仿宋_GB2312" w:hAnsi="宋体" w:eastAsia="仿宋_GB2312"/>
          <w:b/>
          <w:color w:val="auto"/>
          <w:sz w:val="24"/>
        </w:rPr>
        <w:t xml:space="preserve">     乙方：</w:t>
      </w:r>
      <w:r>
        <w:rPr>
          <w:rFonts w:hint="eastAsia" w:ascii="仿宋_GB2312" w:hAnsi="宋体" w:eastAsia="仿宋_GB2312"/>
          <w:b/>
          <w:color w:val="auto"/>
          <w:sz w:val="24"/>
          <w:u w:val="single"/>
        </w:rPr>
        <w:t xml:space="preserve">                  （盖章）</w:t>
      </w:r>
    </w:p>
    <w:p>
      <w:pPr>
        <w:snapToGrid w:val="0"/>
        <w:spacing w:before="19" w:line="500" w:lineRule="exact"/>
        <w:rPr>
          <w:rFonts w:hint="eastAsia" w:ascii="仿宋_GB2312" w:hAnsi="宋体" w:eastAsia="仿宋_GB2312"/>
          <w:b/>
          <w:color w:val="auto"/>
          <w:sz w:val="24"/>
          <w:u w:val="single"/>
        </w:rPr>
      </w:pPr>
    </w:p>
    <w:p>
      <w:pPr>
        <w:snapToGrid w:val="0"/>
        <w:spacing w:before="19" w:line="500" w:lineRule="exact"/>
        <w:rPr>
          <w:rFonts w:hint="eastAsia" w:ascii="仿宋_GB2312" w:hAnsi="宋体" w:eastAsia="仿宋_GB2312"/>
          <w:color w:val="auto"/>
          <w:sz w:val="24"/>
          <w:u w:val="single"/>
        </w:rPr>
      </w:pPr>
      <w:r>
        <w:rPr>
          <w:rFonts w:hint="eastAsia" w:ascii="仿宋_GB2312" w:hAnsi="宋体" w:eastAsia="仿宋_GB2312"/>
          <w:color w:val="auto"/>
          <w:sz w:val="24"/>
        </w:rPr>
        <w:t>地址：</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 xml:space="preserve">      地址：</w:t>
      </w:r>
      <w:r>
        <w:rPr>
          <w:rFonts w:hint="eastAsia" w:ascii="仿宋_GB2312" w:hAnsi="宋体" w:eastAsia="仿宋_GB2312"/>
          <w:color w:val="auto"/>
          <w:sz w:val="24"/>
          <w:u w:val="single"/>
        </w:rPr>
        <w:t xml:space="preserve">                           </w:t>
      </w:r>
    </w:p>
    <w:p>
      <w:pPr>
        <w:snapToGrid w:val="0"/>
        <w:spacing w:before="19" w:line="500" w:lineRule="exact"/>
        <w:rPr>
          <w:rFonts w:hint="eastAsia" w:ascii="仿宋_GB2312" w:hAnsi="宋体" w:eastAsia="仿宋_GB2312"/>
          <w:color w:val="auto"/>
          <w:sz w:val="24"/>
        </w:rPr>
      </w:pPr>
      <w:r>
        <w:rPr>
          <w:rFonts w:hint="eastAsia" w:ascii="仿宋_GB2312" w:hAnsi="宋体" w:eastAsia="仿宋_GB2312"/>
          <w:color w:val="auto"/>
          <w:sz w:val="24"/>
        </w:rPr>
        <w:t>法定（或授权）代表人：</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 xml:space="preserve">     法定（或授权）代表人：</w:t>
      </w:r>
      <w:r>
        <w:rPr>
          <w:rFonts w:hint="eastAsia" w:ascii="仿宋_GB2312" w:hAnsi="宋体" w:eastAsia="仿宋_GB2312"/>
          <w:color w:val="auto"/>
          <w:sz w:val="24"/>
          <w:u w:val="single"/>
        </w:rPr>
        <w:t xml:space="preserve">            </w:t>
      </w:r>
    </w:p>
    <w:p>
      <w:pPr>
        <w:snapToGrid w:val="0"/>
        <w:spacing w:before="19" w:line="500" w:lineRule="exact"/>
        <w:rPr>
          <w:rFonts w:hint="eastAsia" w:ascii="仿宋_GB2312" w:hAnsi="宋体" w:eastAsia="仿宋_GB2312"/>
          <w:color w:val="auto"/>
          <w:sz w:val="24"/>
        </w:rPr>
      </w:pP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年</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月</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 xml:space="preserve">日                   </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年</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月</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日</w:t>
      </w:r>
    </w:p>
    <w:p>
      <w:pPr>
        <w:snapToGrid w:val="0"/>
        <w:spacing w:before="19" w:line="500" w:lineRule="exact"/>
        <w:rPr>
          <w:rFonts w:hint="eastAsia" w:ascii="仿宋_GB2312" w:hAnsi="宋体" w:eastAsia="仿宋_GB2312"/>
          <w:b/>
          <w:color w:val="auto"/>
          <w:sz w:val="24"/>
        </w:rPr>
      </w:pPr>
    </w:p>
    <w:p>
      <w:pPr>
        <w:snapToGrid w:val="0"/>
        <w:spacing w:before="19" w:line="500" w:lineRule="exact"/>
        <w:rPr>
          <w:rFonts w:hint="eastAsia" w:ascii="仿宋_GB2312" w:hAnsi="宋体" w:eastAsia="仿宋_GB2312"/>
          <w:b/>
          <w:color w:val="auto"/>
          <w:sz w:val="28"/>
          <w:u w:val="single"/>
        </w:rPr>
      </w:pPr>
      <w:r>
        <w:rPr>
          <w:rFonts w:hint="eastAsia" w:ascii="仿宋_GB2312" w:hAnsi="宋体" w:eastAsia="仿宋_GB2312"/>
          <w:b/>
          <w:color w:val="auto"/>
          <w:sz w:val="28"/>
        </w:rPr>
        <w:t>招标</w:t>
      </w:r>
      <w:r>
        <w:rPr>
          <w:rFonts w:hint="eastAsia" w:ascii="仿宋_GB2312" w:hAnsi="宋体" w:eastAsia="仿宋_GB2312"/>
          <w:b/>
          <w:color w:val="auto"/>
          <w:sz w:val="28"/>
          <w:lang w:eastAsia="zh-CN"/>
        </w:rPr>
        <w:t>代理机构</w:t>
      </w:r>
      <w:r>
        <w:rPr>
          <w:rFonts w:hint="eastAsia" w:ascii="仿宋_GB2312" w:hAnsi="宋体" w:eastAsia="仿宋_GB2312"/>
          <w:b/>
          <w:color w:val="auto"/>
          <w:sz w:val="28"/>
        </w:rPr>
        <w:t>：</w:t>
      </w:r>
      <w:r>
        <w:rPr>
          <w:rFonts w:hint="eastAsia" w:ascii="仿宋_GB2312" w:hAnsi="宋体" w:eastAsia="仿宋_GB2312"/>
          <w:b/>
          <w:color w:val="auto"/>
          <w:sz w:val="28"/>
          <w:u w:val="single"/>
        </w:rPr>
        <w:t xml:space="preserve">                      （盖章）</w:t>
      </w:r>
    </w:p>
    <w:p>
      <w:pPr>
        <w:snapToGrid w:val="0"/>
        <w:spacing w:before="19" w:line="500" w:lineRule="exact"/>
        <w:rPr>
          <w:rFonts w:hint="eastAsia" w:ascii="仿宋_GB2312" w:hAnsi="宋体" w:eastAsia="仿宋_GB2312"/>
          <w:color w:val="auto"/>
          <w:sz w:val="28"/>
        </w:rPr>
      </w:pPr>
      <w:r>
        <w:rPr>
          <w:rFonts w:hint="eastAsia" w:ascii="仿宋_GB2312" w:hAnsi="宋体" w:eastAsia="仿宋_GB2312"/>
          <w:color w:val="auto"/>
          <w:sz w:val="28"/>
        </w:rPr>
        <w:t>经办人：</w:t>
      </w:r>
      <w:r>
        <w:rPr>
          <w:rFonts w:hint="eastAsia" w:ascii="仿宋_GB2312" w:hAnsi="宋体" w:eastAsia="仿宋_GB2312"/>
          <w:color w:val="auto"/>
          <w:sz w:val="28"/>
          <w:u w:val="single"/>
        </w:rPr>
        <w:t xml:space="preserve">       </w:t>
      </w:r>
    </w:p>
    <w:p>
      <w:pPr>
        <w:rPr>
          <w:rFonts w:hint="eastAsia" w:ascii="仿宋_GB2312" w:hAnsi="宋体" w:eastAsia="仿宋_GB2312"/>
          <w:color w:val="auto"/>
          <w:sz w:val="28"/>
        </w:rPr>
      </w:pPr>
      <w:r>
        <w:rPr>
          <w:rFonts w:hint="eastAsia" w:ascii="仿宋_GB2312" w:hAnsi="宋体" w:eastAsia="仿宋_GB2312"/>
          <w:color w:val="auto"/>
          <w:sz w:val="28"/>
          <w:u w:val="single"/>
        </w:rPr>
        <w:t xml:space="preserve">       </w:t>
      </w:r>
      <w:r>
        <w:rPr>
          <w:rFonts w:hint="eastAsia" w:ascii="仿宋_GB2312" w:hAnsi="宋体" w:eastAsia="仿宋_GB2312"/>
          <w:color w:val="auto"/>
          <w:sz w:val="28"/>
        </w:rPr>
        <w:t>年</w:t>
      </w:r>
      <w:r>
        <w:rPr>
          <w:rFonts w:hint="eastAsia" w:ascii="仿宋_GB2312" w:hAnsi="宋体" w:eastAsia="仿宋_GB2312"/>
          <w:color w:val="auto"/>
          <w:sz w:val="28"/>
          <w:u w:val="single"/>
        </w:rPr>
        <w:t xml:space="preserve">   </w:t>
      </w:r>
      <w:r>
        <w:rPr>
          <w:rFonts w:hint="eastAsia" w:ascii="仿宋_GB2312" w:hAnsi="宋体" w:eastAsia="仿宋_GB2312"/>
          <w:color w:val="auto"/>
          <w:sz w:val="28"/>
        </w:rPr>
        <w:t>月</w:t>
      </w:r>
      <w:r>
        <w:rPr>
          <w:rFonts w:hint="eastAsia" w:ascii="仿宋_GB2312" w:hAnsi="宋体" w:eastAsia="仿宋_GB2312"/>
          <w:color w:val="auto"/>
          <w:sz w:val="28"/>
          <w:u w:val="single"/>
        </w:rPr>
        <w:t xml:space="preserve">    </w:t>
      </w:r>
      <w:r>
        <w:rPr>
          <w:rFonts w:hint="eastAsia" w:ascii="仿宋_GB2312" w:hAnsi="宋体" w:eastAsia="仿宋_GB2312"/>
          <w:color w:val="auto"/>
          <w:sz w:val="28"/>
        </w:rPr>
        <w:t>日</w:t>
      </w:r>
    </w:p>
    <w:p>
      <w:pPr>
        <w:spacing w:line="360" w:lineRule="auto"/>
        <w:jc w:val="both"/>
        <w:rPr>
          <w:rFonts w:hint="eastAsia" w:ascii="仿宋_GB2312" w:hAnsi="宋体" w:eastAsia="仿宋_GB2312"/>
          <w:color w:val="auto"/>
          <w:sz w:val="24"/>
          <w:szCs w:val="24"/>
        </w:rPr>
      </w:pPr>
    </w:p>
    <w:p>
      <w:pPr>
        <w:rPr>
          <w:rFonts w:hint="eastAsia" w:ascii="仿宋_GB2312" w:eastAsia="仿宋_GB2312"/>
          <w:color w:val="auto"/>
        </w:rPr>
      </w:pPr>
      <w:r>
        <w:rPr>
          <w:rFonts w:hint="eastAsia" w:ascii="仿宋_GB2312" w:eastAsia="仿宋_GB2312"/>
          <w:color w:val="auto"/>
        </w:rPr>
        <w:br w:type="textWrapping"/>
      </w:r>
    </w:p>
    <w:p>
      <w:pPr>
        <w:jc w:val="center"/>
        <w:outlineLvl w:val="0"/>
        <w:rPr>
          <w:rFonts w:ascii="宋体" w:hAnsi="宋体"/>
          <w:b/>
          <w:color w:val="auto"/>
          <w:sz w:val="44"/>
          <w:szCs w:val="44"/>
        </w:rPr>
      </w:pPr>
      <w:r>
        <w:rPr>
          <w:rFonts w:hint="eastAsia" w:ascii="仿宋_GB2312" w:eastAsia="仿宋_GB2312"/>
          <w:color w:val="auto"/>
        </w:rPr>
        <w:br w:type="page"/>
      </w:r>
    </w:p>
    <w:p>
      <w:pPr>
        <w:jc w:val="center"/>
        <w:rPr>
          <w:color w:val="auto"/>
        </w:rPr>
      </w:pPr>
    </w:p>
    <w:p>
      <w:pPr>
        <w:pStyle w:val="2"/>
        <w:numPr>
          <w:ilvl w:val="0"/>
          <w:numId w:val="8"/>
        </w:numPr>
        <w:jc w:val="center"/>
        <w:rPr>
          <w:rFonts w:ascii="宋体" w:hAnsi="宋体" w:eastAsia="宋体" w:cs="黑体"/>
          <w:color w:val="auto"/>
        </w:rPr>
      </w:pPr>
      <w:bookmarkStart w:id="89" w:name="_Toc1660549"/>
      <w:r>
        <w:rPr>
          <w:rFonts w:hint="eastAsia" w:ascii="宋体" w:hAnsi="宋体" w:eastAsia="宋体" w:cs="黑体"/>
          <w:color w:val="auto"/>
          <w:lang w:eastAsia="zh-CN"/>
        </w:rPr>
        <w:t>响应</w:t>
      </w:r>
      <w:r>
        <w:rPr>
          <w:rFonts w:ascii="宋体" w:hAnsi="宋体" w:eastAsia="宋体" w:cs="黑体"/>
          <w:color w:val="auto"/>
        </w:rPr>
        <w:t>内容和格式</w:t>
      </w:r>
      <w:bookmarkEnd w:id="89"/>
    </w:p>
    <w:p>
      <w:pPr>
        <w:pStyle w:val="11"/>
        <w:ind w:firstLine="1050" w:firstLineChars="500"/>
        <w:rPr>
          <w:rFonts w:hint="eastAsia" w:hAnsi="宋体"/>
          <w:color w:val="auto"/>
          <w:lang w:eastAsia="zh-CN"/>
        </w:rPr>
      </w:pPr>
      <w:r>
        <w:rPr>
          <w:rFonts w:hint="eastAsia" w:hAnsi="宋体"/>
          <w:color w:val="auto"/>
        </w:rPr>
        <mc:AlternateContent>
          <mc:Choice Requires="wps">
            <w:drawing>
              <wp:anchor distT="0" distB="0" distL="114300" distR="114300" simplePos="0" relativeHeight="251659264" behindDoc="1" locked="0" layoutInCell="1" allowOverlap="1">
                <wp:simplePos x="0" y="0"/>
                <wp:positionH relativeFrom="column">
                  <wp:posOffset>3357245</wp:posOffset>
                </wp:positionH>
                <wp:positionV relativeFrom="paragraph">
                  <wp:posOffset>213360</wp:posOffset>
                </wp:positionV>
                <wp:extent cx="1148080" cy="606425"/>
                <wp:effectExtent l="7620" t="7620" r="25400" b="14605"/>
                <wp:wrapNone/>
                <wp:docPr id="3" name="矩形 3"/>
                <wp:cNvGraphicFramePr/>
                <a:graphic xmlns:a="http://schemas.openxmlformats.org/drawingml/2006/main">
                  <a:graphicData uri="http://schemas.microsoft.com/office/word/2010/wordprocessingShape">
                    <wps:wsp>
                      <wps:cNvSpPr/>
                      <wps:spPr>
                        <a:xfrm>
                          <a:off x="0" y="0"/>
                          <a:ext cx="1148080" cy="60642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64.35pt;margin-top:16.8pt;height:47.75pt;width:90.4pt;z-index:-251657216;mso-width-relative:page;mso-height-relative:page;" fillcolor="#FFFFFF" filled="t" stroked="t" coordsize="21600,21600" o:gfxdata="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5avSF2gAA&#10;AAoBAAAPAAAAAAAAAAEAIAAAACIAAABkcnMvZG93bnJldi54bWxQSwECFAAUAAAACACHTuJALb4Q&#10;LxwCAABYBAAADgAAAAAAAAABACAAAAApAQAAZHJzL2Uyb0RvYy54bWxQSwUGAAAAAAYABgBZAQAA&#10;twUAAAAA&#10;">
                <v:fill type="gradient" on="t" color2="#FFFFFF" angle="90" focus="100%" focussize="0,0">
                  <o:fill type="gradientUnscaled" v:ext="backwardCompatible"/>
                </v:fill>
                <v:stroke weight="1.25pt" color="#000000" joinstyle="miter"/>
                <v:imagedata o:title=""/>
                <o:lock v:ext="edit" aspectratio="f"/>
              </v:rect>
            </w:pict>
          </mc:Fallback>
        </mc:AlternateContent>
      </w:r>
      <w:r>
        <w:rPr>
          <w:rFonts w:hint="eastAsia" w:hAnsi="宋体"/>
          <w:color w:val="auto"/>
          <w:lang w:eastAsia="zh-CN"/>
        </w:rPr>
        <w:t>（封皮格式）</w:t>
      </w:r>
    </w:p>
    <w:p>
      <w:pPr>
        <w:pStyle w:val="11"/>
        <w:rPr>
          <w:rFonts w:hint="eastAsia" w:hAnsi="宋体"/>
          <w:color w:val="auto"/>
          <w:sz w:val="44"/>
          <w:szCs w:val="44"/>
          <w:lang w:eastAsia="zh-CN"/>
        </w:rPr>
      </w:pPr>
      <w:r>
        <w:rPr>
          <w:rFonts w:hint="eastAsia" w:hAnsi="宋体"/>
          <w:color w:val="auto"/>
          <w:lang w:eastAsia="zh-CN"/>
        </w:rPr>
        <w:t xml:space="preserve">                                                    </w:t>
      </w:r>
      <w:r>
        <w:rPr>
          <w:rFonts w:hint="eastAsia" w:hAnsi="宋体"/>
          <w:color w:val="auto"/>
          <w:sz w:val="44"/>
          <w:szCs w:val="44"/>
          <w:lang w:eastAsia="zh-CN"/>
        </w:rPr>
        <w:t>正/副本</w:t>
      </w:r>
    </w:p>
    <w:p>
      <w:pPr>
        <w:pStyle w:val="11"/>
        <w:rPr>
          <w:rFonts w:hint="eastAsia" w:hAnsi="宋体"/>
          <w:color w:val="auto"/>
          <w:lang w:eastAsia="zh-CN"/>
        </w:rPr>
      </w:pPr>
    </w:p>
    <w:p>
      <w:pPr>
        <w:pStyle w:val="11"/>
        <w:rPr>
          <w:rFonts w:hint="eastAsia" w:hAnsi="宋体"/>
          <w:color w:val="auto"/>
          <w:lang w:eastAsia="zh-CN"/>
        </w:rPr>
      </w:pPr>
    </w:p>
    <w:p>
      <w:pPr>
        <w:pStyle w:val="11"/>
        <w:jc w:val="center"/>
        <w:rPr>
          <w:rFonts w:hint="eastAsia" w:hAnsi="宋体"/>
          <w:color w:val="auto"/>
          <w:sz w:val="36"/>
          <w:szCs w:val="36"/>
          <w:lang w:eastAsia="zh-CN"/>
        </w:rPr>
      </w:pPr>
      <w:r>
        <w:rPr>
          <w:rFonts w:hint="eastAsia" w:hAnsi="宋体"/>
          <w:color w:val="auto"/>
          <w:sz w:val="48"/>
          <w:szCs w:val="48"/>
          <w:lang w:eastAsia="zh-CN"/>
        </w:rPr>
        <w:t xml:space="preserve"> </w:t>
      </w:r>
      <w:r>
        <w:rPr>
          <w:rFonts w:hint="eastAsia" w:hAnsi="宋体"/>
          <w:color w:val="auto"/>
          <w:sz w:val="48"/>
          <w:szCs w:val="48"/>
          <w:u w:val="single"/>
          <w:lang w:eastAsia="zh-CN"/>
        </w:rPr>
        <w:t xml:space="preserve">                </w:t>
      </w:r>
      <w:r>
        <w:rPr>
          <w:rFonts w:hint="eastAsia" w:hAnsi="宋体"/>
          <w:color w:val="auto"/>
          <w:sz w:val="48"/>
          <w:szCs w:val="48"/>
          <w:lang w:eastAsia="zh-CN"/>
        </w:rPr>
        <w:t>（项目名称）</w:t>
      </w:r>
    </w:p>
    <w:p>
      <w:pPr>
        <w:pStyle w:val="11"/>
        <w:rPr>
          <w:rFonts w:hint="eastAsia" w:hAnsi="宋体"/>
          <w:color w:val="auto"/>
          <w:sz w:val="36"/>
          <w:szCs w:val="36"/>
          <w:lang w:eastAsia="zh-CN"/>
        </w:rPr>
      </w:pPr>
      <w:r>
        <w:rPr>
          <w:rFonts w:hint="eastAsia" w:hAnsi="宋体"/>
          <w:color w:val="auto"/>
          <w:sz w:val="36"/>
          <w:szCs w:val="36"/>
          <w:lang w:eastAsia="zh-CN"/>
        </w:rPr>
        <w:t xml:space="preserve">         项目编号：</w:t>
      </w:r>
    </w:p>
    <w:p>
      <w:pPr>
        <w:pStyle w:val="11"/>
        <w:jc w:val="center"/>
        <w:rPr>
          <w:rFonts w:hint="eastAsia" w:hAnsi="宋体"/>
          <w:color w:val="auto"/>
          <w:sz w:val="36"/>
          <w:szCs w:val="36"/>
          <w:lang w:eastAsia="zh-CN"/>
        </w:rPr>
      </w:pPr>
    </w:p>
    <w:p>
      <w:pPr>
        <w:pStyle w:val="11"/>
        <w:rPr>
          <w:rFonts w:hint="eastAsia" w:hAnsi="宋体"/>
          <w:color w:val="auto"/>
          <w:u w:val="single"/>
          <w:lang w:eastAsia="zh-CN"/>
        </w:rPr>
      </w:pPr>
    </w:p>
    <w:p>
      <w:pPr>
        <w:pStyle w:val="11"/>
        <w:rPr>
          <w:rFonts w:hint="eastAsia" w:hAnsi="宋体"/>
          <w:color w:val="auto"/>
          <w:u w:val="single"/>
          <w:lang w:eastAsia="zh-CN"/>
        </w:rPr>
      </w:pPr>
    </w:p>
    <w:p>
      <w:pPr>
        <w:pStyle w:val="11"/>
        <w:rPr>
          <w:rFonts w:hint="eastAsia" w:hAnsi="宋体"/>
          <w:color w:val="auto"/>
          <w:u w:val="single"/>
          <w:lang w:eastAsia="zh-CN"/>
        </w:rPr>
      </w:pPr>
    </w:p>
    <w:p>
      <w:pPr>
        <w:pStyle w:val="11"/>
        <w:rPr>
          <w:rFonts w:hint="eastAsia" w:hAnsi="宋体"/>
          <w:color w:val="auto"/>
          <w:u w:val="single"/>
          <w:lang w:eastAsia="zh-CN"/>
        </w:rPr>
      </w:pPr>
    </w:p>
    <w:p>
      <w:pPr>
        <w:pStyle w:val="11"/>
        <w:jc w:val="center"/>
        <w:rPr>
          <w:rFonts w:hint="eastAsia" w:hAnsi="宋体"/>
          <w:color w:val="auto"/>
          <w:sz w:val="72"/>
          <w:szCs w:val="72"/>
          <w:lang w:eastAsia="zh-CN"/>
        </w:rPr>
      </w:pPr>
      <w:r>
        <w:rPr>
          <w:rFonts w:hint="eastAsia" w:hAnsi="宋体"/>
          <w:color w:val="auto"/>
          <w:sz w:val="72"/>
          <w:szCs w:val="72"/>
          <w:lang w:eastAsia="zh-CN"/>
        </w:rPr>
        <w:t>响应文件</w:t>
      </w:r>
    </w:p>
    <w:p>
      <w:pPr>
        <w:pStyle w:val="11"/>
        <w:rPr>
          <w:rFonts w:hint="eastAsia" w:hAnsi="宋体"/>
          <w:color w:val="auto"/>
          <w:u w:val="single"/>
          <w:lang w:eastAsia="zh-CN"/>
        </w:rPr>
      </w:pPr>
    </w:p>
    <w:p>
      <w:pPr>
        <w:pStyle w:val="11"/>
        <w:rPr>
          <w:rFonts w:hint="eastAsia" w:hAnsi="宋体"/>
          <w:color w:val="auto"/>
          <w:u w:val="single"/>
          <w:lang w:eastAsia="zh-CN"/>
        </w:rPr>
      </w:pPr>
    </w:p>
    <w:p>
      <w:pPr>
        <w:pStyle w:val="11"/>
        <w:rPr>
          <w:rFonts w:hint="eastAsia" w:hAnsi="宋体"/>
          <w:color w:val="auto"/>
          <w:u w:val="single"/>
          <w:lang w:eastAsia="zh-CN"/>
        </w:rPr>
      </w:pPr>
    </w:p>
    <w:p>
      <w:pPr>
        <w:pStyle w:val="11"/>
        <w:rPr>
          <w:rFonts w:hint="eastAsia" w:hAnsi="宋体"/>
          <w:color w:val="auto"/>
          <w:u w:val="single"/>
          <w:lang w:eastAsia="zh-CN"/>
        </w:rPr>
      </w:pPr>
    </w:p>
    <w:p>
      <w:pPr>
        <w:spacing w:line="360" w:lineRule="auto"/>
        <w:ind w:firstLine="480" w:firstLineChars="200"/>
        <w:rPr>
          <w:rFonts w:hint="eastAsia" w:ascii="宋体" w:hAnsi="宋体"/>
          <w:color w:val="auto"/>
          <w:sz w:val="24"/>
        </w:rPr>
      </w:pPr>
      <w:r>
        <w:rPr>
          <w:rFonts w:hint="eastAsia" w:ascii="宋体" w:hAnsi="宋体"/>
          <w:color w:val="auto"/>
          <w:sz w:val="24"/>
        </w:rPr>
        <w:t>供应商（盖章）：_______________________</w:t>
      </w:r>
    </w:p>
    <w:p>
      <w:pPr>
        <w:spacing w:line="360" w:lineRule="auto"/>
        <w:ind w:firstLine="480" w:firstLineChars="200"/>
        <w:rPr>
          <w:rFonts w:hint="eastAsia" w:ascii="宋体" w:hAnsi="宋体"/>
          <w:color w:val="auto"/>
          <w:sz w:val="24"/>
        </w:rPr>
      </w:pPr>
      <w:r>
        <w:rPr>
          <w:rFonts w:hint="eastAsia" w:ascii="宋体" w:hAnsi="宋体"/>
          <w:color w:val="auto"/>
          <w:sz w:val="24"/>
        </w:rPr>
        <w:t>法定代表人或授权委托代理人（签字）：_______________________</w:t>
      </w:r>
    </w:p>
    <w:p>
      <w:pPr>
        <w:snapToGrid w:val="0"/>
        <w:spacing w:line="480" w:lineRule="auto"/>
        <w:ind w:firstLine="540" w:firstLineChars="225"/>
        <w:outlineLvl w:val="0"/>
        <w:rPr>
          <w:b/>
          <w:color w:val="auto"/>
          <w:sz w:val="44"/>
          <w:szCs w:val="44"/>
        </w:rPr>
      </w:pPr>
      <w:r>
        <w:rPr>
          <w:rFonts w:hint="eastAsia" w:ascii="宋体" w:hAnsi="宋体"/>
          <w:color w:val="auto"/>
          <w:sz w:val="24"/>
        </w:rPr>
        <w:t xml:space="preserve">日期：_______________________      </w:t>
      </w:r>
    </w:p>
    <w:p>
      <w:pPr>
        <w:numPr>
          <w:ilvl w:val="0"/>
          <w:numId w:val="0"/>
        </w:num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numPr>
          <w:ilvl w:val="0"/>
          <w:numId w:val="9"/>
        </w:numPr>
        <w:spacing w:line="430" w:lineRule="exact"/>
        <w:ind w:firstLine="480" w:firstLineChars="200"/>
        <w:rPr>
          <w:rFonts w:ascii="宋体" w:hAnsi="宋体"/>
          <w:color w:val="auto"/>
          <w:sz w:val="24"/>
          <w:szCs w:val="24"/>
        </w:rPr>
      </w:pPr>
      <w:r>
        <w:rPr>
          <w:rFonts w:hint="eastAsia" w:ascii="宋体" w:hAnsi="宋体"/>
          <w:color w:val="auto"/>
          <w:sz w:val="24"/>
          <w:szCs w:val="24"/>
        </w:rPr>
        <w:t>开标一览表；</w:t>
      </w:r>
    </w:p>
    <w:p>
      <w:pPr>
        <w:numPr>
          <w:ilvl w:val="0"/>
          <w:numId w:val="9"/>
        </w:numPr>
        <w:spacing w:line="430" w:lineRule="exact"/>
        <w:ind w:firstLine="480" w:firstLineChars="200"/>
        <w:rPr>
          <w:rFonts w:ascii="宋体" w:hAnsi="宋体"/>
          <w:color w:val="auto"/>
          <w:sz w:val="24"/>
          <w:szCs w:val="24"/>
        </w:rPr>
      </w:pPr>
      <w:r>
        <w:rPr>
          <w:rFonts w:hint="eastAsia" w:ascii="宋体" w:hAnsi="宋体"/>
          <w:color w:val="auto"/>
          <w:sz w:val="24"/>
          <w:szCs w:val="24"/>
        </w:rPr>
        <w:t>投标函及投标函附录；</w:t>
      </w:r>
    </w:p>
    <w:p>
      <w:pPr>
        <w:numPr>
          <w:ilvl w:val="0"/>
          <w:numId w:val="9"/>
        </w:numPr>
        <w:spacing w:line="430" w:lineRule="exact"/>
        <w:ind w:left="0" w:leftChars="0" w:firstLine="480" w:firstLineChars="200"/>
        <w:rPr>
          <w:color w:val="auto"/>
        </w:rPr>
      </w:pPr>
      <w:r>
        <w:rPr>
          <w:rFonts w:hint="eastAsia" w:ascii="宋体" w:hAnsi="宋体"/>
          <w:color w:val="auto"/>
          <w:sz w:val="24"/>
          <w:szCs w:val="24"/>
          <w:lang w:eastAsia="zh-CN"/>
        </w:rPr>
        <w:t>法定代表人身份证明书；</w:t>
      </w:r>
    </w:p>
    <w:p>
      <w:pPr>
        <w:numPr>
          <w:ilvl w:val="0"/>
          <w:numId w:val="0"/>
        </w:numPr>
        <w:spacing w:line="430" w:lineRule="exact"/>
        <w:ind w:leftChars="200"/>
        <w:rPr>
          <w:color w:val="auto"/>
        </w:rPr>
      </w:pPr>
      <w:r>
        <w:rPr>
          <w:rFonts w:hint="eastAsia" w:ascii="宋体" w:hAnsi="宋体"/>
          <w:color w:val="auto"/>
          <w:sz w:val="24"/>
          <w:szCs w:val="24"/>
          <w:lang w:val="en-US" w:eastAsia="zh-CN"/>
        </w:rPr>
        <w:t>4</w:t>
      </w:r>
      <w:r>
        <w:rPr>
          <w:rFonts w:hint="eastAsia" w:ascii="宋体" w:hAnsi="宋体"/>
          <w:color w:val="auto"/>
          <w:sz w:val="24"/>
          <w:szCs w:val="24"/>
          <w:lang w:eastAsia="zh-CN"/>
        </w:rPr>
        <w:t>、授权委托书</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lang w:val="en-US" w:eastAsia="zh-CN"/>
        </w:rPr>
        <w:t>5、</w:t>
      </w:r>
      <w:r>
        <w:rPr>
          <w:rFonts w:hint="eastAsia" w:ascii="宋体" w:hAnsi="宋体"/>
          <w:color w:val="auto"/>
          <w:sz w:val="24"/>
          <w:szCs w:val="24"/>
        </w:rPr>
        <w:t>供应商资格证明文件；</w:t>
      </w:r>
    </w:p>
    <w:p>
      <w:pPr>
        <w:spacing w:line="360" w:lineRule="auto"/>
        <w:ind w:firstLine="480" w:firstLineChars="200"/>
        <w:rPr>
          <w:rFonts w:hint="eastAsia" w:ascii="黑体" w:hAnsi="黑体" w:eastAsia="黑体" w:cs="黑体"/>
          <w:color w:val="auto"/>
          <w:sz w:val="24"/>
        </w:rPr>
      </w:pPr>
      <w:r>
        <w:rPr>
          <w:rFonts w:hint="eastAsia" w:ascii="宋体" w:hAnsi="宋体" w:eastAsia="黑体"/>
          <w:color w:val="auto"/>
          <w:sz w:val="24"/>
          <w:szCs w:val="24"/>
          <w:lang w:val="en-US" w:eastAsia="zh-CN"/>
        </w:rPr>
        <w:t>6</w:t>
      </w:r>
      <w:r>
        <w:rPr>
          <w:rFonts w:hint="eastAsia" w:ascii="宋体" w:hAnsi="宋体" w:eastAsia="宋体"/>
          <w:color w:val="auto"/>
          <w:sz w:val="24"/>
          <w:szCs w:val="24"/>
          <w:lang w:val="en-US" w:eastAsia="zh-CN"/>
        </w:rPr>
        <w:t>、拟派</w:t>
      </w:r>
      <w:r>
        <w:rPr>
          <w:rFonts w:hint="eastAsia" w:ascii="宋体" w:hAnsi="宋体" w:eastAsia="宋体"/>
          <w:color w:val="auto"/>
          <w:sz w:val="24"/>
          <w:szCs w:val="24"/>
        </w:rPr>
        <w:t>项目管理机构</w:t>
      </w:r>
    </w:p>
    <w:p>
      <w:pPr>
        <w:spacing w:line="360" w:lineRule="auto"/>
        <w:ind w:firstLine="480" w:firstLineChars="200"/>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7、资格审查资料</w:t>
      </w:r>
    </w:p>
    <w:p>
      <w:pPr>
        <w:numPr>
          <w:ilvl w:val="0"/>
          <w:numId w:val="0"/>
        </w:numPr>
        <w:spacing w:line="430" w:lineRule="exact"/>
        <w:ind w:firstLine="480" w:firstLineChars="200"/>
        <w:rPr>
          <w:rFonts w:hint="eastAsia" w:ascii="宋体" w:hAnsi="宋体"/>
          <w:color w:val="auto"/>
          <w:sz w:val="24"/>
          <w:szCs w:val="24"/>
        </w:rPr>
      </w:pPr>
      <w:r>
        <w:rPr>
          <w:rFonts w:hint="eastAsia" w:ascii="宋体" w:hAnsi="宋体"/>
          <w:color w:val="auto"/>
          <w:sz w:val="24"/>
          <w:szCs w:val="24"/>
          <w:lang w:val="en-US" w:eastAsia="zh-CN"/>
        </w:rPr>
        <w:t>8</w:t>
      </w:r>
      <w:r>
        <w:rPr>
          <w:rFonts w:hint="eastAsia" w:ascii="宋体" w:hAnsi="宋体"/>
          <w:color w:val="auto"/>
          <w:sz w:val="24"/>
          <w:szCs w:val="24"/>
        </w:rPr>
        <w:t>、政府采购活动信用记录自查承诺函</w:t>
      </w:r>
    </w:p>
    <w:p>
      <w:pPr>
        <w:numPr>
          <w:ilvl w:val="0"/>
          <w:numId w:val="0"/>
        </w:numPr>
        <w:spacing w:line="430" w:lineRule="exact"/>
        <w:ind w:firstLine="480" w:firstLineChars="200"/>
        <w:rPr>
          <w:rFonts w:hint="eastAsia" w:ascii="宋体" w:hAnsi="宋体"/>
          <w:color w:val="auto"/>
          <w:sz w:val="24"/>
          <w:szCs w:val="24"/>
        </w:rPr>
      </w:pPr>
      <w:r>
        <w:rPr>
          <w:rFonts w:hint="eastAsia" w:ascii="宋体" w:hAnsi="宋体"/>
          <w:color w:val="auto"/>
          <w:sz w:val="24"/>
          <w:szCs w:val="24"/>
          <w:lang w:val="en-US" w:eastAsia="zh-CN"/>
        </w:rPr>
        <w:t>9</w:t>
      </w:r>
      <w:r>
        <w:rPr>
          <w:rFonts w:hint="eastAsia" w:ascii="宋体" w:hAnsi="宋体"/>
          <w:color w:val="auto"/>
          <w:sz w:val="24"/>
          <w:szCs w:val="24"/>
        </w:rPr>
        <w:t>、中小企业声明函</w:t>
      </w:r>
    </w:p>
    <w:p>
      <w:pPr>
        <w:numPr>
          <w:ilvl w:val="0"/>
          <w:numId w:val="0"/>
        </w:numPr>
        <w:spacing w:line="430" w:lineRule="exact"/>
        <w:ind w:firstLine="480" w:firstLineChars="200"/>
        <w:rPr>
          <w:rFonts w:hint="eastAsia" w:ascii="宋体" w:hAnsi="宋体"/>
          <w:color w:val="auto"/>
          <w:sz w:val="24"/>
          <w:szCs w:val="24"/>
        </w:rPr>
      </w:pPr>
      <w:r>
        <w:rPr>
          <w:rFonts w:hint="eastAsia" w:ascii="宋体" w:hAnsi="宋体"/>
          <w:color w:val="auto"/>
          <w:sz w:val="24"/>
          <w:szCs w:val="24"/>
          <w:lang w:val="en-US" w:eastAsia="zh-CN"/>
        </w:rPr>
        <w:t>10</w:t>
      </w:r>
      <w:r>
        <w:rPr>
          <w:rFonts w:hint="eastAsia" w:ascii="宋体" w:hAnsi="宋体"/>
          <w:color w:val="auto"/>
          <w:sz w:val="24"/>
          <w:szCs w:val="24"/>
        </w:rPr>
        <w:t>、中小企业（监狱企业）声明函</w:t>
      </w:r>
    </w:p>
    <w:p>
      <w:pPr>
        <w:numPr>
          <w:ilvl w:val="0"/>
          <w:numId w:val="0"/>
        </w:numPr>
        <w:spacing w:line="430" w:lineRule="exact"/>
        <w:ind w:firstLine="480" w:firstLineChars="200"/>
        <w:rPr>
          <w:rFonts w:hint="eastAsia" w:ascii="宋体" w:hAnsi="宋体"/>
          <w:color w:val="auto"/>
          <w:sz w:val="24"/>
          <w:szCs w:val="24"/>
        </w:rPr>
      </w:pPr>
      <w:r>
        <w:rPr>
          <w:rFonts w:hint="eastAsia" w:ascii="宋体" w:hAnsi="宋体"/>
          <w:color w:val="auto"/>
          <w:sz w:val="24"/>
          <w:szCs w:val="24"/>
          <w:lang w:val="en-US" w:eastAsia="zh-CN"/>
        </w:rPr>
        <w:t>11</w:t>
      </w:r>
      <w:r>
        <w:rPr>
          <w:rFonts w:hint="eastAsia" w:ascii="宋体" w:hAnsi="宋体"/>
          <w:color w:val="auto"/>
          <w:sz w:val="24"/>
          <w:szCs w:val="24"/>
        </w:rPr>
        <w:t>、残疾人福利性单位声明函</w:t>
      </w:r>
    </w:p>
    <w:p>
      <w:pPr>
        <w:numPr>
          <w:ilvl w:val="0"/>
          <w:numId w:val="0"/>
        </w:numPr>
        <w:spacing w:line="430" w:lineRule="exact"/>
        <w:ind w:firstLine="480" w:firstLineChars="200"/>
        <w:rPr>
          <w:rFonts w:hint="eastAsia" w:ascii="宋体" w:hAnsi="宋体"/>
          <w:color w:val="auto"/>
          <w:sz w:val="24"/>
          <w:szCs w:val="24"/>
        </w:rPr>
      </w:pPr>
      <w:r>
        <w:rPr>
          <w:rFonts w:hint="eastAsia" w:ascii="宋体" w:hAnsi="宋体"/>
          <w:color w:val="auto"/>
          <w:sz w:val="24"/>
          <w:lang w:val="en-US" w:eastAsia="zh-CN"/>
        </w:rPr>
        <w:t>12、</w:t>
      </w:r>
      <w:r>
        <w:rPr>
          <w:rFonts w:hint="eastAsia" w:ascii="宋体" w:hAnsi="宋体"/>
          <w:color w:val="auto"/>
          <w:sz w:val="24"/>
        </w:rPr>
        <w:t>已标价的工程量清单</w:t>
      </w:r>
    </w:p>
    <w:p>
      <w:pPr>
        <w:numPr>
          <w:ilvl w:val="0"/>
          <w:numId w:val="0"/>
        </w:numPr>
        <w:spacing w:line="430" w:lineRule="exact"/>
        <w:ind w:firstLine="480" w:firstLineChars="200"/>
        <w:rPr>
          <w:rFonts w:ascii="宋体" w:hAnsi="宋体"/>
          <w:color w:val="auto"/>
          <w:sz w:val="24"/>
          <w:szCs w:val="24"/>
        </w:rPr>
      </w:pPr>
      <w:r>
        <w:rPr>
          <w:rFonts w:hint="eastAsia" w:ascii="宋体" w:hAnsi="宋体"/>
          <w:color w:val="auto"/>
          <w:sz w:val="24"/>
          <w:szCs w:val="24"/>
          <w:lang w:val="en-US" w:eastAsia="zh-CN"/>
        </w:rPr>
        <w:t>13、</w:t>
      </w:r>
      <w:r>
        <w:rPr>
          <w:rFonts w:hint="eastAsia" w:ascii="宋体" w:hAnsi="宋体"/>
          <w:color w:val="auto"/>
          <w:sz w:val="24"/>
          <w:szCs w:val="24"/>
        </w:rPr>
        <w:t>其他材料。</w:t>
      </w:r>
    </w:p>
    <w:p>
      <w:pPr>
        <w:jc w:val="center"/>
        <w:outlineLvl w:val="0"/>
        <w:rPr>
          <w:rFonts w:hint="eastAsia" w:ascii="宋体" w:hAnsi="宋体" w:eastAsia="宋体"/>
          <w:b/>
          <w:color w:val="auto"/>
          <w:sz w:val="44"/>
          <w:szCs w:val="44"/>
          <w:lang w:eastAsia="zh-CN"/>
        </w:rPr>
      </w:pPr>
    </w:p>
    <w:p>
      <w:pPr>
        <w:jc w:val="center"/>
        <w:outlineLvl w:val="0"/>
        <w:rPr>
          <w:rFonts w:ascii="宋体" w:hAnsi="宋体"/>
          <w:b/>
          <w:color w:val="auto"/>
          <w:sz w:val="44"/>
          <w:szCs w:val="44"/>
        </w:rPr>
      </w:pPr>
    </w:p>
    <w:p>
      <w:pPr>
        <w:jc w:val="center"/>
        <w:outlineLvl w:val="0"/>
        <w:rPr>
          <w:rFonts w:ascii="宋体" w:hAnsi="宋体"/>
          <w:b/>
          <w:color w:val="auto"/>
          <w:sz w:val="44"/>
          <w:szCs w:val="44"/>
        </w:rPr>
      </w:pPr>
    </w:p>
    <w:p>
      <w:pPr>
        <w:pStyle w:val="2"/>
        <w:rPr>
          <w:color w:val="auto"/>
        </w:rPr>
      </w:pPr>
    </w:p>
    <w:p>
      <w:pPr>
        <w:jc w:val="center"/>
        <w:outlineLvl w:val="0"/>
        <w:rPr>
          <w:rFonts w:ascii="宋体" w:hAnsi="宋体"/>
          <w:b/>
          <w:color w:val="auto"/>
          <w:sz w:val="44"/>
          <w:szCs w:val="44"/>
        </w:rPr>
      </w:pPr>
    </w:p>
    <w:p>
      <w:pPr>
        <w:jc w:val="center"/>
        <w:outlineLvl w:val="0"/>
        <w:rPr>
          <w:rFonts w:ascii="宋体" w:hAnsi="宋体"/>
          <w:b/>
          <w:color w:val="auto"/>
          <w:sz w:val="44"/>
          <w:szCs w:val="44"/>
        </w:rPr>
      </w:pPr>
    </w:p>
    <w:p>
      <w:pPr>
        <w:jc w:val="center"/>
        <w:outlineLvl w:val="0"/>
        <w:rPr>
          <w:rFonts w:ascii="宋体" w:hAnsi="宋体"/>
          <w:b/>
          <w:color w:val="auto"/>
          <w:sz w:val="44"/>
          <w:szCs w:val="44"/>
        </w:rPr>
      </w:pPr>
    </w:p>
    <w:p>
      <w:pPr>
        <w:jc w:val="center"/>
        <w:outlineLvl w:val="0"/>
        <w:rPr>
          <w:rFonts w:ascii="宋体" w:hAnsi="宋体"/>
          <w:b/>
          <w:color w:val="auto"/>
          <w:sz w:val="44"/>
          <w:szCs w:val="44"/>
        </w:rPr>
      </w:pPr>
    </w:p>
    <w:p>
      <w:pPr>
        <w:pStyle w:val="2"/>
        <w:rPr>
          <w:color w:val="auto"/>
        </w:rPr>
      </w:pPr>
    </w:p>
    <w:p>
      <w:pPr>
        <w:spacing w:line="360" w:lineRule="auto"/>
        <w:jc w:val="both"/>
        <w:rPr>
          <w:rFonts w:hint="eastAsia" w:ascii="宋体" w:hAnsi="宋体"/>
          <w:b/>
          <w:color w:val="auto"/>
          <w:sz w:val="32"/>
        </w:rPr>
      </w:pPr>
    </w:p>
    <w:p>
      <w:pPr>
        <w:spacing w:line="360" w:lineRule="auto"/>
        <w:jc w:val="center"/>
        <w:rPr>
          <w:rFonts w:ascii="宋体" w:hAnsi="宋体"/>
          <w:b/>
          <w:color w:val="auto"/>
          <w:sz w:val="32"/>
        </w:rPr>
      </w:pPr>
      <w:r>
        <w:rPr>
          <w:rFonts w:hint="eastAsia" w:ascii="宋体" w:hAnsi="宋体"/>
          <w:b/>
          <w:color w:val="auto"/>
          <w:sz w:val="32"/>
          <w:lang w:eastAsia="zh-CN"/>
        </w:rPr>
        <w:t>一</w:t>
      </w:r>
      <w:r>
        <w:rPr>
          <w:rFonts w:hint="eastAsia" w:ascii="宋体" w:hAnsi="宋体"/>
          <w:b/>
          <w:color w:val="auto"/>
          <w:sz w:val="32"/>
        </w:rPr>
        <w:t>、开标一览表</w:t>
      </w:r>
    </w:p>
    <w:p>
      <w:pPr>
        <w:pStyle w:val="5"/>
        <w:spacing w:line="440" w:lineRule="exact"/>
        <w:ind w:firstLine="0"/>
        <w:rPr>
          <w:rFonts w:ascii="宋体" w:hAnsi="宋体"/>
          <w:bCs/>
          <w:color w:val="auto"/>
          <w:sz w:val="24"/>
          <w:szCs w:val="24"/>
        </w:rPr>
      </w:pPr>
      <w:r>
        <w:rPr>
          <w:rFonts w:hint="eastAsia" w:ascii="宋体" w:hAnsi="宋体"/>
          <w:bCs/>
          <w:color w:val="auto"/>
          <w:sz w:val="24"/>
          <w:szCs w:val="24"/>
        </w:rPr>
        <w:t>项目名称：</w:t>
      </w:r>
      <w:r>
        <w:rPr>
          <w:rFonts w:hint="eastAsia"/>
          <w:bCs/>
          <w:color w:val="auto"/>
          <w:sz w:val="24"/>
          <w:lang w:eastAsia="zh-CN"/>
        </w:rPr>
        <w:t>白沙县行政审批服务局办事大厅改造（政务中心二楼)</w:t>
      </w:r>
    </w:p>
    <w:p>
      <w:pPr>
        <w:rPr>
          <w:rFonts w:hint="eastAsia" w:ascii="宋体" w:hAnsi="宋体" w:eastAsia="宋体"/>
          <w:color w:val="auto"/>
          <w:sz w:val="24"/>
          <w:lang w:val="en-US" w:eastAsia="zh-CN"/>
        </w:rPr>
      </w:pPr>
      <w:r>
        <w:rPr>
          <w:rFonts w:hint="eastAsia" w:ascii="宋体" w:hAnsi="宋体"/>
          <w:color w:val="auto"/>
          <w:sz w:val="24"/>
        </w:rPr>
        <w:t>项目编号：</w:t>
      </w:r>
      <w:r>
        <w:rPr>
          <w:rFonts w:hint="eastAsia" w:ascii="宋体" w:hAnsi="宋体"/>
          <w:color w:val="auto"/>
          <w:sz w:val="24"/>
          <w:lang w:eastAsia="zh-CN"/>
        </w:rPr>
        <w:t>HNZH-2020-188</w:t>
      </w:r>
    </w:p>
    <w:p>
      <w:pPr>
        <w:jc w:val="right"/>
        <w:rPr>
          <w:rFonts w:ascii="宋体" w:hAnsi="宋体" w:cs="宋体"/>
          <w:bCs/>
          <w:color w:val="auto"/>
          <w:sz w:val="24"/>
        </w:rPr>
      </w:pPr>
      <w:r>
        <w:rPr>
          <w:rFonts w:hint="eastAsia" w:ascii="宋体" w:hAnsi="宋体"/>
          <w:color w:val="auto"/>
          <w:sz w:val="24"/>
        </w:rPr>
        <w:t>金额单位：元</w:t>
      </w:r>
      <w:r>
        <w:rPr>
          <w:rFonts w:hint="eastAsia" w:ascii="宋体" w:hAnsi="宋体" w:cs="宋体"/>
          <w:bCs/>
          <w:color w:val="auto"/>
          <w:sz w:val="24"/>
        </w:rPr>
        <w:t xml:space="preserve">                       </w:t>
      </w:r>
    </w:p>
    <w:tbl>
      <w:tblPr>
        <w:tblStyle w:val="22"/>
        <w:tblW w:w="8725" w:type="dxa"/>
        <w:jc w:val="center"/>
        <w:tblLayout w:type="fixed"/>
        <w:tblCellMar>
          <w:top w:w="0" w:type="dxa"/>
          <w:left w:w="30" w:type="dxa"/>
          <w:bottom w:w="0" w:type="dxa"/>
          <w:right w:w="30" w:type="dxa"/>
        </w:tblCellMar>
      </w:tblPr>
      <w:tblGrid>
        <w:gridCol w:w="2168"/>
        <w:gridCol w:w="6551"/>
        <w:gridCol w:w="6"/>
      </w:tblGrid>
      <w:tr>
        <w:tblPrEx>
          <w:tblCellMar>
            <w:top w:w="0" w:type="dxa"/>
            <w:left w:w="30" w:type="dxa"/>
            <w:bottom w:w="0" w:type="dxa"/>
            <w:right w:w="30" w:type="dxa"/>
          </w:tblCellMar>
        </w:tblPrEx>
        <w:trPr>
          <w:trHeight w:val="788" w:hRule="exact"/>
          <w:jc w:val="center"/>
        </w:trPr>
        <w:tc>
          <w:tcPr>
            <w:tcW w:w="8725"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Arial"/>
                <w:b/>
                <w:color w:val="auto"/>
                <w:sz w:val="24"/>
                <w:szCs w:val="21"/>
                <w:u w:val="single"/>
              </w:rPr>
            </w:pPr>
            <w:r>
              <w:rPr>
                <w:rFonts w:hint="eastAsia"/>
                <w:bCs/>
                <w:color w:val="auto"/>
                <w:sz w:val="24"/>
                <w:lang w:eastAsia="zh-CN"/>
              </w:rPr>
              <w:t>白沙县行政审批服务局办事大厅改造（政务中心二楼)</w:t>
            </w:r>
          </w:p>
        </w:tc>
      </w:tr>
      <w:tr>
        <w:tblPrEx>
          <w:tblCellMar>
            <w:top w:w="0" w:type="dxa"/>
            <w:left w:w="30" w:type="dxa"/>
            <w:bottom w:w="0" w:type="dxa"/>
            <w:right w:w="30" w:type="dxa"/>
          </w:tblCellMar>
        </w:tblPrEx>
        <w:trPr>
          <w:gridAfter w:val="1"/>
          <w:wAfter w:w="6" w:type="dxa"/>
          <w:cantSplit/>
          <w:trHeight w:val="794" w:hRule="exact"/>
          <w:jc w:val="center"/>
        </w:trPr>
        <w:tc>
          <w:tcPr>
            <w:tcW w:w="2168" w:type="dxa"/>
            <w:vMerge w:val="restart"/>
            <w:tcBorders>
              <w:top w:val="single" w:color="auto" w:sz="6" w:space="0"/>
              <w:left w:val="single" w:color="auto" w:sz="6" w:space="0"/>
              <w:right w:val="single" w:color="auto" w:sz="4" w:space="0"/>
            </w:tcBorders>
            <w:vAlign w:val="center"/>
          </w:tcPr>
          <w:p>
            <w:pPr>
              <w:autoSpaceDE w:val="0"/>
              <w:autoSpaceDN w:val="0"/>
              <w:adjustRightInd w:val="0"/>
              <w:jc w:val="center"/>
              <w:rPr>
                <w:rFonts w:ascii="宋体" w:cs="Arial"/>
                <w:b/>
                <w:color w:val="auto"/>
                <w:sz w:val="24"/>
                <w:szCs w:val="21"/>
              </w:rPr>
            </w:pPr>
            <w:r>
              <w:rPr>
                <w:rFonts w:hint="eastAsia" w:ascii="宋体" w:hAnsi="宋体" w:cs="Arial"/>
                <w:b/>
                <w:color w:val="auto"/>
                <w:sz w:val="24"/>
                <w:szCs w:val="21"/>
              </w:rPr>
              <w:t>本项目投标报价</w:t>
            </w:r>
          </w:p>
          <w:p>
            <w:pPr>
              <w:autoSpaceDE w:val="0"/>
              <w:autoSpaceDN w:val="0"/>
              <w:adjustRightInd w:val="0"/>
              <w:jc w:val="center"/>
              <w:rPr>
                <w:rFonts w:ascii="宋体" w:cs="Arial"/>
                <w:color w:val="auto"/>
                <w:sz w:val="24"/>
                <w:szCs w:val="21"/>
              </w:rPr>
            </w:pPr>
            <w:r>
              <w:rPr>
                <w:rFonts w:hint="eastAsia" w:ascii="宋体" w:hAnsi="宋体" w:cs="Arial"/>
                <w:b/>
                <w:color w:val="auto"/>
                <w:sz w:val="24"/>
                <w:szCs w:val="21"/>
              </w:rPr>
              <w:t>（大小写一致）</w:t>
            </w:r>
          </w:p>
        </w:tc>
        <w:tc>
          <w:tcPr>
            <w:tcW w:w="6551" w:type="dxa"/>
            <w:tcBorders>
              <w:top w:val="single" w:color="auto" w:sz="6" w:space="0"/>
              <w:left w:val="single" w:color="auto" w:sz="4" w:space="0"/>
              <w:bottom w:val="single" w:color="auto" w:sz="6" w:space="0"/>
              <w:right w:val="single" w:color="auto" w:sz="4" w:space="0"/>
            </w:tcBorders>
            <w:vAlign w:val="center"/>
          </w:tcPr>
          <w:p>
            <w:pPr>
              <w:spacing w:line="360" w:lineRule="auto"/>
              <w:jc w:val="left"/>
              <w:rPr>
                <w:rFonts w:ascii="宋体" w:cs="Arial"/>
                <w:color w:val="auto"/>
                <w:sz w:val="24"/>
                <w:szCs w:val="21"/>
              </w:rPr>
            </w:pPr>
            <w:r>
              <w:rPr>
                <w:rFonts w:hint="eastAsia" w:ascii="宋体" w:hAnsi="宋体" w:cs="Arial"/>
                <w:b/>
                <w:color w:val="auto"/>
                <w:sz w:val="24"/>
                <w:szCs w:val="21"/>
              </w:rPr>
              <w:t>（</w:t>
            </w:r>
            <w:r>
              <w:rPr>
                <w:rFonts w:hint="eastAsia" w:ascii="宋体" w:hAnsi="宋体" w:cs="Arial"/>
                <w:color w:val="auto"/>
                <w:sz w:val="24"/>
                <w:szCs w:val="21"/>
              </w:rPr>
              <w:t>小写）：</w:t>
            </w:r>
          </w:p>
        </w:tc>
      </w:tr>
      <w:tr>
        <w:tblPrEx>
          <w:tblCellMar>
            <w:top w:w="0" w:type="dxa"/>
            <w:left w:w="30" w:type="dxa"/>
            <w:bottom w:w="0" w:type="dxa"/>
            <w:right w:w="30" w:type="dxa"/>
          </w:tblCellMar>
        </w:tblPrEx>
        <w:trPr>
          <w:gridAfter w:val="1"/>
          <w:wAfter w:w="6" w:type="dxa"/>
          <w:cantSplit/>
          <w:trHeight w:val="794" w:hRule="exact"/>
          <w:jc w:val="center"/>
        </w:trPr>
        <w:tc>
          <w:tcPr>
            <w:tcW w:w="2168" w:type="dxa"/>
            <w:vMerge w:val="continue"/>
            <w:tcBorders>
              <w:left w:val="single" w:color="auto" w:sz="6" w:space="0"/>
              <w:bottom w:val="single" w:color="auto" w:sz="4" w:space="0"/>
              <w:right w:val="single" w:color="auto" w:sz="4" w:space="0"/>
            </w:tcBorders>
            <w:vAlign w:val="center"/>
          </w:tcPr>
          <w:p>
            <w:pPr>
              <w:autoSpaceDE w:val="0"/>
              <w:autoSpaceDN w:val="0"/>
              <w:adjustRightInd w:val="0"/>
              <w:jc w:val="center"/>
              <w:rPr>
                <w:rFonts w:ascii="宋体"/>
                <w:b/>
                <w:color w:val="auto"/>
                <w:sz w:val="24"/>
                <w:shd w:val="clear" w:color="auto" w:fill="FFFFFF"/>
              </w:rPr>
            </w:pPr>
          </w:p>
        </w:tc>
        <w:tc>
          <w:tcPr>
            <w:tcW w:w="6551" w:type="dxa"/>
            <w:tcBorders>
              <w:top w:val="single" w:color="auto" w:sz="6" w:space="0"/>
              <w:left w:val="single" w:color="auto" w:sz="4" w:space="0"/>
              <w:bottom w:val="single" w:color="auto" w:sz="6" w:space="0"/>
              <w:right w:val="single" w:color="auto" w:sz="4" w:space="0"/>
            </w:tcBorders>
            <w:vAlign w:val="center"/>
          </w:tcPr>
          <w:p>
            <w:pPr>
              <w:jc w:val="left"/>
              <w:rPr>
                <w:rFonts w:ascii="宋体" w:cs="Arial"/>
                <w:b/>
                <w:color w:val="auto"/>
                <w:sz w:val="24"/>
                <w:szCs w:val="21"/>
              </w:rPr>
            </w:pPr>
            <w:r>
              <w:rPr>
                <w:rFonts w:hint="eastAsia" w:ascii="宋体" w:hAnsi="宋体" w:cs="Arial"/>
                <w:color w:val="auto"/>
                <w:sz w:val="24"/>
                <w:szCs w:val="21"/>
              </w:rPr>
              <w:t>（大写）：</w:t>
            </w:r>
          </w:p>
        </w:tc>
      </w:tr>
      <w:tr>
        <w:tblPrEx>
          <w:tblCellMar>
            <w:top w:w="0" w:type="dxa"/>
            <w:left w:w="30" w:type="dxa"/>
            <w:bottom w:w="0" w:type="dxa"/>
            <w:right w:w="30" w:type="dxa"/>
          </w:tblCellMar>
        </w:tblPrEx>
        <w:trPr>
          <w:gridAfter w:val="1"/>
          <w:wAfter w:w="6" w:type="dxa"/>
          <w:cantSplit/>
          <w:trHeight w:val="898" w:hRule="exact"/>
          <w:jc w:val="center"/>
        </w:trPr>
        <w:tc>
          <w:tcPr>
            <w:tcW w:w="2168"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jc w:val="center"/>
              <w:rPr>
                <w:rFonts w:hint="eastAsia" w:ascii="宋体" w:eastAsia="宋体" w:cs="Arial"/>
                <w:b/>
                <w:color w:val="auto"/>
                <w:sz w:val="24"/>
                <w:szCs w:val="21"/>
                <w:lang w:eastAsia="zh-CN"/>
              </w:rPr>
            </w:pPr>
            <w:r>
              <w:rPr>
                <w:rFonts w:hint="eastAsia" w:ascii="宋体" w:cs="Arial"/>
                <w:b/>
                <w:color w:val="auto"/>
                <w:sz w:val="24"/>
                <w:szCs w:val="21"/>
                <w:lang w:eastAsia="zh-CN"/>
              </w:rPr>
              <w:t>工期</w:t>
            </w:r>
          </w:p>
        </w:tc>
        <w:tc>
          <w:tcPr>
            <w:tcW w:w="6551" w:type="dxa"/>
            <w:tcBorders>
              <w:top w:val="single" w:color="auto" w:sz="6" w:space="0"/>
              <w:left w:val="single" w:color="auto" w:sz="6" w:space="0"/>
              <w:bottom w:val="single" w:color="auto" w:sz="6" w:space="0"/>
              <w:right w:val="single" w:color="auto" w:sz="4" w:space="0"/>
            </w:tcBorders>
            <w:vAlign w:val="center"/>
          </w:tcPr>
          <w:p>
            <w:pPr>
              <w:jc w:val="center"/>
              <w:rPr>
                <w:rFonts w:ascii="宋体" w:cs="Arial"/>
                <w:b/>
                <w:color w:val="auto"/>
                <w:sz w:val="24"/>
                <w:szCs w:val="21"/>
              </w:rPr>
            </w:pPr>
          </w:p>
        </w:tc>
      </w:tr>
    </w:tbl>
    <w:p>
      <w:pPr>
        <w:spacing w:line="360" w:lineRule="auto"/>
        <w:jc w:val="right"/>
        <w:rPr>
          <w:rFonts w:ascii="宋体" w:hAnsi="Tms Rmn" w:cs="宋体"/>
          <w:color w:val="auto"/>
          <w:sz w:val="28"/>
          <w:szCs w:val="28"/>
        </w:rPr>
      </w:pPr>
    </w:p>
    <w:p>
      <w:pPr>
        <w:spacing w:line="360" w:lineRule="auto"/>
        <w:rPr>
          <w:bCs/>
          <w:color w:val="auto"/>
          <w:sz w:val="24"/>
          <w:szCs w:val="24"/>
        </w:rPr>
      </w:pPr>
      <w:r>
        <w:rPr>
          <w:rFonts w:hint="eastAsia"/>
          <w:bCs/>
          <w:color w:val="auto"/>
          <w:sz w:val="24"/>
          <w:szCs w:val="24"/>
        </w:rPr>
        <w:t>注：供应商的报价</w:t>
      </w:r>
      <w:r>
        <w:rPr>
          <w:rFonts w:hint="eastAsia" w:ascii="宋体" w:hAnsi="宋体"/>
          <w:bCs/>
          <w:color w:val="auto"/>
          <w:kern w:val="0"/>
          <w:sz w:val="24"/>
          <w:szCs w:val="24"/>
        </w:rPr>
        <w:t>应包含服务、税费等所有费用</w:t>
      </w:r>
      <w:r>
        <w:rPr>
          <w:rFonts w:hint="eastAsia"/>
          <w:bCs/>
          <w:color w:val="auto"/>
          <w:sz w:val="24"/>
          <w:szCs w:val="24"/>
        </w:rPr>
        <w:t>。</w:t>
      </w:r>
    </w:p>
    <w:p>
      <w:pPr>
        <w:topLinePunct/>
        <w:snapToGrid w:val="0"/>
        <w:spacing w:before="4" w:line="360" w:lineRule="auto"/>
        <w:rPr>
          <w:rFonts w:ascii="宋体" w:hAnsi="宋体"/>
          <w:bCs/>
          <w:color w:val="auto"/>
          <w:sz w:val="24"/>
          <w:szCs w:val="24"/>
        </w:rPr>
      </w:pPr>
    </w:p>
    <w:p>
      <w:pPr>
        <w:pStyle w:val="2"/>
        <w:rPr>
          <w:color w:val="auto"/>
        </w:rPr>
      </w:pPr>
    </w:p>
    <w:p>
      <w:pPr>
        <w:topLinePunct/>
        <w:snapToGrid w:val="0"/>
        <w:spacing w:before="4" w:line="480" w:lineRule="auto"/>
        <w:ind w:firstLine="235" w:firstLineChars="98"/>
        <w:rPr>
          <w:rFonts w:ascii="宋体" w:hAnsi="宋体"/>
          <w:bCs/>
          <w:color w:val="auto"/>
          <w:sz w:val="24"/>
          <w:szCs w:val="24"/>
        </w:rPr>
      </w:pPr>
      <w:r>
        <w:rPr>
          <w:rFonts w:hint="eastAsia" w:ascii="宋体" w:hAnsi="宋体"/>
          <w:bCs/>
          <w:color w:val="auto"/>
          <w:sz w:val="24"/>
          <w:szCs w:val="24"/>
          <w:lang w:eastAsia="zh-CN"/>
        </w:rPr>
        <w:t>供应商名称（盖章）</w:t>
      </w:r>
      <w:r>
        <w:rPr>
          <w:rFonts w:hint="eastAsia" w:ascii="宋体" w:hAnsi="宋体"/>
          <w:bCs/>
          <w:color w:val="auto"/>
          <w:sz w:val="24"/>
          <w:szCs w:val="24"/>
        </w:rPr>
        <w:t xml:space="preserve"> ：</w:t>
      </w:r>
    </w:p>
    <w:p>
      <w:pPr>
        <w:topLinePunct/>
        <w:snapToGrid w:val="0"/>
        <w:spacing w:before="4" w:line="480" w:lineRule="auto"/>
        <w:ind w:firstLine="235" w:firstLineChars="98"/>
        <w:rPr>
          <w:color w:val="auto"/>
        </w:rPr>
      </w:pPr>
      <w:r>
        <w:rPr>
          <w:rFonts w:hint="eastAsia" w:ascii="宋体" w:hAnsi="宋体"/>
          <w:bCs/>
          <w:color w:val="auto"/>
          <w:sz w:val="24"/>
          <w:szCs w:val="24"/>
        </w:rPr>
        <w:t>法定代表人（被授权代表）签字：</w:t>
      </w:r>
    </w:p>
    <w:p>
      <w:pPr>
        <w:widowControl/>
        <w:wordWrap w:val="0"/>
        <w:snapToGrid w:val="0"/>
        <w:spacing w:line="480" w:lineRule="auto"/>
        <w:ind w:right="360" w:firstLine="240" w:firstLineChars="100"/>
        <w:rPr>
          <w:rFonts w:ascii="宋体" w:hAnsi="宋体" w:cs="宋体"/>
          <w:color w:val="auto"/>
          <w:kern w:val="0"/>
          <w:sz w:val="24"/>
        </w:rPr>
      </w:pPr>
      <w:r>
        <w:rPr>
          <w:rFonts w:hint="eastAsia" w:ascii="宋体" w:hAnsi="宋体" w:cs="宋体"/>
          <w:color w:val="auto"/>
          <w:kern w:val="0"/>
          <w:sz w:val="24"/>
        </w:rPr>
        <w:t>日   期：</w:t>
      </w:r>
      <w:r>
        <w:rPr>
          <w:rFonts w:hint="eastAsia" w:ascii="宋体" w:hAnsi="宋体"/>
          <w:color w:val="auto"/>
          <w:kern w:val="0"/>
          <w:sz w:val="24"/>
        </w:rPr>
        <w:t xml:space="preserve">    年  月  日</w:t>
      </w:r>
    </w:p>
    <w:p>
      <w:pPr>
        <w:jc w:val="center"/>
        <w:rPr>
          <w:rFonts w:hint="eastAsia" w:ascii="宋体" w:hAnsi="宋体"/>
          <w:b/>
          <w:color w:val="auto"/>
          <w:sz w:val="32"/>
        </w:rPr>
      </w:pPr>
    </w:p>
    <w:p>
      <w:pPr>
        <w:jc w:val="center"/>
        <w:rPr>
          <w:rFonts w:hint="eastAsia" w:ascii="宋体" w:hAnsi="宋体"/>
          <w:b/>
          <w:color w:val="auto"/>
          <w:sz w:val="32"/>
        </w:rPr>
      </w:pPr>
    </w:p>
    <w:p>
      <w:pPr>
        <w:jc w:val="center"/>
        <w:rPr>
          <w:rFonts w:hint="eastAsia" w:ascii="宋体" w:hAnsi="宋体"/>
          <w:b/>
          <w:color w:val="auto"/>
          <w:sz w:val="32"/>
        </w:rPr>
      </w:pPr>
    </w:p>
    <w:p>
      <w:pPr>
        <w:jc w:val="center"/>
        <w:rPr>
          <w:rFonts w:hint="eastAsia" w:ascii="宋体" w:hAnsi="宋体"/>
          <w:b/>
          <w:color w:val="auto"/>
          <w:sz w:val="32"/>
        </w:rPr>
      </w:pPr>
    </w:p>
    <w:p>
      <w:pPr>
        <w:pStyle w:val="2"/>
        <w:rPr>
          <w:rFonts w:hint="eastAsia"/>
          <w:color w:val="auto"/>
        </w:rPr>
      </w:pPr>
    </w:p>
    <w:p>
      <w:pPr>
        <w:spacing w:line="360" w:lineRule="auto"/>
        <w:rPr>
          <w:rFonts w:ascii="宋体" w:hAnsi="宋体"/>
          <w:color w:val="auto"/>
          <w:sz w:val="24"/>
        </w:rPr>
      </w:pPr>
    </w:p>
    <w:p>
      <w:pPr>
        <w:spacing w:line="360" w:lineRule="auto"/>
        <w:jc w:val="center"/>
        <w:rPr>
          <w:rFonts w:ascii="黑体" w:hAnsi="黑体" w:cs="黑体"/>
          <w:b/>
          <w:bCs/>
          <w:color w:val="auto"/>
          <w:sz w:val="32"/>
          <w:szCs w:val="32"/>
        </w:rPr>
      </w:pPr>
      <w:r>
        <w:rPr>
          <w:rFonts w:hint="eastAsia" w:ascii="黑体" w:hAnsi="黑体" w:cs="黑体"/>
          <w:b/>
          <w:bCs/>
          <w:color w:val="auto"/>
          <w:sz w:val="32"/>
          <w:szCs w:val="32"/>
        </w:rPr>
        <w:t>二、投标函及投标函附录</w:t>
      </w:r>
    </w:p>
    <w:p>
      <w:pPr>
        <w:pStyle w:val="4"/>
        <w:tabs>
          <w:tab w:val="left" w:pos="0"/>
        </w:tabs>
        <w:spacing w:line="360" w:lineRule="auto"/>
        <w:jc w:val="center"/>
        <w:rPr>
          <w:rFonts w:ascii="宋体" w:hAnsi="宋体" w:cs="宋体"/>
          <w:b w:val="0"/>
          <w:bCs/>
          <w:color w:val="auto"/>
          <w:szCs w:val="28"/>
        </w:rPr>
      </w:pPr>
      <w:bookmarkStart w:id="90" w:name="_Toc268198645"/>
      <w:r>
        <w:rPr>
          <w:rFonts w:hint="eastAsia" w:ascii="宋体" w:hAnsi="宋体" w:cs="宋体"/>
          <w:b w:val="0"/>
          <w:bCs/>
          <w:color w:val="auto"/>
          <w:szCs w:val="28"/>
        </w:rPr>
        <w:t>（一）投标函</w:t>
      </w:r>
      <w:bookmarkEnd w:id="90"/>
    </w:p>
    <w:p>
      <w:pPr>
        <w:spacing w:line="360" w:lineRule="auto"/>
        <w:jc w:val="left"/>
        <w:rPr>
          <w:rFonts w:ascii="宋体" w:hAnsi="宋体" w:cs="宋体"/>
          <w:color w:val="auto"/>
          <w:sz w:val="24"/>
        </w:rPr>
      </w:pPr>
      <w:r>
        <w:rPr>
          <w:rFonts w:hint="eastAsia" w:ascii="宋体" w:hAnsi="宋体"/>
          <w:color w:val="auto"/>
          <w:sz w:val="24"/>
        </w:rPr>
        <w:t>致：海南政辉招投标代理有限公司</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1．我方已仔细研究了（项目名称</w:t>
      </w:r>
      <w:r>
        <w:rPr>
          <w:rFonts w:hint="eastAsia" w:ascii="宋体" w:hAnsi="宋体" w:cs="宋体"/>
          <w:color w:val="auto"/>
          <w:sz w:val="24"/>
          <w:u w:val="single"/>
        </w:rPr>
        <w:t xml:space="preserve">         </w:t>
      </w:r>
      <w:r>
        <w:rPr>
          <w:rFonts w:hint="eastAsia" w:ascii="宋体" w:hAnsi="宋体" w:cs="宋体"/>
          <w:color w:val="auto"/>
          <w:sz w:val="24"/>
        </w:rPr>
        <w:t>）竞争性谈判文件的全部内容，我们愿意以人民币（大写）</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z w:val="24"/>
          <w:u w:val="single"/>
        </w:rPr>
        <w:t xml:space="preserve">       元</w:t>
      </w:r>
      <w:r>
        <w:rPr>
          <w:rFonts w:hint="eastAsia" w:ascii="宋体" w:hAnsi="宋体" w:cs="宋体"/>
          <w:color w:val="auto"/>
          <w:sz w:val="24"/>
        </w:rPr>
        <w:t>） 的投标总报价，</w:t>
      </w:r>
      <w:r>
        <w:rPr>
          <w:rFonts w:hint="eastAsia" w:ascii="宋体" w:hAnsi="宋体" w:cs="宋体"/>
          <w:color w:val="auto"/>
          <w:sz w:val="24"/>
          <w:lang w:eastAsia="zh-CN"/>
        </w:rPr>
        <w:t>工期</w:t>
      </w:r>
      <w:r>
        <w:rPr>
          <w:rFonts w:hint="eastAsia" w:ascii="宋体" w:hAnsi="宋体" w:cs="宋体"/>
          <w:color w:val="auto"/>
          <w:sz w:val="24"/>
          <w:u w:val="single"/>
        </w:rPr>
        <w:t xml:space="preserve">：    </w:t>
      </w:r>
      <w:r>
        <w:rPr>
          <w:rFonts w:hint="eastAsia" w:ascii="宋体" w:hAnsi="宋体" w:cs="宋体"/>
          <w:color w:val="auto"/>
          <w:sz w:val="24"/>
        </w:rPr>
        <w:t>,按合同约定实施和完成该项目的承包工程，修补工程中的任何缺陷，工程质量达到</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spacing w:line="360" w:lineRule="auto"/>
        <w:ind w:firstLine="480" w:firstLineChars="200"/>
        <w:rPr>
          <w:rFonts w:ascii="宋体" w:hAnsi="宋体" w:cs="宋体"/>
          <w:color w:val="auto"/>
          <w:sz w:val="24"/>
        </w:rPr>
      </w:pPr>
      <w:r>
        <w:rPr>
          <w:rFonts w:hint="eastAsia" w:ascii="宋体" w:hAnsi="宋体" w:cs="宋体"/>
          <w:color w:val="auto"/>
          <w:sz w:val="24"/>
        </w:rPr>
        <w:t>2．我方承诺在谈判有效期内不修改、撤销竞争性谈判响应文件。</w:t>
      </w:r>
    </w:p>
    <w:p>
      <w:pPr>
        <w:spacing w:line="360" w:lineRule="auto"/>
        <w:ind w:firstLine="480" w:firstLineChars="200"/>
        <w:rPr>
          <w:rFonts w:ascii="宋体" w:hAnsi="宋体" w:cs="宋体"/>
          <w:color w:val="auto"/>
          <w:sz w:val="24"/>
        </w:rPr>
      </w:pPr>
      <w:r>
        <w:rPr>
          <w:rFonts w:hint="eastAsia" w:ascii="宋体" w:hAnsi="宋体" w:cs="宋体"/>
          <w:color w:val="auto"/>
          <w:sz w:val="24"/>
        </w:rPr>
        <w:t>3．随同本投标函提交谈判保证金一份，金额为人民币（大写）</w:t>
      </w:r>
      <w:r>
        <w:rPr>
          <w:rFonts w:hint="eastAsia" w:ascii="宋体" w:hAnsi="宋体" w:cs="宋体"/>
          <w:color w:val="auto"/>
          <w:sz w:val="24"/>
          <w:u w:val="single"/>
        </w:rPr>
        <w:t xml:space="preserve">     </w:t>
      </w:r>
      <w:r>
        <w:rPr>
          <w:rFonts w:hint="eastAsia" w:ascii="宋体" w:hAnsi="宋体" w:cs="宋体"/>
          <w:color w:val="auto"/>
          <w:sz w:val="24"/>
        </w:rPr>
        <w:t>元（¥</w:t>
      </w:r>
      <w:r>
        <w:rPr>
          <w:rFonts w:hint="eastAsia" w:ascii="宋体" w:hAnsi="宋体" w:cs="宋体"/>
          <w:color w:val="auto"/>
          <w:sz w:val="24"/>
          <w:u w:val="single"/>
        </w:rPr>
        <w:t xml:space="preserve">    </w:t>
      </w:r>
      <w:r>
        <w:rPr>
          <w:rFonts w:hint="eastAsia" w:ascii="宋体" w:hAnsi="宋体" w:cs="宋体"/>
          <w:color w:val="auto"/>
          <w:sz w:val="24"/>
        </w:rPr>
        <w:t>元）。</w:t>
      </w:r>
    </w:p>
    <w:p>
      <w:pPr>
        <w:spacing w:line="360" w:lineRule="auto"/>
        <w:ind w:firstLine="480" w:firstLineChars="200"/>
        <w:rPr>
          <w:rFonts w:ascii="宋体" w:hAnsi="宋体" w:cs="宋体"/>
          <w:color w:val="auto"/>
          <w:sz w:val="24"/>
        </w:rPr>
      </w:pPr>
      <w:r>
        <w:rPr>
          <w:rFonts w:hint="eastAsia" w:ascii="宋体" w:hAnsi="宋体" w:cs="宋体"/>
          <w:color w:val="auto"/>
          <w:sz w:val="24"/>
        </w:rPr>
        <w:t>4．如我方成交：</w:t>
      </w:r>
    </w:p>
    <w:p>
      <w:pPr>
        <w:spacing w:line="360" w:lineRule="auto"/>
        <w:ind w:firstLine="480" w:firstLineChars="200"/>
        <w:rPr>
          <w:rFonts w:ascii="宋体" w:hAnsi="宋体" w:cs="宋体"/>
          <w:color w:val="auto"/>
          <w:sz w:val="24"/>
        </w:rPr>
      </w:pPr>
      <w:r>
        <w:rPr>
          <w:rFonts w:hint="eastAsia" w:ascii="宋体" w:hAnsi="宋体" w:cs="宋体"/>
          <w:color w:val="auto"/>
          <w:sz w:val="24"/>
        </w:rPr>
        <w:t>（1）我方承诺在收到成交通知书后，在成交通知书规定的期限内与你方签订合同。</w:t>
      </w:r>
    </w:p>
    <w:p>
      <w:pPr>
        <w:spacing w:line="360" w:lineRule="auto"/>
        <w:ind w:firstLine="480" w:firstLineChars="200"/>
        <w:rPr>
          <w:rFonts w:ascii="宋体" w:hAnsi="宋体" w:cs="宋体"/>
          <w:color w:val="auto"/>
          <w:sz w:val="24"/>
        </w:rPr>
      </w:pPr>
      <w:r>
        <w:rPr>
          <w:rFonts w:hint="eastAsia" w:ascii="宋体" w:hAnsi="宋体" w:cs="宋体"/>
          <w:color w:val="auto"/>
          <w:sz w:val="24"/>
        </w:rPr>
        <w:t>（2）随同本投标函递交的投标函附录属于合同文件的组成部分。</w:t>
      </w:r>
    </w:p>
    <w:p>
      <w:pPr>
        <w:spacing w:line="360" w:lineRule="auto"/>
        <w:ind w:firstLine="480" w:firstLineChars="200"/>
        <w:rPr>
          <w:rFonts w:ascii="宋体" w:hAnsi="宋体" w:cs="宋体"/>
          <w:color w:val="auto"/>
          <w:sz w:val="24"/>
        </w:rPr>
      </w:pPr>
      <w:r>
        <w:rPr>
          <w:rFonts w:hint="eastAsia" w:ascii="宋体" w:hAnsi="宋体" w:cs="宋体"/>
          <w:color w:val="auto"/>
          <w:sz w:val="24"/>
        </w:rPr>
        <w:t>（3）我方承诺在合同约定的期限内完成并移交全部合同工程。</w:t>
      </w:r>
    </w:p>
    <w:p>
      <w:pPr>
        <w:spacing w:line="360" w:lineRule="auto"/>
        <w:ind w:firstLine="480" w:firstLineChars="200"/>
        <w:rPr>
          <w:rFonts w:ascii="宋体" w:hAnsi="宋体" w:cs="宋体"/>
          <w:color w:val="auto"/>
          <w:sz w:val="24"/>
        </w:rPr>
      </w:pPr>
      <w:r>
        <w:rPr>
          <w:rFonts w:hint="eastAsia" w:ascii="宋体" w:hAnsi="宋体" w:cs="宋体"/>
          <w:color w:val="auto"/>
          <w:sz w:val="24"/>
        </w:rPr>
        <w:t>5．我方在此声明，所递交的竞争性谈判响应文件及有关资料内容完整、真实和准确。</w:t>
      </w:r>
    </w:p>
    <w:p>
      <w:pPr>
        <w:spacing w:line="360" w:lineRule="auto"/>
        <w:ind w:firstLine="480" w:firstLineChars="200"/>
        <w:rPr>
          <w:rFonts w:ascii="宋体" w:hAnsi="宋体" w:cs="宋体"/>
          <w:color w:val="auto"/>
          <w:sz w:val="24"/>
        </w:rPr>
      </w:pPr>
      <w:r>
        <w:rPr>
          <w:rFonts w:hint="eastAsia" w:ascii="宋体" w:hAnsi="宋体" w:cs="宋体"/>
          <w:color w:val="auto"/>
          <w:sz w:val="24"/>
        </w:rPr>
        <w:t>6． （其他补充说明）。</w:t>
      </w:r>
    </w:p>
    <w:p>
      <w:pPr>
        <w:spacing w:line="360" w:lineRule="auto"/>
        <w:ind w:firstLine="480" w:firstLineChars="200"/>
        <w:rPr>
          <w:rFonts w:ascii="宋体" w:hAnsi="宋体" w:cs="宋体"/>
          <w:color w:val="auto"/>
          <w:sz w:val="24"/>
        </w:rPr>
      </w:pPr>
    </w:p>
    <w:p>
      <w:pPr>
        <w:topLinePunct/>
        <w:snapToGrid w:val="0"/>
        <w:spacing w:before="4" w:line="480" w:lineRule="auto"/>
        <w:ind w:firstLine="4310" w:firstLineChars="1796"/>
        <w:rPr>
          <w:rFonts w:ascii="宋体" w:hAnsi="宋体"/>
          <w:bCs/>
          <w:color w:val="auto"/>
          <w:sz w:val="24"/>
          <w:szCs w:val="24"/>
        </w:rPr>
      </w:pPr>
      <w:r>
        <w:rPr>
          <w:rFonts w:hint="eastAsia" w:ascii="宋体" w:hAnsi="宋体"/>
          <w:bCs/>
          <w:color w:val="auto"/>
          <w:sz w:val="24"/>
          <w:szCs w:val="24"/>
          <w:lang w:eastAsia="zh-CN"/>
        </w:rPr>
        <w:t>供应商名称（盖章）</w:t>
      </w:r>
      <w:r>
        <w:rPr>
          <w:rFonts w:hint="eastAsia" w:ascii="宋体" w:hAnsi="宋体"/>
          <w:bCs/>
          <w:color w:val="auto"/>
          <w:sz w:val="24"/>
          <w:szCs w:val="24"/>
        </w:rPr>
        <w:t xml:space="preserve"> ：</w:t>
      </w:r>
    </w:p>
    <w:p>
      <w:pPr>
        <w:spacing w:line="360" w:lineRule="auto"/>
        <w:ind w:firstLine="4200" w:firstLineChars="1750"/>
        <w:rPr>
          <w:rFonts w:ascii="宋体" w:hAnsi="宋体" w:cs="宋体"/>
          <w:color w:val="auto"/>
          <w:sz w:val="24"/>
        </w:rPr>
      </w:pPr>
      <w:r>
        <w:rPr>
          <w:rFonts w:hint="eastAsia" w:ascii="宋体" w:hAnsi="宋体"/>
          <w:bCs/>
          <w:color w:val="auto"/>
          <w:sz w:val="24"/>
          <w:szCs w:val="24"/>
        </w:rPr>
        <w:t>被授权代表</w:t>
      </w:r>
      <w:r>
        <w:rPr>
          <w:rFonts w:hint="eastAsia" w:ascii="宋体" w:hAnsi="宋体" w:cs="宋体"/>
          <w:color w:val="auto"/>
          <w:sz w:val="24"/>
        </w:rPr>
        <w:t>：（签字）</w:t>
      </w:r>
    </w:p>
    <w:p>
      <w:pPr>
        <w:spacing w:line="360" w:lineRule="auto"/>
        <w:ind w:firstLine="4320" w:firstLineChars="1800"/>
        <w:rPr>
          <w:rFonts w:ascii="宋体" w:hAnsi="宋体" w:cs="宋体"/>
          <w:color w:val="auto"/>
          <w:sz w:val="24"/>
        </w:rPr>
      </w:pPr>
      <w:r>
        <w:rPr>
          <w:rFonts w:hint="eastAsia" w:ascii="宋体" w:hAnsi="宋体" w:cs="宋体"/>
          <w:color w:val="auto"/>
          <w:sz w:val="24"/>
        </w:rPr>
        <w:t>日期：年   月  日</w:t>
      </w:r>
    </w:p>
    <w:p>
      <w:pPr>
        <w:spacing w:line="360" w:lineRule="auto"/>
        <w:rPr>
          <w:rFonts w:ascii="宋体" w:hAnsi="宋体" w:cs="宋体"/>
          <w:color w:val="auto"/>
          <w:sz w:val="24"/>
          <w:u w:val="single"/>
        </w:rPr>
      </w:pPr>
    </w:p>
    <w:p>
      <w:pPr>
        <w:spacing w:line="360" w:lineRule="auto"/>
        <w:ind w:firstLine="4200" w:firstLineChars="1750"/>
        <w:rPr>
          <w:rFonts w:ascii="宋体" w:hAnsi="宋体" w:cs="宋体"/>
          <w:color w:val="auto"/>
          <w:sz w:val="24"/>
        </w:rPr>
      </w:pPr>
      <w:r>
        <w:rPr>
          <w:rFonts w:hint="eastAsia" w:ascii="宋体" w:hAnsi="宋体" w:cs="宋体"/>
          <w:color w:val="auto"/>
          <w:sz w:val="24"/>
        </w:rPr>
        <w:t xml:space="preserve"> </w:t>
      </w:r>
    </w:p>
    <w:p>
      <w:pPr>
        <w:pStyle w:val="4"/>
        <w:tabs>
          <w:tab w:val="left" w:pos="0"/>
        </w:tabs>
        <w:spacing w:line="360" w:lineRule="auto"/>
        <w:jc w:val="center"/>
        <w:rPr>
          <w:rFonts w:ascii="宋体" w:hAnsi="宋体" w:cs="宋体"/>
          <w:b w:val="0"/>
          <w:bCs/>
          <w:color w:val="auto"/>
          <w:sz w:val="32"/>
          <w:szCs w:val="32"/>
        </w:rPr>
      </w:pPr>
      <w:r>
        <w:rPr>
          <w:rFonts w:hint="eastAsia" w:ascii="宋体" w:hAnsi="宋体" w:cs="宋体"/>
          <w:color w:val="auto"/>
          <w:szCs w:val="24"/>
        </w:rPr>
        <w:br w:type="page"/>
      </w:r>
      <w:bookmarkStart w:id="91" w:name="_Toc268198646"/>
      <w:r>
        <w:rPr>
          <w:rFonts w:hint="eastAsia" w:ascii="宋体" w:hAnsi="宋体" w:cs="宋体"/>
          <w:b w:val="0"/>
          <w:bCs/>
          <w:color w:val="auto"/>
          <w:sz w:val="32"/>
          <w:szCs w:val="32"/>
        </w:rPr>
        <w:t>（二）投标函附录</w:t>
      </w:r>
      <w:bookmarkEnd w:id="91"/>
    </w:p>
    <w:p>
      <w:pPr>
        <w:spacing w:line="360" w:lineRule="auto"/>
        <w:rPr>
          <w:rFonts w:ascii="宋体" w:hAnsi="宋体" w:cs="宋体"/>
          <w:color w:val="auto"/>
          <w:sz w:val="24"/>
        </w:rPr>
      </w:pPr>
    </w:p>
    <w:tbl>
      <w:tblPr>
        <w:tblStyle w:val="22"/>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2912"/>
        <w:gridCol w:w="4424"/>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508" w:type="dxa"/>
            <w:vAlign w:val="center"/>
          </w:tcPr>
          <w:p>
            <w:pPr>
              <w:spacing w:line="360" w:lineRule="auto"/>
              <w:jc w:val="center"/>
              <w:rPr>
                <w:rFonts w:ascii="宋体" w:hAnsi="宋体" w:cs="宋体"/>
                <w:color w:val="auto"/>
                <w:sz w:val="24"/>
              </w:rPr>
            </w:pPr>
            <w:r>
              <w:rPr>
                <w:rFonts w:hint="eastAsia" w:ascii="宋体" w:hAnsi="宋体" w:cs="宋体"/>
                <w:color w:val="auto"/>
                <w:sz w:val="24"/>
              </w:rPr>
              <w:t>序</w:t>
            </w:r>
          </w:p>
          <w:p>
            <w:pPr>
              <w:spacing w:line="360" w:lineRule="auto"/>
              <w:jc w:val="center"/>
              <w:rPr>
                <w:rFonts w:ascii="宋体" w:hAnsi="宋体" w:cs="宋体"/>
                <w:color w:val="auto"/>
                <w:sz w:val="24"/>
              </w:rPr>
            </w:pPr>
            <w:r>
              <w:rPr>
                <w:rFonts w:hint="eastAsia" w:ascii="宋体" w:hAnsi="宋体" w:cs="宋体"/>
                <w:color w:val="auto"/>
                <w:sz w:val="24"/>
              </w:rPr>
              <w:t>号</w:t>
            </w:r>
          </w:p>
        </w:tc>
        <w:tc>
          <w:tcPr>
            <w:tcW w:w="2912" w:type="dxa"/>
            <w:vAlign w:val="center"/>
          </w:tcPr>
          <w:p>
            <w:pPr>
              <w:spacing w:line="360" w:lineRule="auto"/>
              <w:jc w:val="center"/>
              <w:rPr>
                <w:rFonts w:ascii="宋体" w:hAnsi="宋体" w:cs="宋体"/>
                <w:color w:val="auto"/>
                <w:sz w:val="24"/>
              </w:rPr>
            </w:pPr>
            <w:r>
              <w:rPr>
                <w:rFonts w:hint="eastAsia" w:ascii="宋体" w:hAnsi="宋体" w:cs="宋体"/>
                <w:color w:val="auto"/>
                <w:sz w:val="24"/>
              </w:rPr>
              <w:t>项 目 内 容</w:t>
            </w:r>
          </w:p>
        </w:tc>
        <w:tc>
          <w:tcPr>
            <w:tcW w:w="4424" w:type="dxa"/>
            <w:vAlign w:val="center"/>
          </w:tcPr>
          <w:p>
            <w:pPr>
              <w:spacing w:line="360" w:lineRule="auto"/>
              <w:jc w:val="center"/>
              <w:rPr>
                <w:rFonts w:ascii="宋体" w:hAnsi="宋体" w:cs="宋体"/>
                <w:color w:val="auto"/>
                <w:sz w:val="24"/>
              </w:rPr>
            </w:pPr>
            <w:r>
              <w:rPr>
                <w:rFonts w:hint="eastAsia" w:ascii="宋体" w:hAnsi="宋体" w:cs="宋体"/>
                <w:color w:val="auto"/>
                <w:sz w:val="24"/>
              </w:rPr>
              <w:t>约 定 内 容</w:t>
            </w:r>
          </w:p>
        </w:tc>
        <w:tc>
          <w:tcPr>
            <w:tcW w:w="876" w:type="dxa"/>
            <w:vAlign w:val="center"/>
          </w:tcPr>
          <w:p>
            <w:pPr>
              <w:spacing w:line="360" w:lineRule="auto"/>
              <w:jc w:val="center"/>
              <w:rPr>
                <w:rFonts w:ascii="宋体" w:hAnsi="宋体" w:cs="宋体"/>
                <w:color w:val="auto"/>
                <w:sz w:val="24"/>
              </w:rPr>
            </w:pPr>
            <w:r>
              <w:rPr>
                <w:rFonts w:hint="eastAsia" w:ascii="宋体" w:hAnsi="宋体" w:cs="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508" w:type="dxa"/>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2912" w:type="dxa"/>
            <w:vAlign w:val="center"/>
          </w:tcPr>
          <w:p>
            <w:pPr>
              <w:spacing w:line="360" w:lineRule="auto"/>
              <w:rPr>
                <w:rFonts w:hint="eastAsia" w:ascii="宋体" w:hAnsi="宋体" w:eastAsia="宋体" w:cs="宋体"/>
                <w:color w:val="auto"/>
                <w:sz w:val="24"/>
                <w:lang w:eastAsia="zh-CN"/>
              </w:rPr>
            </w:pPr>
            <w:r>
              <w:rPr>
                <w:rFonts w:hint="eastAsia" w:ascii="宋体" w:hAnsi="宋体" w:cs="宋体"/>
                <w:color w:val="auto"/>
                <w:sz w:val="24"/>
                <w:lang w:eastAsia="zh-CN"/>
              </w:rPr>
              <w:t>项目经理</w:t>
            </w:r>
          </w:p>
        </w:tc>
        <w:tc>
          <w:tcPr>
            <w:tcW w:w="4424" w:type="dxa"/>
            <w:vAlign w:val="center"/>
          </w:tcPr>
          <w:p>
            <w:pPr>
              <w:spacing w:line="360" w:lineRule="auto"/>
              <w:rPr>
                <w:rFonts w:hint="eastAsia" w:ascii="宋体" w:hAnsi="宋体" w:eastAsia="宋体" w:cs="宋体"/>
                <w:color w:val="auto"/>
                <w:sz w:val="24"/>
                <w:lang w:eastAsia="zh-CN"/>
              </w:rPr>
            </w:pPr>
            <w:r>
              <w:rPr>
                <w:rFonts w:hint="eastAsia" w:ascii="宋体" w:hAnsi="宋体" w:cs="宋体"/>
                <w:color w:val="auto"/>
                <w:sz w:val="24"/>
                <w:lang w:eastAsia="zh-CN"/>
              </w:rPr>
              <w:t>姓名：</w:t>
            </w:r>
          </w:p>
        </w:tc>
        <w:tc>
          <w:tcPr>
            <w:tcW w:w="876" w:type="dxa"/>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508" w:type="dxa"/>
            <w:vAlign w:val="center"/>
          </w:tcPr>
          <w:p>
            <w:pPr>
              <w:spacing w:line="360" w:lineRule="auto"/>
              <w:jc w:val="center"/>
              <w:rPr>
                <w:rFonts w:hint="eastAsia" w:ascii="宋体" w:hAnsi="宋体" w:cs="宋体"/>
                <w:color w:val="auto"/>
                <w:sz w:val="24"/>
              </w:rPr>
            </w:pPr>
          </w:p>
        </w:tc>
        <w:tc>
          <w:tcPr>
            <w:tcW w:w="2912" w:type="dxa"/>
            <w:vAlign w:val="center"/>
          </w:tcPr>
          <w:p>
            <w:pPr>
              <w:spacing w:line="360" w:lineRule="auto"/>
              <w:rPr>
                <w:rFonts w:hint="eastAsia" w:ascii="宋体" w:hAnsi="宋体" w:cs="宋体"/>
                <w:color w:val="auto"/>
                <w:sz w:val="24"/>
                <w:lang w:eastAsia="zh-CN"/>
              </w:rPr>
            </w:pPr>
            <w:r>
              <w:rPr>
                <w:rFonts w:hint="eastAsia" w:ascii="宋体" w:hAnsi="宋体" w:cs="宋体"/>
                <w:color w:val="auto"/>
                <w:sz w:val="24"/>
                <w:lang w:eastAsia="zh-CN"/>
              </w:rPr>
              <w:t>工期</w:t>
            </w:r>
          </w:p>
        </w:tc>
        <w:tc>
          <w:tcPr>
            <w:tcW w:w="4424" w:type="dxa"/>
            <w:vAlign w:val="center"/>
          </w:tcPr>
          <w:p>
            <w:pPr>
              <w:spacing w:line="360" w:lineRule="auto"/>
              <w:rPr>
                <w:rFonts w:hint="eastAsia" w:ascii="宋体" w:hAnsi="宋体" w:eastAsia="宋体" w:cs="宋体"/>
                <w:color w:val="auto"/>
                <w:sz w:val="24"/>
                <w:lang w:eastAsia="zh-CN"/>
              </w:rPr>
            </w:pPr>
            <w:r>
              <w:rPr>
                <w:rFonts w:hint="eastAsia" w:ascii="宋体" w:hAnsi="宋体" w:cs="宋体"/>
                <w:color w:val="auto"/>
                <w:sz w:val="24"/>
                <w:lang w:eastAsia="zh-CN"/>
              </w:rPr>
              <w:t>日历天</w:t>
            </w:r>
          </w:p>
        </w:tc>
        <w:tc>
          <w:tcPr>
            <w:tcW w:w="876" w:type="dxa"/>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508" w:type="dxa"/>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c>
          <w:tcPr>
            <w:tcW w:w="2912" w:type="dxa"/>
            <w:vAlign w:val="center"/>
          </w:tcPr>
          <w:p>
            <w:pPr>
              <w:spacing w:line="360" w:lineRule="auto"/>
              <w:rPr>
                <w:rFonts w:ascii="宋体" w:hAnsi="宋体" w:cs="宋体"/>
                <w:color w:val="auto"/>
                <w:sz w:val="24"/>
              </w:rPr>
            </w:pPr>
            <w:r>
              <w:rPr>
                <w:rFonts w:hint="eastAsia" w:ascii="宋体" w:hAnsi="宋体" w:cs="宋体"/>
                <w:color w:val="auto"/>
                <w:sz w:val="24"/>
              </w:rPr>
              <w:t>质量标准</w:t>
            </w:r>
          </w:p>
        </w:tc>
        <w:tc>
          <w:tcPr>
            <w:tcW w:w="4424" w:type="dxa"/>
            <w:vAlign w:val="center"/>
          </w:tcPr>
          <w:p>
            <w:pPr>
              <w:spacing w:line="360" w:lineRule="auto"/>
              <w:rPr>
                <w:rFonts w:ascii="宋体" w:hAnsi="宋体" w:cs="宋体"/>
                <w:color w:val="auto"/>
                <w:sz w:val="24"/>
                <w:u w:val="single"/>
              </w:rPr>
            </w:pPr>
          </w:p>
        </w:tc>
        <w:tc>
          <w:tcPr>
            <w:tcW w:w="876" w:type="dxa"/>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508" w:type="dxa"/>
            <w:vAlign w:val="center"/>
          </w:tcPr>
          <w:p>
            <w:pPr>
              <w:spacing w:line="360" w:lineRule="auto"/>
              <w:jc w:val="center"/>
              <w:rPr>
                <w:rFonts w:ascii="宋体" w:hAnsi="宋体" w:cs="宋体"/>
                <w:color w:val="auto"/>
                <w:sz w:val="24"/>
              </w:rPr>
            </w:pPr>
            <w:r>
              <w:rPr>
                <w:rFonts w:hint="eastAsia" w:ascii="宋体" w:hAnsi="宋体" w:cs="宋体"/>
                <w:color w:val="auto"/>
                <w:sz w:val="24"/>
              </w:rPr>
              <w:t>3</w:t>
            </w:r>
          </w:p>
        </w:tc>
        <w:tc>
          <w:tcPr>
            <w:tcW w:w="2912" w:type="dxa"/>
            <w:vAlign w:val="center"/>
          </w:tcPr>
          <w:p>
            <w:pPr>
              <w:spacing w:line="360" w:lineRule="auto"/>
              <w:rPr>
                <w:rFonts w:ascii="宋体" w:hAnsi="宋体" w:cs="宋体"/>
                <w:color w:val="auto"/>
                <w:sz w:val="24"/>
              </w:rPr>
            </w:pPr>
            <w:r>
              <w:rPr>
                <w:rFonts w:hint="eastAsia" w:ascii="宋体" w:hAnsi="宋体" w:cs="宋体"/>
                <w:color w:val="auto"/>
                <w:sz w:val="24"/>
              </w:rPr>
              <w:t>谈判有效期</w:t>
            </w:r>
          </w:p>
        </w:tc>
        <w:tc>
          <w:tcPr>
            <w:tcW w:w="4424" w:type="dxa"/>
            <w:vAlign w:val="center"/>
          </w:tcPr>
          <w:p>
            <w:pPr>
              <w:spacing w:line="360" w:lineRule="auto"/>
              <w:rPr>
                <w:rFonts w:hint="eastAsia" w:ascii="宋体" w:hAnsi="宋体" w:eastAsia="宋体" w:cs="宋体"/>
                <w:color w:val="auto"/>
                <w:sz w:val="24"/>
                <w:u w:val="single"/>
                <w:lang w:eastAsia="zh-CN"/>
              </w:rPr>
            </w:pPr>
            <w:r>
              <w:rPr>
                <w:rFonts w:hint="eastAsia" w:ascii="宋体" w:hAnsi="宋体" w:cs="宋体"/>
                <w:color w:val="auto"/>
                <w:sz w:val="24"/>
                <w:lang w:val="en-US" w:eastAsia="zh-CN"/>
              </w:rPr>
              <w:t xml:space="preserve"> </w:t>
            </w:r>
          </w:p>
        </w:tc>
        <w:tc>
          <w:tcPr>
            <w:tcW w:w="876" w:type="dxa"/>
            <w:vAlign w:val="center"/>
          </w:tcPr>
          <w:p>
            <w:pPr>
              <w:spacing w:line="360" w:lineRule="auto"/>
              <w:rPr>
                <w:rFonts w:ascii="宋体" w:hAnsi="宋体" w:cs="宋体"/>
                <w:color w:val="auto"/>
                <w:sz w:val="24"/>
              </w:rPr>
            </w:pPr>
          </w:p>
        </w:tc>
      </w:tr>
    </w:tbl>
    <w:p>
      <w:pPr>
        <w:spacing w:line="360" w:lineRule="auto"/>
        <w:jc w:val="center"/>
        <w:rPr>
          <w:rFonts w:ascii="宋体" w:hAnsi="宋体"/>
          <w:color w:val="auto"/>
          <w:sz w:val="24"/>
          <w:u w:val="single"/>
        </w:rPr>
      </w:pPr>
    </w:p>
    <w:p>
      <w:pPr>
        <w:spacing w:line="360" w:lineRule="auto"/>
        <w:jc w:val="center"/>
        <w:rPr>
          <w:rFonts w:ascii="宋体" w:hAnsi="宋体"/>
          <w:color w:val="auto"/>
          <w:sz w:val="24"/>
          <w:u w:val="single"/>
        </w:rPr>
      </w:pPr>
    </w:p>
    <w:p>
      <w:pPr>
        <w:spacing w:line="360" w:lineRule="auto"/>
        <w:rPr>
          <w:rFonts w:hint="eastAsia" w:ascii="宋体" w:hAnsi="宋体"/>
          <w:b/>
          <w:color w:val="auto"/>
          <w:sz w:val="32"/>
          <w:szCs w:val="32"/>
        </w:rPr>
      </w:pPr>
    </w:p>
    <w:p>
      <w:pPr>
        <w:pStyle w:val="2"/>
        <w:rPr>
          <w:rFonts w:hint="eastAsia" w:ascii="宋体" w:hAnsi="宋体"/>
          <w:b/>
          <w:color w:val="auto"/>
          <w:sz w:val="32"/>
          <w:szCs w:val="32"/>
        </w:rPr>
      </w:pPr>
    </w:p>
    <w:p>
      <w:pPr>
        <w:rPr>
          <w:rFonts w:hint="eastAsia" w:ascii="宋体" w:hAnsi="宋体"/>
          <w:b/>
          <w:color w:val="auto"/>
          <w:sz w:val="32"/>
          <w:szCs w:val="32"/>
        </w:rPr>
      </w:pPr>
    </w:p>
    <w:p>
      <w:pPr>
        <w:pStyle w:val="2"/>
        <w:rPr>
          <w:rFonts w:hint="eastAsia" w:ascii="宋体" w:hAnsi="宋体"/>
          <w:b/>
          <w:color w:val="auto"/>
          <w:sz w:val="32"/>
          <w:szCs w:val="32"/>
        </w:rPr>
      </w:pPr>
    </w:p>
    <w:p>
      <w:pPr>
        <w:rPr>
          <w:rFonts w:hint="eastAsia" w:ascii="宋体" w:hAnsi="宋体"/>
          <w:b/>
          <w:color w:val="auto"/>
          <w:sz w:val="32"/>
          <w:szCs w:val="32"/>
        </w:rPr>
      </w:pPr>
    </w:p>
    <w:p>
      <w:pPr>
        <w:pStyle w:val="2"/>
        <w:rPr>
          <w:rFonts w:hint="eastAsia"/>
          <w:color w:val="auto"/>
        </w:rPr>
      </w:pPr>
    </w:p>
    <w:p>
      <w:pPr>
        <w:keepNext/>
        <w:keepLines/>
        <w:widowControl/>
        <w:spacing w:line="360" w:lineRule="auto"/>
        <w:jc w:val="center"/>
        <w:outlineLvl w:val="0"/>
        <w:rPr>
          <w:rFonts w:hint="eastAsia" w:hAnsi="宋体"/>
          <w:b/>
          <w:color w:val="auto"/>
          <w:sz w:val="30"/>
          <w:szCs w:val="30"/>
          <w:lang w:val="en-US" w:eastAsia="zh-CN"/>
        </w:rPr>
      </w:pPr>
      <w:bookmarkStart w:id="92" w:name="_Toc451180787"/>
    </w:p>
    <w:p>
      <w:pPr>
        <w:keepNext/>
        <w:keepLines/>
        <w:widowControl/>
        <w:spacing w:line="360" w:lineRule="auto"/>
        <w:jc w:val="both"/>
        <w:outlineLvl w:val="0"/>
        <w:rPr>
          <w:rFonts w:hint="eastAsia" w:hAnsi="宋体"/>
          <w:b/>
          <w:color w:val="auto"/>
          <w:sz w:val="30"/>
          <w:szCs w:val="30"/>
          <w:lang w:val="en-US" w:eastAsia="zh-CN"/>
        </w:rPr>
      </w:pPr>
    </w:p>
    <w:p>
      <w:pPr>
        <w:keepNext/>
        <w:keepLines/>
        <w:widowControl/>
        <w:spacing w:line="360" w:lineRule="auto"/>
        <w:jc w:val="both"/>
        <w:outlineLvl w:val="0"/>
        <w:rPr>
          <w:color w:val="auto"/>
          <w:sz w:val="24"/>
          <w:u w:val="single"/>
          <w:lang w:eastAsia="zh-CN"/>
        </w:rPr>
      </w:pPr>
      <w:r>
        <w:rPr>
          <w:rFonts w:hint="eastAsia" w:hAnsi="宋体"/>
          <w:b/>
          <w:color w:val="auto"/>
          <w:sz w:val="30"/>
          <w:szCs w:val="30"/>
          <w:lang w:val="en-US" w:eastAsia="zh-CN"/>
        </w:rPr>
        <w:t>三、</w:t>
      </w:r>
      <w:r>
        <w:rPr>
          <w:rFonts w:hint="eastAsia" w:hAnsi="宋体"/>
          <w:b/>
          <w:color w:val="auto"/>
          <w:sz w:val="30"/>
          <w:szCs w:val="30"/>
          <w:lang w:eastAsia="zh-CN"/>
        </w:rPr>
        <w:t>法定代表人身份证明书</w:t>
      </w:r>
      <w:bookmarkEnd w:id="92"/>
    </w:p>
    <w:p>
      <w:pPr>
        <w:widowControl/>
        <w:spacing w:line="360" w:lineRule="auto"/>
        <w:rPr>
          <w:rFonts w:hAnsi="宋体"/>
          <w:color w:val="auto"/>
          <w:sz w:val="28"/>
          <w:szCs w:val="28"/>
          <w:lang w:eastAsia="zh-CN"/>
        </w:rPr>
      </w:pPr>
    </w:p>
    <w:p>
      <w:pPr>
        <w:widowControl/>
        <w:spacing w:line="360" w:lineRule="auto"/>
        <w:rPr>
          <w:color w:val="auto"/>
          <w:szCs w:val="21"/>
          <w:u w:val="single"/>
          <w:lang w:eastAsia="zh-CN"/>
        </w:rPr>
      </w:pPr>
      <w:r>
        <w:rPr>
          <w:rFonts w:hAnsi="宋体"/>
          <w:color w:val="auto"/>
          <w:szCs w:val="21"/>
          <w:lang w:eastAsia="zh-CN"/>
        </w:rPr>
        <w:t>单位名称：</w:t>
      </w:r>
      <w:r>
        <w:rPr>
          <w:color w:val="auto"/>
          <w:szCs w:val="21"/>
          <w:u w:val="single"/>
          <w:lang w:eastAsia="zh-CN"/>
        </w:rPr>
        <w:t xml:space="preserve">                                  </w:t>
      </w:r>
    </w:p>
    <w:p>
      <w:pPr>
        <w:widowControl/>
        <w:spacing w:line="360" w:lineRule="auto"/>
        <w:rPr>
          <w:color w:val="auto"/>
          <w:szCs w:val="21"/>
          <w:u w:val="single"/>
          <w:lang w:eastAsia="zh-CN"/>
        </w:rPr>
      </w:pPr>
      <w:r>
        <w:rPr>
          <w:rFonts w:hAnsi="宋体"/>
          <w:color w:val="auto"/>
          <w:szCs w:val="21"/>
          <w:lang w:eastAsia="zh-CN"/>
        </w:rPr>
        <w:t>单位性质：</w:t>
      </w:r>
      <w:r>
        <w:rPr>
          <w:color w:val="auto"/>
          <w:szCs w:val="21"/>
          <w:u w:val="single"/>
          <w:lang w:eastAsia="zh-CN"/>
        </w:rPr>
        <w:t xml:space="preserve">                                  </w:t>
      </w:r>
    </w:p>
    <w:p>
      <w:pPr>
        <w:widowControl/>
        <w:spacing w:line="360" w:lineRule="auto"/>
        <w:rPr>
          <w:color w:val="auto"/>
          <w:szCs w:val="21"/>
          <w:u w:val="single"/>
          <w:lang w:eastAsia="zh-CN"/>
        </w:rPr>
      </w:pPr>
      <w:r>
        <w:rPr>
          <w:rFonts w:hAnsi="宋体"/>
          <w:color w:val="auto"/>
          <w:szCs w:val="21"/>
          <w:lang w:eastAsia="zh-CN"/>
        </w:rPr>
        <w:t>地</w:t>
      </w:r>
      <w:r>
        <w:rPr>
          <w:color w:val="auto"/>
          <w:szCs w:val="21"/>
          <w:lang w:eastAsia="zh-CN"/>
        </w:rPr>
        <w:t xml:space="preserve">    </w:t>
      </w:r>
      <w:r>
        <w:rPr>
          <w:rFonts w:hAnsi="宋体"/>
          <w:color w:val="auto"/>
          <w:szCs w:val="21"/>
          <w:lang w:eastAsia="zh-CN"/>
        </w:rPr>
        <w:t>址：</w:t>
      </w:r>
      <w:r>
        <w:rPr>
          <w:color w:val="auto"/>
          <w:szCs w:val="21"/>
          <w:u w:val="single"/>
          <w:lang w:eastAsia="zh-CN"/>
        </w:rPr>
        <w:t xml:space="preserve">                                  </w:t>
      </w:r>
    </w:p>
    <w:p>
      <w:pPr>
        <w:widowControl/>
        <w:spacing w:line="360" w:lineRule="auto"/>
        <w:rPr>
          <w:color w:val="auto"/>
          <w:szCs w:val="21"/>
          <w:u w:val="single"/>
          <w:lang w:eastAsia="zh-CN"/>
        </w:rPr>
      </w:pPr>
      <w:r>
        <w:rPr>
          <w:rFonts w:hAnsi="宋体"/>
          <w:color w:val="auto"/>
          <w:szCs w:val="21"/>
          <w:lang w:eastAsia="zh-CN"/>
        </w:rPr>
        <w:t>成立时间：</w:t>
      </w:r>
      <w:r>
        <w:rPr>
          <w:color w:val="auto"/>
          <w:szCs w:val="21"/>
          <w:u w:val="single"/>
          <w:lang w:eastAsia="zh-CN"/>
        </w:rPr>
        <w:t xml:space="preserve">      </w:t>
      </w:r>
      <w:r>
        <w:rPr>
          <w:rFonts w:hAnsi="宋体"/>
          <w:color w:val="auto"/>
          <w:szCs w:val="21"/>
          <w:lang w:eastAsia="zh-CN"/>
        </w:rPr>
        <w:t>年</w:t>
      </w:r>
      <w:r>
        <w:rPr>
          <w:color w:val="auto"/>
          <w:szCs w:val="21"/>
          <w:u w:val="single"/>
          <w:lang w:eastAsia="zh-CN"/>
        </w:rPr>
        <w:t xml:space="preserve">    </w:t>
      </w:r>
      <w:r>
        <w:rPr>
          <w:rFonts w:hAnsi="宋体"/>
          <w:color w:val="auto"/>
          <w:szCs w:val="21"/>
          <w:lang w:eastAsia="zh-CN"/>
        </w:rPr>
        <w:t>月</w:t>
      </w:r>
      <w:r>
        <w:rPr>
          <w:color w:val="auto"/>
          <w:szCs w:val="21"/>
          <w:u w:val="single"/>
          <w:lang w:eastAsia="zh-CN"/>
        </w:rPr>
        <w:t xml:space="preserve">  </w:t>
      </w:r>
      <w:r>
        <w:rPr>
          <w:rFonts w:hint="eastAsia"/>
          <w:color w:val="auto"/>
          <w:szCs w:val="21"/>
          <w:u w:val="single"/>
          <w:lang w:eastAsia="zh-CN"/>
        </w:rPr>
        <w:t xml:space="preserve"> </w:t>
      </w:r>
      <w:r>
        <w:rPr>
          <w:color w:val="auto"/>
          <w:szCs w:val="21"/>
          <w:u w:val="single"/>
          <w:lang w:eastAsia="zh-CN"/>
        </w:rPr>
        <w:t xml:space="preserve">  </w:t>
      </w:r>
      <w:r>
        <w:rPr>
          <w:rFonts w:hAnsi="宋体"/>
          <w:color w:val="auto"/>
          <w:szCs w:val="21"/>
          <w:lang w:eastAsia="zh-CN"/>
        </w:rPr>
        <w:t>日</w:t>
      </w:r>
    </w:p>
    <w:p>
      <w:pPr>
        <w:widowControl/>
        <w:spacing w:line="360" w:lineRule="auto"/>
        <w:rPr>
          <w:color w:val="auto"/>
          <w:szCs w:val="21"/>
          <w:u w:val="single"/>
          <w:lang w:eastAsia="zh-CN"/>
        </w:rPr>
      </w:pPr>
      <w:r>
        <w:rPr>
          <w:rFonts w:hAnsi="宋体"/>
          <w:color w:val="auto"/>
          <w:szCs w:val="21"/>
          <w:lang w:eastAsia="zh-CN"/>
        </w:rPr>
        <w:t>经营期限：</w:t>
      </w:r>
      <w:r>
        <w:rPr>
          <w:color w:val="auto"/>
          <w:szCs w:val="21"/>
          <w:u w:val="single"/>
          <w:lang w:eastAsia="zh-CN"/>
        </w:rPr>
        <w:t xml:space="preserve">               </w:t>
      </w:r>
      <w:r>
        <w:rPr>
          <w:color w:val="auto"/>
          <w:szCs w:val="21"/>
          <w:lang w:eastAsia="zh-CN"/>
        </w:rPr>
        <w:t xml:space="preserve"> </w:t>
      </w:r>
    </w:p>
    <w:p>
      <w:pPr>
        <w:widowControl/>
        <w:spacing w:line="360" w:lineRule="auto"/>
        <w:rPr>
          <w:color w:val="auto"/>
          <w:szCs w:val="21"/>
          <w:u w:val="single"/>
          <w:lang w:eastAsia="zh-CN"/>
        </w:rPr>
      </w:pPr>
      <w:r>
        <w:rPr>
          <w:rFonts w:hAnsi="宋体"/>
          <w:color w:val="auto"/>
          <w:szCs w:val="21"/>
          <w:lang w:eastAsia="zh-CN"/>
        </w:rPr>
        <w:t>姓</w:t>
      </w:r>
      <w:r>
        <w:rPr>
          <w:color w:val="auto"/>
          <w:szCs w:val="21"/>
          <w:lang w:eastAsia="zh-CN"/>
        </w:rPr>
        <w:t xml:space="preserve">    </w:t>
      </w:r>
      <w:r>
        <w:rPr>
          <w:rFonts w:hAnsi="宋体"/>
          <w:color w:val="auto"/>
          <w:szCs w:val="21"/>
          <w:lang w:eastAsia="zh-CN"/>
        </w:rPr>
        <w:t>名：</w:t>
      </w:r>
      <w:r>
        <w:rPr>
          <w:color w:val="auto"/>
          <w:szCs w:val="21"/>
          <w:u w:val="single"/>
          <w:lang w:eastAsia="zh-CN"/>
        </w:rPr>
        <w:t xml:space="preserve">       </w:t>
      </w:r>
      <w:r>
        <w:rPr>
          <w:rFonts w:hint="eastAsia"/>
          <w:color w:val="auto"/>
          <w:szCs w:val="21"/>
          <w:u w:val="single"/>
          <w:lang w:eastAsia="zh-CN"/>
        </w:rPr>
        <w:t xml:space="preserve"> </w:t>
      </w:r>
      <w:r>
        <w:rPr>
          <w:color w:val="auto"/>
          <w:szCs w:val="21"/>
          <w:u w:val="single"/>
          <w:lang w:eastAsia="zh-CN"/>
        </w:rPr>
        <w:t xml:space="preserve">   </w:t>
      </w:r>
      <w:r>
        <w:rPr>
          <w:rFonts w:hAnsi="宋体"/>
          <w:color w:val="auto"/>
          <w:szCs w:val="21"/>
          <w:lang w:eastAsia="zh-CN"/>
        </w:rPr>
        <w:t>性别：</w:t>
      </w:r>
      <w:r>
        <w:rPr>
          <w:color w:val="auto"/>
          <w:szCs w:val="21"/>
          <w:u w:val="single"/>
          <w:lang w:eastAsia="zh-CN"/>
        </w:rPr>
        <w:t xml:space="preserve">   </w:t>
      </w:r>
      <w:r>
        <w:rPr>
          <w:rFonts w:hint="eastAsia"/>
          <w:color w:val="auto"/>
          <w:szCs w:val="21"/>
          <w:u w:val="single"/>
          <w:lang w:eastAsia="zh-CN"/>
        </w:rPr>
        <w:t xml:space="preserve">  </w:t>
      </w:r>
      <w:r>
        <w:rPr>
          <w:color w:val="auto"/>
          <w:szCs w:val="21"/>
          <w:u w:val="single"/>
          <w:lang w:eastAsia="zh-CN"/>
        </w:rPr>
        <w:t xml:space="preserve">    </w:t>
      </w:r>
      <w:r>
        <w:rPr>
          <w:rFonts w:hAnsi="宋体"/>
          <w:color w:val="auto"/>
          <w:szCs w:val="21"/>
          <w:lang w:eastAsia="zh-CN"/>
        </w:rPr>
        <w:t>年龄：</w:t>
      </w:r>
      <w:r>
        <w:rPr>
          <w:color w:val="auto"/>
          <w:szCs w:val="21"/>
          <w:u w:val="single"/>
          <w:lang w:eastAsia="zh-CN"/>
        </w:rPr>
        <w:t xml:space="preserve">      </w:t>
      </w:r>
      <w:r>
        <w:rPr>
          <w:rFonts w:hint="eastAsia"/>
          <w:color w:val="auto"/>
          <w:szCs w:val="21"/>
          <w:u w:val="single"/>
          <w:lang w:eastAsia="zh-CN"/>
        </w:rPr>
        <w:t xml:space="preserve">  </w:t>
      </w:r>
      <w:r>
        <w:rPr>
          <w:color w:val="auto"/>
          <w:szCs w:val="21"/>
          <w:u w:val="single"/>
          <w:lang w:eastAsia="zh-CN"/>
        </w:rPr>
        <w:t xml:space="preserve">  </w:t>
      </w:r>
      <w:r>
        <w:rPr>
          <w:rFonts w:hAnsi="宋体"/>
          <w:color w:val="auto"/>
          <w:szCs w:val="21"/>
          <w:lang w:eastAsia="zh-CN"/>
        </w:rPr>
        <w:t>职务：</w:t>
      </w:r>
      <w:r>
        <w:rPr>
          <w:rFonts w:hint="eastAsia"/>
          <w:color w:val="auto"/>
          <w:szCs w:val="21"/>
          <w:u w:val="single"/>
          <w:lang w:eastAsia="zh-CN"/>
        </w:rPr>
        <w:t xml:space="preserve">              . </w:t>
      </w:r>
    </w:p>
    <w:p>
      <w:pPr>
        <w:widowControl/>
        <w:spacing w:line="360" w:lineRule="auto"/>
        <w:rPr>
          <w:color w:val="auto"/>
          <w:szCs w:val="21"/>
          <w:lang w:eastAsia="zh-CN"/>
        </w:rPr>
      </w:pPr>
      <w:r>
        <w:rPr>
          <w:rFonts w:hAnsi="宋体"/>
          <w:color w:val="auto"/>
          <w:szCs w:val="21"/>
          <w:lang w:eastAsia="zh-CN"/>
        </w:rPr>
        <w:t>身份证号码：</w:t>
      </w:r>
    </w:p>
    <w:p>
      <w:pPr>
        <w:widowControl/>
        <w:spacing w:line="360" w:lineRule="auto"/>
        <w:rPr>
          <w:color w:val="auto"/>
          <w:szCs w:val="21"/>
          <w:u w:val="single"/>
          <w:lang w:eastAsia="zh-CN"/>
        </w:rPr>
      </w:pPr>
      <w:r>
        <w:rPr>
          <w:rFonts w:hAnsi="宋体"/>
          <w:color w:val="auto"/>
          <w:szCs w:val="21"/>
          <w:lang w:eastAsia="zh-CN"/>
        </w:rPr>
        <w:t>系</w:t>
      </w:r>
      <w:r>
        <w:rPr>
          <w:color w:val="auto"/>
          <w:szCs w:val="21"/>
          <w:u w:val="single"/>
          <w:lang w:eastAsia="zh-CN"/>
        </w:rPr>
        <w:t xml:space="preserve">                                         </w:t>
      </w:r>
      <w:r>
        <w:rPr>
          <w:rFonts w:hAnsi="宋体"/>
          <w:color w:val="auto"/>
          <w:szCs w:val="21"/>
          <w:lang w:eastAsia="zh-CN"/>
        </w:rPr>
        <w:t>的法定代表人。</w:t>
      </w:r>
    </w:p>
    <w:p>
      <w:pPr>
        <w:widowControl/>
        <w:spacing w:line="360" w:lineRule="auto"/>
        <w:rPr>
          <w:color w:val="auto"/>
          <w:szCs w:val="21"/>
          <w:lang w:eastAsia="zh-CN"/>
        </w:rPr>
      </w:pPr>
      <w:r>
        <w:rPr>
          <w:rFonts w:hAnsi="宋体"/>
          <w:color w:val="auto"/>
          <w:szCs w:val="21"/>
          <w:lang w:eastAsia="zh-CN"/>
        </w:rPr>
        <w:t>特此证明。</w:t>
      </w:r>
    </w:p>
    <w:p>
      <w:pPr>
        <w:widowControl/>
        <w:spacing w:line="360" w:lineRule="auto"/>
        <w:rPr>
          <w:color w:val="auto"/>
          <w:szCs w:val="21"/>
          <w:lang w:eastAsia="zh-CN"/>
        </w:rPr>
      </w:pPr>
    </w:p>
    <w:p>
      <w:pPr>
        <w:widowControl/>
        <w:spacing w:line="360" w:lineRule="auto"/>
        <w:rPr>
          <w:color w:val="auto"/>
          <w:szCs w:val="21"/>
          <w:lang w:eastAsia="zh-CN"/>
        </w:rPr>
      </w:pPr>
    </w:p>
    <w:p>
      <w:pPr>
        <w:topLinePunct/>
        <w:snapToGrid w:val="0"/>
        <w:spacing w:before="4" w:line="480" w:lineRule="auto"/>
        <w:ind w:firstLine="2880" w:firstLineChars="1200"/>
        <w:rPr>
          <w:color w:val="auto"/>
          <w:szCs w:val="21"/>
          <w:u w:val="single"/>
          <w:lang w:eastAsia="zh-CN"/>
        </w:rPr>
      </w:pPr>
      <w:r>
        <w:rPr>
          <w:rFonts w:hint="eastAsia" w:ascii="宋体" w:hAnsi="宋体"/>
          <w:bCs/>
          <w:color w:val="auto"/>
          <w:sz w:val="24"/>
          <w:szCs w:val="24"/>
          <w:lang w:eastAsia="zh-CN"/>
        </w:rPr>
        <w:t>供应商名称（盖章）</w:t>
      </w:r>
      <w:r>
        <w:rPr>
          <w:rFonts w:hint="eastAsia" w:ascii="宋体" w:hAnsi="宋体"/>
          <w:bCs/>
          <w:color w:val="auto"/>
          <w:sz w:val="24"/>
          <w:szCs w:val="24"/>
        </w:rPr>
        <w:t xml:space="preserve"> ：</w:t>
      </w:r>
    </w:p>
    <w:p>
      <w:pPr>
        <w:widowControl/>
        <w:spacing w:line="360" w:lineRule="auto"/>
        <w:ind w:firstLine="2835" w:firstLineChars="1350"/>
        <w:rPr>
          <w:color w:val="auto"/>
          <w:szCs w:val="21"/>
          <w:lang w:eastAsia="zh-CN"/>
        </w:rPr>
      </w:pPr>
      <w:r>
        <w:rPr>
          <w:rFonts w:hAnsi="宋体"/>
          <w:color w:val="auto"/>
          <w:szCs w:val="21"/>
          <w:lang w:eastAsia="zh-CN"/>
        </w:rPr>
        <w:t>日</w:t>
      </w:r>
      <w:r>
        <w:rPr>
          <w:color w:val="auto"/>
          <w:szCs w:val="21"/>
          <w:lang w:eastAsia="zh-CN"/>
        </w:rPr>
        <w:t xml:space="preserve">    </w:t>
      </w:r>
      <w:r>
        <w:rPr>
          <w:rFonts w:hAnsi="宋体"/>
          <w:color w:val="auto"/>
          <w:szCs w:val="21"/>
          <w:lang w:eastAsia="zh-CN"/>
        </w:rPr>
        <w:t>期：</w:t>
      </w:r>
      <w:r>
        <w:rPr>
          <w:color w:val="auto"/>
          <w:szCs w:val="21"/>
          <w:lang w:eastAsia="zh-CN"/>
        </w:rPr>
        <w:t xml:space="preserve">      </w:t>
      </w:r>
      <w:r>
        <w:rPr>
          <w:rFonts w:hAnsi="宋体"/>
          <w:color w:val="auto"/>
          <w:szCs w:val="21"/>
          <w:lang w:eastAsia="zh-CN"/>
        </w:rPr>
        <w:t>年</w:t>
      </w:r>
      <w:r>
        <w:rPr>
          <w:color w:val="auto"/>
          <w:szCs w:val="21"/>
          <w:lang w:eastAsia="zh-CN"/>
        </w:rPr>
        <w:t xml:space="preserve">     </w:t>
      </w:r>
      <w:r>
        <w:rPr>
          <w:rFonts w:hAnsi="宋体"/>
          <w:color w:val="auto"/>
          <w:szCs w:val="21"/>
          <w:lang w:eastAsia="zh-CN"/>
        </w:rPr>
        <w:t>月</w:t>
      </w:r>
      <w:r>
        <w:rPr>
          <w:color w:val="auto"/>
          <w:szCs w:val="21"/>
          <w:lang w:eastAsia="zh-CN"/>
        </w:rPr>
        <w:t xml:space="preserve">     </w:t>
      </w:r>
      <w:r>
        <w:rPr>
          <w:rFonts w:hAnsi="宋体"/>
          <w:color w:val="auto"/>
          <w:szCs w:val="21"/>
          <w:lang w:eastAsia="zh-CN"/>
        </w:rPr>
        <w:t>日</w:t>
      </w:r>
    </w:p>
    <w:p>
      <w:pPr>
        <w:widowControl/>
        <w:spacing w:line="360" w:lineRule="auto"/>
        <w:rPr>
          <w:color w:val="auto"/>
          <w:szCs w:val="21"/>
          <w:lang w:eastAsia="zh-CN"/>
        </w:rPr>
      </w:pPr>
    </w:p>
    <w:p>
      <w:pPr>
        <w:widowControl/>
        <w:spacing w:line="360" w:lineRule="auto"/>
        <w:rPr>
          <w:color w:val="auto"/>
          <w:szCs w:val="21"/>
          <w:lang w:eastAsia="zh-CN"/>
        </w:rPr>
      </w:pPr>
    </w:p>
    <w:p>
      <w:pPr>
        <w:widowControl/>
        <w:spacing w:line="360" w:lineRule="auto"/>
        <w:rPr>
          <w:color w:val="auto"/>
          <w:szCs w:val="21"/>
          <w:u w:val="single"/>
          <w:lang w:eastAsia="zh-CN"/>
        </w:rPr>
      </w:pPr>
      <w:r>
        <w:rPr>
          <w:rFonts w:hAnsi="宋体"/>
          <w:color w:val="auto"/>
          <w:szCs w:val="21"/>
          <w:lang w:eastAsia="zh-CN"/>
        </w:rPr>
        <w:t>附：法定代表人身份证复印件</w:t>
      </w:r>
    </w:p>
    <w:p>
      <w:pPr>
        <w:spacing w:line="360" w:lineRule="auto"/>
        <w:jc w:val="center"/>
        <w:rPr>
          <w:rFonts w:hint="eastAsia" w:ascii="宋体" w:hAnsi="宋体"/>
          <w:b/>
          <w:color w:val="auto"/>
          <w:sz w:val="32"/>
          <w:szCs w:val="32"/>
          <w:lang w:val="en-US" w:eastAsia="zh-CN"/>
        </w:rPr>
      </w:pPr>
    </w:p>
    <w:p>
      <w:pPr>
        <w:spacing w:line="360" w:lineRule="auto"/>
        <w:jc w:val="center"/>
        <w:rPr>
          <w:rFonts w:hint="eastAsia" w:ascii="宋体" w:hAnsi="宋体"/>
          <w:b/>
          <w:color w:val="auto"/>
          <w:sz w:val="32"/>
          <w:szCs w:val="32"/>
          <w:lang w:val="en-US" w:eastAsia="zh-CN"/>
        </w:rPr>
      </w:pPr>
    </w:p>
    <w:p>
      <w:pPr>
        <w:spacing w:line="360" w:lineRule="auto"/>
        <w:jc w:val="center"/>
        <w:rPr>
          <w:rFonts w:hint="eastAsia" w:ascii="宋体" w:hAnsi="宋体"/>
          <w:b/>
          <w:color w:val="auto"/>
          <w:sz w:val="32"/>
          <w:szCs w:val="32"/>
          <w:lang w:val="en-US" w:eastAsia="zh-CN"/>
        </w:rPr>
      </w:pPr>
    </w:p>
    <w:p>
      <w:pPr>
        <w:spacing w:line="360" w:lineRule="auto"/>
        <w:jc w:val="center"/>
        <w:rPr>
          <w:rFonts w:hint="eastAsia" w:ascii="宋体" w:hAnsi="宋体"/>
          <w:b/>
          <w:color w:val="auto"/>
          <w:sz w:val="32"/>
          <w:szCs w:val="32"/>
          <w:lang w:val="en-US" w:eastAsia="zh-CN"/>
        </w:rPr>
      </w:pPr>
    </w:p>
    <w:p>
      <w:pPr>
        <w:spacing w:line="360" w:lineRule="auto"/>
        <w:jc w:val="center"/>
        <w:rPr>
          <w:rFonts w:hint="eastAsia" w:ascii="宋体" w:hAnsi="宋体"/>
          <w:b/>
          <w:color w:val="auto"/>
          <w:sz w:val="32"/>
          <w:szCs w:val="32"/>
          <w:lang w:val="en-US" w:eastAsia="zh-CN"/>
        </w:rPr>
      </w:pPr>
    </w:p>
    <w:p>
      <w:pPr>
        <w:spacing w:line="360" w:lineRule="auto"/>
        <w:jc w:val="both"/>
        <w:rPr>
          <w:rFonts w:hint="eastAsia" w:ascii="宋体" w:hAnsi="宋体"/>
          <w:b/>
          <w:color w:val="auto"/>
          <w:sz w:val="32"/>
          <w:szCs w:val="32"/>
          <w:lang w:val="en-US" w:eastAsia="zh-CN"/>
        </w:rPr>
      </w:pPr>
    </w:p>
    <w:p>
      <w:pPr>
        <w:spacing w:line="360" w:lineRule="auto"/>
        <w:jc w:val="center"/>
        <w:rPr>
          <w:rFonts w:ascii="宋体" w:hAnsi="宋体"/>
          <w:b/>
          <w:color w:val="auto"/>
          <w:sz w:val="32"/>
          <w:szCs w:val="32"/>
        </w:rPr>
      </w:pPr>
      <w:r>
        <w:rPr>
          <w:rFonts w:hint="eastAsia" w:ascii="宋体" w:hAnsi="宋体"/>
          <w:b/>
          <w:color w:val="auto"/>
          <w:sz w:val="32"/>
          <w:szCs w:val="32"/>
          <w:lang w:val="en-US" w:eastAsia="zh-CN"/>
        </w:rPr>
        <w:t>四</w:t>
      </w:r>
      <w:r>
        <w:rPr>
          <w:rFonts w:hint="eastAsia" w:ascii="宋体" w:hAnsi="宋体"/>
          <w:b/>
          <w:color w:val="auto"/>
          <w:sz w:val="32"/>
          <w:szCs w:val="32"/>
        </w:rPr>
        <w:t>、授权委托书</w:t>
      </w:r>
    </w:p>
    <w:p>
      <w:pPr>
        <w:spacing w:line="360" w:lineRule="auto"/>
        <w:rPr>
          <w:rFonts w:ascii="宋体" w:hAnsi="宋体"/>
          <w:color w:val="auto"/>
          <w:sz w:val="24"/>
          <w:szCs w:val="24"/>
        </w:rPr>
      </w:pPr>
      <w:r>
        <w:rPr>
          <w:rFonts w:hint="eastAsia" w:ascii="宋体" w:hAnsi="宋体"/>
          <w:color w:val="auto"/>
          <w:sz w:val="24"/>
          <w:szCs w:val="24"/>
        </w:rPr>
        <w:t>致：海南政辉招投标代理有限公司：</w:t>
      </w:r>
    </w:p>
    <w:p>
      <w:pPr>
        <w:spacing w:line="360" w:lineRule="auto"/>
        <w:ind w:firstLine="480"/>
        <w:rPr>
          <w:rFonts w:ascii="宋体" w:hAnsi="宋体"/>
          <w:color w:val="auto"/>
          <w:sz w:val="24"/>
          <w:szCs w:val="24"/>
        </w:rPr>
      </w:pPr>
      <w:r>
        <w:rPr>
          <w:rFonts w:hint="eastAsia" w:ascii="宋体" w:hAnsi="宋体"/>
          <w:color w:val="auto"/>
          <w:sz w:val="24"/>
          <w:szCs w:val="24"/>
        </w:rPr>
        <w:t>本授权书声明：</w:t>
      </w:r>
    </w:p>
    <w:p>
      <w:pPr>
        <w:spacing w:line="360" w:lineRule="auto"/>
        <w:rPr>
          <w:rFonts w:ascii="宋体" w:hAnsi="宋体"/>
          <w:color w:val="auto"/>
          <w:sz w:val="24"/>
          <w:szCs w:val="24"/>
          <w:u w:val="single"/>
        </w:rPr>
      </w:pPr>
      <w:r>
        <w:rPr>
          <w:rFonts w:hint="eastAsia" w:ascii="宋体" w:hAnsi="宋体"/>
          <w:color w:val="auto"/>
          <w:sz w:val="24"/>
          <w:szCs w:val="24"/>
        </w:rPr>
        <w:t>委托人：</w:t>
      </w:r>
      <w:r>
        <w:rPr>
          <w:rFonts w:hint="eastAsia" w:ascii="宋体" w:hAnsi="宋体"/>
          <w:color w:val="auto"/>
          <w:sz w:val="24"/>
          <w:szCs w:val="24"/>
          <w:u w:val="single"/>
        </w:rPr>
        <w:t xml:space="preserve">                                            </w:t>
      </w:r>
    </w:p>
    <w:p>
      <w:pPr>
        <w:spacing w:line="360" w:lineRule="auto"/>
        <w:rPr>
          <w:rFonts w:ascii="宋体" w:hAnsi="宋体"/>
          <w:color w:val="auto"/>
          <w:sz w:val="24"/>
          <w:szCs w:val="24"/>
        </w:rPr>
      </w:pPr>
      <w:r>
        <w:rPr>
          <w:rFonts w:hint="eastAsia" w:ascii="宋体" w:hAnsi="宋体"/>
          <w:color w:val="auto"/>
          <w:sz w:val="24"/>
          <w:szCs w:val="24"/>
        </w:rPr>
        <w:t>地  址：</w:t>
      </w:r>
      <w:r>
        <w:rPr>
          <w:rFonts w:hint="eastAsia" w:ascii="宋体" w:hAnsi="宋体"/>
          <w:b/>
          <w:color w:val="auto"/>
          <w:sz w:val="24"/>
          <w:szCs w:val="24"/>
          <w:u w:val="single"/>
        </w:rPr>
        <w:t xml:space="preserve">                      </w:t>
      </w:r>
      <w:r>
        <w:rPr>
          <w:rFonts w:hint="eastAsia" w:ascii="宋体" w:hAnsi="宋体"/>
          <w:color w:val="auto"/>
          <w:sz w:val="24"/>
          <w:szCs w:val="24"/>
        </w:rPr>
        <w:t>法定代表人：</w:t>
      </w:r>
      <w:r>
        <w:rPr>
          <w:rFonts w:hint="eastAsia" w:ascii="宋体" w:hAnsi="宋体"/>
          <w:color w:val="auto"/>
          <w:sz w:val="24"/>
          <w:szCs w:val="24"/>
          <w:u w:val="single"/>
        </w:rPr>
        <w:t xml:space="preserve">          </w:t>
      </w:r>
    </w:p>
    <w:p>
      <w:pPr>
        <w:spacing w:line="360" w:lineRule="auto"/>
        <w:rPr>
          <w:rFonts w:ascii="宋体" w:hAnsi="宋体"/>
          <w:color w:val="auto"/>
          <w:sz w:val="24"/>
          <w:szCs w:val="24"/>
        </w:rPr>
      </w:pPr>
      <w:r>
        <w:rPr>
          <w:rFonts w:hint="eastAsia" w:ascii="宋体" w:hAnsi="宋体"/>
          <w:color w:val="auto"/>
          <w:sz w:val="24"/>
          <w:szCs w:val="24"/>
        </w:rPr>
        <w:t>受托人：姓名</w:t>
      </w:r>
      <w:r>
        <w:rPr>
          <w:rFonts w:hint="eastAsia" w:ascii="宋体" w:hAnsi="宋体"/>
          <w:color w:val="auto"/>
          <w:sz w:val="24"/>
          <w:szCs w:val="24"/>
          <w:u w:val="single"/>
        </w:rPr>
        <w:t xml:space="preserve">       </w:t>
      </w:r>
      <w:r>
        <w:rPr>
          <w:rFonts w:hint="eastAsia" w:ascii="宋体" w:hAnsi="宋体"/>
          <w:color w:val="auto"/>
          <w:sz w:val="24"/>
          <w:szCs w:val="24"/>
        </w:rPr>
        <w:t>性别</w:t>
      </w:r>
      <w:r>
        <w:rPr>
          <w:rFonts w:hint="eastAsia" w:ascii="宋体" w:hAnsi="宋体"/>
          <w:color w:val="auto"/>
          <w:sz w:val="24"/>
          <w:szCs w:val="24"/>
          <w:u w:val="single"/>
        </w:rPr>
        <w:t xml:space="preserve">：     </w:t>
      </w:r>
      <w:r>
        <w:rPr>
          <w:rFonts w:hint="eastAsia" w:ascii="宋体" w:hAnsi="宋体"/>
          <w:color w:val="auto"/>
          <w:sz w:val="24"/>
          <w:szCs w:val="24"/>
        </w:rPr>
        <w:t>出生日期：</w:t>
      </w:r>
      <w:r>
        <w:rPr>
          <w:rFonts w:hint="eastAsia" w:ascii="宋体" w:hAnsi="宋体"/>
          <w:color w:val="auto"/>
          <w:sz w:val="24"/>
          <w:szCs w:val="24"/>
          <w:u w:val="single"/>
        </w:rPr>
        <w:t xml:space="preserve">     </w:t>
      </w:r>
      <w:r>
        <w:rPr>
          <w:rFonts w:hint="eastAsia" w:ascii="宋体" w:hAnsi="宋体"/>
          <w:color w:val="auto"/>
          <w:sz w:val="24"/>
          <w:szCs w:val="24"/>
        </w:rPr>
        <w:t>年</w:t>
      </w:r>
      <w:r>
        <w:rPr>
          <w:rFonts w:hint="eastAsia" w:ascii="宋体" w:hAnsi="宋体"/>
          <w:color w:val="auto"/>
          <w:sz w:val="24"/>
          <w:szCs w:val="24"/>
          <w:u w:val="single"/>
        </w:rPr>
        <w:t xml:space="preserve">   </w:t>
      </w:r>
      <w:r>
        <w:rPr>
          <w:rFonts w:hint="eastAsia" w:ascii="宋体" w:hAnsi="宋体"/>
          <w:color w:val="auto"/>
          <w:sz w:val="24"/>
          <w:szCs w:val="24"/>
        </w:rPr>
        <w:t>月</w:t>
      </w:r>
      <w:r>
        <w:rPr>
          <w:rFonts w:hint="eastAsia" w:ascii="宋体" w:hAnsi="宋体"/>
          <w:color w:val="auto"/>
          <w:sz w:val="24"/>
          <w:szCs w:val="24"/>
          <w:u w:val="single"/>
        </w:rPr>
        <w:t xml:space="preserve">   </w:t>
      </w:r>
      <w:r>
        <w:rPr>
          <w:rFonts w:hint="eastAsia" w:ascii="宋体" w:hAnsi="宋体"/>
          <w:color w:val="auto"/>
          <w:sz w:val="24"/>
          <w:szCs w:val="24"/>
        </w:rPr>
        <w:t>日</w:t>
      </w:r>
    </w:p>
    <w:p>
      <w:pPr>
        <w:spacing w:line="360" w:lineRule="auto"/>
        <w:rPr>
          <w:rFonts w:ascii="宋体" w:hAnsi="宋体"/>
          <w:color w:val="auto"/>
          <w:sz w:val="24"/>
          <w:szCs w:val="24"/>
        </w:rPr>
      </w:pPr>
      <w:r>
        <w:rPr>
          <w:rFonts w:hint="eastAsia" w:ascii="宋体" w:hAnsi="宋体"/>
          <w:color w:val="auto"/>
          <w:sz w:val="24"/>
          <w:szCs w:val="24"/>
        </w:rPr>
        <w:t>所在单位：</w:t>
      </w:r>
      <w:r>
        <w:rPr>
          <w:rFonts w:hint="eastAsia" w:ascii="宋体" w:hAnsi="宋体"/>
          <w:color w:val="auto"/>
          <w:sz w:val="24"/>
          <w:szCs w:val="24"/>
          <w:u w:val="single"/>
        </w:rPr>
        <w:t xml:space="preserve">                            </w:t>
      </w:r>
      <w:r>
        <w:rPr>
          <w:rFonts w:hint="eastAsia" w:ascii="宋体" w:hAnsi="宋体"/>
          <w:color w:val="auto"/>
          <w:sz w:val="24"/>
          <w:szCs w:val="24"/>
        </w:rPr>
        <w:t>职务：</w:t>
      </w:r>
      <w:r>
        <w:rPr>
          <w:rFonts w:hint="eastAsia" w:ascii="宋体" w:hAnsi="宋体"/>
          <w:color w:val="auto"/>
          <w:sz w:val="24"/>
          <w:szCs w:val="24"/>
          <w:u w:val="single"/>
        </w:rPr>
        <w:t xml:space="preserve">           </w:t>
      </w:r>
    </w:p>
    <w:p>
      <w:pPr>
        <w:spacing w:line="360" w:lineRule="auto"/>
        <w:rPr>
          <w:rFonts w:ascii="宋体" w:hAnsi="宋体"/>
          <w:color w:val="auto"/>
          <w:sz w:val="24"/>
          <w:szCs w:val="24"/>
        </w:rPr>
      </w:pPr>
      <w:r>
        <w:rPr>
          <w:rFonts w:hint="eastAsia" w:ascii="宋体" w:hAnsi="宋体"/>
          <w:color w:val="auto"/>
          <w:sz w:val="24"/>
          <w:szCs w:val="24"/>
        </w:rPr>
        <w:t>身 份 证：</w:t>
      </w:r>
      <w:r>
        <w:rPr>
          <w:rFonts w:hint="eastAsia" w:ascii="宋体" w:hAnsi="宋体"/>
          <w:color w:val="auto"/>
          <w:sz w:val="24"/>
          <w:szCs w:val="24"/>
          <w:u w:val="single"/>
        </w:rPr>
        <w:t xml:space="preserve">               </w:t>
      </w:r>
      <w:r>
        <w:rPr>
          <w:rFonts w:hint="eastAsia" w:ascii="宋体" w:hAnsi="宋体"/>
          <w:color w:val="auto"/>
          <w:sz w:val="24"/>
          <w:szCs w:val="24"/>
        </w:rPr>
        <w:t xml:space="preserve"> 联系方式:</w:t>
      </w:r>
      <w:r>
        <w:rPr>
          <w:rFonts w:hint="eastAsia" w:ascii="宋体" w:hAnsi="宋体"/>
          <w:color w:val="auto"/>
          <w:sz w:val="24"/>
          <w:szCs w:val="24"/>
          <w:u w:val="single"/>
        </w:rPr>
        <w:t xml:space="preserve">                    </w:t>
      </w:r>
    </w:p>
    <w:p>
      <w:pPr>
        <w:spacing w:line="360" w:lineRule="auto"/>
        <w:ind w:firstLine="480" w:firstLineChars="200"/>
        <w:rPr>
          <w:rFonts w:ascii="宋体" w:hAnsi="宋体"/>
          <w:color w:val="auto"/>
          <w:sz w:val="24"/>
          <w:szCs w:val="24"/>
        </w:rPr>
      </w:pPr>
      <w:r>
        <w:rPr>
          <w:rFonts w:hint="eastAsia" w:ascii="宋体" w:hAnsi="宋体" w:cs="宋体"/>
          <w:color w:val="auto"/>
          <w:sz w:val="24"/>
          <w:szCs w:val="24"/>
        </w:rPr>
        <w:t>兹委托受托人</w:t>
      </w:r>
      <w:r>
        <w:rPr>
          <w:rFonts w:hint="eastAsia" w:ascii="宋体" w:hAnsi="宋体" w:cs="宋体"/>
          <w:color w:val="auto"/>
          <w:sz w:val="24"/>
          <w:szCs w:val="24"/>
          <w:u w:val="single"/>
        </w:rPr>
        <w:t xml:space="preserve">               </w:t>
      </w:r>
      <w:r>
        <w:rPr>
          <w:rFonts w:hint="eastAsia" w:ascii="宋体" w:hAnsi="宋体" w:cs="宋体"/>
          <w:color w:val="auto"/>
          <w:sz w:val="24"/>
          <w:szCs w:val="24"/>
        </w:rPr>
        <w:t>代表我方参加海南政辉招投标代理有限公司组织的</w:t>
      </w:r>
      <w:r>
        <w:rPr>
          <w:rFonts w:ascii="宋体" w:hAnsi="宋体"/>
          <w:color w:val="auto"/>
          <w:kern w:val="28"/>
          <w:sz w:val="24"/>
          <w:u w:val="single"/>
        </w:rPr>
        <w:t xml:space="preserve">                </w:t>
      </w:r>
      <w:r>
        <w:rPr>
          <w:rFonts w:hint="eastAsia" w:ascii="宋体" w:hAnsi="宋体"/>
          <w:color w:val="auto"/>
          <w:kern w:val="28"/>
          <w:sz w:val="24"/>
          <w:u w:val="single"/>
        </w:rPr>
        <w:t>（项目</w:t>
      </w:r>
      <w:r>
        <w:rPr>
          <w:rFonts w:ascii="宋体" w:hAnsi="宋体"/>
          <w:color w:val="auto"/>
          <w:kern w:val="28"/>
          <w:sz w:val="24"/>
          <w:u w:val="single"/>
        </w:rPr>
        <w:t>名称</w:t>
      </w:r>
      <w:r>
        <w:rPr>
          <w:rFonts w:hint="eastAsia" w:ascii="宋体" w:hAnsi="宋体"/>
          <w:color w:val="auto"/>
          <w:kern w:val="28"/>
          <w:sz w:val="24"/>
          <w:u w:val="single"/>
          <w:lang w:eastAsia="zh-CN"/>
        </w:rPr>
        <w:t>）</w:t>
      </w:r>
      <w:r>
        <w:rPr>
          <w:rFonts w:hint="eastAsia" w:ascii="宋体" w:hAnsi="宋体" w:cs="宋体"/>
          <w:color w:val="auto"/>
          <w:sz w:val="24"/>
          <w:szCs w:val="24"/>
        </w:rPr>
        <w:t>（项目编号为：</w:t>
      </w:r>
      <w:r>
        <w:rPr>
          <w:rFonts w:hint="eastAsia" w:ascii="宋体" w:hAnsi="宋体" w:cs="宋体"/>
          <w:color w:val="auto"/>
          <w:sz w:val="24"/>
          <w:szCs w:val="24"/>
          <w:lang w:eastAsia="zh-CN"/>
        </w:rPr>
        <w:t>HNZH-2020-188</w:t>
      </w:r>
      <w:r>
        <w:rPr>
          <w:rFonts w:hint="eastAsia" w:ascii="宋体" w:hAnsi="宋体" w:cs="宋体"/>
          <w:color w:val="auto"/>
          <w:sz w:val="24"/>
          <w:szCs w:val="24"/>
        </w:rPr>
        <w:t>）</w:t>
      </w:r>
      <w:r>
        <w:rPr>
          <w:rFonts w:hint="eastAsia" w:ascii="宋体" w:hAnsi="宋体"/>
          <w:color w:val="auto"/>
          <w:sz w:val="24"/>
          <w:szCs w:val="24"/>
        </w:rPr>
        <w:t>的政府采购活动，并授权其全权办理以下事宜：</w:t>
      </w:r>
    </w:p>
    <w:p>
      <w:pPr>
        <w:spacing w:line="360" w:lineRule="auto"/>
        <w:ind w:firstLine="480" w:firstLineChars="200"/>
        <w:rPr>
          <w:rFonts w:ascii="宋体" w:hAnsi="宋体"/>
          <w:color w:val="auto"/>
          <w:sz w:val="24"/>
          <w:szCs w:val="24"/>
        </w:rPr>
      </w:pPr>
      <w:r>
        <w:rPr>
          <w:rFonts w:hint="eastAsia" w:ascii="宋体" w:hAnsi="宋体"/>
          <w:color w:val="auto"/>
          <w:sz w:val="24"/>
          <w:szCs w:val="24"/>
        </w:rPr>
        <w:t>1、参加报价活动；</w:t>
      </w:r>
    </w:p>
    <w:p>
      <w:pPr>
        <w:spacing w:line="360" w:lineRule="auto"/>
        <w:ind w:firstLine="480" w:firstLineChars="200"/>
        <w:rPr>
          <w:rFonts w:ascii="宋体" w:hAnsi="宋体"/>
          <w:color w:val="auto"/>
          <w:sz w:val="24"/>
          <w:szCs w:val="24"/>
        </w:rPr>
      </w:pPr>
      <w:r>
        <w:rPr>
          <w:rFonts w:hint="eastAsia" w:ascii="宋体" w:hAnsi="宋体"/>
          <w:color w:val="auto"/>
          <w:sz w:val="24"/>
          <w:szCs w:val="24"/>
        </w:rPr>
        <w:t>2、出席谈判会议；</w:t>
      </w:r>
    </w:p>
    <w:p>
      <w:pPr>
        <w:spacing w:line="360" w:lineRule="auto"/>
        <w:ind w:firstLine="480" w:firstLineChars="200"/>
        <w:rPr>
          <w:rFonts w:ascii="宋体" w:hAnsi="宋体"/>
          <w:color w:val="auto"/>
          <w:sz w:val="24"/>
          <w:szCs w:val="24"/>
        </w:rPr>
      </w:pPr>
      <w:r>
        <w:rPr>
          <w:rFonts w:hint="eastAsia" w:ascii="宋体" w:hAnsi="宋体"/>
          <w:color w:val="auto"/>
          <w:sz w:val="24"/>
          <w:szCs w:val="24"/>
        </w:rPr>
        <w:t>3、签订与成交事宜有关的合同；</w:t>
      </w:r>
    </w:p>
    <w:p>
      <w:pPr>
        <w:spacing w:line="360" w:lineRule="auto"/>
        <w:ind w:firstLine="480" w:firstLineChars="200"/>
        <w:rPr>
          <w:rFonts w:ascii="宋体" w:hAnsi="宋体"/>
          <w:color w:val="auto"/>
          <w:sz w:val="24"/>
          <w:szCs w:val="24"/>
        </w:rPr>
      </w:pPr>
      <w:r>
        <w:rPr>
          <w:rFonts w:hint="eastAsia" w:ascii="宋体" w:hAnsi="宋体"/>
          <w:color w:val="auto"/>
          <w:sz w:val="24"/>
          <w:szCs w:val="24"/>
        </w:rPr>
        <w:t>4、负责合同的履行、服务以及在合同履行过程中有关事宜的洽谈和处理。</w:t>
      </w:r>
    </w:p>
    <w:p>
      <w:pPr>
        <w:spacing w:line="360" w:lineRule="auto"/>
        <w:ind w:firstLine="480"/>
        <w:rPr>
          <w:rFonts w:ascii="宋体" w:hAnsi="宋体"/>
          <w:color w:val="auto"/>
          <w:sz w:val="24"/>
          <w:szCs w:val="24"/>
        </w:rPr>
      </w:pPr>
      <w:r>
        <w:rPr>
          <w:rFonts w:hint="eastAsia" w:ascii="宋体" w:hAnsi="宋体"/>
          <w:color w:val="auto"/>
          <w:sz w:val="24"/>
          <w:szCs w:val="24"/>
        </w:rPr>
        <w:t>受托人在办理上述事宜过程中以其自己的名义所签署的所有文件我方均予以承认。受托人无转委托权。</w:t>
      </w:r>
    </w:p>
    <w:p>
      <w:pPr>
        <w:spacing w:line="360" w:lineRule="auto"/>
        <w:ind w:firstLine="480" w:firstLineChars="200"/>
        <w:rPr>
          <w:rFonts w:ascii="宋体" w:hAnsi="宋体"/>
          <w:color w:val="auto"/>
          <w:sz w:val="24"/>
          <w:szCs w:val="24"/>
        </w:rPr>
      </w:pPr>
      <w:r>
        <w:rPr>
          <w:rFonts w:hint="eastAsia" w:ascii="宋体" w:hAnsi="宋体"/>
          <w:color w:val="auto"/>
          <w:sz w:val="24"/>
          <w:szCs w:val="24"/>
        </w:rPr>
        <w:t>委托期限：至上述事宜处理完毕止。</w:t>
      </w:r>
    </w:p>
    <w:p>
      <w:pPr>
        <w:spacing w:line="360" w:lineRule="auto"/>
        <w:rPr>
          <w:rFonts w:ascii="宋体" w:hAnsi="宋体"/>
          <w:color w:val="auto"/>
          <w:sz w:val="24"/>
          <w:szCs w:val="24"/>
        </w:rPr>
      </w:pPr>
      <w:r>
        <w:rPr>
          <w:rFonts w:hint="eastAsia" w:ascii="宋体" w:hAnsi="宋体"/>
          <w:color w:val="auto"/>
          <w:sz w:val="24"/>
          <w:szCs w:val="24"/>
        </w:rPr>
        <w:t>附：法定代表人身份证复印件及受托人身份证复印件</w:t>
      </w:r>
    </w:p>
    <w:p>
      <w:pPr>
        <w:spacing w:line="360" w:lineRule="auto"/>
        <w:rPr>
          <w:rFonts w:ascii="宋体" w:hAnsi="宋体"/>
          <w:color w:val="auto"/>
          <w:sz w:val="24"/>
          <w:szCs w:val="24"/>
        </w:rPr>
      </w:pPr>
    </w:p>
    <w:p>
      <w:pPr>
        <w:spacing w:line="360" w:lineRule="auto"/>
        <w:ind w:firstLine="3840" w:firstLineChars="1600"/>
        <w:rPr>
          <w:rFonts w:ascii="宋体" w:hAnsi="宋体"/>
          <w:color w:val="auto"/>
          <w:sz w:val="24"/>
          <w:szCs w:val="24"/>
        </w:rPr>
      </w:pPr>
      <w:r>
        <w:rPr>
          <w:rFonts w:hint="eastAsia" w:ascii="宋体" w:hAnsi="宋体"/>
          <w:color w:val="auto"/>
          <w:sz w:val="24"/>
          <w:szCs w:val="24"/>
        </w:rPr>
        <w:t xml:space="preserve">委托单位    （公章）          </w:t>
      </w:r>
    </w:p>
    <w:p>
      <w:pPr>
        <w:spacing w:line="360" w:lineRule="auto"/>
        <w:rPr>
          <w:rFonts w:ascii="宋体" w:hAnsi="宋体"/>
          <w:color w:val="auto"/>
          <w:sz w:val="24"/>
          <w:szCs w:val="24"/>
        </w:rPr>
      </w:pPr>
      <w:r>
        <w:rPr>
          <w:rFonts w:hint="eastAsia" w:ascii="宋体" w:hAnsi="宋体"/>
          <w:color w:val="auto"/>
          <w:sz w:val="24"/>
          <w:szCs w:val="24"/>
        </w:rPr>
        <w:t xml:space="preserve">                                法定代表人  （签</w:t>
      </w:r>
      <w:r>
        <w:rPr>
          <w:rFonts w:hint="eastAsia" w:ascii="宋体" w:hAnsi="宋体"/>
          <w:color w:val="auto"/>
          <w:sz w:val="24"/>
          <w:szCs w:val="24"/>
          <w:lang w:eastAsia="zh-CN"/>
        </w:rPr>
        <w:t>字</w:t>
      </w:r>
      <w:r>
        <w:rPr>
          <w:rFonts w:hint="eastAsia" w:ascii="宋体" w:hAnsi="宋体"/>
          <w:color w:val="auto"/>
          <w:sz w:val="24"/>
          <w:szCs w:val="24"/>
        </w:rPr>
        <w:t xml:space="preserve">）          </w:t>
      </w:r>
    </w:p>
    <w:p>
      <w:pPr>
        <w:spacing w:line="360" w:lineRule="auto"/>
        <w:rPr>
          <w:rFonts w:ascii="宋体" w:hAnsi="宋体"/>
          <w:color w:val="auto"/>
          <w:sz w:val="24"/>
          <w:szCs w:val="24"/>
        </w:rPr>
      </w:pPr>
      <w:r>
        <w:rPr>
          <w:rFonts w:hint="eastAsia" w:ascii="宋体" w:hAnsi="宋体"/>
          <w:color w:val="auto"/>
          <w:sz w:val="24"/>
          <w:szCs w:val="24"/>
        </w:rPr>
        <w:t xml:space="preserve">                                受托人  （签</w:t>
      </w:r>
      <w:r>
        <w:rPr>
          <w:rFonts w:hint="eastAsia" w:ascii="宋体" w:hAnsi="宋体"/>
          <w:color w:val="auto"/>
          <w:sz w:val="24"/>
          <w:szCs w:val="24"/>
          <w:lang w:eastAsia="zh-CN"/>
        </w:rPr>
        <w:t>字</w:t>
      </w:r>
      <w:r>
        <w:rPr>
          <w:rFonts w:hint="eastAsia" w:ascii="宋体" w:hAnsi="宋体"/>
          <w:color w:val="auto"/>
          <w:sz w:val="24"/>
          <w:szCs w:val="24"/>
        </w:rPr>
        <w:t xml:space="preserve">）          </w:t>
      </w:r>
    </w:p>
    <w:p>
      <w:pPr>
        <w:spacing w:line="360" w:lineRule="auto"/>
        <w:ind w:firstLine="4200" w:firstLineChars="1750"/>
        <w:rPr>
          <w:rFonts w:hint="eastAsia" w:ascii="宋体" w:hAnsi="宋体"/>
          <w:color w:val="auto"/>
          <w:sz w:val="24"/>
          <w:szCs w:val="24"/>
        </w:rPr>
      </w:pPr>
      <w:r>
        <w:rPr>
          <w:rFonts w:hint="eastAsia" w:ascii="宋体" w:hAnsi="宋体"/>
          <w:color w:val="auto"/>
          <w:sz w:val="24"/>
          <w:szCs w:val="24"/>
        </w:rPr>
        <w:t xml:space="preserve">         年     月     日</w:t>
      </w:r>
    </w:p>
    <w:p>
      <w:pPr>
        <w:spacing w:line="360" w:lineRule="auto"/>
        <w:ind w:firstLine="4200" w:firstLineChars="1750"/>
        <w:rPr>
          <w:rFonts w:hint="eastAsia" w:ascii="宋体" w:hAnsi="宋体"/>
          <w:color w:val="auto"/>
          <w:sz w:val="24"/>
          <w:szCs w:val="24"/>
        </w:rPr>
      </w:pPr>
    </w:p>
    <w:p>
      <w:pPr>
        <w:spacing w:line="360" w:lineRule="auto"/>
        <w:ind w:firstLine="4200" w:firstLineChars="1750"/>
        <w:rPr>
          <w:rFonts w:hint="eastAsia" w:ascii="宋体" w:hAnsi="宋体"/>
          <w:color w:val="auto"/>
          <w:sz w:val="24"/>
          <w:szCs w:val="24"/>
        </w:rPr>
      </w:pPr>
    </w:p>
    <w:p>
      <w:pPr>
        <w:spacing w:line="360" w:lineRule="auto"/>
        <w:rPr>
          <w:rFonts w:hint="eastAsia" w:ascii="宋体" w:hAnsi="宋体"/>
          <w:color w:val="auto"/>
          <w:sz w:val="24"/>
          <w:szCs w:val="24"/>
        </w:rPr>
      </w:pPr>
    </w:p>
    <w:p>
      <w:pPr>
        <w:spacing w:line="360" w:lineRule="auto"/>
        <w:ind w:firstLine="4200" w:firstLineChars="1750"/>
        <w:rPr>
          <w:rFonts w:hint="eastAsia" w:ascii="宋体" w:hAnsi="宋体"/>
          <w:color w:val="auto"/>
          <w:sz w:val="24"/>
          <w:szCs w:val="24"/>
        </w:rPr>
      </w:pPr>
    </w:p>
    <w:p>
      <w:pPr>
        <w:snapToGrid w:val="0"/>
        <w:spacing w:line="360" w:lineRule="auto"/>
        <w:ind w:firstLine="472" w:firstLineChars="147"/>
        <w:jc w:val="center"/>
        <w:rPr>
          <w:rFonts w:hint="eastAsia" w:ascii="宋体" w:hAnsi="宋体"/>
          <w:b/>
          <w:color w:val="auto"/>
          <w:sz w:val="32"/>
        </w:rPr>
      </w:pPr>
      <w:r>
        <w:rPr>
          <w:rFonts w:hint="eastAsia" w:ascii="宋体" w:hAnsi="宋体"/>
          <w:b/>
          <w:color w:val="auto"/>
          <w:sz w:val="32"/>
          <w:lang w:val="en-US" w:eastAsia="zh-CN"/>
        </w:rPr>
        <w:t>五、</w:t>
      </w:r>
      <w:r>
        <w:rPr>
          <w:rFonts w:hint="eastAsia" w:ascii="宋体" w:hAnsi="宋体"/>
          <w:b/>
          <w:color w:val="auto"/>
          <w:sz w:val="32"/>
        </w:rPr>
        <w:t>供应商资格证明文件</w:t>
      </w:r>
    </w:p>
    <w:p>
      <w:pPr>
        <w:snapToGrid w:val="0"/>
        <w:spacing w:line="360" w:lineRule="auto"/>
        <w:ind w:firstLine="352" w:firstLineChars="147"/>
        <w:jc w:val="center"/>
        <w:rPr>
          <w:rFonts w:hint="eastAsia" w:ascii="宋体" w:hAnsi="宋体" w:eastAsia="宋体"/>
          <w:b w:val="0"/>
          <w:bCs/>
          <w:color w:val="auto"/>
          <w:sz w:val="24"/>
          <w:szCs w:val="24"/>
          <w:lang w:eastAsia="zh-CN"/>
        </w:rPr>
      </w:pPr>
      <w:r>
        <w:rPr>
          <w:rFonts w:hint="eastAsia" w:ascii="宋体" w:hAnsi="宋体"/>
          <w:b w:val="0"/>
          <w:bCs/>
          <w:color w:val="auto"/>
          <w:sz w:val="24"/>
          <w:szCs w:val="24"/>
          <w:lang w:eastAsia="zh-CN"/>
        </w:rPr>
        <w:t>（详见第一章供应商资格内容）</w:t>
      </w:r>
    </w:p>
    <w:p>
      <w:pPr>
        <w:snapToGrid w:val="0"/>
        <w:spacing w:line="360" w:lineRule="auto"/>
        <w:ind w:firstLine="472" w:firstLineChars="147"/>
        <w:jc w:val="center"/>
        <w:rPr>
          <w:rFonts w:ascii="宋体" w:hAnsi="宋体"/>
          <w:b/>
          <w:color w:val="auto"/>
          <w:sz w:val="32"/>
        </w:rPr>
      </w:pPr>
    </w:p>
    <w:p>
      <w:pPr>
        <w:spacing w:line="360" w:lineRule="auto"/>
        <w:jc w:val="center"/>
        <w:rPr>
          <w:rFonts w:hint="eastAsia" w:ascii="宋体" w:hAnsi="宋体" w:eastAsia="仿宋"/>
          <w:b/>
          <w:color w:val="auto"/>
          <w:sz w:val="32"/>
          <w:szCs w:val="32"/>
        </w:rPr>
      </w:pPr>
    </w:p>
    <w:p>
      <w:pPr>
        <w:spacing w:line="360" w:lineRule="auto"/>
        <w:jc w:val="center"/>
        <w:rPr>
          <w:rFonts w:hint="eastAsia" w:ascii="宋体" w:hAnsi="宋体" w:eastAsia="仿宋"/>
          <w:b/>
          <w:color w:val="auto"/>
          <w:sz w:val="32"/>
          <w:szCs w:val="32"/>
        </w:rPr>
      </w:pPr>
    </w:p>
    <w:p>
      <w:pPr>
        <w:spacing w:line="360" w:lineRule="auto"/>
        <w:jc w:val="center"/>
        <w:rPr>
          <w:rFonts w:hint="eastAsia" w:ascii="宋体" w:hAnsi="宋体" w:eastAsia="仿宋"/>
          <w:b/>
          <w:color w:val="auto"/>
          <w:sz w:val="32"/>
          <w:szCs w:val="32"/>
        </w:rPr>
      </w:pPr>
    </w:p>
    <w:p>
      <w:pPr>
        <w:spacing w:line="360" w:lineRule="auto"/>
        <w:jc w:val="center"/>
        <w:rPr>
          <w:rFonts w:hint="eastAsia" w:ascii="宋体" w:hAnsi="宋体" w:eastAsia="仿宋"/>
          <w:b/>
          <w:color w:val="auto"/>
          <w:sz w:val="32"/>
          <w:szCs w:val="32"/>
        </w:rPr>
      </w:pPr>
    </w:p>
    <w:p>
      <w:pPr>
        <w:spacing w:line="360" w:lineRule="auto"/>
        <w:jc w:val="center"/>
        <w:rPr>
          <w:rFonts w:hint="eastAsia" w:ascii="宋体" w:hAnsi="宋体" w:eastAsia="仿宋"/>
          <w:b/>
          <w:color w:val="auto"/>
          <w:sz w:val="32"/>
          <w:szCs w:val="32"/>
        </w:rPr>
      </w:pPr>
    </w:p>
    <w:p>
      <w:pPr>
        <w:spacing w:line="360" w:lineRule="auto"/>
        <w:jc w:val="center"/>
        <w:rPr>
          <w:rFonts w:hint="eastAsia" w:ascii="宋体" w:hAnsi="宋体" w:eastAsia="仿宋"/>
          <w:b/>
          <w:color w:val="auto"/>
          <w:sz w:val="32"/>
          <w:szCs w:val="32"/>
        </w:rPr>
      </w:pPr>
    </w:p>
    <w:p>
      <w:pPr>
        <w:spacing w:line="360" w:lineRule="auto"/>
        <w:jc w:val="center"/>
        <w:rPr>
          <w:rFonts w:hint="eastAsia" w:ascii="宋体" w:hAnsi="宋体" w:eastAsia="仿宋"/>
          <w:b/>
          <w:color w:val="auto"/>
          <w:sz w:val="32"/>
          <w:szCs w:val="32"/>
        </w:rPr>
      </w:pPr>
    </w:p>
    <w:p>
      <w:pPr>
        <w:spacing w:line="360" w:lineRule="auto"/>
        <w:jc w:val="center"/>
        <w:rPr>
          <w:rFonts w:hint="eastAsia" w:ascii="宋体" w:hAnsi="宋体" w:eastAsia="仿宋"/>
          <w:b/>
          <w:color w:val="auto"/>
          <w:sz w:val="32"/>
          <w:szCs w:val="32"/>
        </w:rPr>
      </w:pPr>
    </w:p>
    <w:p>
      <w:pPr>
        <w:spacing w:line="360" w:lineRule="auto"/>
        <w:jc w:val="center"/>
        <w:rPr>
          <w:rFonts w:hint="eastAsia" w:ascii="宋体" w:hAnsi="宋体" w:eastAsia="仿宋"/>
          <w:b/>
          <w:color w:val="auto"/>
          <w:sz w:val="32"/>
          <w:szCs w:val="32"/>
        </w:rPr>
      </w:pPr>
    </w:p>
    <w:p>
      <w:pPr>
        <w:spacing w:line="360" w:lineRule="auto"/>
        <w:jc w:val="center"/>
        <w:rPr>
          <w:rFonts w:hint="eastAsia" w:ascii="宋体" w:hAnsi="宋体" w:eastAsia="仿宋"/>
          <w:b/>
          <w:color w:val="auto"/>
          <w:sz w:val="32"/>
          <w:szCs w:val="32"/>
        </w:rPr>
      </w:pPr>
    </w:p>
    <w:p>
      <w:pPr>
        <w:spacing w:line="360" w:lineRule="auto"/>
        <w:jc w:val="center"/>
        <w:rPr>
          <w:rFonts w:hint="eastAsia" w:ascii="宋体" w:hAnsi="宋体" w:eastAsia="仿宋"/>
          <w:b/>
          <w:color w:val="auto"/>
          <w:sz w:val="32"/>
          <w:szCs w:val="32"/>
        </w:rPr>
      </w:pPr>
    </w:p>
    <w:p>
      <w:pPr>
        <w:spacing w:line="360" w:lineRule="auto"/>
        <w:jc w:val="center"/>
        <w:rPr>
          <w:rFonts w:hint="eastAsia" w:ascii="宋体" w:hAnsi="宋体" w:eastAsia="仿宋"/>
          <w:b/>
          <w:color w:val="auto"/>
          <w:sz w:val="32"/>
          <w:szCs w:val="32"/>
        </w:rPr>
      </w:pPr>
    </w:p>
    <w:p>
      <w:pPr>
        <w:spacing w:line="360" w:lineRule="auto"/>
        <w:jc w:val="center"/>
        <w:rPr>
          <w:rFonts w:hint="eastAsia" w:ascii="宋体" w:hAnsi="宋体" w:eastAsia="仿宋"/>
          <w:b/>
          <w:color w:val="auto"/>
          <w:sz w:val="32"/>
          <w:szCs w:val="32"/>
        </w:rPr>
      </w:pPr>
    </w:p>
    <w:p>
      <w:pPr>
        <w:spacing w:line="360" w:lineRule="auto"/>
        <w:jc w:val="center"/>
        <w:rPr>
          <w:rFonts w:hint="eastAsia" w:ascii="宋体" w:hAnsi="宋体" w:eastAsia="仿宋"/>
          <w:b/>
          <w:color w:val="auto"/>
          <w:sz w:val="32"/>
          <w:szCs w:val="32"/>
        </w:rPr>
      </w:pPr>
    </w:p>
    <w:p>
      <w:pPr>
        <w:spacing w:line="360" w:lineRule="auto"/>
        <w:jc w:val="center"/>
        <w:rPr>
          <w:rFonts w:hint="eastAsia" w:ascii="宋体" w:hAnsi="宋体" w:eastAsia="仿宋"/>
          <w:b/>
          <w:color w:val="auto"/>
          <w:sz w:val="32"/>
          <w:szCs w:val="32"/>
        </w:rPr>
      </w:pPr>
    </w:p>
    <w:p>
      <w:pPr>
        <w:spacing w:line="360" w:lineRule="auto"/>
        <w:jc w:val="center"/>
        <w:rPr>
          <w:rFonts w:hint="eastAsia" w:ascii="宋体" w:hAnsi="宋体" w:eastAsia="仿宋"/>
          <w:b/>
          <w:color w:val="auto"/>
          <w:sz w:val="32"/>
          <w:szCs w:val="32"/>
        </w:rPr>
      </w:pPr>
    </w:p>
    <w:p>
      <w:pPr>
        <w:spacing w:line="360" w:lineRule="auto"/>
        <w:jc w:val="center"/>
        <w:rPr>
          <w:rFonts w:hint="eastAsia" w:ascii="宋体" w:hAnsi="宋体" w:eastAsia="仿宋"/>
          <w:b/>
          <w:color w:val="auto"/>
          <w:sz w:val="32"/>
          <w:szCs w:val="32"/>
        </w:rPr>
      </w:pPr>
    </w:p>
    <w:p>
      <w:pPr>
        <w:spacing w:line="360" w:lineRule="auto"/>
        <w:jc w:val="center"/>
        <w:rPr>
          <w:rFonts w:hint="eastAsia" w:ascii="宋体" w:hAnsi="宋体" w:eastAsia="仿宋"/>
          <w:b/>
          <w:color w:val="auto"/>
          <w:sz w:val="32"/>
          <w:szCs w:val="32"/>
          <w:lang w:eastAsia="zh-CN"/>
        </w:rPr>
      </w:pPr>
    </w:p>
    <w:p>
      <w:pPr>
        <w:spacing w:line="360" w:lineRule="auto"/>
        <w:jc w:val="center"/>
        <w:rPr>
          <w:rFonts w:ascii="宋体" w:hAnsi="宋体" w:eastAsia="仿宋"/>
          <w:b/>
          <w:color w:val="auto"/>
          <w:sz w:val="32"/>
          <w:szCs w:val="32"/>
        </w:rPr>
      </w:pPr>
      <w:r>
        <w:rPr>
          <w:rFonts w:hint="eastAsia" w:ascii="宋体" w:hAnsi="宋体" w:eastAsia="仿宋"/>
          <w:b/>
          <w:color w:val="auto"/>
          <w:sz w:val="32"/>
          <w:szCs w:val="32"/>
          <w:lang w:eastAsia="zh-CN"/>
        </w:rPr>
        <w:t>六</w:t>
      </w:r>
      <w:r>
        <w:rPr>
          <w:rFonts w:hint="eastAsia" w:ascii="宋体" w:hAnsi="宋体" w:eastAsia="仿宋"/>
          <w:b/>
          <w:color w:val="auto"/>
          <w:sz w:val="32"/>
          <w:szCs w:val="32"/>
        </w:rPr>
        <w:t>、拟派项目管理机构</w:t>
      </w:r>
    </w:p>
    <w:p>
      <w:pPr>
        <w:pStyle w:val="4"/>
        <w:tabs>
          <w:tab w:val="left" w:pos="0"/>
        </w:tabs>
        <w:spacing w:line="360" w:lineRule="auto"/>
        <w:rPr>
          <w:rFonts w:ascii="仿宋" w:hAnsi="仿宋" w:eastAsia="仿宋" w:cs="仿宋"/>
          <w:color w:val="auto"/>
          <w:szCs w:val="24"/>
        </w:rPr>
      </w:pPr>
      <w:bookmarkStart w:id="93" w:name="_Toc268198660"/>
      <w:r>
        <w:rPr>
          <w:rFonts w:hint="eastAsia" w:ascii="仿宋" w:hAnsi="仿宋" w:eastAsia="仿宋" w:cs="仿宋"/>
          <w:color w:val="auto"/>
          <w:szCs w:val="24"/>
        </w:rPr>
        <w:t>（一）拟派项目管理机构组成表</w:t>
      </w:r>
      <w:bookmarkEnd w:id="93"/>
    </w:p>
    <w:p>
      <w:pPr>
        <w:spacing w:line="360" w:lineRule="auto"/>
        <w:rPr>
          <w:rFonts w:ascii="仿宋" w:hAnsi="仿宋" w:eastAsia="仿宋" w:cs="仿宋"/>
          <w:color w:val="auto"/>
          <w:sz w:val="24"/>
        </w:rPr>
      </w:pPr>
    </w:p>
    <w:tbl>
      <w:tblPr>
        <w:tblStyle w:val="22"/>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1031"/>
        <w:gridCol w:w="1032"/>
        <w:gridCol w:w="1290"/>
        <w:gridCol w:w="1290"/>
        <w:gridCol w:w="1290"/>
        <w:gridCol w:w="1290"/>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031" w:type="dxa"/>
            <w:vMerge w:val="restart"/>
            <w:vAlign w:val="center"/>
          </w:tcPr>
          <w:p>
            <w:pPr>
              <w:autoSpaceDE w:val="0"/>
              <w:autoSpaceDN w:val="0"/>
              <w:adjustRightInd w:val="0"/>
              <w:spacing w:line="360" w:lineRule="auto"/>
              <w:jc w:val="center"/>
              <w:rPr>
                <w:rFonts w:ascii="宋体" w:hAnsi="宋体" w:cs="宋体"/>
                <w:color w:val="auto"/>
                <w:kern w:val="0"/>
                <w:sz w:val="24"/>
              </w:rPr>
            </w:pPr>
            <w:r>
              <w:rPr>
                <w:rFonts w:hint="eastAsia" w:ascii="宋体" w:hAnsi="宋体" w:cs="宋体"/>
                <w:color w:val="auto"/>
                <w:kern w:val="0"/>
                <w:sz w:val="24"/>
              </w:rPr>
              <w:t>职务</w:t>
            </w:r>
          </w:p>
        </w:tc>
        <w:tc>
          <w:tcPr>
            <w:tcW w:w="1031" w:type="dxa"/>
            <w:vMerge w:val="restart"/>
            <w:vAlign w:val="center"/>
          </w:tcPr>
          <w:p>
            <w:pPr>
              <w:autoSpaceDE w:val="0"/>
              <w:autoSpaceDN w:val="0"/>
              <w:adjustRightInd w:val="0"/>
              <w:spacing w:line="360" w:lineRule="auto"/>
              <w:jc w:val="center"/>
              <w:rPr>
                <w:rFonts w:ascii="宋体" w:hAnsi="宋体" w:cs="宋体"/>
                <w:color w:val="auto"/>
                <w:kern w:val="0"/>
                <w:sz w:val="24"/>
              </w:rPr>
            </w:pPr>
            <w:r>
              <w:rPr>
                <w:rFonts w:hint="eastAsia" w:ascii="宋体" w:hAnsi="宋体" w:cs="宋体"/>
                <w:color w:val="auto"/>
                <w:kern w:val="0"/>
                <w:sz w:val="24"/>
              </w:rPr>
              <w:t>姓名</w:t>
            </w:r>
          </w:p>
        </w:tc>
        <w:tc>
          <w:tcPr>
            <w:tcW w:w="1032" w:type="dxa"/>
            <w:vMerge w:val="restart"/>
            <w:vAlign w:val="center"/>
          </w:tcPr>
          <w:p>
            <w:pPr>
              <w:autoSpaceDE w:val="0"/>
              <w:autoSpaceDN w:val="0"/>
              <w:adjustRightInd w:val="0"/>
              <w:spacing w:line="360" w:lineRule="auto"/>
              <w:jc w:val="center"/>
              <w:rPr>
                <w:rFonts w:ascii="宋体" w:hAnsi="宋体" w:cs="宋体"/>
                <w:color w:val="auto"/>
                <w:kern w:val="0"/>
                <w:sz w:val="24"/>
              </w:rPr>
            </w:pPr>
            <w:r>
              <w:rPr>
                <w:rFonts w:hint="eastAsia" w:ascii="宋体" w:hAnsi="宋体" w:cs="宋体"/>
                <w:color w:val="auto"/>
                <w:kern w:val="0"/>
                <w:sz w:val="24"/>
              </w:rPr>
              <w:t>职称</w:t>
            </w:r>
          </w:p>
        </w:tc>
        <w:tc>
          <w:tcPr>
            <w:tcW w:w="5160" w:type="dxa"/>
            <w:gridSpan w:val="4"/>
            <w:vAlign w:val="center"/>
          </w:tcPr>
          <w:p>
            <w:pPr>
              <w:autoSpaceDE w:val="0"/>
              <w:autoSpaceDN w:val="0"/>
              <w:adjustRightInd w:val="0"/>
              <w:spacing w:line="360" w:lineRule="auto"/>
              <w:jc w:val="center"/>
              <w:rPr>
                <w:rFonts w:ascii="宋体" w:hAnsi="宋体" w:cs="宋体"/>
                <w:color w:val="auto"/>
                <w:kern w:val="0"/>
                <w:sz w:val="24"/>
              </w:rPr>
            </w:pPr>
            <w:r>
              <w:rPr>
                <w:rFonts w:hint="eastAsia" w:ascii="宋体" w:hAnsi="宋体" w:cs="宋体"/>
                <w:color w:val="auto"/>
                <w:kern w:val="0"/>
                <w:sz w:val="24"/>
              </w:rPr>
              <w:t>执业或职业资格证明</w:t>
            </w:r>
          </w:p>
        </w:tc>
        <w:tc>
          <w:tcPr>
            <w:tcW w:w="1032" w:type="dxa"/>
            <w:vMerge w:val="restart"/>
            <w:vAlign w:val="center"/>
          </w:tcPr>
          <w:p>
            <w:pPr>
              <w:autoSpaceDE w:val="0"/>
              <w:autoSpaceDN w:val="0"/>
              <w:adjustRightInd w:val="0"/>
              <w:spacing w:line="360" w:lineRule="auto"/>
              <w:jc w:val="center"/>
              <w:rPr>
                <w:rFonts w:ascii="宋体" w:hAnsi="宋体" w:cs="宋体"/>
                <w:color w:val="auto"/>
                <w:sz w:val="24"/>
              </w:rPr>
            </w:pPr>
            <w:r>
              <w:rPr>
                <w:rFonts w:hint="eastAsia" w:ascii="宋体" w:hAnsi="宋体" w:cs="宋体"/>
                <w:color w:val="auto"/>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vMerge w:val="continue"/>
            <w:vAlign w:val="center"/>
          </w:tcPr>
          <w:p>
            <w:pPr>
              <w:autoSpaceDE w:val="0"/>
              <w:autoSpaceDN w:val="0"/>
              <w:adjustRightInd w:val="0"/>
              <w:spacing w:line="360" w:lineRule="auto"/>
              <w:jc w:val="center"/>
              <w:rPr>
                <w:rFonts w:ascii="宋体" w:hAnsi="宋体" w:cs="宋体"/>
                <w:color w:val="auto"/>
                <w:kern w:val="0"/>
                <w:sz w:val="24"/>
              </w:rPr>
            </w:pPr>
          </w:p>
        </w:tc>
        <w:tc>
          <w:tcPr>
            <w:tcW w:w="1031" w:type="dxa"/>
            <w:vMerge w:val="continue"/>
            <w:vAlign w:val="center"/>
          </w:tcPr>
          <w:p>
            <w:pPr>
              <w:autoSpaceDE w:val="0"/>
              <w:autoSpaceDN w:val="0"/>
              <w:adjustRightInd w:val="0"/>
              <w:spacing w:line="360" w:lineRule="auto"/>
              <w:jc w:val="center"/>
              <w:rPr>
                <w:rFonts w:ascii="宋体" w:hAnsi="宋体" w:cs="宋体"/>
                <w:color w:val="auto"/>
                <w:kern w:val="0"/>
                <w:sz w:val="24"/>
              </w:rPr>
            </w:pPr>
          </w:p>
        </w:tc>
        <w:tc>
          <w:tcPr>
            <w:tcW w:w="1032" w:type="dxa"/>
            <w:vMerge w:val="continue"/>
            <w:vAlign w:val="center"/>
          </w:tcPr>
          <w:p>
            <w:pPr>
              <w:autoSpaceDE w:val="0"/>
              <w:autoSpaceDN w:val="0"/>
              <w:adjustRightInd w:val="0"/>
              <w:spacing w:line="360" w:lineRule="auto"/>
              <w:jc w:val="center"/>
              <w:rPr>
                <w:rFonts w:ascii="宋体" w:hAnsi="宋体" w:cs="宋体"/>
                <w:color w:val="auto"/>
                <w:kern w:val="0"/>
                <w:sz w:val="24"/>
              </w:rPr>
            </w:pPr>
          </w:p>
        </w:tc>
        <w:tc>
          <w:tcPr>
            <w:tcW w:w="1290" w:type="dxa"/>
            <w:vAlign w:val="center"/>
          </w:tcPr>
          <w:p>
            <w:pPr>
              <w:autoSpaceDE w:val="0"/>
              <w:autoSpaceDN w:val="0"/>
              <w:adjustRightInd w:val="0"/>
              <w:spacing w:line="360" w:lineRule="auto"/>
              <w:jc w:val="center"/>
              <w:rPr>
                <w:rFonts w:ascii="宋体" w:hAnsi="宋体" w:cs="宋体"/>
                <w:color w:val="auto"/>
                <w:kern w:val="0"/>
                <w:sz w:val="24"/>
              </w:rPr>
            </w:pPr>
            <w:r>
              <w:rPr>
                <w:rFonts w:hint="eastAsia" w:ascii="宋体" w:hAnsi="宋体" w:cs="宋体"/>
                <w:color w:val="auto"/>
                <w:kern w:val="0"/>
                <w:sz w:val="24"/>
              </w:rPr>
              <w:t>证书名称</w:t>
            </w:r>
          </w:p>
        </w:tc>
        <w:tc>
          <w:tcPr>
            <w:tcW w:w="1290" w:type="dxa"/>
            <w:vAlign w:val="center"/>
          </w:tcPr>
          <w:p>
            <w:pPr>
              <w:autoSpaceDE w:val="0"/>
              <w:autoSpaceDN w:val="0"/>
              <w:adjustRightInd w:val="0"/>
              <w:spacing w:line="360" w:lineRule="auto"/>
              <w:jc w:val="center"/>
              <w:rPr>
                <w:rFonts w:ascii="宋体" w:hAnsi="宋体" w:cs="宋体"/>
                <w:color w:val="auto"/>
                <w:kern w:val="0"/>
                <w:sz w:val="24"/>
              </w:rPr>
            </w:pPr>
            <w:r>
              <w:rPr>
                <w:rFonts w:hint="eastAsia" w:ascii="宋体" w:hAnsi="宋体" w:cs="宋体"/>
                <w:color w:val="auto"/>
                <w:kern w:val="0"/>
                <w:sz w:val="24"/>
              </w:rPr>
              <w:t>级别</w:t>
            </w:r>
          </w:p>
        </w:tc>
        <w:tc>
          <w:tcPr>
            <w:tcW w:w="1290" w:type="dxa"/>
            <w:vAlign w:val="center"/>
          </w:tcPr>
          <w:p>
            <w:pPr>
              <w:autoSpaceDE w:val="0"/>
              <w:autoSpaceDN w:val="0"/>
              <w:adjustRightInd w:val="0"/>
              <w:spacing w:line="360" w:lineRule="auto"/>
              <w:jc w:val="center"/>
              <w:rPr>
                <w:rFonts w:ascii="宋体" w:hAnsi="宋体" w:cs="宋体"/>
                <w:color w:val="auto"/>
                <w:kern w:val="0"/>
                <w:sz w:val="24"/>
              </w:rPr>
            </w:pPr>
            <w:r>
              <w:rPr>
                <w:rFonts w:hint="eastAsia" w:ascii="宋体" w:hAnsi="宋体" w:cs="宋体"/>
                <w:color w:val="auto"/>
                <w:kern w:val="0"/>
                <w:sz w:val="24"/>
              </w:rPr>
              <w:t>证号</w:t>
            </w:r>
          </w:p>
        </w:tc>
        <w:tc>
          <w:tcPr>
            <w:tcW w:w="1290" w:type="dxa"/>
            <w:vAlign w:val="center"/>
          </w:tcPr>
          <w:p>
            <w:pPr>
              <w:autoSpaceDE w:val="0"/>
              <w:autoSpaceDN w:val="0"/>
              <w:adjustRightInd w:val="0"/>
              <w:spacing w:line="360" w:lineRule="auto"/>
              <w:jc w:val="center"/>
              <w:rPr>
                <w:rFonts w:ascii="宋体" w:hAnsi="宋体" w:cs="宋体"/>
                <w:color w:val="auto"/>
                <w:kern w:val="0"/>
                <w:sz w:val="24"/>
              </w:rPr>
            </w:pPr>
            <w:r>
              <w:rPr>
                <w:rFonts w:hint="eastAsia" w:ascii="宋体" w:hAnsi="宋体" w:cs="宋体"/>
                <w:color w:val="auto"/>
                <w:kern w:val="0"/>
                <w:sz w:val="24"/>
              </w:rPr>
              <w:t>专业</w:t>
            </w:r>
          </w:p>
        </w:tc>
        <w:tc>
          <w:tcPr>
            <w:tcW w:w="1032" w:type="dxa"/>
            <w:vMerge w:val="continue"/>
            <w:vAlign w:val="center"/>
          </w:tcPr>
          <w:p>
            <w:pPr>
              <w:autoSpaceDE w:val="0"/>
              <w:autoSpaceDN w:val="0"/>
              <w:adjustRightInd w:val="0"/>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31" w:type="dxa"/>
            <w:vAlign w:val="center"/>
          </w:tcPr>
          <w:p>
            <w:pPr>
              <w:autoSpaceDE w:val="0"/>
              <w:autoSpaceDN w:val="0"/>
              <w:adjustRightInd w:val="0"/>
              <w:spacing w:line="360" w:lineRule="auto"/>
              <w:jc w:val="center"/>
              <w:rPr>
                <w:rFonts w:ascii="宋体" w:hAnsi="宋体" w:cs="宋体"/>
                <w:color w:val="auto"/>
                <w:kern w:val="0"/>
                <w:sz w:val="24"/>
              </w:rPr>
            </w:pPr>
          </w:p>
        </w:tc>
        <w:tc>
          <w:tcPr>
            <w:tcW w:w="1031" w:type="dxa"/>
            <w:vAlign w:val="center"/>
          </w:tcPr>
          <w:p>
            <w:pPr>
              <w:autoSpaceDE w:val="0"/>
              <w:autoSpaceDN w:val="0"/>
              <w:adjustRightInd w:val="0"/>
              <w:spacing w:line="360" w:lineRule="auto"/>
              <w:jc w:val="center"/>
              <w:rPr>
                <w:rFonts w:ascii="宋体" w:hAnsi="宋体" w:cs="宋体"/>
                <w:color w:val="auto"/>
                <w:kern w:val="0"/>
                <w:sz w:val="24"/>
              </w:rPr>
            </w:pPr>
          </w:p>
        </w:tc>
        <w:tc>
          <w:tcPr>
            <w:tcW w:w="1032" w:type="dxa"/>
            <w:vAlign w:val="center"/>
          </w:tcPr>
          <w:p>
            <w:pPr>
              <w:autoSpaceDE w:val="0"/>
              <w:autoSpaceDN w:val="0"/>
              <w:adjustRightInd w:val="0"/>
              <w:spacing w:line="360" w:lineRule="auto"/>
              <w:jc w:val="center"/>
              <w:rPr>
                <w:rFonts w:ascii="宋体" w:hAnsi="宋体" w:cs="宋体"/>
                <w:color w:val="auto"/>
                <w:kern w:val="0"/>
                <w:sz w:val="24"/>
              </w:rPr>
            </w:pPr>
          </w:p>
        </w:tc>
        <w:tc>
          <w:tcPr>
            <w:tcW w:w="1290" w:type="dxa"/>
            <w:vAlign w:val="center"/>
          </w:tcPr>
          <w:p>
            <w:pPr>
              <w:autoSpaceDE w:val="0"/>
              <w:autoSpaceDN w:val="0"/>
              <w:adjustRightInd w:val="0"/>
              <w:spacing w:line="360" w:lineRule="auto"/>
              <w:jc w:val="center"/>
              <w:rPr>
                <w:rFonts w:ascii="宋体" w:hAnsi="宋体" w:cs="宋体"/>
                <w:color w:val="auto"/>
                <w:kern w:val="0"/>
                <w:sz w:val="24"/>
              </w:rPr>
            </w:pPr>
          </w:p>
        </w:tc>
        <w:tc>
          <w:tcPr>
            <w:tcW w:w="1290" w:type="dxa"/>
            <w:vAlign w:val="center"/>
          </w:tcPr>
          <w:p>
            <w:pPr>
              <w:autoSpaceDE w:val="0"/>
              <w:autoSpaceDN w:val="0"/>
              <w:adjustRightInd w:val="0"/>
              <w:spacing w:line="360" w:lineRule="auto"/>
              <w:jc w:val="center"/>
              <w:rPr>
                <w:rFonts w:ascii="宋体" w:hAnsi="宋体" w:cs="宋体"/>
                <w:color w:val="auto"/>
                <w:kern w:val="0"/>
                <w:sz w:val="24"/>
              </w:rPr>
            </w:pPr>
          </w:p>
        </w:tc>
        <w:tc>
          <w:tcPr>
            <w:tcW w:w="1290" w:type="dxa"/>
            <w:vAlign w:val="center"/>
          </w:tcPr>
          <w:p>
            <w:pPr>
              <w:autoSpaceDE w:val="0"/>
              <w:autoSpaceDN w:val="0"/>
              <w:adjustRightInd w:val="0"/>
              <w:spacing w:line="360" w:lineRule="auto"/>
              <w:jc w:val="center"/>
              <w:rPr>
                <w:rFonts w:ascii="宋体" w:hAnsi="宋体" w:cs="宋体"/>
                <w:color w:val="auto"/>
                <w:kern w:val="0"/>
                <w:sz w:val="24"/>
              </w:rPr>
            </w:pPr>
          </w:p>
        </w:tc>
        <w:tc>
          <w:tcPr>
            <w:tcW w:w="1290" w:type="dxa"/>
            <w:vAlign w:val="center"/>
          </w:tcPr>
          <w:p>
            <w:pPr>
              <w:autoSpaceDE w:val="0"/>
              <w:autoSpaceDN w:val="0"/>
              <w:adjustRightInd w:val="0"/>
              <w:spacing w:line="360" w:lineRule="auto"/>
              <w:jc w:val="center"/>
              <w:rPr>
                <w:rFonts w:ascii="宋体" w:hAnsi="宋体" w:cs="宋体"/>
                <w:color w:val="auto"/>
                <w:kern w:val="0"/>
                <w:sz w:val="24"/>
              </w:rPr>
            </w:pPr>
          </w:p>
        </w:tc>
        <w:tc>
          <w:tcPr>
            <w:tcW w:w="1032" w:type="dxa"/>
            <w:vAlign w:val="center"/>
          </w:tcPr>
          <w:p>
            <w:pPr>
              <w:autoSpaceDE w:val="0"/>
              <w:autoSpaceDN w:val="0"/>
              <w:adjustRightInd w:val="0"/>
              <w:spacing w:line="360" w:lineRule="auto"/>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31" w:type="dxa"/>
            <w:vAlign w:val="center"/>
          </w:tcPr>
          <w:p>
            <w:pPr>
              <w:autoSpaceDE w:val="0"/>
              <w:autoSpaceDN w:val="0"/>
              <w:adjustRightInd w:val="0"/>
              <w:spacing w:line="360" w:lineRule="auto"/>
              <w:jc w:val="center"/>
              <w:rPr>
                <w:rFonts w:ascii="宋体" w:hAnsi="宋体" w:cs="宋体"/>
                <w:color w:val="auto"/>
                <w:kern w:val="0"/>
                <w:sz w:val="24"/>
              </w:rPr>
            </w:pPr>
          </w:p>
        </w:tc>
        <w:tc>
          <w:tcPr>
            <w:tcW w:w="1031" w:type="dxa"/>
            <w:vAlign w:val="center"/>
          </w:tcPr>
          <w:p>
            <w:pPr>
              <w:autoSpaceDE w:val="0"/>
              <w:autoSpaceDN w:val="0"/>
              <w:adjustRightInd w:val="0"/>
              <w:spacing w:line="360" w:lineRule="auto"/>
              <w:jc w:val="center"/>
              <w:rPr>
                <w:rFonts w:ascii="宋体" w:hAnsi="宋体" w:cs="宋体"/>
                <w:color w:val="auto"/>
                <w:kern w:val="0"/>
                <w:sz w:val="24"/>
              </w:rPr>
            </w:pPr>
          </w:p>
        </w:tc>
        <w:tc>
          <w:tcPr>
            <w:tcW w:w="1032" w:type="dxa"/>
            <w:vAlign w:val="center"/>
          </w:tcPr>
          <w:p>
            <w:pPr>
              <w:autoSpaceDE w:val="0"/>
              <w:autoSpaceDN w:val="0"/>
              <w:adjustRightInd w:val="0"/>
              <w:spacing w:line="360" w:lineRule="auto"/>
              <w:jc w:val="center"/>
              <w:rPr>
                <w:rFonts w:ascii="宋体" w:hAnsi="宋体" w:cs="宋体"/>
                <w:color w:val="auto"/>
                <w:kern w:val="0"/>
                <w:sz w:val="24"/>
              </w:rPr>
            </w:pPr>
          </w:p>
        </w:tc>
        <w:tc>
          <w:tcPr>
            <w:tcW w:w="1290" w:type="dxa"/>
            <w:vAlign w:val="center"/>
          </w:tcPr>
          <w:p>
            <w:pPr>
              <w:autoSpaceDE w:val="0"/>
              <w:autoSpaceDN w:val="0"/>
              <w:adjustRightInd w:val="0"/>
              <w:spacing w:line="360" w:lineRule="auto"/>
              <w:jc w:val="center"/>
              <w:rPr>
                <w:rFonts w:ascii="宋体" w:hAnsi="宋体" w:cs="宋体"/>
                <w:color w:val="auto"/>
                <w:kern w:val="0"/>
                <w:sz w:val="24"/>
              </w:rPr>
            </w:pPr>
          </w:p>
        </w:tc>
        <w:tc>
          <w:tcPr>
            <w:tcW w:w="1290" w:type="dxa"/>
            <w:vAlign w:val="center"/>
          </w:tcPr>
          <w:p>
            <w:pPr>
              <w:autoSpaceDE w:val="0"/>
              <w:autoSpaceDN w:val="0"/>
              <w:adjustRightInd w:val="0"/>
              <w:spacing w:line="360" w:lineRule="auto"/>
              <w:jc w:val="center"/>
              <w:rPr>
                <w:rFonts w:ascii="宋体" w:hAnsi="宋体" w:cs="宋体"/>
                <w:color w:val="auto"/>
                <w:kern w:val="0"/>
                <w:sz w:val="24"/>
              </w:rPr>
            </w:pPr>
          </w:p>
        </w:tc>
        <w:tc>
          <w:tcPr>
            <w:tcW w:w="1290" w:type="dxa"/>
            <w:vAlign w:val="center"/>
          </w:tcPr>
          <w:p>
            <w:pPr>
              <w:autoSpaceDE w:val="0"/>
              <w:autoSpaceDN w:val="0"/>
              <w:adjustRightInd w:val="0"/>
              <w:spacing w:line="360" w:lineRule="auto"/>
              <w:jc w:val="center"/>
              <w:rPr>
                <w:rFonts w:ascii="宋体" w:hAnsi="宋体" w:cs="宋体"/>
                <w:color w:val="auto"/>
                <w:kern w:val="0"/>
                <w:sz w:val="24"/>
              </w:rPr>
            </w:pPr>
          </w:p>
        </w:tc>
        <w:tc>
          <w:tcPr>
            <w:tcW w:w="1290" w:type="dxa"/>
            <w:vAlign w:val="center"/>
          </w:tcPr>
          <w:p>
            <w:pPr>
              <w:autoSpaceDE w:val="0"/>
              <w:autoSpaceDN w:val="0"/>
              <w:adjustRightInd w:val="0"/>
              <w:spacing w:line="360" w:lineRule="auto"/>
              <w:jc w:val="center"/>
              <w:rPr>
                <w:rFonts w:ascii="宋体" w:hAnsi="宋体" w:cs="宋体"/>
                <w:color w:val="auto"/>
                <w:kern w:val="0"/>
                <w:sz w:val="24"/>
              </w:rPr>
            </w:pPr>
          </w:p>
        </w:tc>
        <w:tc>
          <w:tcPr>
            <w:tcW w:w="1032" w:type="dxa"/>
            <w:vAlign w:val="center"/>
          </w:tcPr>
          <w:p>
            <w:pPr>
              <w:autoSpaceDE w:val="0"/>
              <w:autoSpaceDN w:val="0"/>
              <w:adjustRightInd w:val="0"/>
              <w:spacing w:line="360" w:lineRule="auto"/>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31" w:type="dxa"/>
            <w:vAlign w:val="center"/>
          </w:tcPr>
          <w:p>
            <w:pPr>
              <w:autoSpaceDE w:val="0"/>
              <w:autoSpaceDN w:val="0"/>
              <w:adjustRightInd w:val="0"/>
              <w:spacing w:line="360" w:lineRule="auto"/>
              <w:jc w:val="center"/>
              <w:rPr>
                <w:rFonts w:ascii="宋体" w:hAnsi="宋体" w:cs="宋体"/>
                <w:color w:val="auto"/>
                <w:kern w:val="0"/>
                <w:sz w:val="24"/>
              </w:rPr>
            </w:pPr>
          </w:p>
        </w:tc>
        <w:tc>
          <w:tcPr>
            <w:tcW w:w="1031" w:type="dxa"/>
            <w:vAlign w:val="center"/>
          </w:tcPr>
          <w:p>
            <w:pPr>
              <w:autoSpaceDE w:val="0"/>
              <w:autoSpaceDN w:val="0"/>
              <w:adjustRightInd w:val="0"/>
              <w:spacing w:line="360" w:lineRule="auto"/>
              <w:jc w:val="center"/>
              <w:rPr>
                <w:rFonts w:ascii="宋体" w:hAnsi="宋体" w:cs="宋体"/>
                <w:color w:val="auto"/>
                <w:kern w:val="0"/>
                <w:sz w:val="24"/>
              </w:rPr>
            </w:pPr>
          </w:p>
        </w:tc>
        <w:tc>
          <w:tcPr>
            <w:tcW w:w="1032" w:type="dxa"/>
            <w:vAlign w:val="center"/>
          </w:tcPr>
          <w:p>
            <w:pPr>
              <w:autoSpaceDE w:val="0"/>
              <w:autoSpaceDN w:val="0"/>
              <w:adjustRightInd w:val="0"/>
              <w:spacing w:line="360" w:lineRule="auto"/>
              <w:jc w:val="center"/>
              <w:rPr>
                <w:rFonts w:ascii="宋体" w:hAnsi="宋体" w:cs="宋体"/>
                <w:color w:val="auto"/>
                <w:kern w:val="0"/>
                <w:sz w:val="24"/>
              </w:rPr>
            </w:pPr>
          </w:p>
        </w:tc>
        <w:tc>
          <w:tcPr>
            <w:tcW w:w="1290" w:type="dxa"/>
            <w:vAlign w:val="center"/>
          </w:tcPr>
          <w:p>
            <w:pPr>
              <w:autoSpaceDE w:val="0"/>
              <w:autoSpaceDN w:val="0"/>
              <w:adjustRightInd w:val="0"/>
              <w:spacing w:line="360" w:lineRule="auto"/>
              <w:jc w:val="center"/>
              <w:rPr>
                <w:rFonts w:ascii="宋体" w:hAnsi="宋体" w:cs="宋体"/>
                <w:color w:val="auto"/>
                <w:kern w:val="0"/>
                <w:sz w:val="24"/>
              </w:rPr>
            </w:pPr>
          </w:p>
        </w:tc>
        <w:tc>
          <w:tcPr>
            <w:tcW w:w="1290" w:type="dxa"/>
            <w:vAlign w:val="center"/>
          </w:tcPr>
          <w:p>
            <w:pPr>
              <w:autoSpaceDE w:val="0"/>
              <w:autoSpaceDN w:val="0"/>
              <w:adjustRightInd w:val="0"/>
              <w:spacing w:line="360" w:lineRule="auto"/>
              <w:jc w:val="center"/>
              <w:rPr>
                <w:rFonts w:ascii="宋体" w:hAnsi="宋体" w:cs="宋体"/>
                <w:color w:val="auto"/>
                <w:kern w:val="0"/>
                <w:sz w:val="24"/>
              </w:rPr>
            </w:pPr>
          </w:p>
        </w:tc>
        <w:tc>
          <w:tcPr>
            <w:tcW w:w="1290" w:type="dxa"/>
            <w:vAlign w:val="center"/>
          </w:tcPr>
          <w:p>
            <w:pPr>
              <w:autoSpaceDE w:val="0"/>
              <w:autoSpaceDN w:val="0"/>
              <w:adjustRightInd w:val="0"/>
              <w:spacing w:line="360" w:lineRule="auto"/>
              <w:jc w:val="center"/>
              <w:rPr>
                <w:rFonts w:ascii="宋体" w:hAnsi="宋体" w:cs="宋体"/>
                <w:color w:val="auto"/>
                <w:kern w:val="0"/>
                <w:sz w:val="24"/>
              </w:rPr>
            </w:pPr>
          </w:p>
        </w:tc>
        <w:tc>
          <w:tcPr>
            <w:tcW w:w="1290" w:type="dxa"/>
            <w:vAlign w:val="center"/>
          </w:tcPr>
          <w:p>
            <w:pPr>
              <w:autoSpaceDE w:val="0"/>
              <w:autoSpaceDN w:val="0"/>
              <w:adjustRightInd w:val="0"/>
              <w:spacing w:line="360" w:lineRule="auto"/>
              <w:jc w:val="center"/>
              <w:rPr>
                <w:rFonts w:ascii="宋体" w:hAnsi="宋体" w:cs="宋体"/>
                <w:color w:val="auto"/>
                <w:kern w:val="0"/>
                <w:sz w:val="24"/>
              </w:rPr>
            </w:pPr>
          </w:p>
        </w:tc>
        <w:tc>
          <w:tcPr>
            <w:tcW w:w="1032" w:type="dxa"/>
            <w:vAlign w:val="center"/>
          </w:tcPr>
          <w:p>
            <w:pPr>
              <w:autoSpaceDE w:val="0"/>
              <w:autoSpaceDN w:val="0"/>
              <w:adjustRightInd w:val="0"/>
              <w:spacing w:line="360" w:lineRule="auto"/>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31" w:type="dxa"/>
            <w:vAlign w:val="center"/>
          </w:tcPr>
          <w:p>
            <w:pPr>
              <w:autoSpaceDE w:val="0"/>
              <w:autoSpaceDN w:val="0"/>
              <w:adjustRightInd w:val="0"/>
              <w:spacing w:line="360" w:lineRule="auto"/>
              <w:jc w:val="center"/>
              <w:rPr>
                <w:rFonts w:ascii="宋体" w:hAnsi="宋体" w:cs="宋体"/>
                <w:color w:val="auto"/>
                <w:kern w:val="0"/>
                <w:sz w:val="24"/>
              </w:rPr>
            </w:pPr>
          </w:p>
        </w:tc>
        <w:tc>
          <w:tcPr>
            <w:tcW w:w="1031" w:type="dxa"/>
            <w:vAlign w:val="center"/>
          </w:tcPr>
          <w:p>
            <w:pPr>
              <w:autoSpaceDE w:val="0"/>
              <w:autoSpaceDN w:val="0"/>
              <w:adjustRightInd w:val="0"/>
              <w:spacing w:line="360" w:lineRule="auto"/>
              <w:jc w:val="center"/>
              <w:rPr>
                <w:rFonts w:ascii="宋体" w:hAnsi="宋体" w:cs="宋体"/>
                <w:color w:val="auto"/>
                <w:kern w:val="0"/>
                <w:sz w:val="24"/>
              </w:rPr>
            </w:pPr>
          </w:p>
        </w:tc>
        <w:tc>
          <w:tcPr>
            <w:tcW w:w="1032" w:type="dxa"/>
            <w:vAlign w:val="center"/>
          </w:tcPr>
          <w:p>
            <w:pPr>
              <w:autoSpaceDE w:val="0"/>
              <w:autoSpaceDN w:val="0"/>
              <w:adjustRightInd w:val="0"/>
              <w:spacing w:line="360" w:lineRule="auto"/>
              <w:jc w:val="center"/>
              <w:rPr>
                <w:rFonts w:ascii="宋体" w:hAnsi="宋体" w:cs="宋体"/>
                <w:color w:val="auto"/>
                <w:kern w:val="0"/>
                <w:sz w:val="24"/>
              </w:rPr>
            </w:pPr>
          </w:p>
        </w:tc>
        <w:tc>
          <w:tcPr>
            <w:tcW w:w="1290" w:type="dxa"/>
            <w:vAlign w:val="center"/>
          </w:tcPr>
          <w:p>
            <w:pPr>
              <w:autoSpaceDE w:val="0"/>
              <w:autoSpaceDN w:val="0"/>
              <w:adjustRightInd w:val="0"/>
              <w:spacing w:line="360" w:lineRule="auto"/>
              <w:jc w:val="center"/>
              <w:rPr>
                <w:rFonts w:ascii="宋体" w:hAnsi="宋体" w:cs="宋体"/>
                <w:color w:val="auto"/>
                <w:kern w:val="0"/>
                <w:sz w:val="24"/>
              </w:rPr>
            </w:pPr>
          </w:p>
        </w:tc>
        <w:tc>
          <w:tcPr>
            <w:tcW w:w="1290" w:type="dxa"/>
            <w:vAlign w:val="center"/>
          </w:tcPr>
          <w:p>
            <w:pPr>
              <w:autoSpaceDE w:val="0"/>
              <w:autoSpaceDN w:val="0"/>
              <w:adjustRightInd w:val="0"/>
              <w:spacing w:line="360" w:lineRule="auto"/>
              <w:jc w:val="center"/>
              <w:rPr>
                <w:rFonts w:ascii="宋体" w:hAnsi="宋体" w:cs="宋体"/>
                <w:color w:val="auto"/>
                <w:kern w:val="0"/>
                <w:sz w:val="24"/>
              </w:rPr>
            </w:pPr>
          </w:p>
        </w:tc>
        <w:tc>
          <w:tcPr>
            <w:tcW w:w="1290" w:type="dxa"/>
            <w:vAlign w:val="center"/>
          </w:tcPr>
          <w:p>
            <w:pPr>
              <w:autoSpaceDE w:val="0"/>
              <w:autoSpaceDN w:val="0"/>
              <w:adjustRightInd w:val="0"/>
              <w:spacing w:line="360" w:lineRule="auto"/>
              <w:jc w:val="center"/>
              <w:rPr>
                <w:rFonts w:ascii="宋体" w:hAnsi="宋体" w:cs="宋体"/>
                <w:color w:val="auto"/>
                <w:kern w:val="0"/>
                <w:sz w:val="24"/>
              </w:rPr>
            </w:pPr>
          </w:p>
        </w:tc>
        <w:tc>
          <w:tcPr>
            <w:tcW w:w="1290" w:type="dxa"/>
            <w:vAlign w:val="center"/>
          </w:tcPr>
          <w:p>
            <w:pPr>
              <w:autoSpaceDE w:val="0"/>
              <w:autoSpaceDN w:val="0"/>
              <w:adjustRightInd w:val="0"/>
              <w:spacing w:line="360" w:lineRule="auto"/>
              <w:jc w:val="center"/>
              <w:rPr>
                <w:rFonts w:ascii="宋体" w:hAnsi="宋体" w:cs="宋体"/>
                <w:color w:val="auto"/>
                <w:kern w:val="0"/>
                <w:sz w:val="24"/>
              </w:rPr>
            </w:pPr>
          </w:p>
        </w:tc>
        <w:tc>
          <w:tcPr>
            <w:tcW w:w="1032" w:type="dxa"/>
            <w:vAlign w:val="center"/>
          </w:tcPr>
          <w:p>
            <w:pPr>
              <w:autoSpaceDE w:val="0"/>
              <w:autoSpaceDN w:val="0"/>
              <w:adjustRightInd w:val="0"/>
              <w:spacing w:line="360" w:lineRule="auto"/>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31" w:type="dxa"/>
            <w:vAlign w:val="center"/>
          </w:tcPr>
          <w:p>
            <w:pPr>
              <w:autoSpaceDE w:val="0"/>
              <w:autoSpaceDN w:val="0"/>
              <w:adjustRightInd w:val="0"/>
              <w:spacing w:line="360" w:lineRule="auto"/>
              <w:jc w:val="center"/>
              <w:rPr>
                <w:rFonts w:ascii="宋体" w:hAnsi="宋体" w:cs="宋体"/>
                <w:color w:val="auto"/>
                <w:kern w:val="0"/>
                <w:sz w:val="24"/>
              </w:rPr>
            </w:pPr>
          </w:p>
        </w:tc>
        <w:tc>
          <w:tcPr>
            <w:tcW w:w="1031" w:type="dxa"/>
            <w:vAlign w:val="center"/>
          </w:tcPr>
          <w:p>
            <w:pPr>
              <w:autoSpaceDE w:val="0"/>
              <w:autoSpaceDN w:val="0"/>
              <w:adjustRightInd w:val="0"/>
              <w:spacing w:line="360" w:lineRule="auto"/>
              <w:jc w:val="center"/>
              <w:rPr>
                <w:rFonts w:ascii="宋体" w:hAnsi="宋体" w:cs="宋体"/>
                <w:color w:val="auto"/>
                <w:kern w:val="0"/>
                <w:sz w:val="24"/>
              </w:rPr>
            </w:pPr>
          </w:p>
        </w:tc>
        <w:tc>
          <w:tcPr>
            <w:tcW w:w="1032" w:type="dxa"/>
            <w:vAlign w:val="center"/>
          </w:tcPr>
          <w:p>
            <w:pPr>
              <w:autoSpaceDE w:val="0"/>
              <w:autoSpaceDN w:val="0"/>
              <w:adjustRightInd w:val="0"/>
              <w:spacing w:line="360" w:lineRule="auto"/>
              <w:jc w:val="center"/>
              <w:rPr>
                <w:rFonts w:ascii="宋体" w:hAnsi="宋体" w:cs="宋体"/>
                <w:color w:val="auto"/>
                <w:kern w:val="0"/>
                <w:sz w:val="24"/>
              </w:rPr>
            </w:pPr>
          </w:p>
        </w:tc>
        <w:tc>
          <w:tcPr>
            <w:tcW w:w="1290" w:type="dxa"/>
            <w:vAlign w:val="center"/>
          </w:tcPr>
          <w:p>
            <w:pPr>
              <w:autoSpaceDE w:val="0"/>
              <w:autoSpaceDN w:val="0"/>
              <w:adjustRightInd w:val="0"/>
              <w:spacing w:line="360" w:lineRule="auto"/>
              <w:jc w:val="center"/>
              <w:rPr>
                <w:rFonts w:ascii="宋体" w:hAnsi="宋体" w:cs="宋体"/>
                <w:color w:val="auto"/>
                <w:kern w:val="0"/>
                <w:sz w:val="24"/>
              </w:rPr>
            </w:pPr>
          </w:p>
        </w:tc>
        <w:tc>
          <w:tcPr>
            <w:tcW w:w="1290" w:type="dxa"/>
            <w:vAlign w:val="center"/>
          </w:tcPr>
          <w:p>
            <w:pPr>
              <w:autoSpaceDE w:val="0"/>
              <w:autoSpaceDN w:val="0"/>
              <w:adjustRightInd w:val="0"/>
              <w:spacing w:line="360" w:lineRule="auto"/>
              <w:jc w:val="center"/>
              <w:rPr>
                <w:rFonts w:ascii="宋体" w:hAnsi="宋体" w:cs="宋体"/>
                <w:color w:val="auto"/>
                <w:kern w:val="0"/>
                <w:sz w:val="24"/>
              </w:rPr>
            </w:pPr>
          </w:p>
        </w:tc>
        <w:tc>
          <w:tcPr>
            <w:tcW w:w="1290" w:type="dxa"/>
            <w:vAlign w:val="center"/>
          </w:tcPr>
          <w:p>
            <w:pPr>
              <w:autoSpaceDE w:val="0"/>
              <w:autoSpaceDN w:val="0"/>
              <w:adjustRightInd w:val="0"/>
              <w:spacing w:line="360" w:lineRule="auto"/>
              <w:jc w:val="center"/>
              <w:rPr>
                <w:rFonts w:ascii="宋体" w:hAnsi="宋体" w:cs="宋体"/>
                <w:color w:val="auto"/>
                <w:kern w:val="0"/>
                <w:sz w:val="24"/>
              </w:rPr>
            </w:pPr>
          </w:p>
        </w:tc>
        <w:tc>
          <w:tcPr>
            <w:tcW w:w="1290" w:type="dxa"/>
            <w:vAlign w:val="center"/>
          </w:tcPr>
          <w:p>
            <w:pPr>
              <w:autoSpaceDE w:val="0"/>
              <w:autoSpaceDN w:val="0"/>
              <w:adjustRightInd w:val="0"/>
              <w:spacing w:line="360" w:lineRule="auto"/>
              <w:jc w:val="center"/>
              <w:rPr>
                <w:rFonts w:ascii="宋体" w:hAnsi="宋体" w:cs="宋体"/>
                <w:color w:val="auto"/>
                <w:kern w:val="0"/>
                <w:sz w:val="24"/>
              </w:rPr>
            </w:pPr>
          </w:p>
        </w:tc>
        <w:tc>
          <w:tcPr>
            <w:tcW w:w="1032" w:type="dxa"/>
            <w:vAlign w:val="center"/>
          </w:tcPr>
          <w:p>
            <w:pPr>
              <w:autoSpaceDE w:val="0"/>
              <w:autoSpaceDN w:val="0"/>
              <w:adjustRightInd w:val="0"/>
              <w:spacing w:line="360" w:lineRule="auto"/>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31" w:type="dxa"/>
            <w:vAlign w:val="center"/>
          </w:tcPr>
          <w:p>
            <w:pPr>
              <w:autoSpaceDE w:val="0"/>
              <w:autoSpaceDN w:val="0"/>
              <w:adjustRightInd w:val="0"/>
              <w:spacing w:line="360" w:lineRule="auto"/>
              <w:jc w:val="center"/>
              <w:rPr>
                <w:rFonts w:ascii="宋体" w:hAnsi="宋体" w:cs="宋体"/>
                <w:color w:val="auto"/>
                <w:kern w:val="0"/>
                <w:sz w:val="24"/>
              </w:rPr>
            </w:pPr>
          </w:p>
        </w:tc>
        <w:tc>
          <w:tcPr>
            <w:tcW w:w="1031" w:type="dxa"/>
            <w:vAlign w:val="center"/>
          </w:tcPr>
          <w:p>
            <w:pPr>
              <w:autoSpaceDE w:val="0"/>
              <w:autoSpaceDN w:val="0"/>
              <w:adjustRightInd w:val="0"/>
              <w:spacing w:line="360" w:lineRule="auto"/>
              <w:jc w:val="center"/>
              <w:rPr>
                <w:rFonts w:ascii="宋体" w:hAnsi="宋体" w:cs="宋体"/>
                <w:color w:val="auto"/>
                <w:kern w:val="0"/>
                <w:sz w:val="24"/>
              </w:rPr>
            </w:pPr>
          </w:p>
        </w:tc>
        <w:tc>
          <w:tcPr>
            <w:tcW w:w="1032" w:type="dxa"/>
            <w:vAlign w:val="center"/>
          </w:tcPr>
          <w:p>
            <w:pPr>
              <w:autoSpaceDE w:val="0"/>
              <w:autoSpaceDN w:val="0"/>
              <w:adjustRightInd w:val="0"/>
              <w:spacing w:line="360" w:lineRule="auto"/>
              <w:jc w:val="center"/>
              <w:rPr>
                <w:rFonts w:ascii="宋体" w:hAnsi="宋体" w:cs="宋体"/>
                <w:color w:val="auto"/>
                <w:kern w:val="0"/>
                <w:sz w:val="24"/>
              </w:rPr>
            </w:pPr>
          </w:p>
        </w:tc>
        <w:tc>
          <w:tcPr>
            <w:tcW w:w="1290" w:type="dxa"/>
            <w:vAlign w:val="center"/>
          </w:tcPr>
          <w:p>
            <w:pPr>
              <w:autoSpaceDE w:val="0"/>
              <w:autoSpaceDN w:val="0"/>
              <w:adjustRightInd w:val="0"/>
              <w:spacing w:line="360" w:lineRule="auto"/>
              <w:jc w:val="center"/>
              <w:rPr>
                <w:rFonts w:ascii="宋体" w:hAnsi="宋体" w:cs="宋体"/>
                <w:color w:val="auto"/>
                <w:kern w:val="0"/>
                <w:sz w:val="24"/>
              </w:rPr>
            </w:pPr>
          </w:p>
        </w:tc>
        <w:tc>
          <w:tcPr>
            <w:tcW w:w="1290" w:type="dxa"/>
            <w:vAlign w:val="center"/>
          </w:tcPr>
          <w:p>
            <w:pPr>
              <w:autoSpaceDE w:val="0"/>
              <w:autoSpaceDN w:val="0"/>
              <w:adjustRightInd w:val="0"/>
              <w:spacing w:line="360" w:lineRule="auto"/>
              <w:jc w:val="center"/>
              <w:rPr>
                <w:rFonts w:ascii="宋体" w:hAnsi="宋体" w:cs="宋体"/>
                <w:color w:val="auto"/>
                <w:kern w:val="0"/>
                <w:sz w:val="24"/>
              </w:rPr>
            </w:pPr>
          </w:p>
        </w:tc>
        <w:tc>
          <w:tcPr>
            <w:tcW w:w="1290" w:type="dxa"/>
            <w:vAlign w:val="center"/>
          </w:tcPr>
          <w:p>
            <w:pPr>
              <w:autoSpaceDE w:val="0"/>
              <w:autoSpaceDN w:val="0"/>
              <w:adjustRightInd w:val="0"/>
              <w:spacing w:line="360" w:lineRule="auto"/>
              <w:jc w:val="center"/>
              <w:rPr>
                <w:rFonts w:ascii="宋体" w:hAnsi="宋体" w:cs="宋体"/>
                <w:color w:val="auto"/>
                <w:kern w:val="0"/>
                <w:sz w:val="24"/>
              </w:rPr>
            </w:pPr>
          </w:p>
        </w:tc>
        <w:tc>
          <w:tcPr>
            <w:tcW w:w="1290" w:type="dxa"/>
            <w:vAlign w:val="center"/>
          </w:tcPr>
          <w:p>
            <w:pPr>
              <w:autoSpaceDE w:val="0"/>
              <w:autoSpaceDN w:val="0"/>
              <w:adjustRightInd w:val="0"/>
              <w:spacing w:line="360" w:lineRule="auto"/>
              <w:jc w:val="center"/>
              <w:rPr>
                <w:rFonts w:ascii="宋体" w:hAnsi="宋体" w:cs="宋体"/>
                <w:color w:val="auto"/>
                <w:kern w:val="0"/>
                <w:sz w:val="24"/>
              </w:rPr>
            </w:pPr>
          </w:p>
        </w:tc>
        <w:tc>
          <w:tcPr>
            <w:tcW w:w="1032" w:type="dxa"/>
            <w:vAlign w:val="center"/>
          </w:tcPr>
          <w:p>
            <w:pPr>
              <w:autoSpaceDE w:val="0"/>
              <w:autoSpaceDN w:val="0"/>
              <w:adjustRightInd w:val="0"/>
              <w:spacing w:line="360" w:lineRule="auto"/>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31" w:type="dxa"/>
            <w:vAlign w:val="center"/>
          </w:tcPr>
          <w:p>
            <w:pPr>
              <w:autoSpaceDE w:val="0"/>
              <w:autoSpaceDN w:val="0"/>
              <w:adjustRightInd w:val="0"/>
              <w:spacing w:line="360" w:lineRule="auto"/>
              <w:jc w:val="center"/>
              <w:rPr>
                <w:rFonts w:ascii="宋体" w:hAnsi="宋体" w:cs="宋体"/>
                <w:color w:val="auto"/>
                <w:kern w:val="0"/>
                <w:sz w:val="24"/>
              </w:rPr>
            </w:pPr>
          </w:p>
        </w:tc>
        <w:tc>
          <w:tcPr>
            <w:tcW w:w="1031" w:type="dxa"/>
            <w:vAlign w:val="center"/>
          </w:tcPr>
          <w:p>
            <w:pPr>
              <w:autoSpaceDE w:val="0"/>
              <w:autoSpaceDN w:val="0"/>
              <w:adjustRightInd w:val="0"/>
              <w:spacing w:line="360" w:lineRule="auto"/>
              <w:jc w:val="center"/>
              <w:rPr>
                <w:rFonts w:ascii="宋体" w:hAnsi="宋体" w:cs="宋体"/>
                <w:color w:val="auto"/>
                <w:kern w:val="0"/>
                <w:sz w:val="24"/>
              </w:rPr>
            </w:pPr>
          </w:p>
        </w:tc>
        <w:tc>
          <w:tcPr>
            <w:tcW w:w="1032" w:type="dxa"/>
            <w:vAlign w:val="center"/>
          </w:tcPr>
          <w:p>
            <w:pPr>
              <w:autoSpaceDE w:val="0"/>
              <w:autoSpaceDN w:val="0"/>
              <w:adjustRightInd w:val="0"/>
              <w:spacing w:line="360" w:lineRule="auto"/>
              <w:jc w:val="center"/>
              <w:rPr>
                <w:rFonts w:ascii="宋体" w:hAnsi="宋体" w:cs="宋体"/>
                <w:color w:val="auto"/>
                <w:kern w:val="0"/>
                <w:sz w:val="24"/>
              </w:rPr>
            </w:pPr>
          </w:p>
        </w:tc>
        <w:tc>
          <w:tcPr>
            <w:tcW w:w="1290" w:type="dxa"/>
            <w:vAlign w:val="center"/>
          </w:tcPr>
          <w:p>
            <w:pPr>
              <w:autoSpaceDE w:val="0"/>
              <w:autoSpaceDN w:val="0"/>
              <w:adjustRightInd w:val="0"/>
              <w:spacing w:line="360" w:lineRule="auto"/>
              <w:jc w:val="center"/>
              <w:rPr>
                <w:rFonts w:ascii="宋体" w:hAnsi="宋体" w:cs="宋体"/>
                <w:color w:val="auto"/>
                <w:kern w:val="0"/>
                <w:sz w:val="24"/>
              </w:rPr>
            </w:pPr>
          </w:p>
        </w:tc>
        <w:tc>
          <w:tcPr>
            <w:tcW w:w="1290" w:type="dxa"/>
            <w:vAlign w:val="center"/>
          </w:tcPr>
          <w:p>
            <w:pPr>
              <w:autoSpaceDE w:val="0"/>
              <w:autoSpaceDN w:val="0"/>
              <w:adjustRightInd w:val="0"/>
              <w:spacing w:line="360" w:lineRule="auto"/>
              <w:jc w:val="center"/>
              <w:rPr>
                <w:rFonts w:ascii="宋体" w:hAnsi="宋体" w:cs="宋体"/>
                <w:color w:val="auto"/>
                <w:kern w:val="0"/>
                <w:sz w:val="24"/>
              </w:rPr>
            </w:pPr>
          </w:p>
        </w:tc>
        <w:tc>
          <w:tcPr>
            <w:tcW w:w="1290" w:type="dxa"/>
            <w:vAlign w:val="center"/>
          </w:tcPr>
          <w:p>
            <w:pPr>
              <w:autoSpaceDE w:val="0"/>
              <w:autoSpaceDN w:val="0"/>
              <w:adjustRightInd w:val="0"/>
              <w:spacing w:line="360" w:lineRule="auto"/>
              <w:jc w:val="center"/>
              <w:rPr>
                <w:rFonts w:ascii="宋体" w:hAnsi="宋体" w:cs="宋体"/>
                <w:color w:val="auto"/>
                <w:kern w:val="0"/>
                <w:sz w:val="24"/>
              </w:rPr>
            </w:pPr>
          </w:p>
        </w:tc>
        <w:tc>
          <w:tcPr>
            <w:tcW w:w="1290" w:type="dxa"/>
            <w:vAlign w:val="center"/>
          </w:tcPr>
          <w:p>
            <w:pPr>
              <w:autoSpaceDE w:val="0"/>
              <w:autoSpaceDN w:val="0"/>
              <w:adjustRightInd w:val="0"/>
              <w:spacing w:line="360" w:lineRule="auto"/>
              <w:jc w:val="center"/>
              <w:rPr>
                <w:rFonts w:ascii="宋体" w:hAnsi="宋体" w:cs="宋体"/>
                <w:color w:val="auto"/>
                <w:kern w:val="0"/>
                <w:sz w:val="24"/>
              </w:rPr>
            </w:pPr>
          </w:p>
        </w:tc>
        <w:tc>
          <w:tcPr>
            <w:tcW w:w="1032" w:type="dxa"/>
            <w:vAlign w:val="center"/>
          </w:tcPr>
          <w:p>
            <w:pPr>
              <w:autoSpaceDE w:val="0"/>
              <w:autoSpaceDN w:val="0"/>
              <w:adjustRightInd w:val="0"/>
              <w:spacing w:line="360" w:lineRule="auto"/>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31" w:type="dxa"/>
            <w:vAlign w:val="center"/>
          </w:tcPr>
          <w:p>
            <w:pPr>
              <w:autoSpaceDE w:val="0"/>
              <w:autoSpaceDN w:val="0"/>
              <w:adjustRightInd w:val="0"/>
              <w:spacing w:line="360" w:lineRule="auto"/>
              <w:jc w:val="center"/>
              <w:rPr>
                <w:rFonts w:ascii="宋体" w:hAnsi="宋体" w:cs="宋体"/>
                <w:color w:val="auto"/>
                <w:kern w:val="0"/>
                <w:sz w:val="24"/>
              </w:rPr>
            </w:pPr>
          </w:p>
        </w:tc>
        <w:tc>
          <w:tcPr>
            <w:tcW w:w="1031" w:type="dxa"/>
            <w:vAlign w:val="center"/>
          </w:tcPr>
          <w:p>
            <w:pPr>
              <w:autoSpaceDE w:val="0"/>
              <w:autoSpaceDN w:val="0"/>
              <w:adjustRightInd w:val="0"/>
              <w:spacing w:line="360" w:lineRule="auto"/>
              <w:jc w:val="center"/>
              <w:rPr>
                <w:rFonts w:ascii="宋体" w:hAnsi="宋体" w:cs="宋体"/>
                <w:color w:val="auto"/>
                <w:kern w:val="0"/>
                <w:sz w:val="24"/>
              </w:rPr>
            </w:pPr>
          </w:p>
        </w:tc>
        <w:tc>
          <w:tcPr>
            <w:tcW w:w="1032" w:type="dxa"/>
            <w:vAlign w:val="center"/>
          </w:tcPr>
          <w:p>
            <w:pPr>
              <w:autoSpaceDE w:val="0"/>
              <w:autoSpaceDN w:val="0"/>
              <w:adjustRightInd w:val="0"/>
              <w:spacing w:line="360" w:lineRule="auto"/>
              <w:jc w:val="center"/>
              <w:rPr>
                <w:rFonts w:ascii="宋体" w:hAnsi="宋体" w:cs="宋体"/>
                <w:color w:val="auto"/>
                <w:kern w:val="0"/>
                <w:sz w:val="24"/>
              </w:rPr>
            </w:pPr>
          </w:p>
        </w:tc>
        <w:tc>
          <w:tcPr>
            <w:tcW w:w="1290" w:type="dxa"/>
            <w:vAlign w:val="center"/>
          </w:tcPr>
          <w:p>
            <w:pPr>
              <w:autoSpaceDE w:val="0"/>
              <w:autoSpaceDN w:val="0"/>
              <w:adjustRightInd w:val="0"/>
              <w:spacing w:line="360" w:lineRule="auto"/>
              <w:jc w:val="center"/>
              <w:rPr>
                <w:rFonts w:ascii="宋体" w:hAnsi="宋体" w:cs="宋体"/>
                <w:color w:val="auto"/>
                <w:kern w:val="0"/>
                <w:sz w:val="24"/>
              </w:rPr>
            </w:pPr>
          </w:p>
        </w:tc>
        <w:tc>
          <w:tcPr>
            <w:tcW w:w="1290" w:type="dxa"/>
            <w:vAlign w:val="center"/>
          </w:tcPr>
          <w:p>
            <w:pPr>
              <w:autoSpaceDE w:val="0"/>
              <w:autoSpaceDN w:val="0"/>
              <w:adjustRightInd w:val="0"/>
              <w:spacing w:line="360" w:lineRule="auto"/>
              <w:jc w:val="center"/>
              <w:rPr>
                <w:rFonts w:ascii="宋体" w:hAnsi="宋体" w:cs="宋体"/>
                <w:color w:val="auto"/>
                <w:kern w:val="0"/>
                <w:sz w:val="24"/>
              </w:rPr>
            </w:pPr>
          </w:p>
        </w:tc>
        <w:tc>
          <w:tcPr>
            <w:tcW w:w="1290" w:type="dxa"/>
            <w:vAlign w:val="center"/>
          </w:tcPr>
          <w:p>
            <w:pPr>
              <w:autoSpaceDE w:val="0"/>
              <w:autoSpaceDN w:val="0"/>
              <w:adjustRightInd w:val="0"/>
              <w:spacing w:line="360" w:lineRule="auto"/>
              <w:jc w:val="center"/>
              <w:rPr>
                <w:rFonts w:ascii="宋体" w:hAnsi="宋体" w:cs="宋体"/>
                <w:color w:val="auto"/>
                <w:kern w:val="0"/>
                <w:sz w:val="24"/>
              </w:rPr>
            </w:pPr>
          </w:p>
        </w:tc>
        <w:tc>
          <w:tcPr>
            <w:tcW w:w="1290" w:type="dxa"/>
            <w:vAlign w:val="center"/>
          </w:tcPr>
          <w:p>
            <w:pPr>
              <w:autoSpaceDE w:val="0"/>
              <w:autoSpaceDN w:val="0"/>
              <w:adjustRightInd w:val="0"/>
              <w:spacing w:line="360" w:lineRule="auto"/>
              <w:jc w:val="center"/>
              <w:rPr>
                <w:rFonts w:ascii="宋体" w:hAnsi="宋体" w:cs="宋体"/>
                <w:color w:val="auto"/>
                <w:kern w:val="0"/>
                <w:sz w:val="24"/>
              </w:rPr>
            </w:pPr>
          </w:p>
        </w:tc>
        <w:tc>
          <w:tcPr>
            <w:tcW w:w="1032" w:type="dxa"/>
            <w:vAlign w:val="center"/>
          </w:tcPr>
          <w:p>
            <w:pPr>
              <w:autoSpaceDE w:val="0"/>
              <w:autoSpaceDN w:val="0"/>
              <w:adjustRightInd w:val="0"/>
              <w:spacing w:line="360" w:lineRule="auto"/>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31" w:type="dxa"/>
            <w:vAlign w:val="center"/>
          </w:tcPr>
          <w:p>
            <w:pPr>
              <w:autoSpaceDE w:val="0"/>
              <w:autoSpaceDN w:val="0"/>
              <w:adjustRightInd w:val="0"/>
              <w:spacing w:line="360" w:lineRule="auto"/>
              <w:jc w:val="center"/>
              <w:rPr>
                <w:rFonts w:ascii="宋体" w:hAnsi="宋体" w:cs="宋体"/>
                <w:color w:val="auto"/>
                <w:kern w:val="0"/>
                <w:sz w:val="24"/>
              </w:rPr>
            </w:pPr>
          </w:p>
        </w:tc>
        <w:tc>
          <w:tcPr>
            <w:tcW w:w="1031" w:type="dxa"/>
            <w:vAlign w:val="center"/>
          </w:tcPr>
          <w:p>
            <w:pPr>
              <w:autoSpaceDE w:val="0"/>
              <w:autoSpaceDN w:val="0"/>
              <w:adjustRightInd w:val="0"/>
              <w:spacing w:line="360" w:lineRule="auto"/>
              <w:jc w:val="center"/>
              <w:rPr>
                <w:rFonts w:ascii="宋体" w:hAnsi="宋体" w:cs="宋体"/>
                <w:color w:val="auto"/>
                <w:kern w:val="0"/>
                <w:sz w:val="24"/>
              </w:rPr>
            </w:pPr>
          </w:p>
        </w:tc>
        <w:tc>
          <w:tcPr>
            <w:tcW w:w="1032" w:type="dxa"/>
            <w:vAlign w:val="center"/>
          </w:tcPr>
          <w:p>
            <w:pPr>
              <w:autoSpaceDE w:val="0"/>
              <w:autoSpaceDN w:val="0"/>
              <w:adjustRightInd w:val="0"/>
              <w:spacing w:line="360" w:lineRule="auto"/>
              <w:jc w:val="center"/>
              <w:rPr>
                <w:rFonts w:ascii="宋体" w:hAnsi="宋体" w:cs="宋体"/>
                <w:color w:val="auto"/>
                <w:kern w:val="0"/>
                <w:sz w:val="24"/>
              </w:rPr>
            </w:pPr>
          </w:p>
        </w:tc>
        <w:tc>
          <w:tcPr>
            <w:tcW w:w="1290" w:type="dxa"/>
            <w:vAlign w:val="center"/>
          </w:tcPr>
          <w:p>
            <w:pPr>
              <w:autoSpaceDE w:val="0"/>
              <w:autoSpaceDN w:val="0"/>
              <w:adjustRightInd w:val="0"/>
              <w:spacing w:line="360" w:lineRule="auto"/>
              <w:jc w:val="center"/>
              <w:rPr>
                <w:rFonts w:ascii="宋体" w:hAnsi="宋体" w:cs="宋体"/>
                <w:color w:val="auto"/>
                <w:kern w:val="0"/>
                <w:sz w:val="24"/>
              </w:rPr>
            </w:pPr>
          </w:p>
        </w:tc>
        <w:tc>
          <w:tcPr>
            <w:tcW w:w="1290" w:type="dxa"/>
            <w:vAlign w:val="center"/>
          </w:tcPr>
          <w:p>
            <w:pPr>
              <w:autoSpaceDE w:val="0"/>
              <w:autoSpaceDN w:val="0"/>
              <w:adjustRightInd w:val="0"/>
              <w:spacing w:line="360" w:lineRule="auto"/>
              <w:jc w:val="center"/>
              <w:rPr>
                <w:rFonts w:ascii="宋体" w:hAnsi="宋体" w:cs="宋体"/>
                <w:color w:val="auto"/>
                <w:kern w:val="0"/>
                <w:sz w:val="24"/>
              </w:rPr>
            </w:pPr>
          </w:p>
        </w:tc>
        <w:tc>
          <w:tcPr>
            <w:tcW w:w="1290" w:type="dxa"/>
            <w:vAlign w:val="center"/>
          </w:tcPr>
          <w:p>
            <w:pPr>
              <w:autoSpaceDE w:val="0"/>
              <w:autoSpaceDN w:val="0"/>
              <w:adjustRightInd w:val="0"/>
              <w:spacing w:line="360" w:lineRule="auto"/>
              <w:jc w:val="center"/>
              <w:rPr>
                <w:rFonts w:ascii="宋体" w:hAnsi="宋体" w:cs="宋体"/>
                <w:color w:val="auto"/>
                <w:kern w:val="0"/>
                <w:sz w:val="24"/>
              </w:rPr>
            </w:pPr>
          </w:p>
        </w:tc>
        <w:tc>
          <w:tcPr>
            <w:tcW w:w="1290" w:type="dxa"/>
            <w:vAlign w:val="center"/>
          </w:tcPr>
          <w:p>
            <w:pPr>
              <w:autoSpaceDE w:val="0"/>
              <w:autoSpaceDN w:val="0"/>
              <w:adjustRightInd w:val="0"/>
              <w:spacing w:line="360" w:lineRule="auto"/>
              <w:jc w:val="center"/>
              <w:rPr>
                <w:rFonts w:ascii="宋体" w:hAnsi="宋体" w:cs="宋体"/>
                <w:color w:val="auto"/>
                <w:kern w:val="0"/>
                <w:sz w:val="24"/>
              </w:rPr>
            </w:pPr>
          </w:p>
        </w:tc>
        <w:tc>
          <w:tcPr>
            <w:tcW w:w="1032" w:type="dxa"/>
            <w:vAlign w:val="center"/>
          </w:tcPr>
          <w:p>
            <w:pPr>
              <w:autoSpaceDE w:val="0"/>
              <w:autoSpaceDN w:val="0"/>
              <w:adjustRightInd w:val="0"/>
              <w:spacing w:line="360" w:lineRule="auto"/>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31" w:type="dxa"/>
            <w:vAlign w:val="center"/>
          </w:tcPr>
          <w:p>
            <w:pPr>
              <w:autoSpaceDE w:val="0"/>
              <w:autoSpaceDN w:val="0"/>
              <w:adjustRightInd w:val="0"/>
              <w:spacing w:line="360" w:lineRule="auto"/>
              <w:jc w:val="center"/>
              <w:rPr>
                <w:rFonts w:ascii="宋体" w:hAnsi="宋体" w:cs="宋体"/>
                <w:color w:val="auto"/>
                <w:kern w:val="0"/>
                <w:sz w:val="24"/>
              </w:rPr>
            </w:pPr>
          </w:p>
        </w:tc>
        <w:tc>
          <w:tcPr>
            <w:tcW w:w="1031" w:type="dxa"/>
            <w:vAlign w:val="center"/>
          </w:tcPr>
          <w:p>
            <w:pPr>
              <w:autoSpaceDE w:val="0"/>
              <w:autoSpaceDN w:val="0"/>
              <w:adjustRightInd w:val="0"/>
              <w:spacing w:line="360" w:lineRule="auto"/>
              <w:jc w:val="center"/>
              <w:rPr>
                <w:rFonts w:ascii="宋体" w:hAnsi="宋体" w:cs="宋体"/>
                <w:color w:val="auto"/>
                <w:kern w:val="0"/>
                <w:sz w:val="24"/>
              </w:rPr>
            </w:pPr>
          </w:p>
        </w:tc>
        <w:tc>
          <w:tcPr>
            <w:tcW w:w="1032" w:type="dxa"/>
            <w:vAlign w:val="center"/>
          </w:tcPr>
          <w:p>
            <w:pPr>
              <w:autoSpaceDE w:val="0"/>
              <w:autoSpaceDN w:val="0"/>
              <w:adjustRightInd w:val="0"/>
              <w:spacing w:line="360" w:lineRule="auto"/>
              <w:jc w:val="center"/>
              <w:rPr>
                <w:rFonts w:ascii="宋体" w:hAnsi="宋体" w:cs="宋体"/>
                <w:color w:val="auto"/>
                <w:kern w:val="0"/>
                <w:sz w:val="24"/>
              </w:rPr>
            </w:pPr>
          </w:p>
        </w:tc>
        <w:tc>
          <w:tcPr>
            <w:tcW w:w="1290" w:type="dxa"/>
            <w:vAlign w:val="center"/>
          </w:tcPr>
          <w:p>
            <w:pPr>
              <w:autoSpaceDE w:val="0"/>
              <w:autoSpaceDN w:val="0"/>
              <w:adjustRightInd w:val="0"/>
              <w:spacing w:line="360" w:lineRule="auto"/>
              <w:jc w:val="center"/>
              <w:rPr>
                <w:rFonts w:ascii="宋体" w:hAnsi="宋体" w:cs="宋体"/>
                <w:color w:val="auto"/>
                <w:kern w:val="0"/>
                <w:sz w:val="24"/>
              </w:rPr>
            </w:pPr>
          </w:p>
        </w:tc>
        <w:tc>
          <w:tcPr>
            <w:tcW w:w="1290" w:type="dxa"/>
            <w:vAlign w:val="center"/>
          </w:tcPr>
          <w:p>
            <w:pPr>
              <w:autoSpaceDE w:val="0"/>
              <w:autoSpaceDN w:val="0"/>
              <w:adjustRightInd w:val="0"/>
              <w:spacing w:line="360" w:lineRule="auto"/>
              <w:jc w:val="center"/>
              <w:rPr>
                <w:rFonts w:ascii="宋体" w:hAnsi="宋体" w:cs="宋体"/>
                <w:color w:val="auto"/>
                <w:kern w:val="0"/>
                <w:sz w:val="24"/>
              </w:rPr>
            </w:pPr>
          </w:p>
        </w:tc>
        <w:tc>
          <w:tcPr>
            <w:tcW w:w="1290" w:type="dxa"/>
            <w:vAlign w:val="center"/>
          </w:tcPr>
          <w:p>
            <w:pPr>
              <w:autoSpaceDE w:val="0"/>
              <w:autoSpaceDN w:val="0"/>
              <w:adjustRightInd w:val="0"/>
              <w:spacing w:line="360" w:lineRule="auto"/>
              <w:jc w:val="center"/>
              <w:rPr>
                <w:rFonts w:ascii="宋体" w:hAnsi="宋体" w:cs="宋体"/>
                <w:color w:val="auto"/>
                <w:kern w:val="0"/>
                <w:sz w:val="24"/>
              </w:rPr>
            </w:pPr>
          </w:p>
        </w:tc>
        <w:tc>
          <w:tcPr>
            <w:tcW w:w="1290" w:type="dxa"/>
            <w:vAlign w:val="center"/>
          </w:tcPr>
          <w:p>
            <w:pPr>
              <w:autoSpaceDE w:val="0"/>
              <w:autoSpaceDN w:val="0"/>
              <w:adjustRightInd w:val="0"/>
              <w:spacing w:line="360" w:lineRule="auto"/>
              <w:jc w:val="center"/>
              <w:rPr>
                <w:rFonts w:ascii="宋体" w:hAnsi="宋体" w:cs="宋体"/>
                <w:color w:val="auto"/>
                <w:kern w:val="0"/>
                <w:sz w:val="24"/>
              </w:rPr>
            </w:pPr>
          </w:p>
        </w:tc>
        <w:tc>
          <w:tcPr>
            <w:tcW w:w="1032" w:type="dxa"/>
            <w:vAlign w:val="center"/>
          </w:tcPr>
          <w:p>
            <w:pPr>
              <w:autoSpaceDE w:val="0"/>
              <w:autoSpaceDN w:val="0"/>
              <w:adjustRightInd w:val="0"/>
              <w:spacing w:line="360" w:lineRule="auto"/>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31" w:type="dxa"/>
            <w:vAlign w:val="center"/>
          </w:tcPr>
          <w:p>
            <w:pPr>
              <w:autoSpaceDE w:val="0"/>
              <w:autoSpaceDN w:val="0"/>
              <w:adjustRightInd w:val="0"/>
              <w:spacing w:line="360" w:lineRule="auto"/>
              <w:jc w:val="center"/>
              <w:rPr>
                <w:rFonts w:ascii="宋体" w:hAnsi="宋体" w:cs="宋体"/>
                <w:color w:val="auto"/>
                <w:kern w:val="0"/>
                <w:sz w:val="24"/>
              </w:rPr>
            </w:pPr>
          </w:p>
        </w:tc>
        <w:tc>
          <w:tcPr>
            <w:tcW w:w="1031" w:type="dxa"/>
            <w:vAlign w:val="center"/>
          </w:tcPr>
          <w:p>
            <w:pPr>
              <w:autoSpaceDE w:val="0"/>
              <w:autoSpaceDN w:val="0"/>
              <w:adjustRightInd w:val="0"/>
              <w:spacing w:line="360" w:lineRule="auto"/>
              <w:jc w:val="center"/>
              <w:rPr>
                <w:rFonts w:ascii="宋体" w:hAnsi="宋体" w:cs="宋体"/>
                <w:color w:val="auto"/>
                <w:kern w:val="0"/>
                <w:sz w:val="24"/>
              </w:rPr>
            </w:pPr>
          </w:p>
        </w:tc>
        <w:tc>
          <w:tcPr>
            <w:tcW w:w="1032" w:type="dxa"/>
            <w:vAlign w:val="center"/>
          </w:tcPr>
          <w:p>
            <w:pPr>
              <w:autoSpaceDE w:val="0"/>
              <w:autoSpaceDN w:val="0"/>
              <w:adjustRightInd w:val="0"/>
              <w:spacing w:line="360" w:lineRule="auto"/>
              <w:jc w:val="center"/>
              <w:rPr>
                <w:rFonts w:ascii="宋体" w:hAnsi="宋体" w:cs="宋体"/>
                <w:color w:val="auto"/>
                <w:kern w:val="0"/>
                <w:sz w:val="24"/>
              </w:rPr>
            </w:pPr>
          </w:p>
        </w:tc>
        <w:tc>
          <w:tcPr>
            <w:tcW w:w="1290" w:type="dxa"/>
            <w:vAlign w:val="center"/>
          </w:tcPr>
          <w:p>
            <w:pPr>
              <w:autoSpaceDE w:val="0"/>
              <w:autoSpaceDN w:val="0"/>
              <w:adjustRightInd w:val="0"/>
              <w:spacing w:line="360" w:lineRule="auto"/>
              <w:jc w:val="center"/>
              <w:rPr>
                <w:rFonts w:ascii="宋体" w:hAnsi="宋体" w:cs="宋体"/>
                <w:color w:val="auto"/>
                <w:kern w:val="0"/>
                <w:sz w:val="24"/>
              </w:rPr>
            </w:pPr>
          </w:p>
        </w:tc>
        <w:tc>
          <w:tcPr>
            <w:tcW w:w="1290" w:type="dxa"/>
            <w:vAlign w:val="center"/>
          </w:tcPr>
          <w:p>
            <w:pPr>
              <w:autoSpaceDE w:val="0"/>
              <w:autoSpaceDN w:val="0"/>
              <w:adjustRightInd w:val="0"/>
              <w:spacing w:line="360" w:lineRule="auto"/>
              <w:jc w:val="center"/>
              <w:rPr>
                <w:rFonts w:ascii="宋体" w:hAnsi="宋体" w:cs="宋体"/>
                <w:color w:val="auto"/>
                <w:kern w:val="0"/>
                <w:sz w:val="24"/>
              </w:rPr>
            </w:pPr>
          </w:p>
        </w:tc>
        <w:tc>
          <w:tcPr>
            <w:tcW w:w="1290" w:type="dxa"/>
            <w:vAlign w:val="center"/>
          </w:tcPr>
          <w:p>
            <w:pPr>
              <w:autoSpaceDE w:val="0"/>
              <w:autoSpaceDN w:val="0"/>
              <w:adjustRightInd w:val="0"/>
              <w:spacing w:line="360" w:lineRule="auto"/>
              <w:jc w:val="center"/>
              <w:rPr>
                <w:rFonts w:ascii="宋体" w:hAnsi="宋体" w:cs="宋体"/>
                <w:color w:val="auto"/>
                <w:kern w:val="0"/>
                <w:sz w:val="24"/>
              </w:rPr>
            </w:pPr>
          </w:p>
        </w:tc>
        <w:tc>
          <w:tcPr>
            <w:tcW w:w="1290" w:type="dxa"/>
            <w:vAlign w:val="center"/>
          </w:tcPr>
          <w:p>
            <w:pPr>
              <w:autoSpaceDE w:val="0"/>
              <w:autoSpaceDN w:val="0"/>
              <w:adjustRightInd w:val="0"/>
              <w:spacing w:line="360" w:lineRule="auto"/>
              <w:jc w:val="center"/>
              <w:rPr>
                <w:rFonts w:ascii="宋体" w:hAnsi="宋体" w:cs="宋体"/>
                <w:color w:val="auto"/>
                <w:kern w:val="0"/>
                <w:sz w:val="24"/>
              </w:rPr>
            </w:pPr>
          </w:p>
        </w:tc>
        <w:tc>
          <w:tcPr>
            <w:tcW w:w="1032" w:type="dxa"/>
            <w:vAlign w:val="center"/>
          </w:tcPr>
          <w:p>
            <w:pPr>
              <w:autoSpaceDE w:val="0"/>
              <w:autoSpaceDN w:val="0"/>
              <w:adjustRightInd w:val="0"/>
              <w:spacing w:line="360" w:lineRule="auto"/>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31" w:type="dxa"/>
            <w:vAlign w:val="center"/>
          </w:tcPr>
          <w:p>
            <w:pPr>
              <w:autoSpaceDE w:val="0"/>
              <w:autoSpaceDN w:val="0"/>
              <w:adjustRightInd w:val="0"/>
              <w:spacing w:line="360" w:lineRule="auto"/>
              <w:jc w:val="center"/>
              <w:rPr>
                <w:rFonts w:ascii="宋体" w:hAnsi="宋体" w:cs="宋体"/>
                <w:color w:val="auto"/>
                <w:kern w:val="0"/>
                <w:sz w:val="24"/>
              </w:rPr>
            </w:pPr>
          </w:p>
        </w:tc>
        <w:tc>
          <w:tcPr>
            <w:tcW w:w="1031" w:type="dxa"/>
            <w:vAlign w:val="center"/>
          </w:tcPr>
          <w:p>
            <w:pPr>
              <w:autoSpaceDE w:val="0"/>
              <w:autoSpaceDN w:val="0"/>
              <w:adjustRightInd w:val="0"/>
              <w:spacing w:line="360" w:lineRule="auto"/>
              <w:jc w:val="center"/>
              <w:rPr>
                <w:rFonts w:ascii="宋体" w:hAnsi="宋体" w:cs="宋体"/>
                <w:color w:val="auto"/>
                <w:kern w:val="0"/>
                <w:sz w:val="24"/>
              </w:rPr>
            </w:pPr>
          </w:p>
        </w:tc>
        <w:tc>
          <w:tcPr>
            <w:tcW w:w="1032" w:type="dxa"/>
            <w:vAlign w:val="center"/>
          </w:tcPr>
          <w:p>
            <w:pPr>
              <w:autoSpaceDE w:val="0"/>
              <w:autoSpaceDN w:val="0"/>
              <w:adjustRightInd w:val="0"/>
              <w:spacing w:line="360" w:lineRule="auto"/>
              <w:jc w:val="center"/>
              <w:rPr>
                <w:rFonts w:ascii="宋体" w:hAnsi="宋体" w:cs="宋体"/>
                <w:color w:val="auto"/>
                <w:kern w:val="0"/>
                <w:sz w:val="24"/>
              </w:rPr>
            </w:pPr>
          </w:p>
        </w:tc>
        <w:tc>
          <w:tcPr>
            <w:tcW w:w="1290" w:type="dxa"/>
            <w:vAlign w:val="center"/>
          </w:tcPr>
          <w:p>
            <w:pPr>
              <w:autoSpaceDE w:val="0"/>
              <w:autoSpaceDN w:val="0"/>
              <w:adjustRightInd w:val="0"/>
              <w:spacing w:line="360" w:lineRule="auto"/>
              <w:jc w:val="center"/>
              <w:rPr>
                <w:rFonts w:ascii="宋体" w:hAnsi="宋体" w:cs="宋体"/>
                <w:color w:val="auto"/>
                <w:kern w:val="0"/>
                <w:sz w:val="24"/>
              </w:rPr>
            </w:pPr>
          </w:p>
        </w:tc>
        <w:tc>
          <w:tcPr>
            <w:tcW w:w="1290" w:type="dxa"/>
            <w:vAlign w:val="center"/>
          </w:tcPr>
          <w:p>
            <w:pPr>
              <w:autoSpaceDE w:val="0"/>
              <w:autoSpaceDN w:val="0"/>
              <w:adjustRightInd w:val="0"/>
              <w:spacing w:line="360" w:lineRule="auto"/>
              <w:jc w:val="center"/>
              <w:rPr>
                <w:rFonts w:ascii="宋体" w:hAnsi="宋体" w:cs="宋体"/>
                <w:color w:val="auto"/>
                <w:kern w:val="0"/>
                <w:sz w:val="24"/>
              </w:rPr>
            </w:pPr>
          </w:p>
        </w:tc>
        <w:tc>
          <w:tcPr>
            <w:tcW w:w="1290" w:type="dxa"/>
            <w:vAlign w:val="center"/>
          </w:tcPr>
          <w:p>
            <w:pPr>
              <w:autoSpaceDE w:val="0"/>
              <w:autoSpaceDN w:val="0"/>
              <w:adjustRightInd w:val="0"/>
              <w:spacing w:line="360" w:lineRule="auto"/>
              <w:jc w:val="center"/>
              <w:rPr>
                <w:rFonts w:ascii="宋体" w:hAnsi="宋体" w:cs="宋体"/>
                <w:color w:val="auto"/>
                <w:kern w:val="0"/>
                <w:sz w:val="24"/>
              </w:rPr>
            </w:pPr>
          </w:p>
        </w:tc>
        <w:tc>
          <w:tcPr>
            <w:tcW w:w="1290" w:type="dxa"/>
            <w:vAlign w:val="center"/>
          </w:tcPr>
          <w:p>
            <w:pPr>
              <w:autoSpaceDE w:val="0"/>
              <w:autoSpaceDN w:val="0"/>
              <w:adjustRightInd w:val="0"/>
              <w:spacing w:line="360" w:lineRule="auto"/>
              <w:jc w:val="center"/>
              <w:rPr>
                <w:rFonts w:ascii="宋体" w:hAnsi="宋体" w:cs="宋体"/>
                <w:color w:val="auto"/>
                <w:kern w:val="0"/>
                <w:sz w:val="24"/>
              </w:rPr>
            </w:pPr>
          </w:p>
        </w:tc>
        <w:tc>
          <w:tcPr>
            <w:tcW w:w="1032" w:type="dxa"/>
            <w:vAlign w:val="center"/>
          </w:tcPr>
          <w:p>
            <w:pPr>
              <w:autoSpaceDE w:val="0"/>
              <w:autoSpaceDN w:val="0"/>
              <w:adjustRightInd w:val="0"/>
              <w:spacing w:line="360" w:lineRule="auto"/>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31" w:type="dxa"/>
            <w:vAlign w:val="center"/>
          </w:tcPr>
          <w:p>
            <w:pPr>
              <w:autoSpaceDE w:val="0"/>
              <w:autoSpaceDN w:val="0"/>
              <w:adjustRightInd w:val="0"/>
              <w:spacing w:line="360" w:lineRule="auto"/>
              <w:jc w:val="center"/>
              <w:rPr>
                <w:rFonts w:ascii="宋体" w:hAnsi="宋体" w:cs="宋体"/>
                <w:color w:val="auto"/>
                <w:kern w:val="0"/>
                <w:sz w:val="24"/>
              </w:rPr>
            </w:pPr>
          </w:p>
        </w:tc>
        <w:tc>
          <w:tcPr>
            <w:tcW w:w="1031" w:type="dxa"/>
            <w:vAlign w:val="center"/>
          </w:tcPr>
          <w:p>
            <w:pPr>
              <w:autoSpaceDE w:val="0"/>
              <w:autoSpaceDN w:val="0"/>
              <w:adjustRightInd w:val="0"/>
              <w:spacing w:line="360" w:lineRule="auto"/>
              <w:jc w:val="center"/>
              <w:rPr>
                <w:rFonts w:ascii="宋体" w:hAnsi="宋体" w:cs="宋体"/>
                <w:color w:val="auto"/>
                <w:kern w:val="0"/>
                <w:sz w:val="24"/>
              </w:rPr>
            </w:pPr>
          </w:p>
        </w:tc>
        <w:tc>
          <w:tcPr>
            <w:tcW w:w="1032" w:type="dxa"/>
            <w:vAlign w:val="center"/>
          </w:tcPr>
          <w:p>
            <w:pPr>
              <w:autoSpaceDE w:val="0"/>
              <w:autoSpaceDN w:val="0"/>
              <w:adjustRightInd w:val="0"/>
              <w:spacing w:line="360" w:lineRule="auto"/>
              <w:jc w:val="center"/>
              <w:rPr>
                <w:rFonts w:ascii="宋体" w:hAnsi="宋体" w:cs="宋体"/>
                <w:color w:val="auto"/>
                <w:kern w:val="0"/>
                <w:sz w:val="24"/>
              </w:rPr>
            </w:pPr>
          </w:p>
        </w:tc>
        <w:tc>
          <w:tcPr>
            <w:tcW w:w="1290" w:type="dxa"/>
            <w:vAlign w:val="center"/>
          </w:tcPr>
          <w:p>
            <w:pPr>
              <w:autoSpaceDE w:val="0"/>
              <w:autoSpaceDN w:val="0"/>
              <w:adjustRightInd w:val="0"/>
              <w:spacing w:line="360" w:lineRule="auto"/>
              <w:jc w:val="center"/>
              <w:rPr>
                <w:rFonts w:ascii="宋体" w:hAnsi="宋体" w:cs="宋体"/>
                <w:color w:val="auto"/>
                <w:kern w:val="0"/>
                <w:sz w:val="24"/>
              </w:rPr>
            </w:pPr>
          </w:p>
        </w:tc>
        <w:tc>
          <w:tcPr>
            <w:tcW w:w="1290" w:type="dxa"/>
            <w:vAlign w:val="center"/>
          </w:tcPr>
          <w:p>
            <w:pPr>
              <w:autoSpaceDE w:val="0"/>
              <w:autoSpaceDN w:val="0"/>
              <w:adjustRightInd w:val="0"/>
              <w:spacing w:line="360" w:lineRule="auto"/>
              <w:jc w:val="center"/>
              <w:rPr>
                <w:rFonts w:ascii="宋体" w:hAnsi="宋体" w:cs="宋体"/>
                <w:color w:val="auto"/>
                <w:kern w:val="0"/>
                <w:sz w:val="24"/>
              </w:rPr>
            </w:pPr>
          </w:p>
        </w:tc>
        <w:tc>
          <w:tcPr>
            <w:tcW w:w="1290" w:type="dxa"/>
            <w:vAlign w:val="center"/>
          </w:tcPr>
          <w:p>
            <w:pPr>
              <w:autoSpaceDE w:val="0"/>
              <w:autoSpaceDN w:val="0"/>
              <w:adjustRightInd w:val="0"/>
              <w:spacing w:line="360" w:lineRule="auto"/>
              <w:jc w:val="center"/>
              <w:rPr>
                <w:rFonts w:ascii="宋体" w:hAnsi="宋体" w:cs="宋体"/>
                <w:color w:val="auto"/>
                <w:kern w:val="0"/>
                <w:sz w:val="24"/>
              </w:rPr>
            </w:pPr>
          </w:p>
        </w:tc>
        <w:tc>
          <w:tcPr>
            <w:tcW w:w="1290" w:type="dxa"/>
            <w:vAlign w:val="center"/>
          </w:tcPr>
          <w:p>
            <w:pPr>
              <w:autoSpaceDE w:val="0"/>
              <w:autoSpaceDN w:val="0"/>
              <w:adjustRightInd w:val="0"/>
              <w:spacing w:line="360" w:lineRule="auto"/>
              <w:jc w:val="center"/>
              <w:rPr>
                <w:rFonts w:ascii="宋体" w:hAnsi="宋体" w:cs="宋体"/>
                <w:color w:val="auto"/>
                <w:kern w:val="0"/>
                <w:sz w:val="24"/>
              </w:rPr>
            </w:pPr>
          </w:p>
        </w:tc>
        <w:tc>
          <w:tcPr>
            <w:tcW w:w="1032" w:type="dxa"/>
            <w:vAlign w:val="center"/>
          </w:tcPr>
          <w:p>
            <w:pPr>
              <w:autoSpaceDE w:val="0"/>
              <w:autoSpaceDN w:val="0"/>
              <w:adjustRightInd w:val="0"/>
              <w:spacing w:line="360" w:lineRule="auto"/>
              <w:jc w:val="center"/>
              <w:rPr>
                <w:rFonts w:ascii="宋体" w:hAnsi="宋体" w:cs="宋体"/>
                <w:color w:val="auto"/>
                <w:kern w:val="0"/>
                <w:sz w:val="24"/>
              </w:rPr>
            </w:pPr>
          </w:p>
        </w:tc>
      </w:tr>
    </w:tbl>
    <w:p>
      <w:pPr>
        <w:snapToGrid w:val="0"/>
        <w:spacing w:line="360" w:lineRule="auto"/>
        <w:ind w:firstLine="472" w:firstLineChars="147"/>
        <w:jc w:val="center"/>
        <w:rPr>
          <w:rFonts w:ascii="宋体" w:hAnsi="宋体"/>
          <w:b/>
          <w:color w:val="auto"/>
          <w:sz w:val="32"/>
        </w:rPr>
      </w:pPr>
    </w:p>
    <w:p>
      <w:pPr>
        <w:snapToGrid w:val="0"/>
        <w:spacing w:line="360" w:lineRule="auto"/>
        <w:ind w:firstLine="472" w:firstLineChars="147"/>
        <w:jc w:val="center"/>
        <w:rPr>
          <w:rFonts w:ascii="宋体" w:hAnsi="宋体"/>
          <w:b/>
          <w:color w:val="auto"/>
          <w:sz w:val="32"/>
        </w:rPr>
      </w:pPr>
    </w:p>
    <w:p>
      <w:pPr>
        <w:snapToGrid w:val="0"/>
        <w:spacing w:line="360" w:lineRule="auto"/>
        <w:ind w:firstLine="472" w:firstLineChars="147"/>
        <w:jc w:val="center"/>
        <w:rPr>
          <w:rFonts w:ascii="宋体" w:hAnsi="宋体"/>
          <w:b/>
          <w:color w:val="auto"/>
          <w:sz w:val="32"/>
        </w:rPr>
      </w:pPr>
    </w:p>
    <w:p>
      <w:pPr>
        <w:pStyle w:val="4"/>
        <w:tabs>
          <w:tab w:val="left" w:pos="0"/>
        </w:tabs>
        <w:spacing w:line="360" w:lineRule="auto"/>
        <w:rPr>
          <w:rFonts w:ascii="仿宋" w:hAnsi="仿宋" w:eastAsia="仿宋" w:cs="仿宋"/>
          <w:color w:val="auto"/>
          <w:szCs w:val="24"/>
        </w:rPr>
      </w:pPr>
      <w:bookmarkStart w:id="94" w:name="_Toc268198661"/>
      <w:r>
        <w:rPr>
          <w:rFonts w:hint="eastAsia" w:ascii="仿宋" w:hAnsi="仿宋" w:eastAsia="仿宋" w:cs="仿宋"/>
          <w:color w:val="auto"/>
          <w:szCs w:val="24"/>
        </w:rPr>
        <w:t>（二）拟派人员简历表</w:t>
      </w:r>
      <w:bookmarkEnd w:id="94"/>
    </w:p>
    <w:p>
      <w:pPr>
        <w:spacing w:line="360" w:lineRule="auto"/>
        <w:ind w:firstLine="590" w:firstLineChars="246"/>
        <w:rPr>
          <w:rFonts w:hint="eastAsia" w:ascii="宋体" w:hAnsi="宋体" w:eastAsia="宋体" w:cs="宋体"/>
          <w:color w:val="auto"/>
          <w:sz w:val="24"/>
        </w:rPr>
      </w:pPr>
      <w:r>
        <w:rPr>
          <w:rFonts w:hint="eastAsia" w:ascii="宋体" w:hAnsi="宋体" w:eastAsia="宋体" w:cs="宋体"/>
          <w:color w:val="auto"/>
          <w:sz w:val="24"/>
        </w:rPr>
        <w:t>“拟派人员简历表”中项目负责人应附身份证、职称证复印件；其他人员附身份证复印件。</w:t>
      </w:r>
    </w:p>
    <w:tbl>
      <w:tblPr>
        <w:tblStyle w:val="22"/>
        <w:tblW w:w="9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9"/>
        <w:gridCol w:w="1757"/>
        <w:gridCol w:w="1107"/>
        <w:gridCol w:w="27"/>
        <w:gridCol w:w="1417"/>
        <w:gridCol w:w="554"/>
        <w:gridCol w:w="864"/>
        <w:gridCol w:w="1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2279" w:type="dxa"/>
            <w:vAlign w:val="center"/>
          </w:tcPr>
          <w:p>
            <w:pPr>
              <w:spacing w:line="360" w:lineRule="auto"/>
              <w:jc w:val="center"/>
              <w:rPr>
                <w:rFonts w:ascii="宋体" w:hAnsi="宋体" w:cs="宋体"/>
                <w:color w:val="auto"/>
                <w:sz w:val="24"/>
              </w:rPr>
            </w:pPr>
            <w:r>
              <w:rPr>
                <w:rFonts w:hint="eastAsia" w:ascii="宋体" w:hAnsi="宋体" w:cs="宋体"/>
                <w:color w:val="auto"/>
                <w:sz w:val="24"/>
              </w:rPr>
              <w:t>姓  名</w:t>
            </w:r>
          </w:p>
        </w:tc>
        <w:tc>
          <w:tcPr>
            <w:tcW w:w="1757" w:type="dxa"/>
            <w:vAlign w:val="center"/>
          </w:tcPr>
          <w:p>
            <w:pPr>
              <w:spacing w:line="360" w:lineRule="auto"/>
              <w:jc w:val="center"/>
              <w:rPr>
                <w:rFonts w:ascii="宋体" w:hAnsi="宋体" w:cs="宋体"/>
                <w:color w:val="auto"/>
                <w:sz w:val="24"/>
              </w:rPr>
            </w:pPr>
          </w:p>
        </w:tc>
        <w:tc>
          <w:tcPr>
            <w:tcW w:w="1134" w:type="dxa"/>
            <w:gridSpan w:val="2"/>
            <w:vAlign w:val="center"/>
          </w:tcPr>
          <w:p>
            <w:pPr>
              <w:spacing w:line="360" w:lineRule="auto"/>
              <w:ind w:left="117"/>
              <w:jc w:val="center"/>
              <w:rPr>
                <w:rFonts w:ascii="宋体" w:hAnsi="宋体" w:cs="宋体"/>
                <w:color w:val="auto"/>
                <w:sz w:val="24"/>
              </w:rPr>
            </w:pPr>
            <w:r>
              <w:rPr>
                <w:rFonts w:hint="eastAsia" w:ascii="宋体" w:hAnsi="宋体" w:cs="宋体"/>
                <w:color w:val="auto"/>
                <w:sz w:val="24"/>
              </w:rPr>
              <w:t>年龄</w:t>
            </w:r>
          </w:p>
        </w:tc>
        <w:tc>
          <w:tcPr>
            <w:tcW w:w="1417" w:type="dxa"/>
            <w:vAlign w:val="center"/>
          </w:tcPr>
          <w:p>
            <w:pPr>
              <w:spacing w:line="360" w:lineRule="auto"/>
              <w:jc w:val="center"/>
              <w:rPr>
                <w:rFonts w:ascii="宋体" w:hAnsi="宋体" w:cs="宋体"/>
                <w:color w:val="auto"/>
                <w:sz w:val="24"/>
              </w:rPr>
            </w:pPr>
          </w:p>
        </w:tc>
        <w:tc>
          <w:tcPr>
            <w:tcW w:w="1418" w:type="dxa"/>
            <w:gridSpan w:val="2"/>
            <w:vAlign w:val="center"/>
          </w:tcPr>
          <w:p>
            <w:pPr>
              <w:spacing w:line="360" w:lineRule="auto"/>
              <w:jc w:val="center"/>
              <w:rPr>
                <w:rFonts w:ascii="宋体" w:hAnsi="宋体" w:cs="宋体"/>
                <w:color w:val="auto"/>
                <w:sz w:val="24"/>
              </w:rPr>
            </w:pPr>
            <w:r>
              <w:rPr>
                <w:rFonts w:hint="eastAsia" w:ascii="宋体" w:hAnsi="宋体" w:cs="宋体"/>
                <w:color w:val="auto"/>
                <w:sz w:val="24"/>
              </w:rPr>
              <w:t>学历</w:t>
            </w:r>
          </w:p>
        </w:tc>
        <w:tc>
          <w:tcPr>
            <w:tcW w:w="1539"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2279" w:type="dxa"/>
            <w:tcBorders>
              <w:bottom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职   称</w:t>
            </w:r>
          </w:p>
        </w:tc>
        <w:tc>
          <w:tcPr>
            <w:tcW w:w="1757" w:type="dxa"/>
            <w:tcBorders>
              <w:bottom w:val="single" w:color="auto" w:sz="4" w:space="0"/>
            </w:tcBorders>
            <w:vAlign w:val="center"/>
          </w:tcPr>
          <w:p>
            <w:pPr>
              <w:spacing w:line="360" w:lineRule="auto"/>
              <w:jc w:val="center"/>
              <w:rPr>
                <w:rFonts w:ascii="宋体" w:hAnsi="宋体" w:cs="宋体"/>
                <w:color w:val="auto"/>
                <w:sz w:val="24"/>
              </w:rPr>
            </w:pPr>
          </w:p>
        </w:tc>
        <w:tc>
          <w:tcPr>
            <w:tcW w:w="1134" w:type="dxa"/>
            <w:gridSpan w:val="2"/>
            <w:tcBorders>
              <w:bottom w:val="single" w:color="auto" w:sz="4" w:space="0"/>
            </w:tcBorders>
            <w:vAlign w:val="center"/>
          </w:tcPr>
          <w:p>
            <w:pPr>
              <w:spacing w:line="360" w:lineRule="auto"/>
              <w:ind w:left="222"/>
              <w:jc w:val="center"/>
              <w:rPr>
                <w:rFonts w:ascii="宋体" w:hAnsi="宋体" w:cs="宋体"/>
                <w:color w:val="auto"/>
                <w:sz w:val="24"/>
              </w:rPr>
            </w:pPr>
            <w:r>
              <w:rPr>
                <w:rFonts w:hint="eastAsia" w:ascii="宋体" w:hAnsi="宋体" w:cs="宋体"/>
                <w:color w:val="auto"/>
                <w:sz w:val="24"/>
              </w:rPr>
              <w:t>职务</w:t>
            </w:r>
          </w:p>
        </w:tc>
        <w:tc>
          <w:tcPr>
            <w:tcW w:w="1417" w:type="dxa"/>
            <w:tcBorders>
              <w:bottom w:val="single" w:color="auto" w:sz="4" w:space="0"/>
            </w:tcBorders>
            <w:vAlign w:val="center"/>
          </w:tcPr>
          <w:p>
            <w:pPr>
              <w:spacing w:line="360" w:lineRule="auto"/>
              <w:jc w:val="center"/>
              <w:rPr>
                <w:rFonts w:ascii="宋体" w:hAnsi="宋体" w:cs="宋体"/>
                <w:color w:val="auto"/>
                <w:sz w:val="24"/>
              </w:rPr>
            </w:pPr>
          </w:p>
        </w:tc>
        <w:tc>
          <w:tcPr>
            <w:tcW w:w="1418" w:type="dxa"/>
            <w:gridSpan w:val="2"/>
            <w:tcBorders>
              <w:bottom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拟在本合同任职</w:t>
            </w:r>
          </w:p>
        </w:tc>
        <w:tc>
          <w:tcPr>
            <w:tcW w:w="1539" w:type="dxa"/>
            <w:tcBorders>
              <w:bottom w:val="single" w:color="auto" w:sz="4" w:space="0"/>
            </w:tcBorders>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279" w:type="dxa"/>
            <w:tcBorders>
              <w:bottom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毕业学校</w:t>
            </w:r>
          </w:p>
        </w:tc>
        <w:tc>
          <w:tcPr>
            <w:tcW w:w="7265" w:type="dxa"/>
            <w:gridSpan w:val="7"/>
            <w:tcBorders>
              <w:bottom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9544" w:type="dxa"/>
            <w:gridSpan w:val="8"/>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主要经历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79" w:type="dxa"/>
            <w:tcBorders>
              <w:top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 xml:space="preserve">  时间</w:t>
            </w:r>
          </w:p>
        </w:tc>
        <w:tc>
          <w:tcPr>
            <w:tcW w:w="2864" w:type="dxa"/>
            <w:gridSpan w:val="2"/>
            <w:tcBorders>
              <w:top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参加过的类似项目</w:t>
            </w:r>
          </w:p>
        </w:tc>
        <w:tc>
          <w:tcPr>
            <w:tcW w:w="1998" w:type="dxa"/>
            <w:gridSpan w:val="3"/>
            <w:tcBorders>
              <w:top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担任职务</w:t>
            </w:r>
          </w:p>
        </w:tc>
        <w:tc>
          <w:tcPr>
            <w:tcW w:w="2403" w:type="dxa"/>
            <w:gridSpan w:val="2"/>
            <w:tcBorders>
              <w:top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279" w:type="dxa"/>
            <w:vAlign w:val="center"/>
          </w:tcPr>
          <w:p>
            <w:pPr>
              <w:spacing w:line="360" w:lineRule="auto"/>
              <w:jc w:val="center"/>
              <w:rPr>
                <w:rFonts w:ascii="宋体" w:hAnsi="宋体" w:cs="宋体"/>
                <w:color w:val="auto"/>
                <w:sz w:val="24"/>
              </w:rPr>
            </w:pPr>
          </w:p>
        </w:tc>
        <w:tc>
          <w:tcPr>
            <w:tcW w:w="2864" w:type="dxa"/>
            <w:gridSpan w:val="2"/>
            <w:vAlign w:val="center"/>
          </w:tcPr>
          <w:p>
            <w:pPr>
              <w:spacing w:line="360" w:lineRule="auto"/>
              <w:jc w:val="center"/>
              <w:rPr>
                <w:rFonts w:ascii="宋体" w:hAnsi="宋体" w:cs="宋体"/>
                <w:color w:val="auto"/>
                <w:sz w:val="24"/>
              </w:rPr>
            </w:pPr>
          </w:p>
        </w:tc>
        <w:tc>
          <w:tcPr>
            <w:tcW w:w="1998" w:type="dxa"/>
            <w:gridSpan w:val="3"/>
            <w:vAlign w:val="center"/>
          </w:tcPr>
          <w:p>
            <w:pPr>
              <w:spacing w:line="360" w:lineRule="auto"/>
              <w:jc w:val="center"/>
              <w:rPr>
                <w:rFonts w:ascii="宋体" w:hAnsi="宋体" w:cs="宋体"/>
                <w:color w:val="auto"/>
                <w:sz w:val="24"/>
              </w:rPr>
            </w:pPr>
          </w:p>
        </w:tc>
        <w:tc>
          <w:tcPr>
            <w:tcW w:w="2403" w:type="dxa"/>
            <w:gridSpan w:val="2"/>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279" w:type="dxa"/>
            <w:vAlign w:val="center"/>
          </w:tcPr>
          <w:p>
            <w:pPr>
              <w:spacing w:line="360" w:lineRule="auto"/>
              <w:jc w:val="center"/>
              <w:rPr>
                <w:rFonts w:ascii="宋体" w:hAnsi="宋体" w:cs="宋体"/>
                <w:color w:val="auto"/>
                <w:sz w:val="24"/>
              </w:rPr>
            </w:pPr>
          </w:p>
        </w:tc>
        <w:tc>
          <w:tcPr>
            <w:tcW w:w="2864" w:type="dxa"/>
            <w:gridSpan w:val="2"/>
            <w:vAlign w:val="center"/>
          </w:tcPr>
          <w:p>
            <w:pPr>
              <w:spacing w:line="360" w:lineRule="auto"/>
              <w:jc w:val="center"/>
              <w:rPr>
                <w:rFonts w:ascii="宋体" w:hAnsi="宋体" w:cs="宋体"/>
                <w:color w:val="auto"/>
                <w:sz w:val="24"/>
              </w:rPr>
            </w:pPr>
          </w:p>
          <w:p>
            <w:pPr>
              <w:spacing w:line="360" w:lineRule="auto"/>
              <w:jc w:val="center"/>
              <w:rPr>
                <w:rFonts w:ascii="宋体" w:hAnsi="宋体" w:cs="宋体"/>
                <w:color w:val="auto"/>
                <w:sz w:val="24"/>
              </w:rPr>
            </w:pPr>
          </w:p>
        </w:tc>
        <w:tc>
          <w:tcPr>
            <w:tcW w:w="1998" w:type="dxa"/>
            <w:gridSpan w:val="3"/>
            <w:vAlign w:val="center"/>
          </w:tcPr>
          <w:p>
            <w:pPr>
              <w:spacing w:line="360" w:lineRule="auto"/>
              <w:jc w:val="center"/>
              <w:rPr>
                <w:rFonts w:ascii="宋体" w:hAnsi="宋体" w:cs="宋体"/>
                <w:color w:val="auto"/>
                <w:sz w:val="24"/>
              </w:rPr>
            </w:pPr>
          </w:p>
        </w:tc>
        <w:tc>
          <w:tcPr>
            <w:tcW w:w="2403" w:type="dxa"/>
            <w:gridSpan w:val="2"/>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279" w:type="dxa"/>
            <w:vAlign w:val="center"/>
          </w:tcPr>
          <w:p>
            <w:pPr>
              <w:spacing w:line="360" w:lineRule="auto"/>
              <w:jc w:val="center"/>
              <w:rPr>
                <w:rFonts w:ascii="宋体" w:hAnsi="宋体" w:cs="宋体"/>
                <w:color w:val="auto"/>
                <w:sz w:val="24"/>
              </w:rPr>
            </w:pPr>
          </w:p>
          <w:p>
            <w:pPr>
              <w:spacing w:line="360" w:lineRule="auto"/>
              <w:jc w:val="center"/>
              <w:rPr>
                <w:rFonts w:ascii="宋体" w:hAnsi="宋体" w:cs="宋体"/>
                <w:color w:val="auto"/>
                <w:sz w:val="24"/>
              </w:rPr>
            </w:pPr>
          </w:p>
        </w:tc>
        <w:tc>
          <w:tcPr>
            <w:tcW w:w="2864" w:type="dxa"/>
            <w:gridSpan w:val="2"/>
            <w:vAlign w:val="center"/>
          </w:tcPr>
          <w:p>
            <w:pPr>
              <w:spacing w:line="360" w:lineRule="auto"/>
              <w:jc w:val="center"/>
              <w:rPr>
                <w:rFonts w:ascii="宋体" w:hAnsi="宋体" w:cs="宋体"/>
                <w:color w:val="auto"/>
                <w:sz w:val="24"/>
              </w:rPr>
            </w:pPr>
          </w:p>
        </w:tc>
        <w:tc>
          <w:tcPr>
            <w:tcW w:w="1998" w:type="dxa"/>
            <w:gridSpan w:val="3"/>
            <w:vAlign w:val="center"/>
          </w:tcPr>
          <w:p>
            <w:pPr>
              <w:spacing w:line="360" w:lineRule="auto"/>
              <w:jc w:val="center"/>
              <w:rPr>
                <w:rFonts w:ascii="宋体" w:hAnsi="宋体" w:cs="宋体"/>
                <w:color w:val="auto"/>
                <w:sz w:val="24"/>
              </w:rPr>
            </w:pPr>
          </w:p>
        </w:tc>
        <w:tc>
          <w:tcPr>
            <w:tcW w:w="2403" w:type="dxa"/>
            <w:gridSpan w:val="2"/>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79" w:type="dxa"/>
            <w:vAlign w:val="center"/>
          </w:tcPr>
          <w:p>
            <w:pPr>
              <w:spacing w:line="360" w:lineRule="auto"/>
              <w:jc w:val="center"/>
              <w:rPr>
                <w:rFonts w:ascii="宋体" w:hAnsi="宋体" w:cs="宋体"/>
                <w:color w:val="auto"/>
                <w:sz w:val="24"/>
              </w:rPr>
            </w:pPr>
          </w:p>
          <w:p>
            <w:pPr>
              <w:spacing w:line="360" w:lineRule="auto"/>
              <w:jc w:val="center"/>
              <w:rPr>
                <w:rFonts w:ascii="宋体" w:hAnsi="宋体" w:cs="宋体"/>
                <w:color w:val="auto"/>
                <w:sz w:val="24"/>
              </w:rPr>
            </w:pPr>
          </w:p>
        </w:tc>
        <w:tc>
          <w:tcPr>
            <w:tcW w:w="2864" w:type="dxa"/>
            <w:gridSpan w:val="2"/>
            <w:vAlign w:val="center"/>
          </w:tcPr>
          <w:p>
            <w:pPr>
              <w:spacing w:line="360" w:lineRule="auto"/>
              <w:jc w:val="center"/>
              <w:rPr>
                <w:rFonts w:ascii="宋体" w:hAnsi="宋体" w:cs="宋体"/>
                <w:color w:val="auto"/>
                <w:sz w:val="24"/>
              </w:rPr>
            </w:pPr>
          </w:p>
        </w:tc>
        <w:tc>
          <w:tcPr>
            <w:tcW w:w="1998" w:type="dxa"/>
            <w:gridSpan w:val="3"/>
            <w:vAlign w:val="center"/>
          </w:tcPr>
          <w:p>
            <w:pPr>
              <w:spacing w:line="360" w:lineRule="auto"/>
              <w:jc w:val="center"/>
              <w:rPr>
                <w:rFonts w:ascii="宋体" w:hAnsi="宋体" w:cs="宋体"/>
                <w:color w:val="auto"/>
                <w:sz w:val="24"/>
              </w:rPr>
            </w:pPr>
          </w:p>
        </w:tc>
        <w:tc>
          <w:tcPr>
            <w:tcW w:w="2403" w:type="dxa"/>
            <w:gridSpan w:val="2"/>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279" w:type="dxa"/>
            <w:vAlign w:val="center"/>
          </w:tcPr>
          <w:p>
            <w:pPr>
              <w:spacing w:line="360" w:lineRule="auto"/>
              <w:jc w:val="center"/>
              <w:rPr>
                <w:rFonts w:ascii="宋体" w:hAnsi="宋体" w:cs="宋体"/>
                <w:color w:val="auto"/>
                <w:sz w:val="24"/>
              </w:rPr>
            </w:pPr>
          </w:p>
          <w:p>
            <w:pPr>
              <w:spacing w:line="360" w:lineRule="auto"/>
              <w:jc w:val="center"/>
              <w:rPr>
                <w:rFonts w:ascii="宋体" w:hAnsi="宋体" w:cs="宋体"/>
                <w:color w:val="auto"/>
                <w:sz w:val="24"/>
              </w:rPr>
            </w:pPr>
          </w:p>
        </w:tc>
        <w:tc>
          <w:tcPr>
            <w:tcW w:w="2864" w:type="dxa"/>
            <w:gridSpan w:val="2"/>
            <w:vAlign w:val="center"/>
          </w:tcPr>
          <w:p>
            <w:pPr>
              <w:spacing w:line="360" w:lineRule="auto"/>
              <w:jc w:val="center"/>
              <w:rPr>
                <w:rFonts w:ascii="宋体" w:hAnsi="宋体" w:cs="宋体"/>
                <w:color w:val="auto"/>
                <w:sz w:val="24"/>
              </w:rPr>
            </w:pPr>
          </w:p>
        </w:tc>
        <w:tc>
          <w:tcPr>
            <w:tcW w:w="1998" w:type="dxa"/>
            <w:gridSpan w:val="3"/>
            <w:vAlign w:val="center"/>
          </w:tcPr>
          <w:p>
            <w:pPr>
              <w:spacing w:line="360" w:lineRule="auto"/>
              <w:jc w:val="center"/>
              <w:rPr>
                <w:rFonts w:ascii="宋体" w:hAnsi="宋体" w:cs="宋体"/>
                <w:color w:val="auto"/>
                <w:sz w:val="24"/>
              </w:rPr>
            </w:pPr>
          </w:p>
        </w:tc>
        <w:tc>
          <w:tcPr>
            <w:tcW w:w="2403" w:type="dxa"/>
            <w:gridSpan w:val="2"/>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279" w:type="dxa"/>
            <w:vAlign w:val="center"/>
          </w:tcPr>
          <w:p>
            <w:pPr>
              <w:spacing w:line="360" w:lineRule="auto"/>
              <w:jc w:val="center"/>
              <w:rPr>
                <w:rFonts w:ascii="宋体" w:hAnsi="宋体" w:cs="宋体"/>
                <w:color w:val="auto"/>
                <w:sz w:val="24"/>
              </w:rPr>
            </w:pPr>
          </w:p>
        </w:tc>
        <w:tc>
          <w:tcPr>
            <w:tcW w:w="2864" w:type="dxa"/>
            <w:gridSpan w:val="2"/>
            <w:vAlign w:val="center"/>
          </w:tcPr>
          <w:p>
            <w:pPr>
              <w:spacing w:line="360" w:lineRule="auto"/>
              <w:jc w:val="center"/>
              <w:rPr>
                <w:rFonts w:ascii="宋体" w:hAnsi="宋体" w:cs="宋体"/>
                <w:color w:val="auto"/>
                <w:sz w:val="24"/>
              </w:rPr>
            </w:pPr>
          </w:p>
          <w:p>
            <w:pPr>
              <w:spacing w:line="360" w:lineRule="auto"/>
              <w:jc w:val="center"/>
              <w:rPr>
                <w:rFonts w:ascii="宋体" w:hAnsi="宋体" w:cs="宋体"/>
                <w:color w:val="auto"/>
                <w:sz w:val="24"/>
              </w:rPr>
            </w:pPr>
          </w:p>
        </w:tc>
        <w:tc>
          <w:tcPr>
            <w:tcW w:w="1998" w:type="dxa"/>
            <w:gridSpan w:val="3"/>
            <w:vAlign w:val="center"/>
          </w:tcPr>
          <w:p>
            <w:pPr>
              <w:spacing w:line="360" w:lineRule="auto"/>
              <w:jc w:val="center"/>
              <w:rPr>
                <w:rFonts w:ascii="宋体" w:hAnsi="宋体" w:cs="宋体"/>
                <w:color w:val="auto"/>
                <w:sz w:val="24"/>
              </w:rPr>
            </w:pPr>
          </w:p>
        </w:tc>
        <w:tc>
          <w:tcPr>
            <w:tcW w:w="2403" w:type="dxa"/>
            <w:gridSpan w:val="2"/>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279" w:type="dxa"/>
            <w:tcBorders>
              <w:bottom w:val="single" w:color="auto" w:sz="4" w:space="0"/>
            </w:tcBorders>
            <w:vAlign w:val="center"/>
          </w:tcPr>
          <w:p>
            <w:pPr>
              <w:spacing w:line="360" w:lineRule="auto"/>
              <w:jc w:val="center"/>
              <w:rPr>
                <w:rFonts w:ascii="宋体" w:hAnsi="宋体" w:cs="宋体"/>
                <w:color w:val="auto"/>
                <w:sz w:val="24"/>
              </w:rPr>
            </w:pPr>
          </w:p>
        </w:tc>
        <w:tc>
          <w:tcPr>
            <w:tcW w:w="2864" w:type="dxa"/>
            <w:gridSpan w:val="2"/>
            <w:vAlign w:val="center"/>
          </w:tcPr>
          <w:p>
            <w:pPr>
              <w:spacing w:line="360" w:lineRule="auto"/>
              <w:jc w:val="center"/>
              <w:rPr>
                <w:rFonts w:ascii="宋体" w:hAnsi="宋体" w:cs="宋体"/>
                <w:color w:val="auto"/>
                <w:sz w:val="24"/>
              </w:rPr>
            </w:pPr>
          </w:p>
        </w:tc>
        <w:tc>
          <w:tcPr>
            <w:tcW w:w="1998" w:type="dxa"/>
            <w:gridSpan w:val="3"/>
            <w:vAlign w:val="center"/>
          </w:tcPr>
          <w:p>
            <w:pPr>
              <w:spacing w:line="360" w:lineRule="auto"/>
              <w:jc w:val="center"/>
              <w:rPr>
                <w:rFonts w:ascii="宋体" w:hAnsi="宋体" w:cs="宋体"/>
                <w:color w:val="auto"/>
                <w:sz w:val="24"/>
              </w:rPr>
            </w:pPr>
          </w:p>
        </w:tc>
        <w:tc>
          <w:tcPr>
            <w:tcW w:w="2403" w:type="dxa"/>
            <w:gridSpan w:val="2"/>
            <w:vAlign w:val="center"/>
          </w:tcPr>
          <w:p>
            <w:pPr>
              <w:spacing w:line="360" w:lineRule="auto"/>
              <w:jc w:val="center"/>
              <w:rPr>
                <w:rFonts w:ascii="宋体" w:hAnsi="宋体" w:cs="宋体"/>
                <w:color w:val="auto"/>
                <w:sz w:val="24"/>
              </w:rPr>
            </w:pPr>
          </w:p>
        </w:tc>
      </w:tr>
    </w:tbl>
    <w:p>
      <w:pPr>
        <w:snapToGrid w:val="0"/>
        <w:spacing w:line="360" w:lineRule="auto"/>
        <w:ind w:firstLine="472" w:firstLineChars="147"/>
        <w:jc w:val="center"/>
        <w:rPr>
          <w:rFonts w:ascii="宋体" w:hAnsi="宋体"/>
          <w:b/>
          <w:color w:val="auto"/>
          <w:sz w:val="32"/>
        </w:rPr>
      </w:pPr>
    </w:p>
    <w:p>
      <w:pPr>
        <w:snapToGrid w:val="0"/>
        <w:spacing w:line="360" w:lineRule="auto"/>
        <w:ind w:firstLine="472" w:firstLineChars="147"/>
        <w:jc w:val="center"/>
        <w:rPr>
          <w:rFonts w:ascii="宋体" w:hAnsi="宋体"/>
          <w:b/>
          <w:color w:val="auto"/>
          <w:sz w:val="32"/>
        </w:rPr>
      </w:pPr>
    </w:p>
    <w:p>
      <w:pPr>
        <w:snapToGrid w:val="0"/>
        <w:spacing w:line="360" w:lineRule="auto"/>
        <w:ind w:firstLine="472" w:firstLineChars="147"/>
        <w:jc w:val="center"/>
        <w:rPr>
          <w:rFonts w:ascii="宋体" w:hAnsi="宋体"/>
          <w:b/>
          <w:color w:val="auto"/>
          <w:sz w:val="32"/>
        </w:rPr>
      </w:pPr>
    </w:p>
    <w:p>
      <w:pPr>
        <w:snapToGrid w:val="0"/>
        <w:spacing w:line="360" w:lineRule="auto"/>
        <w:ind w:firstLine="472" w:firstLineChars="147"/>
        <w:jc w:val="center"/>
        <w:rPr>
          <w:rFonts w:ascii="宋体" w:hAnsi="宋体"/>
          <w:b/>
          <w:color w:val="auto"/>
          <w:sz w:val="32"/>
        </w:rPr>
      </w:pPr>
    </w:p>
    <w:p>
      <w:pPr>
        <w:spacing w:line="360" w:lineRule="auto"/>
        <w:jc w:val="center"/>
        <w:rPr>
          <w:rFonts w:ascii="宋体" w:hAnsi="宋体" w:eastAsia="仿宋"/>
          <w:b/>
          <w:color w:val="auto"/>
          <w:sz w:val="32"/>
          <w:szCs w:val="32"/>
        </w:rPr>
      </w:pPr>
      <w:bookmarkStart w:id="95" w:name="_Toc492130682"/>
      <w:bookmarkStart w:id="96" w:name="_Toc268198663"/>
      <w:r>
        <w:rPr>
          <w:rFonts w:hint="eastAsia" w:ascii="宋体" w:hAnsi="宋体" w:eastAsia="仿宋"/>
          <w:b/>
          <w:color w:val="auto"/>
          <w:sz w:val="32"/>
          <w:szCs w:val="32"/>
          <w:lang w:eastAsia="zh-CN"/>
        </w:rPr>
        <w:t>七</w:t>
      </w:r>
      <w:r>
        <w:rPr>
          <w:rFonts w:hint="eastAsia" w:ascii="宋体" w:hAnsi="宋体" w:eastAsia="仿宋"/>
          <w:b/>
          <w:color w:val="auto"/>
          <w:sz w:val="32"/>
          <w:szCs w:val="32"/>
        </w:rPr>
        <w:t>、资格审查资料</w:t>
      </w:r>
      <w:bookmarkEnd w:id="95"/>
      <w:bookmarkEnd w:id="96"/>
    </w:p>
    <w:p>
      <w:pPr>
        <w:pStyle w:val="4"/>
        <w:tabs>
          <w:tab w:val="left" w:pos="0"/>
        </w:tabs>
        <w:spacing w:line="360" w:lineRule="auto"/>
        <w:rPr>
          <w:rFonts w:ascii="仿宋" w:hAnsi="仿宋" w:eastAsia="仿宋" w:cs="仿宋"/>
          <w:color w:val="auto"/>
          <w:szCs w:val="24"/>
        </w:rPr>
      </w:pPr>
      <w:bookmarkStart w:id="97" w:name="_Toc268198664"/>
      <w:r>
        <w:rPr>
          <w:rFonts w:hint="eastAsia" w:ascii="仿宋" w:hAnsi="仿宋" w:eastAsia="仿宋" w:cs="仿宋"/>
          <w:color w:val="auto"/>
          <w:szCs w:val="24"/>
        </w:rPr>
        <w:t>（一）供应商基本情况表</w:t>
      </w:r>
      <w:bookmarkEnd w:id="97"/>
    </w:p>
    <w:tbl>
      <w:tblPr>
        <w:tblStyle w:val="22"/>
        <w:tblW w:w="94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1169"/>
        <w:gridCol w:w="749"/>
        <w:gridCol w:w="876"/>
        <w:gridCol w:w="478"/>
        <w:gridCol w:w="55"/>
        <w:gridCol w:w="1461"/>
        <w:gridCol w:w="260"/>
        <w:gridCol w:w="709"/>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0"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投标人名称</w:t>
            </w:r>
          </w:p>
        </w:tc>
        <w:tc>
          <w:tcPr>
            <w:tcW w:w="7173" w:type="dxa"/>
            <w:gridSpan w:val="9"/>
            <w:vAlign w:val="center"/>
          </w:tcPr>
          <w:p>
            <w:pPr>
              <w:spacing w:line="360" w:lineRule="auto"/>
              <w:jc w:val="cente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0"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注册地址</w:t>
            </w:r>
          </w:p>
        </w:tc>
        <w:tc>
          <w:tcPr>
            <w:tcW w:w="3272" w:type="dxa"/>
            <w:gridSpan w:val="4"/>
            <w:vAlign w:val="center"/>
          </w:tcPr>
          <w:p>
            <w:pPr>
              <w:spacing w:line="360" w:lineRule="auto"/>
              <w:jc w:val="center"/>
              <w:rPr>
                <w:rFonts w:ascii="宋体" w:hAnsi="宋体" w:cs="宋体"/>
                <w:color w:val="auto"/>
                <w:sz w:val="24"/>
                <w:szCs w:val="24"/>
              </w:rPr>
            </w:pPr>
          </w:p>
        </w:tc>
        <w:tc>
          <w:tcPr>
            <w:tcW w:w="1516" w:type="dxa"/>
            <w:gridSpan w:val="2"/>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邮政编码</w:t>
            </w:r>
          </w:p>
        </w:tc>
        <w:tc>
          <w:tcPr>
            <w:tcW w:w="2385" w:type="dxa"/>
            <w:gridSpan w:val="3"/>
            <w:vAlign w:val="center"/>
          </w:tcPr>
          <w:p>
            <w:pPr>
              <w:spacing w:line="360" w:lineRule="auto"/>
              <w:jc w:val="cente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0" w:type="dxa"/>
            <w:vMerge w:val="restart"/>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联系方式</w:t>
            </w:r>
          </w:p>
        </w:tc>
        <w:tc>
          <w:tcPr>
            <w:tcW w:w="1169"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联系人</w:t>
            </w:r>
          </w:p>
        </w:tc>
        <w:tc>
          <w:tcPr>
            <w:tcW w:w="2103" w:type="dxa"/>
            <w:gridSpan w:val="3"/>
            <w:vAlign w:val="center"/>
          </w:tcPr>
          <w:p>
            <w:pPr>
              <w:spacing w:line="360" w:lineRule="auto"/>
              <w:jc w:val="center"/>
              <w:rPr>
                <w:rFonts w:ascii="宋体" w:hAnsi="宋体" w:cs="宋体"/>
                <w:color w:val="auto"/>
                <w:sz w:val="24"/>
                <w:szCs w:val="24"/>
              </w:rPr>
            </w:pPr>
          </w:p>
        </w:tc>
        <w:tc>
          <w:tcPr>
            <w:tcW w:w="1516" w:type="dxa"/>
            <w:gridSpan w:val="2"/>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电  话</w:t>
            </w:r>
          </w:p>
        </w:tc>
        <w:tc>
          <w:tcPr>
            <w:tcW w:w="2385" w:type="dxa"/>
            <w:gridSpan w:val="3"/>
            <w:vAlign w:val="center"/>
          </w:tcPr>
          <w:p>
            <w:pPr>
              <w:spacing w:line="360" w:lineRule="auto"/>
              <w:jc w:val="cente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0" w:type="dxa"/>
            <w:vMerge w:val="continue"/>
            <w:vAlign w:val="center"/>
          </w:tcPr>
          <w:p>
            <w:pPr>
              <w:spacing w:line="360" w:lineRule="auto"/>
              <w:jc w:val="center"/>
              <w:rPr>
                <w:rFonts w:ascii="宋体" w:hAnsi="宋体" w:cs="宋体"/>
                <w:color w:val="auto"/>
                <w:sz w:val="24"/>
                <w:szCs w:val="24"/>
              </w:rPr>
            </w:pPr>
          </w:p>
        </w:tc>
        <w:tc>
          <w:tcPr>
            <w:tcW w:w="1169"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传  真</w:t>
            </w:r>
          </w:p>
        </w:tc>
        <w:tc>
          <w:tcPr>
            <w:tcW w:w="2103" w:type="dxa"/>
            <w:gridSpan w:val="3"/>
            <w:vAlign w:val="center"/>
          </w:tcPr>
          <w:p>
            <w:pPr>
              <w:spacing w:line="360" w:lineRule="auto"/>
              <w:jc w:val="center"/>
              <w:rPr>
                <w:rFonts w:ascii="宋体" w:hAnsi="宋体" w:cs="宋体"/>
                <w:color w:val="auto"/>
                <w:sz w:val="24"/>
                <w:szCs w:val="24"/>
              </w:rPr>
            </w:pPr>
          </w:p>
        </w:tc>
        <w:tc>
          <w:tcPr>
            <w:tcW w:w="1516" w:type="dxa"/>
            <w:gridSpan w:val="2"/>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网  址</w:t>
            </w:r>
          </w:p>
        </w:tc>
        <w:tc>
          <w:tcPr>
            <w:tcW w:w="2385" w:type="dxa"/>
            <w:gridSpan w:val="3"/>
            <w:vAlign w:val="center"/>
          </w:tcPr>
          <w:p>
            <w:pPr>
              <w:spacing w:line="360" w:lineRule="auto"/>
              <w:jc w:val="cente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0"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组织结构</w:t>
            </w:r>
          </w:p>
        </w:tc>
        <w:tc>
          <w:tcPr>
            <w:tcW w:w="7173" w:type="dxa"/>
            <w:gridSpan w:val="9"/>
            <w:vAlign w:val="center"/>
          </w:tcPr>
          <w:p>
            <w:pPr>
              <w:spacing w:line="360" w:lineRule="auto"/>
              <w:jc w:val="cente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0"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法定代表人</w:t>
            </w:r>
          </w:p>
        </w:tc>
        <w:tc>
          <w:tcPr>
            <w:tcW w:w="1918" w:type="dxa"/>
            <w:gridSpan w:val="2"/>
            <w:vAlign w:val="center"/>
          </w:tcPr>
          <w:p>
            <w:pPr>
              <w:spacing w:line="360" w:lineRule="auto"/>
              <w:jc w:val="center"/>
              <w:rPr>
                <w:rFonts w:ascii="宋体" w:hAnsi="宋体" w:cs="宋体"/>
                <w:color w:val="auto"/>
                <w:sz w:val="24"/>
                <w:szCs w:val="24"/>
              </w:rPr>
            </w:pPr>
          </w:p>
        </w:tc>
        <w:tc>
          <w:tcPr>
            <w:tcW w:w="1409" w:type="dxa"/>
            <w:gridSpan w:val="3"/>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技术职称</w:t>
            </w:r>
          </w:p>
        </w:tc>
        <w:tc>
          <w:tcPr>
            <w:tcW w:w="1721" w:type="dxa"/>
            <w:gridSpan w:val="2"/>
            <w:vAlign w:val="center"/>
          </w:tcPr>
          <w:p>
            <w:pPr>
              <w:spacing w:line="360" w:lineRule="auto"/>
              <w:jc w:val="center"/>
              <w:rPr>
                <w:rFonts w:ascii="宋体" w:hAnsi="宋体" w:cs="宋体"/>
                <w:color w:val="auto"/>
                <w:sz w:val="24"/>
                <w:szCs w:val="24"/>
              </w:rPr>
            </w:pPr>
          </w:p>
        </w:tc>
        <w:tc>
          <w:tcPr>
            <w:tcW w:w="709"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电话</w:t>
            </w:r>
          </w:p>
        </w:tc>
        <w:tc>
          <w:tcPr>
            <w:tcW w:w="1416" w:type="dxa"/>
            <w:vAlign w:val="center"/>
          </w:tcPr>
          <w:p>
            <w:pPr>
              <w:spacing w:line="360" w:lineRule="auto"/>
              <w:jc w:val="cente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0"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技术负责人</w:t>
            </w:r>
          </w:p>
        </w:tc>
        <w:tc>
          <w:tcPr>
            <w:tcW w:w="1918" w:type="dxa"/>
            <w:gridSpan w:val="2"/>
            <w:vAlign w:val="center"/>
          </w:tcPr>
          <w:p>
            <w:pPr>
              <w:spacing w:line="360" w:lineRule="auto"/>
              <w:jc w:val="center"/>
              <w:rPr>
                <w:rFonts w:ascii="宋体" w:hAnsi="宋体" w:cs="宋体"/>
                <w:color w:val="auto"/>
                <w:sz w:val="24"/>
                <w:szCs w:val="24"/>
              </w:rPr>
            </w:pPr>
          </w:p>
        </w:tc>
        <w:tc>
          <w:tcPr>
            <w:tcW w:w="1409" w:type="dxa"/>
            <w:gridSpan w:val="3"/>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技术职称</w:t>
            </w:r>
          </w:p>
        </w:tc>
        <w:tc>
          <w:tcPr>
            <w:tcW w:w="1721" w:type="dxa"/>
            <w:gridSpan w:val="2"/>
            <w:vAlign w:val="center"/>
          </w:tcPr>
          <w:p>
            <w:pPr>
              <w:spacing w:line="360" w:lineRule="auto"/>
              <w:jc w:val="center"/>
              <w:rPr>
                <w:rFonts w:ascii="宋体" w:hAnsi="宋体" w:cs="宋体"/>
                <w:color w:val="auto"/>
                <w:sz w:val="24"/>
                <w:szCs w:val="24"/>
              </w:rPr>
            </w:pPr>
          </w:p>
        </w:tc>
        <w:tc>
          <w:tcPr>
            <w:tcW w:w="709"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电话</w:t>
            </w:r>
          </w:p>
        </w:tc>
        <w:tc>
          <w:tcPr>
            <w:tcW w:w="1416" w:type="dxa"/>
            <w:vAlign w:val="center"/>
          </w:tcPr>
          <w:p>
            <w:pPr>
              <w:spacing w:line="360" w:lineRule="auto"/>
              <w:jc w:val="cente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0"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成立时间</w:t>
            </w:r>
          </w:p>
        </w:tc>
        <w:tc>
          <w:tcPr>
            <w:tcW w:w="1918" w:type="dxa"/>
            <w:gridSpan w:val="2"/>
            <w:vAlign w:val="center"/>
          </w:tcPr>
          <w:p>
            <w:pPr>
              <w:spacing w:line="360" w:lineRule="auto"/>
              <w:jc w:val="center"/>
              <w:rPr>
                <w:rFonts w:ascii="宋体" w:hAnsi="宋体" w:cs="宋体"/>
                <w:color w:val="auto"/>
                <w:sz w:val="24"/>
                <w:szCs w:val="24"/>
              </w:rPr>
            </w:pPr>
          </w:p>
        </w:tc>
        <w:tc>
          <w:tcPr>
            <w:tcW w:w="5255" w:type="dxa"/>
            <w:gridSpan w:val="7"/>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0"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企业资质等级</w:t>
            </w:r>
          </w:p>
        </w:tc>
        <w:tc>
          <w:tcPr>
            <w:tcW w:w="1918" w:type="dxa"/>
            <w:gridSpan w:val="2"/>
            <w:vAlign w:val="center"/>
          </w:tcPr>
          <w:p>
            <w:pPr>
              <w:spacing w:line="360" w:lineRule="auto"/>
              <w:jc w:val="center"/>
              <w:rPr>
                <w:rFonts w:ascii="宋体" w:hAnsi="宋体" w:cs="宋体"/>
                <w:color w:val="auto"/>
                <w:sz w:val="24"/>
                <w:szCs w:val="24"/>
              </w:rPr>
            </w:pPr>
          </w:p>
        </w:tc>
        <w:tc>
          <w:tcPr>
            <w:tcW w:w="876" w:type="dxa"/>
            <w:vMerge w:val="restart"/>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其中</w:t>
            </w:r>
          </w:p>
        </w:tc>
        <w:tc>
          <w:tcPr>
            <w:tcW w:w="2254" w:type="dxa"/>
            <w:gridSpan w:val="4"/>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项目经理</w:t>
            </w:r>
          </w:p>
        </w:tc>
        <w:tc>
          <w:tcPr>
            <w:tcW w:w="2125" w:type="dxa"/>
            <w:gridSpan w:val="2"/>
            <w:vAlign w:val="center"/>
          </w:tcPr>
          <w:p>
            <w:pPr>
              <w:spacing w:line="360" w:lineRule="auto"/>
              <w:jc w:val="cente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0"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营业执照号</w:t>
            </w:r>
          </w:p>
        </w:tc>
        <w:tc>
          <w:tcPr>
            <w:tcW w:w="1918" w:type="dxa"/>
            <w:gridSpan w:val="2"/>
            <w:vAlign w:val="center"/>
          </w:tcPr>
          <w:p>
            <w:pPr>
              <w:spacing w:line="360" w:lineRule="auto"/>
              <w:jc w:val="center"/>
              <w:rPr>
                <w:rFonts w:ascii="宋体" w:hAnsi="宋体" w:cs="宋体"/>
                <w:color w:val="auto"/>
                <w:sz w:val="24"/>
                <w:szCs w:val="24"/>
              </w:rPr>
            </w:pPr>
          </w:p>
        </w:tc>
        <w:tc>
          <w:tcPr>
            <w:tcW w:w="876" w:type="dxa"/>
            <w:vMerge w:val="continue"/>
            <w:vAlign w:val="center"/>
          </w:tcPr>
          <w:p>
            <w:pPr>
              <w:spacing w:line="360" w:lineRule="auto"/>
              <w:jc w:val="center"/>
              <w:rPr>
                <w:rFonts w:ascii="宋体" w:hAnsi="宋体" w:cs="宋体"/>
                <w:color w:val="auto"/>
                <w:sz w:val="24"/>
                <w:szCs w:val="24"/>
              </w:rPr>
            </w:pPr>
          </w:p>
        </w:tc>
        <w:tc>
          <w:tcPr>
            <w:tcW w:w="2254" w:type="dxa"/>
            <w:gridSpan w:val="4"/>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高级职称人员</w:t>
            </w:r>
          </w:p>
        </w:tc>
        <w:tc>
          <w:tcPr>
            <w:tcW w:w="2125" w:type="dxa"/>
            <w:gridSpan w:val="2"/>
            <w:vAlign w:val="center"/>
          </w:tcPr>
          <w:p>
            <w:pPr>
              <w:spacing w:line="360" w:lineRule="auto"/>
              <w:jc w:val="cente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0"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注册资金</w:t>
            </w:r>
          </w:p>
        </w:tc>
        <w:tc>
          <w:tcPr>
            <w:tcW w:w="1918" w:type="dxa"/>
            <w:gridSpan w:val="2"/>
            <w:vAlign w:val="center"/>
          </w:tcPr>
          <w:p>
            <w:pPr>
              <w:spacing w:line="360" w:lineRule="auto"/>
              <w:jc w:val="center"/>
              <w:rPr>
                <w:rFonts w:ascii="宋体" w:hAnsi="宋体" w:cs="宋体"/>
                <w:color w:val="auto"/>
                <w:sz w:val="24"/>
                <w:szCs w:val="24"/>
              </w:rPr>
            </w:pPr>
          </w:p>
        </w:tc>
        <w:tc>
          <w:tcPr>
            <w:tcW w:w="876" w:type="dxa"/>
            <w:vMerge w:val="continue"/>
            <w:vAlign w:val="center"/>
          </w:tcPr>
          <w:p>
            <w:pPr>
              <w:spacing w:line="360" w:lineRule="auto"/>
              <w:jc w:val="center"/>
              <w:rPr>
                <w:rFonts w:ascii="宋体" w:hAnsi="宋体" w:cs="宋体"/>
                <w:color w:val="auto"/>
                <w:sz w:val="24"/>
                <w:szCs w:val="24"/>
              </w:rPr>
            </w:pPr>
          </w:p>
        </w:tc>
        <w:tc>
          <w:tcPr>
            <w:tcW w:w="2254" w:type="dxa"/>
            <w:gridSpan w:val="4"/>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中级职称人员</w:t>
            </w:r>
          </w:p>
        </w:tc>
        <w:tc>
          <w:tcPr>
            <w:tcW w:w="2125" w:type="dxa"/>
            <w:gridSpan w:val="2"/>
            <w:vAlign w:val="center"/>
          </w:tcPr>
          <w:p>
            <w:pPr>
              <w:spacing w:line="360" w:lineRule="auto"/>
              <w:jc w:val="cente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0"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开户银行</w:t>
            </w:r>
          </w:p>
        </w:tc>
        <w:tc>
          <w:tcPr>
            <w:tcW w:w="1918" w:type="dxa"/>
            <w:gridSpan w:val="2"/>
            <w:vAlign w:val="center"/>
          </w:tcPr>
          <w:p>
            <w:pPr>
              <w:spacing w:line="360" w:lineRule="auto"/>
              <w:jc w:val="center"/>
              <w:rPr>
                <w:rFonts w:ascii="宋体" w:hAnsi="宋体" w:cs="宋体"/>
                <w:color w:val="auto"/>
                <w:sz w:val="24"/>
                <w:szCs w:val="24"/>
              </w:rPr>
            </w:pPr>
          </w:p>
        </w:tc>
        <w:tc>
          <w:tcPr>
            <w:tcW w:w="876" w:type="dxa"/>
            <w:vMerge w:val="continue"/>
            <w:vAlign w:val="center"/>
          </w:tcPr>
          <w:p>
            <w:pPr>
              <w:spacing w:line="360" w:lineRule="auto"/>
              <w:jc w:val="center"/>
              <w:rPr>
                <w:rFonts w:ascii="宋体" w:hAnsi="宋体" w:cs="宋体"/>
                <w:color w:val="auto"/>
                <w:sz w:val="24"/>
                <w:szCs w:val="24"/>
              </w:rPr>
            </w:pPr>
          </w:p>
        </w:tc>
        <w:tc>
          <w:tcPr>
            <w:tcW w:w="2254" w:type="dxa"/>
            <w:gridSpan w:val="4"/>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初级职称人员</w:t>
            </w:r>
          </w:p>
        </w:tc>
        <w:tc>
          <w:tcPr>
            <w:tcW w:w="2125" w:type="dxa"/>
            <w:gridSpan w:val="2"/>
            <w:vAlign w:val="center"/>
          </w:tcPr>
          <w:p>
            <w:pPr>
              <w:spacing w:line="360" w:lineRule="auto"/>
              <w:jc w:val="cente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0"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账号</w:t>
            </w:r>
          </w:p>
        </w:tc>
        <w:tc>
          <w:tcPr>
            <w:tcW w:w="1918" w:type="dxa"/>
            <w:gridSpan w:val="2"/>
            <w:vAlign w:val="center"/>
          </w:tcPr>
          <w:p>
            <w:pPr>
              <w:spacing w:line="360" w:lineRule="auto"/>
              <w:jc w:val="center"/>
              <w:rPr>
                <w:rFonts w:ascii="宋体" w:hAnsi="宋体" w:cs="宋体"/>
                <w:color w:val="auto"/>
                <w:sz w:val="24"/>
                <w:szCs w:val="24"/>
              </w:rPr>
            </w:pPr>
          </w:p>
        </w:tc>
        <w:tc>
          <w:tcPr>
            <w:tcW w:w="876" w:type="dxa"/>
            <w:vMerge w:val="continue"/>
            <w:vAlign w:val="center"/>
          </w:tcPr>
          <w:p>
            <w:pPr>
              <w:spacing w:line="360" w:lineRule="auto"/>
              <w:jc w:val="center"/>
              <w:rPr>
                <w:rFonts w:ascii="宋体" w:hAnsi="宋体" w:cs="宋体"/>
                <w:color w:val="auto"/>
                <w:sz w:val="24"/>
                <w:szCs w:val="24"/>
              </w:rPr>
            </w:pPr>
          </w:p>
        </w:tc>
        <w:tc>
          <w:tcPr>
            <w:tcW w:w="2254" w:type="dxa"/>
            <w:gridSpan w:val="4"/>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技工</w:t>
            </w:r>
          </w:p>
        </w:tc>
        <w:tc>
          <w:tcPr>
            <w:tcW w:w="2125" w:type="dxa"/>
            <w:gridSpan w:val="2"/>
            <w:vAlign w:val="center"/>
          </w:tcPr>
          <w:p>
            <w:pPr>
              <w:spacing w:line="360" w:lineRule="auto"/>
              <w:jc w:val="cente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jc w:val="center"/>
        </w:trPr>
        <w:tc>
          <w:tcPr>
            <w:tcW w:w="2270"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经营范围</w:t>
            </w:r>
          </w:p>
        </w:tc>
        <w:tc>
          <w:tcPr>
            <w:tcW w:w="7173" w:type="dxa"/>
            <w:gridSpan w:val="9"/>
            <w:vAlign w:val="center"/>
          </w:tcPr>
          <w:p>
            <w:pPr>
              <w:spacing w:line="360" w:lineRule="auto"/>
              <w:jc w:val="cente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0"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备注</w:t>
            </w:r>
          </w:p>
        </w:tc>
        <w:tc>
          <w:tcPr>
            <w:tcW w:w="7173" w:type="dxa"/>
            <w:gridSpan w:val="9"/>
            <w:vAlign w:val="center"/>
          </w:tcPr>
          <w:p>
            <w:pPr>
              <w:spacing w:line="360" w:lineRule="auto"/>
              <w:jc w:val="center"/>
              <w:rPr>
                <w:rFonts w:ascii="宋体" w:hAnsi="宋体" w:cs="宋体"/>
                <w:color w:val="auto"/>
                <w:sz w:val="24"/>
                <w:szCs w:val="24"/>
              </w:rPr>
            </w:pPr>
          </w:p>
        </w:tc>
      </w:tr>
    </w:tbl>
    <w:p>
      <w:pPr>
        <w:widowControl/>
        <w:spacing w:line="360" w:lineRule="atLeast"/>
        <w:jc w:val="center"/>
        <w:outlineLvl w:val="1"/>
        <w:rPr>
          <w:rFonts w:ascii="黑体" w:hAnsi="黑体" w:eastAsia="黑体" w:cs="黑体"/>
          <w:color w:val="auto"/>
          <w:sz w:val="32"/>
          <w:szCs w:val="32"/>
        </w:rPr>
      </w:pPr>
    </w:p>
    <w:p>
      <w:pPr>
        <w:snapToGrid w:val="0"/>
        <w:spacing w:line="360" w:lineRule="auto"/>
        <w:ind w:firstLine="472" w:firstLineChars="147"/>
        <w:jc w:val="center"/>
        <w:rPr>
          <w:rFonts w:ascii="宋体" w:hAnsi="宋体"/>
          <w:b/>
          <w:color w:val="auto"/>
          <w:sz w:val="32"/>
        </w:rPr>
      </w:pPr>
    </w:p>
    <w:p>
      <w:pPr>
        <w:spacing w:line="360" w:lineRule="auto"/>
        <w:jc w:val="both"/>
        <w:rPr>
          <w:rFonts w:ascii="黑体" w:hAnsi="黑体" w:eastAsia="黑体" w:cs="黑体"/>
          <w:color w:val="auto"/>
          <w:sz w:val="32"/>
          <w:szCs w:val="32"/>
        </w:rPr>
      </w:pPr>
    </w:p>
    <w:p>
      <w:pPr>
        <w:spacing w:line="360" w:lineRule="auto"/>
        <w:ind w:firstLine="640" w:firstLineChars="200"/>
        <w:jc w:val="center"/>
        <w:rPr>
          <w:rFonts w:ascii="黑体" w:hAnsi="黑体" w:eastAsia="黑体" w:cs="黑体"/>
          <w:color w:val="auto"/>
          <w:sz w:val="32"/>
          <w:szCs w:val="32"/>
        </w:rPr>
      </w:pPr>
      <w:r>
        <w:rPr>
          <w:rFonts w:hint="eastAsia" w:ascii="黑体" w:hAnsi="黑体" w:eastAsia="黑体" w:cs="黑体"/>
          <w:color w:val="auto"/>
          <w:sz w:val="32"/>
          <w:szCs w:val="32"/>
          <w:lang w:val="en-US" w:eastAsia="zh-CN"/>
        </w:rPr>
        <w:t>八</w:t>
      </w:r>
      <w:r>
        <w:rPr>
          <w:rFonts w:hint="eastAsia" w:ascii="黑体" w:hAnsi="黑体" w:eastAsia="黑体" w:cs="黑体"/>
          <w:color w:val="auto"/>
          <w:sz w:val="32"/>
          <w:szCs w:val="32"/>
        </w:rPr>
        <w:t>、政府采购活动信用记录自查承诺函</w:t>
      </w:r>
    </w:p>
    <w:p>
      <w:pPr>
        <w:spacing w:line="360" w:lineRule="auto"/>
        <w:jc w:val="left"/>
        <w:outlineLvl w:val="1"/>
        <w:rPr>
          <w:rFonts w:ascii="仿宋" w:hAnsi="仿宋" w:eastAsia="仿宋" w:cs="仿宋"/>
          <w:color w:val="auto"/>
          <w:sz w:val="24"/>
        </w:rPr>
      </w:pPr>
    </w:p>
    <w:p>
      <w:pPr>
        <w:spacing w:line="440" w:lineRule="exact"/>
        <w:rPr>
          <w:rFonts w:ascii="宋体" w:hAnsi="宋体" w:cs="宋体"/>
          <w:color w:val="auto"/>
          <w:sz w:val="24"/>
          <w:lang w:val="zh-CN"/>
        </w:rPr>
      </w:pPr>
      <w:r>
        <w:rPr>
          <w:rFonts w:hint="eastAsia" w:ascii="宋体" w:hAnsi="宋体" w:cs="宋体"/>
          <w:color w:val="auto"/>
          <w:sz w:val="24"/>
          <w:lang w:val="zh-CN"/>
        </w:rPr>
        <w:t>海南政辉招投标代理有限公司：</w:t>
      </w:r>
    </w:p>
    <w:p>
      <w:pPr>
        <w:spacing w:line="440" w:lineRule="exact"/>
        <w:ind w:firstLine="480" w:firstLineChars="200"/>
        <w:rPr>
          <w:rFonts w:ascii="宋体" w:hAnsi="宋体" w:cs="宋体"/>
          <w:color w:val="auto"/>
          <w:sz w:val="24"/>
          <w:lang w:val="zh-CN"/>
        </w:rPr>
      </w:pPr>
      <w:r>
        <w:rPr>
          <w:rFonts w:hint="eastAsia" w:ascii="宋体" w:hAnsi="宋体" w:cs="宋体"/>
          <w:color w:val="auto"/>
          <w:sz w:val="24"/>
          <w:lang w:val="zh-CN"/>
        </w:rPr>
        <w:t>关于本公司（企业）信用情况，经对“信用中国”网站（www.creditchina.gov.cn）中企业信用信息、中国政府采购网（www.ccgp.gov.cn）中“政府采购严重违法失信行为信息记录”的网上查询，截至规定的磋商截止时间，我公司（企业）没有被列入失信被执行人、重大税收违法案件当事人名单、政府采购严重违法失信行为记录名单中。采购人或采购代理机构有权在本项目评审活动结束前对我公司（企业）的信用记录的真实性和有效性进行审查、验证，如我公司（企业）有被列入失信被执行人、重大税收违法案件当事人名单、政府采购严重违法失信行为记录名单中，将作不合格供应商处理。</w:t>
      </w:r>
    </w:p>
    <w:p>
      <w:pPr>
        <w:spacing w:line="440" w:lineRule="exact"/>
        <w:ind w:firstLine="480" w:firstLineChars="200"/>
        <w:rPr>
          <w:rFonts w:ascii="宋体" w:hAnsi="宋体" w:cs="宋体"/>
          <w:color w:val="auto"/>
          <w:sz w:val="24"/>
          <w:lang w:val="zh-CN"/>
        </w:rPr>
      </w:pPr>
    </w:p>
    <w:p>
      <w:pPr>
        <w:spacing w:line="440" w:lineRule="exact"/>
        <w:ind w:firstLine="480" w:firstLineChars="200"/>
        <w:rPr>
          <w:rFonts w:ascii="宋体" w:hAnsi="宋体" w:cs="宋体"/>
          <w:color w:val="auto"/>
          <w:sz w:val="24"/>
          <w:lang w:val="zh-CN"/>
        </w:rPr>
      </w:pPr>
    </w:p>
    <w:p>
      <w:pPr>
        <w:spacing w:line="440" w:lineRule="exact"/>
        <w:ind w:firstLine="480" w:firstLineChars="200"/>
        <w:rPr>
          <w:rFonts w:ascii="宋体" w:hAnsi="宋体" w:cs="宋体"/>
          <w:color w:val="auto"/>
          <w:sz w:val="24"/>
          <w:lang w:val="zh-CN"/>
        </w:rPr>
      </w:pPr>
      <w:r>
        <w:rPr>
          <w:rFonts w:hint="eastAsia" w:ascii="宋体" w:hAnsi="宋体" w:cs="宋体"/>
          <w:color w:val="auto"/>
          <w:sz w:val="24"/>
          <w:lang w:val="zh-CN"/>
        </w:rPr>
        <w:t>特此承诺！</w:t>
      </w:r>
    </w:p>
    <w:p>
      <w:pPr>
        <w:spacing w:line="440" w:lineRule="exact"/>
        <w:ind w:firstLine="480" w:firstLineChars="200"/>
        <w:rPr>
          <w:rFonts w:ascii="宋体" w:hAnsi="宋体" w:cs="宋体"/>
          <w:color w:val="auto"/>
          <w:sz w:val="24"/>
          <w:lang w:val="zh-CN"/>
        </w:rPr>
      </w:pPr>
      <w:r>
        <w:rPr>
          <w:rFonts w:hint="eastAsia" w:ascii="宋体" w:hAnsi="宋体" w:cs="宋体"/>
          <w:color w:val="auto"/>
          <w:sz w:val="24"/>
          <w:lang w:val="zh-CN"/>
        </w:rPr>
        <w:t>相关资格证明材料如下（均提供网站截图加盖公章）：</w:t>
      </w:r>
    </w:p>
    <w:p>
      <w:pPr>
        <w:spacing w:line="440" w:lineRule="exact"/>
        <w:ind w:firstLine="480" w:firstLineChars="200"/>
        <w:rPr>
          <w:rFonts w:ascii="宋体" w:hAnsi="宋体" w:cs="宋体"/>
          <w:color w:val="auto"/>
          <w:sz w:val="24"/>
          <w:lang w:val="zh-CN"/>
        </w:rPr>
      </w:pPr>
      <w:r>
        <w:rPr>
          <w:rFonts w:hint="eastAsia" w:ascii="宋体" w:hAnsi="宋体" w:cs="宋体"/>
          <w:color w:val="auto"/>
          <w:sz w:val="24"/>
          <w:lang w:val="zh-CN"/>
        </w:rPr>
        <w:t>附件</w:t>
      </w:r>
      <w:r>
        <w:rPr>
          <w:rFonts w:hint="eastAsia" w:ascii="宋体" w:hAnsi="宋体" w:cs="宋体"/>
          <w:color w:val="auto"/>
          <w:sz w:val="24"/>
        </w:rPr>
        <w:t>1：</w:t>
      </w:r>
      <w:r>
        <w:rPr>
          <w:rFonts w:hint="eastAsia" w:ascii="宋体" w:hAnsi="宋体" w:cs="宋体"/>
          <w:color w:val="auto"/>
          <w:sz w:val="24"/>
          <w:lang w:val="zh-CN"/>
        </w:rPr>
        <w:t>“信用中国”网站没有被列入失信被执行人、重大税收违法案件当事人名单、政府采购严重违法失信行为记录名单中截图证明；</w:t>
      </w:r>
    </w:p>
    <w:p>
      <w:pPr>
        <w:spacing w:line="440" w:lineRule="exact"/>
        <w:ind w:firstLine="480" w:firstLineChars="200"/>
        <w:rPr>
          <w:rFonts w:ascii="宋体" w:hAnsi="宋体" w:cs="宋体"/>
          <w:color w:val="auto"/>
          <w:sz w:val="24"/>
          <w:lang w:val="zh-CN"/>
        </w:rPr>
      </w:pPr>
      <w:r>
        <w:rPr>
          <w:rFonts w:hint="eastAsia" w:ascii="宋体" w:hAnsi="宋体" w:cs="宋体"/>
          <w:color w:val="auto"/>
          <w:sz w:val="24"/>
          <w:lang w:val="zh-CN"/>
        </w:rPr>
        <w:t>附件</w:t>
      </w:r>
      <w:r>
        <w:rPr>
          <w:rFonts w:hint="eastAsia" w:ascii="宋体" w:hAnsi="宋体" w:cs="宋体"/>
          <w:color w:val="auto"/>
          <w:sz w:val="24"/>
        </w:rPr>
        <w:t>2：</w:t>
      </w:r>
      <w:r>
        <w:rPr>
          <w:rFonts w:hint="eastAsia" w:ascii="宋体" w:hAnsi="宋体" w:cs="宋体"/>
          <w:color w:val="auto"/>
          <w:sz w:val="24"/>
          <w:lang w:val="zh-CN"/>
        </w:rPr>
        <w:t>中国政府采购网（www.ccgp.gov.cn）中“政府采购严重违法失信行为信息记录”截图证明。</w:t>
      </w:r>
    </w:p>
    <w:p>
      <w:pPr>
        <w:spacing w:line="440" w:lineRule="exact"/>
        <w:ind w:firstLine="480" w:firstLineChars="200"/>
        <w:rPr>
          <w:rFonts w:ascii="宋体" w:hAnsi="宋体" w:cs="宋体"/>
          <w:color w:val="auto"/>
          <w:sz w:val="24"/>
          <w:lang w:val="zh-CN"/>
        </w:rPr>
      </w:pPr>
      <w:r>
        <w:rPr>
          <w:rFonts w:hint="eastAsia" w:ascii="宋体" w:hAnsi="宋体" w:cs="宋体"/>
          <w:color w:val="auto"/>
          <w:sz w:val="24"/>
          <w:lang w:val="zh-CN"/>
        </w:rPr>
        <w:t>响应代表（签字）：</w:t>
      </w:r>
    </w:p>
    <w:p>
      <w:pPr>
        <w:spacing w:line="440" w:lineRule="exact"/>
        <w:ind w:firstLine="480" w:firstLineChars="200"/>
        <w:rPr>
          <w:rFonts w:ascii="宋体" w:hAnsi="宋体" w:cs="宋体"/>
          <w:color w:val="auto"/>
          <w:sz w:val="24"/>
          <w:lang w:val="zh-CN"/>
        </w:rPr>
      </w:pPr>
      <w:r>
        <w:rPr>
          <w:rFonts w:hint="eastAsia" w:ascii="宋体" w:hAnsi="宋体" w:cs="宋体"/>
          <w:color w:val="auto"/>
          <w:sz w:val="24"/>
          <w:lang w:val="zh-CN"/>
        </w:rPr>
        <w:t>供应商名称（加盖公章）：</w:t>
      </w:r>
    </w:p>
    <w:p>
      <w:pPr>
        <w:spacing w:line="440" w:lineRule="exact"/>
        <w:ind w:firstLine="480" w:firstLineChars="200"/>
        <w:rPr>
          <w:rFonts w:ascii="宋体" w:hAnsi="宋体" w:cs="宋体"/>
          <w:color w:val="auto"/>
          <w:sz w:val="24"/>
          <w:lang w:val="zh-CN"/>
        </w:rPr>
      </w:pPr>
      <w:r>
        <w:rPr>
          <w:rFonts w:hint="eastAsia" w:ascii="宋体" w:hAnsi="宋体" w:cs="宋体"/>
          <w:color w:val="auto"/>
          <w:sz w:val="24"/>
          <w:lang w:val="zh-CN"/>
        </w:rPr>
        <w:t>日    期：   年   月  日</w:t>
      </w:r>
    </w:p>
    <w:p>
      <w:pPr>
        <w:widowControl/>
        <w:spacing w:line="360" w:lineRule="atLeast"/>
        <w:jc w:val="center"/>
        <w:outlineLvl w:val="1"/>
        <w:rPr>
          <w:rFonts w:ascii="宋体" w:hAnsi="宋体" w:cs="宋体"/>
          <w:b/>
          <w:color w:val="auto"/>
          <w:kern w:val="0"/>
          <w:sz w:val="32"/>
          <w:szCs w:val="32"/>
        </w:rPr>
      </w:pPr>
    </w:p>
    <w:p>
      <w:pPr>
        <w:widowControl/>
        <w:spacing w:line="360" w:lineRule="atLeast"/>
        <w:jc w:val="center"/>
        <w:outlineLvl w:val="1"/>
        <w:rPr>
          <w:rFonts w:ascii="宋体" w:hAnsi="宋体" w:cs="宋体"/>
          <w:b/>
          <w:color w:val="auto"/>
          <w:kern w:val="0"/>
          <w:sz w:val="32"/>
          <w:szCs w:val="32"/>
        </w:rPr>
      </w:pPr>
    </w:p>
    <w:p>
      <w:pPr>
        <w:widowControl/>
        <w:spacing w:line="360" w:lineRule="atLeast"/>
        <w:jc w:val="center"/>
        <w:outlineLvl w:val="1"/>
        <w:rPr>
          <w:rFonts w:ascii="宋体" w:hAnsi="宋体" w:cs="宋体"/>
          <w:b/>
          <w:color w:val="auto"/>
          <w:kern w:val="0"/>
          <w:sz w:val="32"/>
          <w:szCs w:val="32"/>
        </w:rPr>
      </w:pPr>
    </w:p>
    <w:p>
      <w:pPr>
        <w:jc w:val="both"/>
        <w:rPr>
          <w:rFonts w:hint="eastAsia" w:ascii="宋体" w:hAnsi="宋体"/>
          <w:b/>
          <w:color w:val="auto"/>
          <w:sz w:val="36"/>
          <w:szCs w:val="36"/>
          <w:lang w:val="en-US" w:eastAsia="zh-CN"/>
        </w:rPr>
      </w:pPr>
      <w:bookmarkStart w:id="98" w:name="_Toc1660553"/>
    </w:p>
    <w:p>
      <w:pPr>
        <w:jc w:val="both"/>
        <w:rPr>
          <w:rFonts w:hint="eastAsia" w:ascii="宋体" w:hAnsi="宋体"/>
          <w:b/>
          <w:color w:val="auto"/>
          <w:sz w:val="36"/>
          <w:szCs w:val="36"/>
          <w:lang w:val="en-US" w:eastAsia="zh-CN"/>
        </w:rPr>
      </w:pPr>
    </w:p>
    <w:p>
      <w:pPr>
        <w:spacing w:line="360" w:lineRule="auto"/>
        <w:ind w:firstLine="640" w:firstLineChars="200"/>
        <w:jc w:val="center"/>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九</w:t>
      </w:r>
      <w:r>
        <w:rPr>
          <w:rFonts w:hint="eastAsia" w:ascii="黑体" w:hAnsi="黑体" w:eastAsia="黑体" w:cs="黑体"/>
          <w:color w:val="auto"/>
          <w:sz w:val="32"/>
          <w:szCs w:val="32"/>
        </w:rPr>
        <w:t>、中小企业声明函</w:t>
      </w:r>
    </w:p>
    <w:p>
      <w:pPr>
        <w:spacing w:line="588" w:lineRule="exact"/>
        <w:rPr>
          <w:rFonts w:ascii="宋体" w:hAnsi="宋体"/>
          <w:b/>
          <w:color w:val="auto"/>
          <w:spacing w:val="6"/>
          <w:sz w:val="24"/>
        </w:rPr>
      </w:pPr>
    </w:p>
    <w:p>
      <w:pPr>
        <w:spacing w:line="588" w:lineRule="exact"/>
        <w:ind w:firstLine="504" w:firstLineChars="200"/>
        <w:rPr>
          <w:rFonts w:ascii="宋体" w:hAnsi="宋体"/>
          <w:color w:val="auto"/>
          <w:spacing w:val="6"/>
          <w:sz w:val="24"/>
        </w:rPr>
      </w:pPr>
      <w:r>
        <w:rPr>
          <w:rFonts w:hint="eastAsia" w:ascii="宋体" w:hAnsi="宋体"/>
          <w:color w:val="auto"/>
          <w:spacing w:val="6"/>
          <w:sz w:val="24"/>
        </w:rPr>
        <w:t>本公司郑重声明，根据《政府采购促进中小企业发展暂行办法》（财库[2011]181号）的规定，本公司为</w:t>
      </w:r>
      <w:bookmarkStart w:id="99" w:name="OLE_LINK2"/>
      <w:r>
        <w:rPr>
          <w:rFonts w:hint="eastAsia" w:ascii="宋体" w:hAnsi="宋体"/>
          <w:color w:val="auto"/>
          <w:spacing w:val="6"/>
          <w:sz w:val="24"/>
          <w:u w:val="single"/>
        </w:rPr>
        <w:t xml:space="preserve">         </w:t>
      </w:r>
      <w:r>
        <w:rPr>
          <w:rFonts w:hint="eastAsia" w:ascii="宋体" w:hAnsi="宋体"/>
          <w:color w:val="auto"/>
          <w:spacing w:val="6"/>
          <w:sz w:val="24"/>
        </w:rPr>
        <w:t>（请填写：中型、小型、微型）企业</w:t>
      </w:r>
      <w:bookmarkEnd w:id="99"/>
      <w:r>
        <w:rPr>
          <w:rFonts w:hint="eastAsia" w:ascii="宋体" w:hAnsi="宋体"/>
          <w:color w:val="auto"/>
          <w:spacing w:val="6"/>
          <w:sz w:val="24"/>
        </w:rPr>
        <w:t>。即，本公司同时满足以下条件：</w:t>
      </w:r>
    </w:p>
    <w:p>
      <w:pPr>
        <w:spacing w:line="588" w:lineRule="exact"/>
        <w:ind w:firstLine="504" w:firstLineChars="200"/>
        <w:rPr>
          <w:rFonts w:ascii="宋体" w:hAnsi="宋体"/>
          <w:color w:val="auto"/>
          <w:spacing w:val="6"/>
          <w:sz w:val="24"/>
        </w:rPr>
      </w:pPr>
      <w:r>
        <w:rPr>
          <w:rFonts w:hint="eastAsia" w:ascii="宋体" w:hAnsi="宋体"/>
          <w:color w:val="auto"/>
          <w:spacing w:val="6"/>
          <w:sz w:val="24"/>
        </w:rPr>
        <w:t>1.根据《工业和信息化部、国家统计局、国家发展和改革委员会、财政部关于印发中小企业划型标准规定的通知》（工信部联企业[2011]300号）规定的划分标准，本公司为</w:t>
      </w:r>
      <w:r>
        <w:rPr>
          <w:rFonts w:hint="eastAsia" w:ascii="宋体" w:hAnsi="宋体"/>
          <w:color w:val="auto"/>
          <w:spacing w:val="6"/>
          <w:sz w:val="24"/>
          <w:u w:val="single"/>
        </w:rPr>
        <w:t xml:space="preserve">      </w:t>
      </w:r>
      <w:r>
        <w:rPr>
          <w:rFonts w:hint="eastAsia" w:ascii="宋体" w:hAnsi="宋体"/>
          <w:color w:val="auto"/>
          <w:spacing w:val="6"/>
          <w:sz w:val="24"/>
        </w:rPr>
        <w:t>（请填写：中型、小型、微型）企业。</w:t>
      </w:r>
    </w:p>
    <w:p>
      <w:pPr>
        <w:spacing w:line="588" w:lineRule="exact"/>
        <w:ind w:firstLine="504" w:firstLineChars="200"/>
        <w:rPr>
          <w:rFonts w:ascii="宋体" w:hAnsi="宋体"/>
          <w:color w:val="auto"/>
          <w:spacing w:val="6"/>
          <w:sz w:val="24"/>
        </w:rPr>
      </w:pPr>
      <w:r>
        <w:rPr>
          <w:rFonts w:hint="eastAsia" w:ascii="宋体" w:hAnsi="宋体"/>
          <w:color w:val="auto"/>
          <w:spacing w:val="6"/>
          <w:sz w:val="24"/>
        </w:rPr>
        <w:t>2.本公司参加</w:t>
      </w:r>
      <w:r>
        <w:rPr>
          <w:rFonts w:hint="eastAsia" w:ascii="宋体" w:hAnsi="宋体"/>
          <w:color w:val="auto"/>
          <w:spacing w:val="6"/>
          <w:sz w:val="24"/>
          <w:u w:val="single"/>
        </w:rPr>
        <w:t xml:space="preserve">     </w:t>
      </w:r>
      <w:r>
        <w:rPr>
          <w:rFonts w:hint="eastAsia" w:ascii="宋体" w:hAnsi="宋体"/>
          <w:color w:val="auto"/>
          <w:spacing w:val="6"/>
          <w:sz w:val="24"/>
        </w:rPr>
        <w:t>单位的</w:t>
      </w:r>
      <w:r>
        <w:rPr>
          <w:rFonts w:hint="eastAsia" w:ascii="宋体" w:hAnsi="宋体"/>
          <w:color w:val="auto"/>
          <w:spacing w:val="6"/>
          <w:sz w:val="24"/>
          <w:u w:val="single"/>
        </w:rPr>
        <w:t xml:space="preserve">     </w:t>
      </w:r>
      <w:r>
        <w:rPr>
          <w:rFonts w:hint="eastAsia" w:ascii="宋体" w:hAnsi="宋体"/>
          <w:color w:val="auto"/>
          <w:spacing w:val="6"/>
          <w:sz w:val="24"/>
        </w:rPr>
        <w:t>项目采购活动提供本企业制造的货物，由本企业承担工程、提供服务，或者提供其他</w:t>
      </w:r>
      <w:r>
        <w:rPr>
          <w:rFonts w:hint="eastAsia" w:ascii="宋体" w:hAnsi="宋体"/>
          <w:color w:val="auto"/>
          <w:spacing w:val="6"/>
          <w:sz w:val="24"/>
          <w:u w:val="single"/>
        </w:rPr>
        <w:t xml:space="preserve">     </w:t>
      </w:r>
      <w:r>
        <w:rPr>
          <w:rFonts w:hint="eastAsia" w:ascii="宋体" w:hAnsi="宋体"/>
          <w:color w:val="auto"/>
          <w:spacing w:val="6"/>
          <w:sz w:val="24"/>
        </w:rPr>
        <w:t>（请填写：中型、小型、微型）企业制造的货物。本条所称货物不包括使用大型企业注册商标的货物。</w:t>
      </w:r>
    </w:p>
    <w:p>
      <w:pPr>
        <w:spacing w:line="588" w:lineRule="exact"/>
        <w:ind w:firstLine="504" w:firstLineChars="200"/>
        <w:rPr>
          <w:rFonts w:ascii="宋体" w:hAnsi="宋体"/>
          <w:color w:val="auto"/>
          <w:spacing w:val="6"/>
          <w:sz w:val="24"/>
        </w:rPr>
      </w:pPr>
      <w:r>
        <w:rPr>
          <w:rFonts w:hint="eastAsia" w:ascii="宋体" w:hAnsi="宋体"/>
          <w:color w:val="auto"/>
          <w:spacing w:val="6"/>
          <w:sz w:val="24"/>
        </w:rPr>
        <w:t>本公司对上述声明的真实性负责。如有虚假，将依法承担相应责任。</w:t>
      </w:r>
    </w:p>
    <w:p>
      <w:pPr>
        <w:spacing w:line="588" w:lineRule="exact"/>
        <w:ind w:firstLine="504" w:firstLineChars="200"/>
        <w:rPr>
          <w:rFonts w:ascii="宋体" w:hAnsi="宋体"/>
          <w:color w:val="auto"/>
          <w:spacing w:val="6"/>
          <w:sz w:val="24"/>
        </w:rPr>
      </w:pPr>
    </w:p>
    <w:p>
      <w:pPr>
        <w:spacing w:line="588" w:lineRule="exact"/>
        <w:ind w:firstLine="504" w:firstLineChars="200"/>
        <w:rPr>
          <w:rFonts w:ascii="宋体" w:hAnsi="宋体"/>
          <w:color w:val="auto"/>
          <w:spacing w:val="6"/>
          <w:sz w:val="24"/>
        </w:rPr>
      </w:pPr>
    </w:p>
    <w:p>
      <w:pPr>
        <w:tabs>
          <w:tab w:val="left" w:pos="4860"/>
        </w:tabs>
        <w:spacing w:line="588" w:lineRule="exact"/>
        <w:ind w:right="1560" w:firstLine="504" w:firstLineChars="200"/>
        <w:jc w:val="center"/>
        <w:rPr>
          <w:rFonts w:ascii="宋体" w:hAnsi="宋体"/>
          <w:color w:val="auto"/>
          <w:spacing w:val="6"/>
          <w:sz w:val="24"/>
        </w:rPr>
      </w:pPr>
      <w:r>
        <w:rPr>
          <w:rFonts w:hint="eastAsia" w:ascii="宋体" w:hAnsi="宋体"/>
          <w:color w:val="auto"/>
          <w:spacing w:val="6"/>
          <w:sz w:val="24"/>
        </w:rPr>
        <w:t xml:space="preserve">               企业名称（盖章）： </w:t>
      </w:r>
    </w:p>
    <w:p>
      <w:pPr>
        <w:jc w:val="center"/>
        <w:outlineLvl w:val="0"/>
        <w:rPr>
          <w:rFonts w:ascii="宋体" w:hAnsi="宋体"/>
          <w:b/>
          <w:color w:val="auto"/>
          <w:sz w:val="44"/>
          <w:szCs w:val="44"/>
        </w:rPr>
      </w:pPr>
      <w:r>
        <w:rPr>
          <w:rFonts w:hint="eastAsia" w:ascii="宋体" w:hAnsi="宋体"/>
          <w:color w:val="auto"/>
          <w:spacing w:val="6"/>
          <w:sz w:val="24"/>
        </w:rPr>
        <w:t xml:space="preserve">       日  期：   </w:t>
      </w:r>
    </w:p>
    <w:p>
      <w:pPr>
        <w:widowControl/>
        <w:spacing w:line="360" w:lineRule="atLeast"/>
        <w:jc w:val="center"/>
        <w:outlineLvl w:val="1"/>
        <w:rPr>
          <w:rFonts w:ascii="宋体" w:hAnsi="宋体" w:cs="宋体"/>
          <w:b/>
          <w:color w:val="auto"/>
          <w:kern w:val="0"/>
          <w:sz w:val="32"/>
          <w:szCs w:val="32"/>
        </w:rPr>
      </w:pPr>
    </w:p>
    <w:p>
      <w:pPr>
        <w:widowControl/>
        <w:spacing w:line="360" w:lineRule="atLeast"/>
        <w:jc w:val="center"/>
        <w:outlineLvl w:val="1"/>
        <w:rPr>
          <w:rFonts w:ascii="宋体" w:hAnsi="宋体" w:cs="宋体"/>
          <w:b/>
          <w:color w:val="auto"/>
          <w:kern w:val="0"/>
          <w:sz w:val="32"/>
          <w:szCs w:val="32"/>
        </w:rPr>
      </w:pPr>
    </w:p>
    <w:p>
      <w:pPr>
        <w:widowControl/>
        <w:spacing w:line="360" w:lineRule="atLeast"/>
        <w:jc w:val="center"/>
        <w:outlineLvl w:val="1"/>
        <w:rPr>
          <w:rFonts w:ascii="宋体" w:hAnsi="宋体" w:cs="宋体"/>
          <w:b/>
          <w:color w:val="auto"/>
          <w:kern w:val="0"/>
          <w:sz w:val="32"/>
          <w:szCs w:val="32"/>
        </w:rPr>
      </w:pPr>
    </w:p>
    <w:p>
      <w:pPr>
        <w:widowControl/>
        <w:spacing w:line="360" w:lineRule="atLeast"/>
        <w:jc w:val="center"/>
        <w:outlineLvl w:val="1"/>
        <w:rPr>
          <w:rFonts w:ascii="宋体" w:hAnsi="宋体" w:cs="宋体"/>
          <w:b/>
          <w:color w:val="auto"/>
          <w:kern w:val="0"/>
          <w:sz w:val="32"/>
          <w:szCs w:val="32"/>
        </w:rPr>
      </w:pPr>
    </w:p>
    <w:p>
      <w:pPr>
        <w:widowControl/>
        <w:spacing w:line="360" w:lineRule="atLeast"/>
        <w:jc w:val="center"/>
        <w:outlineLvl w:val="1"/>
        <w:rPr>
          <w:rFonts w:ascii="宋体" w:hAnsi="宋体" w:cs="宋体"/>
          <w:b/>
          <w:color w:val="auto"/>
          <w:kern w:val="0"/>
          <w:sz w:val="32"/>
          <w:szCs w:val="32"/>
        </w:rPr>
      </w:pPr>
    </w:p>
    <w:p>
      <w:pPr>
        <w:widowControl/>
        <w:spacing w:line="360" w:lineRule="atLeast"/>
        <w:jc w:val="center"/>
        <w:outlineLvl w:val="1"/>
        <w:rPr>
          <w:rFonts w:ascii="宋体" w:hAnsi="宋体" w:cs="宋体"/>
          <w:b/>
          <w:color w:val="auto"/>
          <w:kern w:val="0"/>
          <w:sz w:val="32"/>
          <w:szCs w:val="32"/>
        </w:rPr>
      </w:pPr>
    </w:p>
    <w:p>
      <w:pPr>
        <w:widowControl/>
        <w:spacing w:line="360" w:lineRule="atLeast"/>
        <w:jc w:val="center"/>
        <w:outlineLvl w:val="1"/>
        <w:rPr>
          <w:rFonts w:ascii="宋体" w:hAnsi="宋体" w:cs="宋体"/>
          <w:b/>
          <w:color w:val="auto"/>
          <w:kern w:val="0"/>
          <w:sz w:val="32"/>
          <w:szCs w:val="32"/>
        </w:rPr>
      </w:pPr>
    </w:p>
    <w:p>
      <w:pPr>
        <w:widowControl/>
        <w:spacing w:line="360" w:lineRule="atLeast"/>
        <w:jc w:val="center"/>
        <w:outlineLvl w:val="1"/>
        <w:rPr>
          <w:rFonts w:ascii="宋体" w:hAnsi="宋体" w:cs="宋体"/>
          <w:b/>
          <w:color w:val="auto"/>
          <w:sz w:val="32"/>
          <w:szCs w:val="32"/>
        </w:rPr>
      </w:pPr>
      <w:r>
        <w:rPr>
          <w:rFonts w:hint="eastAsia" w:ascii="宋体" w:hAnsi="宋体" w:cs="宋体"/>
          <w:b/>
          <w:color w:val="auto"/>
          <w:kern w:val="0"/>
          <w:sz w:val="32"/>
          <w:szCs w:val="32"/>
          <w:lang w:val="en-US" w:eastAsia="zh-CN"/>
        </w:rPr>
        <w:t>十</w:t>
      </w:r>
      <w:r>
        <w:rPr>
          <w:rFonts w:hint="eastAsia" w:ascii="宋体" w:hAnsi="宋体" w:cs="宋体"/>
          <w:b/>
          <w:color w:val="auto"/>
          <w:kern w:val="0"/>
          <w:sz w:val="32"/>
          <w:szCs w:val="32"/>
        </w:rPr>
        <w:t>、中小企业（监狱企业）声明函</w:t>
      </w:r>
      <w:bookmarkEnd w:id="98"/>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本公司郑重声明，根据《政府采购促进中小企业发展暂行办法》（财库〔2011〕181号）或《政府采购支持监狱企业发展有关问题的通知》（财库〔2014〕68号）的规定，本公司为______（请填写：中型、小型、微型或监狱）企业。即，本公司同时满足以下条件：</w:t>
      </w:r>
      <w:r>
        <w:rPr>
          <w:rFonts w:hint="eastAsia" w:ascii="宋体" w:hAnsi="宋体" w:cs="宋体"/>
          <w:color w:val="auto"/>
          <w:sz w:val="24"/>
        </w:rPr>
        <w:br w:type="textWrapping"/>
      </w:r>
      <w:r>
        <w:rPr>
          <w:rFonts w:hint="eastAsia" w:ascii="宋体" w:hAnsi="宋体" w:cs="宋体"/>
          <w:color w:val="auto"/>
          <w:sz w:val="24"/>
        </w:rPr>
        <w:t>　　1.根据《工业和信息化部、国家统计局、国家发展和改革委员会、财政部关于印发中小企业划型标准规定的通知》（工信部联企业〔2011〕300号）或《政府采购支持监狱企业发展有关问题的通知》（财库〔2014〕68号）规定的划分标准，本公司为______（请填写：中型、小型、微型或监狱）企业。</w:t>
      </w:r>
      <w:r>
        <w:rPr>
          <w:rFonts w:hint="eastAsia" w:ascii="宋体" w:hAnsi="宋体" w:cs="宋体"/>
          <w:color w:val="auto"/>
          <w:sz w:val="24"/>
        </w:rPr>
        <w:br w:type="textWrapping"/>
      </w:r>
      <w:r>
        <w:rPr>
          <w:rFonts w:hint="eastAsia" w:ascii="宋体" w:hAnsi="宋体" w:cs="宋体"/>
          <w:color w:val="auto"/>
          <w:sz w:val="24"/>
        </w:rPr>
        <w:t>　　2.本公司参加______单位的______项目采购活动提供本企业制造的货物及服务，由本企业承担工程、提供服务，或者提供其他______（请填写：中型、小型、微型或监狱）企业制造的货物。本条所称货物不包括使用大型企业注册商标的货物。</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 xml:space="preserve">3、提供中华人民共和国工商行政管理总局官网上“小微企业名录”查询截图（ </w:t>
      </w:r>
      <w:r>
        <w:rPr>
          <w:rFonts w:hint="eastAsia" w:ascii="宋体" w:hAnsi="宋体" w:cs="宋体"/>
          <w:color w:val="auto"/>
          <w:sz w:val="24"/>
        </w:rPr>
        <w:fldChar w:fldCharType="begin"/>
      </w:r>
      <w:r>
        <w:rPr>
          <w:rFonts w:hint="eastAsia" w:ascii="宋体" w:hAnsi="宋体" w:cs="宋体"/>
          <w:color w:val="auto"/>
          <w:sz w:val="24"/>
        </w:rPr>
        <w:instrText xml:space="preserve"> HYPERLINK "http://xwqy.gsxt.gov.cn/））或残疾人福利性单位声明函。如不满足以上三项要求，采购代理机构一律不给予价格评审优惠政策。" </w:instrText>
      </w:r>
      <w:r>
        <w:rPr>
          <w:rFonts w:hint="eastAsia" w:ascii="宋体" w:hAnsi="宋体" w:cs="宋体"/>
          <w:color w:val="auto"/>
          <w:sz w:val="24"/>
        </w:rPr>
        <w:fldChar w:fldCharType="separate"/>
      </w:r>
      <w:r>
        <w:rPr>
          <w:rFonts w:hint="eastAsia" w:ascii="宋体" w:hAnsi="宋体" w:cs="宋体"/>
          <w:color w:val="auto"/>
          <w:sz w:val="24"/>
        </w:rPr>
        <w:t>http://xwqy.gsxt.gov.cn/）</w:t>
      </w:r>
      <w:r>
        <w:rPr>
          <w:rFonts w:hint="eastAsia" w:ascii="宋体" w:hAnsi="宋体" w:cs="宋体"/>
          <w:color w:val="auto"/>
          <w:sz w:val="24"/>
          <w:lang w:val="zh-CN"/>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fldChar w:fldCharType="end"/>
      </w:r>
      <w:r>
        <w:rPr>
          <w:rFonts w:hint="eastAsia" w:ascii="宋体" w:hAnsi="宋体" w:cs="宋体"/>
          <w:color w:val="auto"/>
          <w:sz w:val="24"/>
        </w:rPr>
        <w:br w:type="textWrapping"/>
      </w:r>
      <w:r>
        <w:rPr>
          <w:rFonts w:hint="eastAsia" w:ascii="宋体" w:hAnsi="宋体" w:cs="宋体"/>
          <w:color w:val="auto"/>
          <w:sz w:val="24"/>
        </w:rPr>
        <w:t>　　本公司对上述声明的真实性负责。如有虚假，将依法承担相应责任。</w:t>
      </w:r>
    </w:p>
    <w:p>
      <w:pPr>
        <w:spacing w:line="360" w:lineRule="auto"/>
        <w:jc w:val="left"/>
        <w:rPr>
          <w:rFonts w:ascii="宋体" w:hAnsi="宋体" w:cs="宋体"/>
          <w:b/>
          <w:bCs/>
          <w:color w:val="auto"/>
          <w:sz w:val="24"/>
        </w:rPr>
      </w:pPr>
      <w:r>
        <w:rPr>
          <w:rFonts w:hint="eastAsia" w:ascii="宋体" w:hAnsi="宋体" w:cs="宋体"/>
          <w:b/>
          <w:bCs/>
          <w:color w:val="auto"/>
          <w:sz w:val="24"/>
        </w:rPr>
        <w:t>企业名称（盖章）：</w:t>
      </w:r>
    </w:p>
    <w:p>
      <w:pPr>
        <w:spacing w:line="360" w:lineRule="auto"/>
        <w:jc w:val="left"/>
        <w:rPr>
          <w:rFonts w:ascii="宋体" w:hAnsi="宋体" w:cs="宋体"/>
          <w:b/>
          <w:bCs/>
          <w:color w:val="auto"/>
          <w:sz w:val="24"/>
        </w:rPr>
      </w:pPr>
      <w:r>
        <w:rPr>
          <w:rFonts w:hint="eastAsia" w:ascii="宋体" w:hAnsi="宋体" w:cs="宋体"/>
          <w:b/>
          <w:bCs/>
          <w:color w:val="auto"/>
          <w:sz w:val="24"/>
        </w:rPr>
        <w:t>日   期：</w:t>
      </w:r>
      <w:bookmarkStart w:id="100" w:name="_Toc387658050"/>
      <w:bookmarkStart w:id="101" w:name="_Toc417911732"/>
      <w:bookmarkStart w:id="102" w:name="_Toc387147344"/>
      <w:bookmarkStart w:id="103" w:name="_Toc413748654"/>
      <w:bookmarkStart w:id="104" w:name="_Toc419811733"/>
    </w:p>
    <w:p>
      <w:pPr>
        <w:spacing w:line="360" w:lineRule="auto"/>
        <w:rPr>
          <w:rFonts w:ascii="宋体" w:hAnsi="宋体" w:cs="宋体"/>
          <w:color w:val="auto"/>
          <w:sz w:val="24"/>
        </w:rPr>
      </w:pPr>
      <w:r>
        <w:rPr>
          <w:rFonts w:hint="eastAsia" w:ascii="宋体" w:hAnsi="宋体" w:cs="宋体"/>
          <w:color w:val="auto"/>
          <w:sz w:val="24"/>
        </w:rPr>
        <w:t>注：</w:t>
      </w:r>
    </w:p>
    <w:p>
      <w:pPr>
        <w:spacing w:line="360" w:lineRule="auto"/>
        <w:rPr>
          <w:rFonts w:ascii="宋体" w:hAnsi="宋体" w:cs="宋体"/>
          <w:color w:val="auto"/>
          <w:sz w:val="24"/>
        </w:rPr>
      </w:pPr>
      <w:r>
        <w:rPr>
          <w:rFonts w:hint="eastAsia" w:ascii="宋体" w:hAnsi="宋体" w:cs="宋体"/>
          <w:color w:val="auto"/>
          <w:sz w:val="24"/>
        </w:rPr>
        <w:t>1、供应商符合《工业和信息化部、国家统计局、国家发展和改革委员会、财政部关于印发中小企业划型标准规定的通知》（工信部联企业〔2011〕300号）或《政府采购支持监狱企业发展有关问题的通知》（财库〔2014〕68号）规定的划分标准为中小型企业或监狱企业适用。</w:t>
      </w:r>
      <w:bookmarkEnd w:id="100"/>
      <w:bookmarkEnd w:id="101"/>
      <w:bookmarkEnd w:id="102"/>
      <w:bookmarkEnd w:id="103"/>
      <w:bookmarkEnd w:id="104"/>
    </w:p>
    <w:p>
      <w:pPr>
        <w:spacing w:line="360" w:lineRule="auto"/>
        <w:rPr>
          <w:rFonts w:ascii="宋体" w:hAnsi="宋体" w:cs="宋体"/>
          <w:color w:val="auto"/>
          <w:sz w:val="24"/>
        </w:rPr>
      </w:pPr>
      <w:r>
        <w:rPr>
          <w:rFonts w:hint="eastAsia" w:ascii="宋体" w:hAnsi="宋体" w:cs="宋体"/>
          <w:color w:val="auto"/>
          <w:sz w:val="24"/>
        </w:rPr>
        <w:t>2、在政府采购活动中，监狱企业视同小型、微型企业，享受预留份额、评审中价格扣除等政府采购促进中小企业发展的政府采购政策。（监狱企业参加政府采购活动时，还应当提供由省级以上监狱管理局、戒毒管理局(含新疆生产建设兵团)出具的属于监狱企业的证明文件。）</w:t>
      </w:r>
    </w:p>
    <w:p>
      <w:pPr>
        <w:spacing w:line="360" w:lineRule="auto"/>
        <w:outlineLvl w:val="1"/>
        <w:rPr>
          <w:rFonts w:ascii="宋体" w:hAnsi="宋体" w:cs="宋体"/>
          <w:b/>
          <w:color w:val="auto"/>
          <w:sz w:val="32"/>
          <w:szCs w:val="32"/>
        </w:rPr>
      </w:pPr>
      <w:bookmarkStart w:id="105" w:name="_Toc1660554"/>
      <w:r>
        <w:rPr>
          <w:rFonts w:hint="eastAsia" w:ascii="宋体" w:hAnsi="宋体" w:cs="宋体"/>
          <w:color w:val="auto"/>
          <w:sz w:val="24"/>
        </w:rPr>
        <w:t>3、供应商为非企业单位的，可不提供此声明。</w:t>
      </w:r>
      <w:bookmarkEnd w:id="105"/>
      <w:bookmarkStart w:id="106" w:name="OLE_LINK13"/>
      <w:bookmarkStart w:id="107" w:name="OLE_LINK14"/>
    </w:p>
    <w:p>
      <w:pPr>
        <w:widowControl/>
        <w:spacing w:line="360" w:lineRule="atLeast"/>
        <w:jc w:val="center"/>
        <w:outlineLvl w:val="1"/>
        <w:rPr>
          <w:rFonts w:ascii="宋体" w:hAnsi="宋体" w:cs="宋体"/>
          <w:b/>
          <w:color w:val="auto"/>
          <w:kern w:val="0"/>
          <w:sz w:val="32"/>
          <w:szCs w:val="32"/>
        </w:rPr>
      </w:pPr>
      <w:bookmarkStart w:id="108" w:name="_Toc1660555"/>
      <w:r>
        <w:rPr>
          <w:rFonts w:hint="eastAsia" w:ascii="宋体" w:hAnsi="宋体" w:cs="宋体"/>
          <w:b/>
          <w:color w:val="auto"/>
          <w:kern w:val="0"/>
          <w:sz w:val="32"/>
          <w:szCs w:val="32"/>
          <w:lang w:val="en-US" w:eastAsia="zh-CN"/>
        </w:rPr>
        <w:t>十一</w:t>
      </w:r>
      <w:r>
        <w:rPr>
          <w:rFonts w:hint="eastAsia" w:ascii="宋体" w:hAnsi="宋体" w:cs="宋体"/>
          <w:b/>
          <w:color w:val="auto"/>
          <w:kern w:val="0"/>
          <w:sz w:val="32"/>
          <w:szCs w:val="32"/>
        </w:rPr>
        <w:t>、残疾人福利性单位声明函</w:t>
      </w:r>
      <w:bookmarkEnd w:id="108"/>
    </w:p>
    <w:bookmarkEnd w:id="106"/>
    <w:bookmarkEnd w:id="107"/>
    <w:p>
      <w:pPr>
        <w:spacing w:line="588" w:lineRule="exact"/>
        <w:rPr>
          <w:rFonts w:ascii="宋体" w:hAnsi="宋体" w:cs="宋体"/>
          <w:b/>
          <w:color w:val="auto"/>
          <w:spacing w:val="6"/>
          <w:sz w:val="24"/>
        </w:rPr>
      </w:pPr>
    </w:p>
    <w:p>
      <w:pPr>
        <w:spacing w:line="588" w:lineRule="exact"/>
        <w:ind w:firstLine="504" w:firstLineChars="200"/>
        <w:rPr>
          <w:rFonts w:ascii="宋体" w:hAnsi="宋体" w:cs="宋体"/>
          <w:color w:val="auto"/>
          <w:spacing w:val="6"/>
          <w:sz w:val="24"/>
        </w:rPr>
      </w:pPr>
      <w:r>
        <w:rPr>
          <w:rFonts w:hint="eastAsia" w:ascii="宋体" w:hAnsi="宋体" w:cs="宋体"/>
          <w:color w:val="auto"/>
          <w:spacing w:val="6"/>
          <w:sz w:val="24"/>
        </w:rPr>
        <w:t>本单位郑重声明，根据《财政部 民政部 中国残疾人联合会关于促进残疾人就业政府采购政策的通知》（财库</w:t>
      </w:r>
      <w:r>
        <w:rPr>
          <w:rFonts w:hint="eastAsia" w:ascii="宋体" w:hAnsi="宋体" w:cs="宋体"/>
          <w:color w:val="auto"/>
          <w:sz w:val="24"/>
        </w:rPr>
        <w:t>〔2017〕 141</w:t>
      </w:r>
      <w:r>
        <w:rPr>
          <w:rFonts w:hint="eastAsia" w:ascii="宋体" w:hAnsi="宋体" w:cs="宋体"/>
          <w:color w:val="auto"/>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s="宋体"/>
          <w:color w:val="auto"/>
          <w:spacing w:val="6"/>
          <w:sz w:val="24"/>
        </w:rPr>
      </w:pPr>
      <w:r>
        <w:rPr>
          <w:rFonts w:hint="eastAsia" w:ascii="宋体" w:hAnsi="宋体" w:cs="宋体"/>
          <w:color w:val="auto"/>
          <w:spacing w:val="6"/>
          <w:sz w:val="24"/>
        </w:rPr>
        <w:t>本单位对上述声明的真实性负责。如有虚假，将依法承担相应责任。</w:t>
      </w:r>
    </w:p>
    <w:p>
      <w:pPr>
        <w:spacing w:line="588" w:lineRule="exact"/>
        <w:rPr>
          <w:rFonts w:ascii="宋体" w:hAnsi="宋体" w:cs="宋体"/>
          <w:color w:val="auto"/>
          <w:spacing w:val="6"/>
          <w:sz w:val="24"/>
        </w:rPr>
      </w:pPr>
    </w:p>
    <w:p>
      <w:pPr>
        <w:spacing w:line="588" w:lineRule="exact"/>
        <w:rPr>
          <w:rFonts w:ascii="宋体" w:hAnsi="宋体" w:cs="宋体"/>
          <w:color w:val="auto"/>
          <w:spacing w:val="6"/>
          <w:sz w:val="24"/>
        </w:rPr>
      </w:pPr>
    </w:p>
    <w:p>
      <w:pPr>
        <w:tabs>
          <w:tab w:val="left" w:pos="4860"/>
        </w:tabs>
        <w:spacing w:line="588" w:lineRule="exact"/>
        <w:ind w:right="1560"/>
        <w:rPr>
          <w:rFonts w:ascii="宋体" w:hAnsi="宋体" w:cs="宋体"/>
          <w:b/>
          <w:bCs/>
          <w:color w:val="auto"/>
          <w:spacing w:val="6"/>
          <w:sz w:val="24"/>
        </w:rPr>
      </w:pPr>
      <w:r>
        <w:rPr>
          <w:rFonts w:hint="eastAsia" w:ascii="宋体" w:hAnsi="宋体" w:cs="宋体"/>
          <w:b/>
          <w:bCs/>
          <w:color w:val="auto"/>
          <w:spacing w:val="6"/>
          <w:sz w:val="24"/>
        </w:rPr>
        <w:t>单位名称（盖章）：</w:t>
      </w:r>
    </w:p>
    <w:p>
      <w:pPr>
        <w:rPr>
          <w:rFonts w:ascii="宋体" w:hAnsi="宋体" w:cs="宋体"/>
          <w:b/>
          <w:bCs/>
          <w:color w:val="auto"/>
          <w:spacing w:val="6"/>
          <w:sz w:val="24"/>
        </w:rPr>
      </w:pPr>
    </w:p>
    <w:p>
      <w:pPr>
        <w:rPr>
          <w:rFonts w:ascii="宋体" w:hAnsi="宋体" w:cs="宋体"/>
          <w:b/>
          <w:bCs/>
          <w:color w:val="auto"/>
          <w:spacing w:val="6"/>
          <w:sz w:val="24"/>
        </w:rPr>
      </w:pPr>
      <w:r>
        <w:rPr>
          <w:rFonts w:hint="eastAsia" w:ascii="宋体" w:hAnsi="宋体" w:cs="宋体"/>
          <w:b/>
          <w:bCs/>
          <w:color w:val="auto"/>
          <w:spacing w:val="6"/>
          <w:sz w:val="24"/>
        </w:rPr>
        <w:t>日  期：</w:t>
      </w:r>
    </w:p>
    <w:p>
      <w:pPr>
        <w:spacing w:line="360" w:lineRule="auto"/>
        <w:rPr>
          <w:rFonts w:ascii="宋体" w:hAnsi="宋体" w:cs="宋体"/>
          <w:color w:val="auto"/>
          <w:sz w:val="24"/>
        </w:rPr>
      </w:pPr>
    </w:p>
    <w:p>
      <w:pPr>
        <w:spacing w:line="360" w:lineRule="auto"/>
        <w:rPr>
          <w:rFonts w:ascii="宋体" w:hAnsi="宋体" w:cs="宋体"/>
          <w:color w:val="auto"/>
          <w:sz w:val="24"/>
        </w:rPr>
      </w:pPr>
    </w:p>
    <w:p>
      <w:pPr>
        <w:spacing w:line="360" w:lineRule="auto"/>
        <w:rPr>
          <w:rFonts w:ascii="宋体" w:hAnsi="宋体" w:cs="宋体"/>
          <w:color w:val="auto"/>
          <w:sz w:val="24"/>
        </w:rPr>
      </w:pPr>
      <w:r>
        <w:rPr>
          <w:rFonts w:hint="eastAsia" w:ascii="宋体" w:hAnsi="宋体" w:cs="宋体"/>
          <w:color w:val="auto"/>
          <w:sz w:val="24"/>
        </w:rPr>
        <w:t>注：</w:t>
      </w:r>
    </w:p>
    <w:p>
      <w:pPr>
        <w:numPr>
          <w:ilvl w:val="0"/>
          <w:numId w:val="10"/>
        </w:numPr>
        <w:spacing w:line="360" w:lineRule="auto"/>
        <w:rPr>
          <w:rFonts w:ascii="宋体" w:hAnsi="宋体" w:cs="宋体"/>
          <w:color w:val="auto"/>
          <w:sz w:val="24"/>
        </w:rPr>
      </w:pPr>
      <w:r>
        <w:rPr>
          <w:rFonts w:hint="eastAsia" w:ascii="宋体" w:hAnsi="宋体" w:cs="宋体"/>
          <w:color w:val="auto"/>
          <w:sz w:val="24"/>
        </w:rPr>
        <w:t>残疾人福利性单位视同小型、微型企业，享受预留份额、评审中价格扣除等促进中小企业发展的政府采购政策。残疾人福利性单位属于小型、微型企业的，不重复享受政策。</w:t>
      </w:r>
    </w:p>
    <w:p>
      <w:pPr>
        <w:numPr>
          <w:ilvl w:val="0"/>
          <w:numId w:val="10"/>
        </w:numPr>
        <w:spacing w:line="360" w:lineRule="auto"/>
        <w:rPr>
          <w:rFonts w:ascii="宋体" w:hAnsi="宋体" w:cs="宋体"/>
          <w:bCs/>
          <w:color w:val="auto"/>
          <w:sz w:val="24"/>
        </w:rPr>
      </w:pPr>
      <w:r>
        <w:rPr>
          <w:rFonts w:hint="eastAsia" w:ascii="宋体" w:hAnsi="宋体" w:cs="宋体"/>
          <w:color w:val="auto"/>
          <w:sz w:val="24"/>
        </w:rPr>
        <w:t>供应商为非残疾人福利性单位的，可不提供此声明。</w:t>
      </w:r>
    </w:p>
    <w:p>
      <w:pPr>
        <w:widowControl/>
        <w:spacing w:line="360" w:lineRule="atLeast"/>
        <w:jc w:val="center"/>
        <w:outlineLvl w:val="1"/>
        <w:rPr>
          <w:rFonts w:hint="eastAsia" w:ascii="宋体" w:hAnsi="宋体" w:cs="宋体"/>
          <w:b/>
          <w:color w:val="auto"/>
          <w:kern w:val="0"/>
          <w:sz w:val="32"/>
          <w:szCs w:val="32"/>
          <w:lang w:val="en-US" w:eastAsia="zh-CN"/>
        </w:rPr>
      </w:pPr>
    </w:p>
    <w:p>
      <w:pPr>
        <w:widowControl/>
        <w:spacing w:line="360" w:lineRule="atLeast"/>
        <w:jc w:val="center"/>
        <w:outlineLvl w:val="1"/>
        <w:rPr>
          <w:rFonts w:hint="eastAsia" w:ascii="宋体" w:hAnsi="宋体" w:cs="宋体"/>
          <w:b/>
          <w:color w:val="auto"/>
          <w:kern w:val="0"/>
          <w:sz w:val="32"/>
          <w:szCs w:val="32"/>
          <w:lang w:val="en-US" w:eastAsia="zh-CN"/>
        </w:rPr>
      </w:pPr>
    </w:p>
    <w:p>
      <w:pPr>
        <w:widowControl/>
        <w:spacing w:line="360" w:lineRule="atLeast"/>
        <w:jc w:val="center"/>
        <w:outlineLvl w:val="1"/>
        <w:rPr>
          <w:rFonts w:hint="eastAsia" w:ascii="宋体" w:hAnsi="宋体" w:cs="宋体"/>
          <w:b/>
          <w:color w:val="auto"/>
          <w:kern w:val="0"/>
          <w:sz w:val="32"/>
          <w:szCs w:val="32"/>
          <w:lang w:val="en-US" w:eastAsia="zh-CN"/>
        </w:rPr>
      </w:pPr>
    </w:p>
    <w:p>
      <w:pPr>
        <w:widowControl/>
        <w:spacing w:line="360" w:lineRule="atLeast"/>
        <w:jc w:val="center"/>
        <w:outlineLvl w:val="1"/>
        <w:rPr>
          <w:rFonts w:hint="eastAsia" w:ascii="宋体" w:hAnsi="宋体" w:cs="宋体"/>
          <w:b/>
          <w:color w:val="auto"/>
          <w:kern w:val="0"/>
          <w:sz w:val="32"/>
          <w:szCs w:val="32"/>
          <w:lang w:val="en-US" w:eastAsia="zh-CN"/>
        </w:rPr>
      </w:pPr>
    </w:p>
    <w:p>
      <w:pPr>
        <w:widowControl/>
        <w:numPr>
          <w:ilvl w:val="0"/>
          <w:numId w:val="0"/>
        </w:numPr>
        <w:spacing w:line="360" w:lineRule="atLeast"/>
        <w:jc w:val="center"/>
        <w:outlineLvl w:val="1"/>
        <w:rPr>
          <w:rFonts w:hint="eastAsia" w:ascii="宋体" w:hAnsi="宋体" w:eastAsia="宋体" w:cs="宋体"/>
          <w:b/>
          <w:color w:val="auto"/>
          <w:kern w:val="0"/>
          <w:sz w:val="32"/>
          <w:szCs w:val="32"/>
          <w:lang w:val="en-US" w:eastAsia="zh-CN"/>
        </w:rPr>
      </w:pPr>
      <w:r>
        <w:rPr>
          <w:rFonts w:hint="eastAsia" w:ascii="宋体" w:hAnsi="宋体" w:cs="宋体"/>
          <w:b/>
          <w:color w:val="auto"/>
          <w:kern w:val="0"/>
          <w:sz w:val="32"/>
          <w:szCs w:val="32"/>
          <w:lang w:val="en-US" w:eastAsia="zh-CN"/>
        </w:rPr>
        <w:t>十二、已标价的工程量清单</w:t>
      </w:r>
    </w:p>
    <w:p>
      <w:pPr>
        <w:widowControl/>
        <w:numPr>
          <w:ilvl w:val="0"/>
          <w:numId w:val="0"/>
        </w:numPr>
        <w:spacing w:line="360" w:lineRule="atLeast"/>
        <w:jc w:val="both"/>
        <w:outlineLvl w:val="1"/>
        <w:rPr>
          <w:rFonts w:hint="eastAsia" w:ascii="宋体" w:hAnsi="宋体" w:cs="宋体"/>
          <w:b/>
          <w:color w:val="auto"/>
          <w:kern w:val="0"/>
          <w:sz w:val="32"/>
          <w:szCs w:val="32"/>
          <w:lang w:val="en-US" w:eastAsia="zh-CN"/>
        </w:rPr>
      </w:pPr>
    </w:p>
    <w:p>
      <w:pPr>
        <w:widowControl/>
        <w:numPr>
          <w:ilvl w:val="0"/>
          <w:numId w:val="0"/>
        </w:numPr>
        <w:spacing w:line="360" w:lineRule="atLeast"/>
        <w:jc w:val="both"/>
        <w:outlineLvl w:val="1"/>
        <w:rPr>
          <w:rFonts w:hint="eastAsia" w:ascii="宋体" w:hAnsi="宋体" w:cs="宋体"/>
          <w:b/>
          <w:color w:val="auto"/>
          <w:kern w:val="0"/>
          <w:sz w:val="32"/>
          <w:szCs w:val="32"/>
          <w:lang w:val="en-US" w:eastAsia="zh-CN"/>
        </w:rPr>
      </w:pPr>
    </w:p>
    <w:p>
      <w:pPr>
        <w:widowControl/>
        <w:numPr>
          <w:ilvl w:val="0"/>
          <w:numId w:val="0"/>
        </w:numPr>
        <w:spacing w:line="360" w:lineRule="atLeast"/>
        <w:jc w:val="both"/>
        <w:outlineLvl w:val="1"/>
        <w:rPr>
          <w:rFonts w:hint="eastAsia" w:ascii="宋体" w:hAnsi="宋体" w:cs="宋体"/>
          <w:b/>
          <w:color w:val="auto"/>
          <w:kern w:val="0"/>
          <w:sz w:val="32"/>
          <w:szCs w:val="32"/>
          <w:lang w:val="en-US" w:eastAsia="zh-CN"/>
        </w:rPr>
      </w:pPr>
    </w:p>
    <w:p>
      <w:pPr>
        <w:widowControl/>
        <w:numPr>
          <w:ilvl w:val="0"/>
          <w:numId w:val="0"/>
        </w:numPr>
        <w:spacing w:line="360" w:lineRule="atLeast"/>
        <w:jc w:val="both"/>
        <w:outlineLvl w:val="1"/>
        <w:rPr>
          <w:rFonts w:hint="eastAsia" w:ascii="宋体" w:hAnsi="宋体" w:cs="宋体"/>
          <w:b/>
          <w:color w:val="auto"/>
          <w:kern w:val="0"/>
          <w:sz w:val="32"/>
          <w:szCs w:val="32"/>
          <w:lang w:val="en-US" w:eastAsia="zh-CN"/>
        </w:rPr>
      </w:pPr>
    </w:p>
    <w:p>
      <w:pPr>
        <w:widowControl/>
        <w:numPr>
          <w:ilvl w:val="0"/>
          <w:numId w:val="0"/>
        </w:numPr>
        <w:spacing w:line="360" w:lineRule="atLeast"/>
        <w:jc w:val="both"/>
        <w:outlineLvl w:val="1"/>
        <w:rPr>
          <w:rFonts w:hint="eastAsia" w:ascii="宋体" w:hAnsi="宋体" w:cs="宋体"/>
          <w:b/>
          <w:color w:val="auto"/>
          <w:kern w:val="0"/>
          <w:sz w:val="32"/>
          <w:szCs w:val="32"/>
          <w:lang w:val="en-US" w:eastAsia="zh-CN"/>
        </w:rPr>
      </w:pPr>
    </w:p>
    <w:p>
      <w:pPr>
        <w:widowControl/>
        <w:numPr>
          <w:ilvl w:val="0"/>
          <w:numId w:val="0"/>
        </w:numPr>
        <w:spacing w:line="360" w:lineRule="atLeast"/>
        <w:jc w:val="both"/>
        <w:outlineLvl w:val="1"/>
        <w:rPr>
          <w:rFonts w:hint="eastAsia" w:ascii="宋体" w:hAnsi="宋体" w:cs="宋体"/>
          <w:b/>
          <w:color w:val="auto"/>
          <w:kern w:val="0"/>
          <w:sz w:val="32"/>
          <w:szCs w:val="32"/>
          <w:lang w:val="en-US" w:eastAsia="zh-CN"/>
        </w:rPr>
      </w:pPr>
    </w:p>
    <w:p>
      <w:pPr>
        <w:widowControl/>
        <w:numPr>
          <w:ilvl w:val="0"/>
          <w:numId w:val="0"/>
        </w:numPr>
        <w:spacing w:line="360" w:lineRule="atLeast"/>
        <w:jc w:val="both"/>
        <w:outlineLvl w:val="1"/>
        <w:rPr>
          <w:rFonts w:hint="eastAsia" w:ascii="宋体" w:hAnsi="宋体" w:cs="宋体"/>
          <w:b/>
          <w:color w:val="auto"/>
          <w:kern w:val="0"/>
          <w:sz w:val="32"/>
          <w:szCs w:val="32"/>
          <w:lang w:val="en-US" w:eastAsia="zh-CN"/>
        </w:rPr>
      </w:pPr>
    </w:p>
    <w:p>
      <w:pPr>
        <w:widowControl/>
        <w:numPr>
          <w:ilvl w:val="0"/>
          <w:numId w:val="0"/>
        </w:numPr>
        <w:spacing w:line="360" w:lineRule="atLeast"/>
        <w:jc w:val="both"/>
        <w:outlineLvl w:val="1"/>
        <w:rPr>
          <w:rFonts w:hint="eastAsia" w:ascii="宋体" w:hAnsi="宋体" w:cs="宋体"/>
          <w:b/>
          <w:color w:val="auto"/>
          <w:kern w:val="0"/>
          <w:sz w:val="32"/>
          <w:szCs w:val="32"/>
          <w:lang w:val="en-US" w:eastAsia="zh-CN"/>
        </w:rPr>
      </w:pPr>
    </w:p>
    <w:p>
      <w:pPr>
        <w:widowControl/>
        <w:numPr>
          <w:ilvl w:val="0"/>
          <w:numId w:val="0"/>
        </w:numPr>
        <w:spacing w:line="360" w:lineRule="atLeast"/>
        <w:jc w:val="both"/>
        <w:outlineLvl w:val="1"/>
        <w:rPr>
          <w:rFonts w:hint="eastAsia" w:ascii="宋体" w:hAnsi="宋体" w:cs="宋体"/>
          <w:b/>
          <w:color w:val="auto"/>
          <w:kern w:val="0"/>
          <w:sz w:val="32"/>
          <w:szCs w:val="32"/>
          <w:lang w:val="en-US" w:eastAsia="zh-CN"/>
        </w:rPr>
      </w:pPr>
    </w:p>
    <w:p>
      <w:pPr>
        <w:widowControl/>
        <w:numPr>
          <w:ilvl w:val="0"/>
          <w:numId w:val="0"/>
        </w:numPr>
        <w:spacing w:line="360" w:lineRule="atLeast"/>
        <w:jc w:val="both"/>
        <w:outlineLvl w:val="1"/>
        <w:rPr>
          <w:rFonts w:hint="eastAsia" w:ascii="宋体" w:hAnsi="宋体" w:cs="宋体"/>
          <w:b/>
          <w:color w:val="auto"/>
          <w:kern w:val="0"/>
          <w:sz w:val="32"/>
          <w:szCs w:val="32"/>
          <w:lang w:val="en-US" w:eastAsia="zh-CN"/>
        </w:rPr>
      </w:pPr>
    </w:p>
    <w:p>
      <w:pPr>
        <w:widowControl/>
        <w:numPr>
          <w:ilvl w:val="0"/>
          <w:numId w:val="0"/>
        </w:numPr>
        <w:spacing w:line="360" w:lineRule="atLeast"/>
        <w:jc w:val="both"/>
        <w:outlineLvl w:val="1"/>
        <w:rPr>
          <w:rFonts w:hint="eastAsia" w:ascii="宋体" w:hAnsi="宋体" w:cs="宋体"/>
          <w:b/>
          <w:color w:val="auto"/>
          <w:kern w:val="0"/>
          <w:sz w:val="32"/>
          <w:szCs w:val="32"/>
          <w:lang w:val="en-US" w:eastAsia="zh-CN"/>
        </w:rPr>
      </w:pPr>
    </w:p>
    <w:p>
      <w:pPr>
        <w:widowControl/>
        <w:numPr>
          <w:ilvl w:val="0"/>
          <w:numId w:val="0"/>
        </w:numPr>
        <w:spacing w:line="360" w:lineRule="atLeast"/>
        <w:jc w:val="both"/>
        <w:outlineLvl w:val="1"/>
        <w:rPr>
          <w:rFonts w:hint="eastAsia" w:ascii="宋体" w:hAnsi="宋体" w:cs="宋体"/>
          <w:b/>
          <w:color w:val="auto"/>
          <w:kern w:val="0"/>
          <w:sz w:val="32"/>
          <w:szCs w:val="32"/>
          <w:lang w:val="en-US" w:eastAsia="zh-CN"/>
        </w:rPr>
      </w:pPr>
    </w:p>
    <w:p>
      <w:pPr>
        <w:widowControl/>
        <w:numPr>
          <w:ilvl w:val="0"/>
          <w:numId w:val="0"/>
        </w:numPr>
        <w:spacing w:line="360" w:lineRule="atLeast"/>
        <w:jc w:val="both"/>
        <w:outlineLvl w:val="1"/>
        <w:rPr>
          <w:rFonts w:hint="eastAsia" w:ascii="宋体" w:hAnsi="宋体" w:cs="宋体"/>
          <w:b/>
          <w:color w:val="auto"/>
          <w:kern w:val="0"/>
          <w:sz w:val="32"/>
          <w:szCs w:val="32"/>
          <w:lang w:val="en-US" w:eastAsia="zh-CN"/>
        </w:rPr>
      </w:pPr>
    </w:p>
    <w:p>
      <w:pPr>
        <w:widowControl/>
        <w:numPr>
          <w:ilvl w:val="0"/>
          <w:numId w:val="0"/>
        </w:numPr>
        <w:spacing w:line="360" w:lineRule="atLeast"/>
        <w:jc w:val="both"/>
        <w:outlineLvl w:val="1"/>
        <w:rPr>
          <w:rFonts w:hint="eastAsia" w:ascii="宋体" w:hAnsi="宋体" w:cs="宋体"/>
          <w:b/>
          <w:color w:val="auto"/>
          <w:kern w:val="0"/>
          <w:sz w:val="32"/>
          <w:szCs w:val="32"/>
          <w:lang w:val="en-US" w:eastAsia="zh-CN"/>
        </w:rPr>
      </w:pPr>
    </w:p>
    <w:p>
      <w:pPr>
        <w:widowControl/>
        <w:numPr>
          <w:ilvl w:val="0"/>
          <w:numId w:val="0"/>
        </w:numPr>
        <w:spacing w:line="360" w:lineRule="atLeast"/>
        <w:jc w:val="both"/>
        <w:outlineLvl w:val="1"/>
        <w:rPr>
          <w:rFonts w:hint="eastAsia" w:ascii="宋体" w:hAnsi="宋体" w:cs="宋体"/>
          <w:b/>
          <w:color w:val="auto"/>
          <w:kern w:val="0"/>
          <w:sz w:val="32"/>
          <w:szCs w:val="32"/>
          <w:lang w:val="en-US" w:eastAsia="zh-CN"/>
        </w:rPr>
      </w:pPr>
    </w:p>
    <w:p>
      <w:pPr>
        <w:widowControl/>
        <w:numPr>
          <w:ilvl w:val="0"/>
          <w:numId w:val="0"/>
        </w:numPr>
        <w:spacing w:line="360" w:lineRule="atLeast"/>
        <w:jc w:val="both"/>
        <w:outlineLvl w:val="1"/>
        <w:rPr>
          <w:rFonts w:hint="eastAsia" w:ascii="宋体" w:hAnsi="宋体" w:cs="宋体"/>
          <w:b/>
          <w:color w:val="auto"/>
          <w:kern w:val="0"/>
          <w:sz w:val="32"/>
          <w:szCs w:val="32"/>
          <w:lang w:val="en-US" w:eastAsia="zh-CN"/>
        </w:rPr>
      </w:pPr>
    </w:p>
    <w:p>
      <w:pPr>
        <w:widowControl/>
        <w:numPr>
          <w:ilvl w:val="0"/>
          <w:numId w:val="0"/>
        </w:numPr>
        <w:spacing w:line="360" w:lineRule="atLeast"/>
        <w:jc w:val="both"/>
        <w:outlineLvl w:val="1"/>
        <w:rPr>
          <w:rFonts w:hint="eastAsia" w:ascii="宋体" w:hAnsi="宋体" w:cs="宋体"/>
          <w:b/>
          <w:color w:val="auto"/>
          <w:kern w:val="0"/>
          <w:sz w:val="32"/>
          <w:szCs w:val="32"/>
          <w:lang w:val="en-US" w:eastAsia="zh-CN"/>
        </w:rPr>
      </w:pPr>
    </w:p>
    <w:p>
      <w:pPr>
        <w:widowControl/>
        <w:numPr>
          <w:ilvl w:val="0"/>
          <w:numId w:val="0"/>
        </w:numPr>
        <w:spacing w:line="360" w:lineRule="atLeast"/>
        <w:jc w:val="both"/>
        <w:outlineLvl w:val="1"/>
        <w:rPr>
          <w:rFonts w:hint="eastAsia" w:ascii="宋体" w:hAnsi="宋体" w:cs="宋体"/>
          <w:b/>
          <w:color w:val="auto"/>
          <w:kern w:val="0"/>
          <w:sz w:val="32"/>
          <w:szCs w:val="32"/>
          <w:lang w:val="en-US" w:eastAsia="zh-CN"/>
        </w:rPr>
      </w:pPr>
    </w:p>
    <w:p>
      <w:pPr>
        <w:widowControl/>
        <w:numPr>
          <w:ilvl w:val="0"/>
          <w:numId w:val="0"/>
        </w:numPr>
        <w:spacing w:line="360" w:lineRule="atLeast"/>
        <w:jc w:val="both"/>
        <w:outlineLvl w:val="1"/>
        <w:rPr>
          <w:rFonts w:hint="eastAsia" w:ascii="宋体" w:hAnsi="宋体" w:cs="宋体"/>
          <w:b/>
          <w:color w:val="auto"/>
          <w:kern w:val="0"/>
          <w:sz w:val="32"/>
          <w:szCs w:val="32"/>
          <w:lang w:val="en-US" w:eastAsia="zh-CN"/>
        </w:rPr>
      </w:pPr>
    </w:p>
    <w:p>
      <w:pPr>
        <w:widowControl/>
        <w:numPr>
          <w:ilvl w:val="0"/>
          <w:numId w:val="0"/>
        </w:numPr>
        <w:spacing w:line="360" w:lineRule="atLeast"/>
        <w:jc w:val="both"/>
        <w:outlineLvl w:val="1"/>
        <w:rPr>
          <w:rFonts w:hint="eastAsia" w:ascii="宋体" w:hAnsi="宋体" w:cs="宋体"/>
          <w:b/>
          <w:color w:val="auto"/>
          <w:kern w:val="0"/>
          <w:sz w:val="32"/>
          <w:szCs w:val="32"/>
          <w:lang w:val="en-US" w:eastAsia="zh-CN"/>
        </w:rPr>
      </w:pPr>
    </w:p>
    <w:p>
      <w:pPr>
        <w:widowControl/>
        <w:numPr>
          <w:ilvl w:val="0"/>
          <w:numId w:val="0"/>
        </w:numPr>
        <w:spacing w:line="360" w:lineRule="atLeast"/>
        <w:jc w:val="center"/>
        <w:outlineLvl w:val="1"/>
        <w:rPr>
          <w:rFonts w:hint="eastAsia" w:ascii="宋体" w:hAnsi="宋体" w:cs="宋体"/>
          <w:b/>
          <w:color w:val="auto"/>
          <w:kern w:val="0"/>
          <w:sz w:val="32"/>
          <w:szCs w:val="32"/>
          <w:lang w:val="en-US" w:eastAsia="zh-CN"/>
        </w:rPr>
      </w:pPr>
    </w:p>
    <w:p>
      <w:pPr>
        <w:widowControl/>
        <w:numPr>
          <w:ilvl w:val="0"/>
          <w:numId w:val="0"/>
        </w:numPr>
        <w:spacing w:line="360" w:lineRule="atLeast"/>
        <w:jc w:val="center"/>
        <w:outlineLvl w:val="1"/>
        <w:rPr>
          <w:rFonts w:hint="eastAsia" w:ascii="宋体" w:hAnsi="宋体" w:cs="宋体"/>
          <w:b/>
          <w:color w:val="auto"/>
          <w:kern w:val="0"/>
          <w:sz w:val="32"/>
          <w:szCs w:val="32"/>
        </w:rPr>
      </w:pPr>
      <w:r>
        <w:rPr>
          <w:rFonts w:hint="eastAsia" w:ascii="宋体" w:hAnsi="宋体" w:cs="宋体"/>
          <w:b/>
          <w:color w:val="auto"/>
          <w:kern w:val="0"/>
          <w:sz w:val="32"/>
          <w:szCs w:val="32"/>
          <w:lang w:val="en-US" w:eastAsia="zh-CN"/>
        </w:rPr>
        <w:t>十三、其他材料</w:t>
      </w:r>
    </w:p>
    <w:p>
      <w:pPr>
        <w:jc w:val="center"/>
        <w:outlineLvl w:val="0"/>
        <w:rPr>
          <w:rFonts w:ascii="宋体" w:hAnsi="宋体"/>
          <w:b/>
          <w:color w:val="auto"/>
          <w:sz w:val="44"/>
          <w:szCs w:val="44"/>
        </w:rPr>
      </w:pPr>
    </w:p>
    <w:p>
      <w:pPr>
        <w:pStyle w:val="2"/>
        <w:rPr>
          <w:rFonts w:ascii="宋体" w:hAnsi="宋体"/>
          <w:b/>
          <w:color w:val="auto"/>
          <w:sz w:val="44"/>
          <w:szCs w:val="44"/>
        </w:rPr>
      </w:pPr>
    </w:p>
    <w:p>
      <w:pPr>
        <w:rPr>
          <w:rFonts w:ascii="宋体" w:hAnsi="宋体"/>
          <w:b/>
          <w:color w:val="auto"/>
          <w:sz w:val="44"/>
          <w:szCs w:val="44"/>
        </w:rPr>
      </w:pPr>
    </w:p>
    <w:p>
      <w:pPr>
        <w:pStyle w:val="2"/>
        <w:rPr>
          <w:rFonts w:ascii="宋体" w:hAnsi="宋体"/>
          <w:b/>
          <w:color w:val="auto"/>
          <w:sz w:val="44"/>
          <w:szCs w:val="44"/>
        </w:rPr>
      </w:pPr>
    </w:p>
    <w:p>
      <w:pPr>
        <w:rPr>
          <w:rFonts w:ascii="宋体" w:hAnsi="宋体"/>
          <w:b/>
          <w:color w:val="auto"/>
          <w:sz w:val="44"/>
          <w:szCs w:val="44"/>
        </w:rPr>
      </w:pPr>
    </w:p>
    <w:p>
      <w:pPr>
        <w:pStyle w:val="2"/>
        <w:rPr>
          <w:rFonts w:ascii="宋体" w:hAnsi="宋体"/>
          <w:b/>
          <w:color w:val="auto"/>
          <w:sz w:val="44"/>
          <w:szCs w:val="44"/>
        </w:rPr>
      </w:pPr>
    </w:p>
    <w:p>
      <w:pPr>
        <w:rPr>
          <w:rFonts w:ascii="宋体" w:hAnsi="宋体"/>
          <w:b/>
          <w:color w:val="auto"/>
          <w:sz w:val="44"/>
          <w:szCs w:val="44"/>
        </w:rPr>
      </w:pPr>
    </w:p>
    <w:p>
      <w:pPr>
        <w:pStyle w:val="2"/>
        <w:rPr>
          <w:rFonts w:ascii="宋体" w:hAnsi="宋体"/>
          <w:b/>
          <w:color w:val="auto"/>
          <w:sz w:val="44"/>
          <w:szCs w:val="44"/>
        </w:rPr>
      </w:pPr>
    </w:p>
    <w:p>
      <w:pPr>
        <w:rPr>
          <w:rFonts w:ascii="宋体" w:hAnsi="宋体"/>
          <w:b/>
          <w:color w:val="auto"/>
          <w:sz w:val="44"/>
          <w:szCs w:val="44"/>
        </w:rPr>
      </w:pPr>
    </w:p>
    <w:p>
      <w:pPr>
        <w:pStyle w:val="2"/>
        <w:rPr>
          <w:rFonts w:ascii="宋体" w:hAnsi="宋体"/>
          <w:b/>
          <w:color w:val="auto"/>
          <w:sz w:val="44"/>
          <w:szCs w:val="44"/>
        </w:rPr>
      </w:pPr>
    </w:p>
    <w:p>
      <w:pPr>
        <w:rPr>
          <w:rFonts w:ascii="宋体" w:hAnsi="宋体"/>
          <w:b/>
          <w:color w:val="auto"/>
          <w:sz w:val="44"/>
          <w:szCs w:val="44"/>
        </w:rPr>
      </w:pPr>
    </w:p>
    <w:p>
      <w:pPr>
        <w:pStyle w:val="2"/>
        <w:rPr>
          <w:color w:val="auto"/>
        </w:rPr>
      </w:pPr>
    </w:p>
    <w:p>
      <w:pPr>
        <w:jc w:val="center"/>
        <w:outlineLvl w:val="0"/>
        <w:rPr>
          <w:rFonts w:ascii="宋体" w:hAnsi="宋体"/>
          <w:b/>
          <w:color w:val="auto"/>
          <w:sz w:val="44"/>
          <w:szCs w:val="44"/>
        </w:rPr>
      </w:pPr>
    </w:p>
    <w:p>
      <w:pPr>
        <w:jc w:val="center"/>
        <w:outlineLvl w:val="0"/>
        <w:rPr>
          <w:rFonts w:ascii="宋体" w:hAnsi="宋体"/>
          <w:b/>
          <w:color w:val="auto"/>
          <w:sz w:val="44"/>
          <w:szCs w:val="44"/>
        </w:rPr>
      </w:pPr>
    </w:p>
    <w:p>
      <w:pPr>
        <w:pStyle w:val="2"/>
        <w:jc w:val="center"/>
        <w:rPr>
          <w:rFonts w:ascii="宋体" w:hAnsi="宋体" w:eastAsia="宋体" w:cs="黑体"/>
          <w:color w:val="auto"/>
        </w:rPr>
      </w:pPr>
      <w:bookmarkStart w:id="109" w:name="_Toc1660556"/>
      <w:r>
        <w:rPr>
          <w:rFonts w:hint="eastAsia" w:ascii="宋体" w:hAnsi="宋体" w:eastAsia="宋体" w:cs="黑体"/>
          <w:color w:val="auto"/>
        </w:rPr>
        <w:t>第六章、评审办法</w:t>
      </w:r>
      <w:bookmarkEnd w:id="109"/>
    </w:p>
    <w:p>
      <w:pPr>
        <w:numPr>
          <w:ilvl w:val="0"/>
          <w:numId w:val="11"/>
        </w:numPr>
        <w:tabs>
          <w:tab w:val="left" w:pos="720"/>
        </w:tabs>
        <w:spacing w:line="480" w:lineRule="atLeast"/>
        <w:ind w:right="-105" w:rightChars="-50"/>
        <w:jc w:val="left"/>
        <w:rPr>
          <w:rFonts w:ascii="宋体" w:hAnsi="宋体"/>
          <w:b/>
          <w:color w:val="auto"/>
          <w:sz w:val="28"/>
          <w:szCs w:val="28"/>
        </w:rPr>
      </w:pPr>
      <w:r>
        <w:rPr>
          <w:rFonts w:hint="eastAsia" w:ascii="宋体" w:hAnsi="宋体"/>
          <w:b/>
          <w:color w:val="auto"/>
          <w:sz w:val="28"/>
          <w:szCs w:val="28"/>
        </w:rPr>
        <w:t>评审原则</w:t>
      </w:r>
    </w:p>
    <w:p>
      <w:pPr>
        <w:tabs>
          <w:tab w:val="left" w:pos="420"/>
          <w:tab w:val="left" w:pos="720"/>
        </w:tabs>
        <w:spacing w:line="480" w:lineRule="atLeast"/>
        <w:ind w:firstLine="480" w:firstLineChars="200"/>
        <w:jc w:val="left"/>
        <w:rPr>
          <w:rFonts w:ascii="宋体" w:hAnsi="宋体"/>
          <w:color w:val="auto"/>
          <w:sz w:val="24"/>
          <w:szCs w:val="24"/>
        </w:rPr>
      </w:pPr>
      <w:r>
        <w:rPr>
          <w:rFonts w:hint="eastAsia" w:ascii="宋体" w:hAnsi="宋体"/>
          <w:color w:val="auto"/>
          <w:sz w:val="24"/>
          <w:szCs w:val="24"/>
        </w:rPr>
        <w:t>1、本次采购采用竞争性谈判方式进行，评审由依法组成的谈判小组负责完成。评审基本原则：评审工作应依据《中华人民共和国政府采购法》以及国家和地方政府采购的有关规定，遵循“公开、公平、公正、择优、诚实信用”的原则。</w:t>
      </w:r>
    </w:p>
    <w:p>
      <w:pPr>
        <w:tabs>
          <w:tab w:val="left" w:pos="420"/>
          <w:tab w:val="left" w:pos="720"/>
        </w:tabs>
        <w:spacing w:line="480" w:lineRule="atLeast"/>
        <w:ind w:firstLine="480" w:firstLineChars="200"/>
        <w:jc w:val="left"/>
        <w:rPr>
          <w:rFonts w:ascii="宋体" w:hAnsi="宋体"/>
          <w:color w:val="auto"/>
          <w:sz w:val="24"/>
          <w:szCs w:val="24"/>
        </w:rPr>
      </w:pPr>
      <w:r>
        <w:rPr>
          <w:rFonts w:hint="eastAsia" w:ascii="宋体" w:hAnsi="宋体"/>
          <w:color w:val="auto"/>
          <w:sz w:val="24"/>
          <w:szCs w:val="24"/>
        </w:rPr>
        <w:t>2、本次评审是以谈判文件，报价文件和谈判承诺文件和最终报价（即二次报价）为依据，按公正、科学、客观、平等竞争的要求，</w:t>
      </w:r>
      <w:r>
        <w:rPr>
          <w:rFonts w:hint="eastAsia" w:ascii="宋体" w:hAnsi="宋体"/>
          <w:color w:val="auto"/>
          <w:sz w:val="24"/>
        </w:rPr>
        <w:t>谈判小组从质量和服务均能满足采购文件实质性响应要求的供应商中，按照最后报价由低到高的顺序提出3名（含）以上成交候选人。</w:t>
      </w:r>
    </w:p>
    <w:p>
      <w:pPr>
        <w:tabs>
          <w:tab w:val="left" w:pos="420"/>
          <w:tab w:val="left" w:pos="720"/>
        </w:tabs>
        <w:spacing w:line="480" w:lineRule="atLeast"/>
        <w:ind w:firstLine="480" w:firstLineChars="200"/>
        <w:jc w:val="left"/>
        <w:rPr>
          <w:rFonts w:ascii="宋体" w:hAnsi="宋体"/>
          <w:color w:val="auto"/>
          <w:sz w:val="24"/>
          <w:szCs w:val="24"/>
        </w:rPr>
      </w:pPr>
      <w:r>
        <w:rPr>
          <w:rFonts w:hint="eastAsia" w:ascii="宋体" w:hAnsi="宋体"/>
          <w:color w:val="auto"/>
          <w:sz w:val="24"/>
          <w:szCs w:val="24"/>
        </w:rPr>
        <w:t>3、参加谈判工作的所有人员应遵守《中华人民共和国政府采购法》以及国家和地方政府采购的有关规定，严格保密，确保竞争性谈判工作公平、公正，任何单位和个人不得无理干预谈判小组的正常工作。</w:t>
      </w:r>
    </w:p>
    <w:p>
      <w:pPr>
        <w:numPr>
          <w:ilvl w:val="0"/>
          <w:numId w:val="11"/>
        </w:numPr>
        <w:tabs>
          <w:tab w:val="left" w:pos="720"/>
        </w:tabs>
        <w:spacing w:line="480" w:lineRule="atLeast"/>
        <w:ind w:right="-105" w:rightChars="-50"/>
        <w:jc w:val="left"/>
        <w:rPr>
          <w:rFonts w:ascii="宋体" w:hAnsi="宋体" w:cs="宋体"/>
          <w:b/>
          <w:color w:val="auto"/>
          <w:sz w:val="24"/>
        </w:rPr>
      </w:pPr>
      <w:r>
        <w:rPr>
          <w:rFonts w:hint="eastAsia" w:ascii="宋体" w:hAnsi="宋体"/>
          <w:b/>
          <w:color w:val="auto"/>
          <w:sz w:val="28"/>
          <w:szCs w:val="28"/>
        </w:rPr>
        <w:t>评审程序和评审方法</w:t>
      </w:r>
    </w:p>
    <w:p>
      <w:pPr>
        <w:tabs>
          <w:tab w:val="left" w:pos="720"/>
        </w:tabs>
        <w:spacing w:line="480" w:lineRule="atLeast"/>
        <w:ind w:left="418" w:leftChars="199" w:right="-105" w:rightChars="-50"/>
        <w:jc w:val="left"/>
        <w:rPr>
          <w:rFonts w:ascii="宋体" w:hAnsi="宋体"/>
          <w:color w:val="auto"/>
          <w:sz w:val="24"/>
          <w:szCs w:val="24"/>
        </w:rPr>
      </w:pPr>
      <w:r>
        <w:rPr>
          <w:rFonts w:hint="eastAsia" w:ascii="宋体" w:hAnsi="宋体"/>
          <w:color w:val="auto"/>
          <w:sz w:val="24"/>
          <w:szCs w:val="24"/>
        </w:rPr>
        <w:t>评审程序分初步评审和谈判。</w:t>
      </w:r>
    </w:p>
    <w:p>
      <w:pPr>
        <w:numPr>
          <w:ilvl w:val="0"/>
          <w:numId w:val="12"/>
        </w:numPr>
        <w:spacing w:line="480" w:lineRule="atLeast"/>
        <w:jc w:val="left"/>
        <w:rPr>
          <w:rFonts w:ascii="宋体" w:hAnsi="宋体"/>
          <w:b/>
          <w:color w:val="auto"/>
          <w:sz w:val="28"/>
          <w:szCs w:val="28"/>
        </w:rPr>
      </w:pPr>
      <w:r>
        <w:rPr>
          <w:rFonts w:hint="eastAsia" w:ascii="宋体" w:hAnsi="宋体"/>
          <w:b/>
          <w:color w:val="auto"/>
          <w:sz w:val="28"/>
          <w:szCs w:val="28"/>
        </w:rPr>
        <w:t>初步评审</w:t>
      </w:r>
    </w:p>
    <w:p>
      <w:pPr>
        <w:spacing w:line="480" w:lineRule="atLeast"/>
        <w:ind w:firstLine="480" w:firstLineChars="200"/>
        <w:jc w:val="left"/>
        <w:rPr>
          <w:rFonts w:ascii="宋体" w:hAnsi="宋体"/>
          <w:color w:val="auto"/>
          <w:sz w:val="24"/>
          <w:szCs w:val="24"/>
        </w:rPr>
      </w:pPr>
      <w:r>
        <w:rPr>
          <w:rFonts w:hint="eastAsia" w:ascii="宋体" w:hAnsi="宋体"/>
          <w:color w:val="auto"/>
          <w:sz w:val="24"/>
          <w:szCs w:val="24"/>
        </w:rPr>
        <w:t>进入评审程序后，谈判小组先对报价人的报价文件进行初步评审。谈判小组将根据评审办法的规定和</w:t>
      </w:r>
      <w:r>
        <w:rPr>
          <w:rFonts w:hint="eastAsia" w:ascii="宋体" w:hAnsi="宋体"/>
          <w:b/>
          <w:color w:val="auto"/>
          <w:sz w:val="24"/>
          <w:szCs w:val="24"/>
          <w:u w:val="single"/>
        </w:rPr>
        <w:t>初步审查表</w:t>
      </w:r>
      <w:r>
        <w:rPr>
          <w:rFonts w:hint="eastAsia" w:ascii="宋体" w:hAnsi="宋体"/>
          <w:color w:val="auto"/>
          <w:sz w:val="24"/>
          <w:szCs w:val="24"/>
        </w:rPr>
        <w:t>的内容，对报价文件进行初步评审。</w:t>
      </w:r>
    </w:p>
    <w:p>
      <w:pPr>
        <w:tabs>
          <w:tab w:val="left" w:pos="720"/>
          <w:tab w:val="left" w:pos="3675"/>
        </w:tabs>
        <w:spacing w:line="480" w:lineRule="atLeast"/>
        <w:ind w:firstLine="480" w:firstLineChars="200"/>
        <w:jc w:val="left"/>
        <w:rPr>
          <w:rFonts w:ascii="宋体" w:hAnsi="宋体"/>
          <w:color w:val="auto"/>
          <w:sz w:val="24"/>
          <w:szCs w:val="24"/>
        </w:rPr>
      </w:pPr>
      <w:r>
        <w:rPr>
          <w:rFonts w:hint="eastAsia" w:ascii="宋体" w:hAnsi="宋体"/>
          <w:color w:val="auto"/>
          <w:sz w:val="24"/>
          <w:szCs w:val="24"/>
        </w:rPr>
        <w:t>出现下列情况的报价文件将被认定为不满足采购需求而不能通过初步审查：</w:t>
      </w:r>
    </w:p>
    <w:p>
      <w:pPr>
        <w:numPr>
          <w:ilvl w:val="0"/>
          <w:numId w:val="13"/>
        </w:numPr>
        <w:tabs>
          <w:tab w:val="left" w:pos="720"/>
        </w:tabs>
        <w:spacing w:line="480" w:lineRule="atLeast"/>
        <w:ind w:left="794" w:leftChars="85" w:hanging="616" w:hangingChars="257"/>
        <w:jc w:val="left"/>
        <w:rPr>
          <w:rFonts w:ascii="宋体" w:hAnsi="宋体"/>
          <w:color w:val="auto"/>
          <w:sz w:val="24"/>
          <w:szCs w:val="24"/>
        </w:rPr>
      </w:pPr>
      <w:r>
        <w:rPr>
          <w:rFonts w:hint="eastAsia" w:ascii="宋体" w:hAnsi="宋体"/>
          <w:color w:val="auto"/>
          <w:sz w:val="24"/>
          <w:szCs w:val="24"/>
        </w:rPr>
        <w:t>报价人未提交报价保证金或金额不足、出具的证明不按谈判文件要求的；</w:t>
      </w:r>
    </w:p>
    <w:p>
      <w:pPr>
        <w:numPr>
          <w:ilvl w:val="0"/>
          <w:numId w:val="13"/>
        </w:numPr>
        <w:tabs>
          <w:tab w:val="left" w:pos="720"/>
        </w:tabs>
        <w:spacing w:line="480" w:lineRule="atLeast"/>
        <w:ind w:left="794" w:leftChars="85" w:hanging="616" w:hangingChars="257"/>
        <w:jc w:val="left"/>
        <w:rPr>
          <w:rFonts w:ascii="宋体" w:hAnsi="宋体"/>
          <w:color w:val="auto"/>
          <w:sz w:val="24"/>
          <w:szCs w:val="24"/>
        </w:rPr>
      </w:pPr>
      <w:r>
        <w:rPr>
          <w:rFonts w:hint="eastAsia" w:ascii="宋体" w:hAnsi="宋体"/>
          <w:color w:val="auto"/>
          <w:sz w:val="24"/>
          <w:szCs w:val="24"/>
        </w:rPr>
        <w:t xml:space="preserve">资格证明文件不全的。 </w:t>
      </w:r>
    </w:p>
    <w:p>
      <w:pPr>
        <w:numPr>
          <w:ilvl w:val="0"/>
          <w:numId w:val="13"/>
        </w:numPr>
        <w:tabs>
          <w:tab w:val="left" w:pos="720"/>
        </w:tabs>
        <w:spacing w:line="480" w:lineRule="atLeast"/>
        <w:ind w:left="794" w:leftChars="85" w:hanging="616" w:hangingChars="257"/>
        <w:jc w:val="left"/>
        <w:rPr>
          <w:rFonts w:ascii="宋体" w:hAnsi="宋体"/>
          <w:color w:val="auto"/>
          <w:sz w:val="24"/>
          <w:szCs w:val="24"/>
        </w:rPr>
      </w:pPr>
      <w:r>
        <w:rPr>
          <w:rFonts w:hint="eastAsia" w:ascii="宋体" w:hAnsi="宋体"/>
          <w:color w:val="auto"/>
          <w:sz w:val="24"/>
          <w:szCs w:val="24"/>
        </w:rPr>
        <w:t>报价文件无法人代表签字，或签字人无有效的法人代表授权书的；</w:t>
      </w:r>
    </w:p>
    <w:p>
      <w:pPr>
        <w:numPr>
          <w:ilvl w:val="0"/>
          <w:numId w:val="13"/>
        </w:numPr>
        <w:tabs>
          <w:tab w:val="left" w:pos="720"/>
        </w:tabs>
        <w:spacing w:line="480" w:lineRule="atLeast"/>
        <w:ind w:left="794" w:leftChars="85" w:hanging="616" w:hangingChars="257"/>
        <w:jc w:val="left"/>
        <w:rPr>
          <w:rFonts w:ascii="宋体" w:hAnsi="宋体"/>
          <w:color w:val="auto"/>
          <w:sz w:val="24"/>
          <w:szCs w:val="24"/>
        </w:rPr>
      </w:pPr>
      <w:r>
        <w:rPr>
          <w:rFonts w:hint="eastAsia" w:ascii="宋体" w:hAnsi="宋体"/>
          <w:color w:val="auto"/>
          <w:sz w:val="24"/>
          <w:szCs w:val="24"/>
        </w:rPr>
        <w:t>报价文件有效期不足的；</w:t>
      </w:r>
    </w:p>
    <w:p>
      <w:pPr>
        <w:numPr>
          <w:ilvl w:val="0"/>
          <w:numId w:val="13"/>
        </w:numPr>
        <w:tabs>
          <w:tab w:val="left" w:pos="720"/>
        </w:tabs>
        <w:spacing w:line="480" w:lineRule="atLeast"/>
        <w:ind w:left="794" w:leftChars="85" w:hanging="616" w:hangingChars="257"/>
        <w:jc w:val="left"/>
        <w:rPr>
          <w:rFonts w:ascii="宋体" w:hAnsi="宋体"/>
          <w:color w:val="auto"/>
          <w:sz w:val="24"/>
          <w:szCs w:val="24"/>
        </w:rPr>
      </w:pPr>
      <w:r>
        <w:rPr>
          <w:rFonts w:hint="eastAsia" w:ascii="宋体" w:hAnsi="宋体"/>
          <w:color w:val="auto"/>
          <w:sz w:val="24"/>
          <w:szCs w:val="24"/>
        </w:rPr>
        <w:t>非固定价格投标的；</w:t>
      </w:r>
    </w:p>
    <w:p>
      <w:pPr>
        <w:numPr>
          <w:ilvl w:val="0"/>
          <w:numId w:val="13"/>
        </w:numPr>
        <w:tabs>
          <w:tab w:val="left" w:pos="720"/>
        </w:tabs>
        <w:spacing w:line="480" w:lineRule="atLeast"/>
        <w:ind w:left="794" w:leftChars="85" w:hanging="616" w:hangingChars="257"/>
        <w:jc w:val="left"/>
        <w:rPr>
          <w:rFonts w:ascii="宋体" w:hAnsi="宋体"/>
          <w:color w:val="auto"/>
          <w:sz w:val="24"/>
          <w:szCs w:val="24"/>
        </w:rPr>
      </w:pPr>
      <w:r>
        <w:rPr>
          <w:rFonts w:hint="eastAsia" w:ascii="宋体" w:hAnsi="宋体"/>
          <w:color w:val="auto"/>
          <w:sz w:val="24"/>
          <w:szCs w:val="24"/>
        </w:rPr>
        <w:t>不满足谈判文件规定的其它条件的。</w:t>
      </w:r>
    </w:p>
    <w:p>
      <w:pPr>
        <w:spacing w:line="480" w:lineRule="atLeast"/>
        <w:ind w:left="178" w:leftChars="85" w:firstLine="480" w:firstLineChars="200"/>
        <w:jc w:val="left"/>
        <w:rPr>
          <w:rFonts w:ascii="宋体" w:hAnsi="宋体"/>
          <w:color w:val="auto"/>
          <w:sz w:val="24"/>
          <w:szCs w:val="24"/>
        </w:rPr>
      </w:pPr>
      <w:r>
        <w:rPr>
          <w:rFonts w:hint="eastAsia" w:ascii="宋体" w:hAnsi="宋体"/>
          <w:color w:val="auto"/>
          <w:sz w:val="24"/>
          <w:szCs w:val="24"/>
        </w:rPr>
        <w:t>初步评审采用“一项否决”的原则，只有全部符合要求的才能通过初步评审。</w:t>
      </w:r>
    </w:p>
    <w:p>
      <w:pPr>
        <w:numPr>
          <w:ilvl w:val="0"/>
          <w:numId w:val="12"/>
        </w:numPr>
        <w:spacing w:line="480" w:lineRule="atLeast"/>
        <w:jc w:val="left"/>
        <w:rPr>
          <w:rFonts w:ascii="宋体" w:hAnsi="宋体"/>
          <w:b/>
          <w:color w:val="auto"/>
          <w:sz w:val="24"/>
          <w:szCs w:val="24"/>
        </w:rPr>
      </w:pPr>
      <w:r>
        <w:rPr>
          <w:rFonts w:hint="eastAsia" w:ascii="宋体" w:hAnsi="宋体"/>
          <w:b/>
          <w:color w:val="auto"/>
          <w:sz w:val="24"/>
          <w:szCs w:val="24"/>
        </w:rPr>
        <w:t>谈判（二次报价）</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按照评审程序的规定，谈判小组阅读通过初步评审的报价人的报价文件，据此与报价人进行技术、商务、服务和价格内容的澄清、修正和谈判，谈判中发现报价人的报价文件资料不清晰或造成理解有歧义时,谈判小组准许其在规定时间内做出解释说明，如不及时做出合理的说明，该报价则将会由于不符合谈判的基本要求而被拒绝。</w:t>
      </w:r>
    </w:p>
    <w:p>
      <w:pPr>
        <w:spacing w:line="360" w:lineRule="auto"/>
        <w:jc w:val="left"/>
        <w:rPr>
          <w:rFonts w:ascii="宋体" w:hAnsi="宋体"/>
          <w:b/>
          <w:color w:val="auto"/>
          <w:sz w:val="24"/>
          <w:szCs w:val="24"/>
        </w:rPr>
      </w:pPr>
      <w:r>
        <w:rPr>
          <w:rFonts w:hint="eastAsia" w:ascii="宋体" w:hAnsi="宋体"/>
          <w:b/>
          <w:color w:val="auto"/>
          <w:sz w:val="24"/>
          <w:szCs w:val="24"/>
        </w:rPr>
        <w:t>3、推荐成交候选人</w:t>
      </w:r>
    </w:p>
    <w:p>
      <w:pPr>
        <w:spacing w:line="360" w:lineRule="auto"/>
        <w:ind w:firstLine="480" w:firstLineChars="200"/>
        <w:jc w:val="left"/>
        <w:rPr>
          <w:rFonts w:ascii="宋体" w:hAnsi="宋体"/>
          <w:b/>
          <w:color w:val="auto"/>
          <w:sz w:val="24"/>
          <w:szCs w:val="24"/>
        </w:rPr>
      </w:pPr>
      <w:r>
        <w:rPr>
          <w:rFonts w:hint="eastAsia" w:ascii="宋体" w:hAnsi="宋体"/>
          <w:color w:val="auto"/>
          <w:sz w:val="24"/>
          <w:szCs w:val="24"/>
        </w:rPr>
        <w:t>（1）有效报价是指通过文件初审的报价人最终报价经价格核对后的评审价格，且不超过采购人的预算。</w:t>
      </w:r>
    </w:p>
    <w:p>
      <w:pPr>
        <w:tabs>
          <w:tab w:val="left" w:pos="720"/>
        </w:tabs>
        <w:spacing w:line="480" w:lineRule="atLeast"/>
        <w:ind w:firstLine="480" w:firstLineChars="200"/>
        <w:jc w:val="left"/>
        <w:rPr>
          <w:rFonts w:ascii="宋体" w:hAnsi="宋体"/>
          <w:color w:val="auto"/>
          <w:sz w:val="24"/>
          <w:szCs w:val="24"/>
        </w:rPr>
      </w:pPr>
      <w:r>
        <w:rPr>
          <w:rFonts w:hint="eastAsia" w:ascii="宋体" w:hAnsi="宋体"/>
          <w:color w:val="auto"/>
          <w:sz w:val="24"/>
          <w:szCs w:val="24"/>
        </w:rPr>
        <w:t>（2）如果有效报价达到3家或以上，</w:t>
      </w:r>
      <w:r>
        <w:rPr>
          <w:rFonts w:hint="eastAsia" w:ascii="宋体" w:hAnsi="宋体"/>
          <w:color w:val="auto"/>
          <w:sz w:val="24"/>
        </w:rPr>
        <w:t>谈判小组从质量和服务均能满足采购文件实质性响应要求的供应商中，按照最后报价由低到高的顺序提出3名（含）以上成交候选人。</w:t>
      </w:r>
    </w:p>
    <w:p>
      <w:pPr>
        <w:numPr>
          <w:ilvl w:val="0"/>
          <w:numId w:val="11"/>
        </w:numPr>
        <w:spacing w:line="500" w:lineRule="exact"/>
        <w:rPr>
          <w:rFonts w:ascii="宋体" w:hAnsi="宋体"/>
          <w:b/>
          <w:color w:val="auto"/>
          <w:sz w:val="24"/>
          <w:szCs w:val="24"/>
        </w:rPr>
      </w:pPr>
      <w:r>
        <w:rPr>
          <w:rFonts w:hint="eastAsia" w:ascii="宋体" w:hAnsi="宋体"/>
          <w:b/>
          <w:color w:val="auto"/>
          <w:sz w:val="24"/>
          <w:szCs w:val="24"/>
        </w:rPr>
        <w:t>报价的核对</w:t>
      </w:r>
    </w:p>
    <w:p>
      <w:pPr>
        <w:tabs>
          <w:tab w:val="left" w:pos="720"/>
        </w:tabs>
        <w:spacing w:line="360" w:lineRule="auto"/>
        <w:ind w:firstLine="480" w:firstLineChars="200"/>
        <w:jc w:val="left"/>
        <w:rPr>
          <w:rFonts w:ascii="宋体" w:hAnsi="宋体"/>
          <w:color w:val="auto"/>
          <w:sz w:val="24"/>
          <w:szCs w:val="24"/>
        </w:rPr>
      </w:pPr>
      <w:r>
        <w:rPr>
          <w:rFonts w:hint="eastAsia" w:ascii="宋体" w:hAnsi="宋体"/>
          <w:color w:val="auto"/>
          <w:sz w:val="24"/>
          <w:szCs w:val="24"/>
        </w:rPr>
        <w:t>1、谈判小组详细分析、核对价格表，看其是否有计算上或累加上的算术错误，修正错误的原则如下：</w:t>
      </w:r>
    </w:p>
    <w:p>
      <w:pPr>
        <w:tabs>
          <w:tab w:val="left" w:pos="180"/>
          <w:tab w:val="left" w:pos="360"/>
          <w:tab w:val="left" w:pos="720"/>
          <w:tab w:val="left" w:pos="840"/>
        </w:tabs>
        <w:spacing w:line="360" w:lineRule="auto"/>
        <w:ind w:right="-61" w:rightChars="-29" w:firstLine="480" w:firstLineChars="200"/>
        <w:jc w:val="left"/>
        <w:rPr>
          <w:rFonts w:ascii="宋体" w:hAnsi="宋体"/>
          <w:color w:val="auto"/>
          <w:sz w:val="24"/>
          <w:szCs w:val="24"/>
        </w:rPr>
      </w:pPr>
      <w:r>
        <w:rPr>
          <w:rFonts w:hint="eastAsia" w:ascii="宋体" w:hAnsi="宋体"/>
          <w:color w:val="auto"/>
          <w:sz w:val="24"/>
          <w:szCs w:val="24"/>
        </w:rPr>
        <w:t>1.1若用数字表示的金额和用文字表示的金额不一致，以文字表示的金额为准；</w:t>
      </w:r>
    </w:p>
    <w:p>
      <w:pPr>
        <w:tabs>
          <w:tab w:val="left" w:pos="180"/>
          <w:tab w:val="left" w:pos="360"/>
          <w:tab w:val="left" w:pos="720"/>
          <w:tab w:val="left" w:pos="840"/>
        </w:tabs>
        <w:spacing w:line="360" w:lineRule="auto"/>
        <w:ind w:right="-61" w:rightChars="-29" w:firstLine="480" w:firstLineChars="200"/>
        <w:jc w:val="left"/>
        <w:rPr>
          <w:rFonts w:ascii="宋体" w:hAnsi="宋体"/>
          <w:color w:val="auto"/>
          <w:sz w:val="24"/>
          <w:szCs w:val="24"/>
        </w:rPr>
      </w:pPr>
      <w:r>
        <w:rPr>
          <w:rFonts w:hint="eastAsia" w:ascii="宋体" w:hAnsi="宋体"/>
          <w:color w:val="auto"/>
          <w:sz w:val="24"/>
          <w:szCs w:val="24"/>
        </w:rPr>
        <w:t>1.2当单价与数量的乘积与总价不一致时，以单价为准，并修正总价；（小数点明显标示错误的除外）</w:t>
      </w:r>
    </w:p>
    <w:p>
      <w:pPr>
        <w:tabs>
          <w:tab w:val="left" w:pos="720"/>
        </w:tabs>
        <w:spacing w:line="360" w:lineRule="auto"/>
        <w:ind w:firstLine="480" w:firstLineChars="200"/>
        <w:rPr>
          <w:rFonts w:ascii="宋体" w:hAnsi="宋体"/>
          <w:color w:val="auto"/>
          <w:sz w:val="24"/>
          <w:szCs w:val="24"/>
        </w:rPr>
      </w:pPr>
      <w:r>
        <w:rPr>
          <w:rFonts w:hint="eastAsia" w:ascii="宋体" w:hAnsi="宋体"/>
          <w:color w:val="auto"/>
          <w:sz w:val="24"/>
          <w:szCs w:val="24"/>
        </w:rPr>
        <w:t>2、谈判小组将按上述修正错误的方法调整报价文件中的报价，调整后的价格对报价人具有约束力。如果报价人不接受修正后的价格，则其报价将被拒绝。</w:t>
      </w:r>
    </w:p>
    <w:p>
      <w:pPr>
        <w:tabs>
          <w:tab w:val="left" w:pos="180"/>
          <w:tab w:val="left" w:pos="360"/>
          <w:tab w:val="left" w:pos="720"/>
          <w:tab w:val="left" w:pos="840"/>
        </w:tabs>
        <w:spacing w:line="360" w:lineRule="auto"/>
        <w:ind w:right="-61" w:rightChars="-29" w:firstLine="480" w:firstLineChars="200"/>
        <w:jc w:val="left"/>
        <w:rPr>
          <w:rFonts w:ascii="宋体" w:hAnsi="宋体"/>
          <w:color w:val="auto"/>
          <w:sz w:val="24"/>
          <w:szCs w:val="24"/>
        </w:rPr>
      </w:pPr>
      <w:r>
        <w:rPr>
          <w:rFonts w:hint="eastAsia" w:ascii="宋体" w:hAnsi="宋体"/>
          <w:color w:val="auto"/>
          <w:sz w:val="24"/>
          <w:szCs w:val="24"/>
        </w:rPr>
        <w:t>3、投标报价：对中小微企业执行财库【 2011】 181号文件的规定、对监狱企业执行财库【 2014】 68号文件的规定、对残疾人福利性单位执行财库【 2017】 141号文件的规定，对其投标报价按 6%扣除后的价格作为其评标价；不符合财库【 2011】 181号文件的规定企业的产品价格不予扣除。</w:t>
      </w:r>
    </w:p>
    <w:p>
      <w:pPr>
        <w:tabs>
          <w:tab w:val="left" w:pos="180"/>
          <w:tab w:val="left" w:pos="360"/>
          <w:tab w:val="left" w:pos="720"/>
          <w:tab w:val="left" w:pos="840"/>
        </w:tabs>
        <w:spacing w:line="360" w:lineRule="auto"/>
        <w:ind w:right="-61" w:rightChars="-29" w:firstLine="480" w:firstLineChars="200"/>
        <w:jc w:val="left"/>
        <w:rPr>
          <w:rFonts w:ascii="宋体" w:hAnsi="宋体"/>
          <w:color w:val="auto"/>
          <w:sz w:val="24"/>
          <w:szCs w:val="24"/>
        </w:rPr>
      </w:pPr>
      <w:r>
        <w:rPr>
          <w:rFonts w:ascii="宋体" w:hAnsi="宋体"/>
          <w:color w:val="auto"/>
          <w:sz w:val="24"/>
          <w:szCs w:val="24"/>
        </w:rPr>
        <w:t>4</w:t>
      </w:r>
      <w:r>
        <w:rPr>
          <w:rFonts w:hint="eastAsia" w:ascii="宋体" w:hAnsi="宋体"/>
          <w:color w:val="auto"/>
          <w:sz w:val="24"/>
          <w:szCs w:val="24"/>
        </w:rPr>
        <w:t>、节能产品：根据国务院办公厅关于建立政府强制采购节能产品制度的通知在同等条件下优先采购节能产品。</w:t>
      </w:r>
    </w:p>
    <w:p>
      <w:pPr>
        <w:numPr>
          <w:ilvl w:val="0"/>
          <w:numId w:val="11"/>
        </w:numPr>
        <w:spacing w:line="360" w:lineRule="auto"/>
        <w:ind w:right="420" w:rightChars="200"/>
        <w:jc w:val="left"/>
        <w:rPr>
          <w:rFonts w:ascii="宋体" w:hAnsi="宋体"/>
          <w:b/>
          <w:color w:val="auto"/>
          <w:sz w:val="24"/>
          <w:szCs w:val="24"/>
        </w:rPr>
      </w:pPr>
      <w:r>
        <w:rPr>
          <w:rFonts w:hint="eastAsia" w:ascii="宋体" w:hAnsi="宋体"/>
          <w:b/>
          <w:color w:val="auto"/>
          <w:sz w:val="24"/>
          <w:szCs w:val="24"/>
        </w:rPr>
        <w:t>谈判、评审过程的保密性。</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1、接受报价后，直至成交报价人与买方签订合同后止，凡与谈判、审查、澄清、评价、比较、确定成交人意见有关的内容，任何人均不得向报价人及与谈判评审无关的其他人透露。</w:t>
      </w:r>
    </w:p>
    <w:p>
      <w:pPr>
        <w:tabs>
          <w:tab w:val="left" w:pos="720"/>
        </w:tabs>
        <w:spacing w:line="360" w:lineRule="auto"/>
        <w:ind w:firstLine="480" w:firstLineChars="200"/>
        <w:jc w:val="left"/>
        <w:rPr>
          <w:rFonts w:ascii="宋体" w:hAnsi="宋体"/>
          <w:color w:val="auto"/>
          <w:sz w:val="24"/>
          <w:szCs w:val="24"/>
        </w:rPr>
      </w:pPr>
      <w:r>
        <w:rPr>
          <w:rFonts w:hint="eastAsia" w:ascii="宋体" w:hAnsi="宋体"/>
          <w:color w:val="auto"/>
          <w:sz w:val="24"/>
          <w:szCs w:val="24"/>
        </w:rPr>
        <w:t>2、从报价递交截止时间起到确定成交报价人日止，报价人不得与参加谈判、评审的有关人员私下接触。在谈判评审过程中，如果报价人试图在报价文件审查、澄清、比较及推荐成交报价人方面向参与谈判评审的有关人员和采购人施加任何影响，其报价将被拒绝。</w:t>
      </w:r>
    </w:p>
    <w:p>
      <w:pPr>
        <w:numPr>
          <w:ilvl w:val="0"/>
          <w:numId w:val="11"/>
        </w:numPr>
        <w:spacing w:line="360" w:lineRule="auto"/>
        <w:ind w:right="420" w:rightChars="200"/>
        <w:jc w:val="left"/>
        <w:rPr>
          <w:rFonts w:ascii="宋体" w:hAnsi="宋体"/>
          <w:b/>
          <w:color w:val="auto"/>
          <w:sz w:val="24"/>
          <w:szCs w:val="24"/>
        </w:rPr>
      </w:pPr>
      <w:r>
        <w:rPr>
          <w:rFonts w:hint="eastAsia" w:ascii="宋体" w:hAnsi="宋体"/>
          <w:b/>
          <w:color w:val="auto"/>
          <w:sz w:val="24"/>
          <w:szCs w:val="24"/>
        </w:rPr>
        <w:t>接受和拒绝任何或所有报价的权利。</w:t>
      </w:r>
    </w:p>
    <w:p>
      <w:pPr>
        <w:tabs>
          <w:tab w:val="left" w:pos="180"/>
          <w:tab w:val="left" w:pos="360"/>
        </w:tabs>
        <w:spacing w:line="360" w:lineRule="auto"/>
        <w:ind w:right="31" w:rightChars="15" w:firstLine="480" w:firstLineChars="200"/>
        <w:jc w:val="left"/>
        <w:rPr>
          <w:rFonts w:ascii="宋体" w:hAnsi="宋体"/>
          <w:color w:val="auto"/>
          <w:sz w:val="24"/>
          <w:szCs w:val="24"/>
        </w:rPr>
      </w:pPr>
      <w:r>
        <w:rPr>
          <w:rFonts w:hint="eastAsia" w:ascii="宋体" w:hAnsi="宋体"/>
          <w:color w:val="auto"/>
          <w:sz w:val="24"/>
          <w:szCs w:val="24"/>
        </w:rPr>
        <w:t>招标人和采购人保留在成交之前任何时候接受或拒绝任何报价，以及宣布竞争性谈判无效或拒绝所有报价的权力，对受影响的报价人不承担任何责任。</w:t>
      </w:r>
    </w:p>
    <w:p>
      <w:pPr>
        <w:numPr>
          <w:ilvl w:val="0"/>
          <w:numId w:val="11"/>
        </w:numPr>
        <w:spacing w:line="360" w:lineRule="auto"/>
        <w:ind w:right="420" w:rightChars="200"/>
        <w:jc w:val="left"/>
        <w:rPr>
          <w:rFonts w:ascii="宋体" w:hAnsi="宋体"/>
          <w:b/>
          <w:color w:val="auto"/>
          <w:sz w:val="24"/>
          <w:szCs w:val="24"/>
        </w:rPr>
      </w:pPr>
      <w:r>
        <w:rPr>
          <w:rFonts w:hint="eastAsia" w:ascii="宋体" w:hAnsi="宋体"/>
          <w:b/>
          <w:color w:val="auto"/>
          <w:sz w:val="24"/>
          <w:szCs w:val="24"/>
        </w:rPr>
        <w:t>变更技术方案的权利。</w:t>
      </w:r>
    </w:p>
    <w:p>
      <w:pPr>
        <w:tabs>
          <w:tab w:val="left" w:pos="180"/>
          <w:tab w:val="left" w:pos="360"/>
        </w:tabs>
        <w:spacing w:line="360" w:lineRule="auto"/>
        <w:ind w:right="31" w:rightChars="15" w:firstLine="480" w:firstLineChars="200"/>
        <w:jc w:val="left"/>
        <w:rPr>
          <w:rFonts w:ascii="宋体" w:hAnsi="宋体"/>
          <w:color w:val="auto"/>
          <w:sz w:val="24"/>
          <w:szCs w:val="24"/>
        </w:rPr>
      </w:pPr>
      <w:r>
        <w:rPr>
          <w:rFonts w:hint="eastAsia" w:ascii="宋体" w:hAnsi="宋体"/>
          <w:color w:val="auto"/>
          <w:sz w:val="24"/>
          <w:szCs w:val="24"/>
        </w:rPr>
        <w:t>在竞争性谈判过程中，采购人有权变更技术方案或采购数量，如果报价人根据采购人提出的变更要求调整方案或价格后未能获得合同，采购人和招标人不承担任何责任。</w:t>
      </w:r>
    </w:p>
    <w:p>
      <w:pPr>
        <w:spacing w:line="360" w:lineRule="auto"/>
        <w:jc w:val="center"/>
        <w:outlineLvl w:val="1"/>
        <w:rPr>
          <w:rFonts w:ascii="宋体" w:hAnsi="宋体"/>
          <w:b/>
          <w:color w:val="auto"/>
          <w:sz w:val="44"/>
          <w:szCs w:val="44"/>
        </w:rPr>
      </w:pPr>
      <w:bookmarkStart w:id="110" w:name="_Toc481157517"/>
      <w:bookmarkStart w:id="111" w:name="_Toc301182590"/>
    </w:p>
    <w:p>
      <w:pPr>
        <w:spacing w:line="360" w:lineRule="auto"/>
        <w:jc w:val="center"/>
        <w:outlineLvl w:val="1"/>
        <w:rPr>
          <w:rFonts w:ascii="宋体" w:hAnsi="宋体"/>
          <w:b/>
          <w:color w:val="auto"/>
          <w:sz w:val="44"/>
          <w:szCs w:val="44"/>
        </w:rPr>
      </w:pPr>
    </w:p>
    <w:p>
      <w:pPr>
        <w:spacing w:line="360" w:lineRule="auto"/>
        <w:jc w:val="center"/>
        <w:outlineLvl w:val="1"/>
        <w:rPr>
          <w:rFonts w:ascii="宋体" w:hAnsi="宋体"/>
          <w:b/>
          <w:color w:val="auto"/>
          <w:sz w:val="44"/>
          <w:szCs w:val="44"/>
        </w:rPr>
      </w:pPr>
    </w:p>
    <w:p>
      <w:pPr>
        <w:spacing w:line="360" w:lineRule="auto"/>
        <w:jc w:val="center"/>
        <w:outlineLvl w:val="1"/>
        <w:rPr>
          <w:rFonts w:ascii="宋体" w:hAnsi="宋体"/>
          <w:b/>
          <w:color w:val="auto"/>
          <w:sz w:val="44"/>
          <w:szCs w:val="44"/>
        </w:rPr>
      </w:pPr>
    </w:p>
    <w:p>
      <w:pPr>
        <w:spacing w:line="360" w:lineRule="auto"/>
        <w:jc w:val="center"/>
        <w:outlineLvl w:val="1"/>
        <w:rPr>
          <w:rFonts w:ascii="宋体" w:hAnsi="宋体"/>
          <w:b/>
          <w:color w:val="auto"/>
          <w:sz w:val="44"/>
          <w:szCs w:val="44"/>
        </w:rPr>
      </w:pPr>
    </w:p>
    <w:p>
      <w:pPr>
        <w:spacing w:line="360" w:lineRule="auto"/>
        <w:jc w:val="center"/>
        <w:outlineLvl w:val="1"/>
        <w:rPr>
          <w:rFonts w:ascii="宋体" w:hAnsi="宋体"/>
          <w:b/>
          <w:color w:val="auto"/>
          <w:sz w:val="44"/>
          <w:szCs w:val="44"/>
        </w:rPr>
      </w:pPr>
    </w:p>
    <w:p>
      <w:pPr>
        <w:spacing w:line="360" w:lineRule="auto"/>
        <w:jc w:val="center"/>
        <w:outlineLvl w:val="1"/>
        <w:rPr>
          <w:rFonts w:ascii="宋体" w:hAnsi="宋体"/>
          <w:b/>
          <w:color w:val="auto"/>
          <w:sz w:val="44"/>
          <w:szCs w:val="44"/>
        </w:rPr>
      </w:pPr>
    </w:p>
    <w:p>
      <w:pPr>
        <w:spacing w:line="360" w:lineRule="auto"/>
        <w:jc w:val="center"/>
        <w:outlineLvl w:val="1"/>
        <w:rPr>
          <w:rFonts w:ascii="宋体" w:hAnsi="宋体"/>
          <w:b/>
          <w:color w:val="auto"/>
          <w:sz w:val="44"/>
          <w:szCs w:val="44"/>
        </w:rPr>
      </w:pPr>
    </w:p>
    <w:p>
      <w:pPr>
        <w:spacing w:line="360" w:lineRule="auto"/>
        <w:jc w:val="center"/>
        <w:outlineLvl w:val="1"/>
        <w:rPr>
          <w:rFonts w:ascii="宋体" w:hAnsi="宋体"/>
          <w:b/>
          <w:color w:val="auto"/>
          <w:sz w:val="44"/>
          <w:szCs w:val="44"/>
        </w:rPr>
      </w:pPr>
    </w:p>
    <w:p>
      <w:pPr>
        <w:spacing w:line="360" w:lineRule="auto"/>
        <w:jc w:val="center"/>
        <w:outlineLvl w:val="1"/>
        <w:rPr>
          <w:rFonts w:ascii="宋体" w:hAnsi="宋体"/>
          <w:b/>
          <w:color w:val="auto"/>
          <w:sz w:val="44"/>
          <w:szCs w:val="44"/>
        </w:rPr>
      </w:pPr>
    </w:p>
    <w:p>
      <w:pPr>
        <w:pStyle w:val="2"/>
        <w:jc w:val="center"/>
        <w:rPr>
          <w:rFonts w:ascii="宋体" w:hAnsi="宋体" w:eastAsia="宋体" w:cs="黑体"/>
          <w:color w:val="auto"/>
        </w:rPr>
      </w:pPr>
      <w:bookmarkStart w:id="112" w:name="_Toc1660557"/>
      <w:r>
        <w:rPr>
          <w:rFonts w:hint="eastAsia" w:ascii="宋体" w:hAnsi="宋体" w:eastAsia="宋体" w:cs="黑体"/>
          <w:color w:val="auto"/>
        </w:rPr>
        <w:t>附表1、初步审查表</w:t>
      </w:r>
      <w:bookmarkEnd w:id="110"/>
      <w:bookmarkEnd w:id="111"/>
      <w:bookmarkEnd w:id="112"/>
    </w:p>
    <w:p>
      <w:pPr>
        <w:spacing w:line="300" w:lineRule="auto"/>
        <w:rPr>
          <w:rFonts w:hint="eastAsia" w:ascii="宋体" w:hAnsi="宋体"/>
          <w:color w:val="auto"/>
          <w:sz w:val="24"/>
          <w:lang w:eastAsia="zh-CN"/>
        </w:rPr>
      </w:pPr>
      <w:r>
        <w:rPr>
          <w:rFonts w:hint="eastAsia" w:ascii="宋体" w:hAnsi="宋体"/>
          <w:color w:val="auto"/>
          <w:sz w:val="24"/>
        </w:rPr>
        <w:t>项目名称：</w:t>
      </w:r>
      <w:r>
        <w:rPr>
          <w:rFonts w:hint="eastAsia" w:ascii="宋体" w:hAnsi="宋体"/>
          <w:color w:val="auto"/>
          <w:sz w:val="24"/>
          <w:lang w:eastAsia="zh-CN"/>
        </w:rPr>
        <w:t>白沙县行政审批服务局办事大厅改造（政务中心二楼)</w:t>
      </w:r>
    </w:p>
    <w:p>
      <w:pPr>
        <w:spacing w:line="300" w:lineRule="auto"/>
        <w:rPr>
          <w:rFonts w:ascii="宋体" w:hAnsi="宋体"/>
          <w:color w:val="auto"/>
          <w:sz w:val="24"/>
        </w:rPr>
      </w:pPr>
      <w:r>
        <w:rPr>
          <w:rFonts w:hint="eastAsia" w:ascii="宋体" w:hAnsi="宋体"/>
          <w:color w:val="auto"/>
          <w:sz w:val="24"/>
        </w:rPr>
        <w:t>项目编号：</w:t>
      </w:r>
      <w:r>
        <w:rPr>
          <w:rFonts w:hint="eastAsia" w:ascii="宋体" w:hAnsi="宋体" w:cs="宋体"/>
          <w:color w:val="auto"/>
          <w:kern w:val="0"/>
          <w:sz w:val="24"/>
          <w:lang w:eastAsia="zh-CN"/>
        </w:rPr>
        <w:t>HNZH-2020-188</w:t>
      </w:r>
      <w:r>
        <w:rPr>
          <w:rFonts w:hint="eastAsia" w:ascii="宋体" w:hAnsi="宋体"/>
          <w:color w:val="auto"/>
          <w:sz w:val="24"/>
        </w:rPr>
        <w:t xml:space="preserve">                          日期：</w:t>
      </w:r>
      <w:r>
        <w:rPr>
          <w:rFonts w:hint="eastAsia" w:ascii="宋体" w:hAnsi="宋体"/>
          <w:color w:val="auto"/>
          <w:sz w:val="24"/>
          <w:lang w:val="en-US" w:eastAsia="zh-CN"/>
        </w:rPr>
        <w:t>2020</w:t>
      </w:r>
      <w:r>
        <w:rPr>
          <w:rFonts w:hint="eastAsia" w:ascii="宋体" w:hAnsi="宋体"/>
          <w:color w:val="auto"/>
          <w:sz w:val="24"/>
        </w:rPr>
        <w:t>年  月  日</w:t>
      </w:r>
    </w:p>
    <w:tbl>
      <w:tblPr>
        <w:tblStyle w:val="22"/>
        <w:tblW w:w="89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418"/>
        <w:gridCol w:w="5016"/>
        <w:gridCol w:w="636"/>
        <w:gridCol w:w="638"/>
        <w:gridCol w:w="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48" w:type="dxa"/>
            <w:vMerge w:val="restart"/>
            <w:tcBorders>
              <w:top w:val="single" w:color="auto" w:sz="4" w:space="0"/>
              <w:left w:val="single" w:color="auto" w:sz="4" w:space="0"/>
              <w:right w:val="single" w:color="auto" w:sz="4" w:space="0"/>
            </w:tcBorders>
            <w:vAlign w:val="center"/>
          </w:tcPr>
          <w:p>
            <w:pPr>
              <w:spacing w:line="300" w:lineRule="auto"/>
              <w:jc w:val="center"/>
              <w:rPr>
                <w:rFonts w:ascii="宋体" w:hAnsi="宋体"/>
                <w:color w:val="auto"/>
                <w:sz w:val="24"/>
              </w:rPr>
            </w:pPr>
            <w:r>
              <w:rPr>
                <w:rFonts w:hint="eastAsia" w:ascii="宋体" w:hAnsi="宋体"/>
                <w:color w:val="auto"/>
                <w:sz w:val="24"/>
              </w:rPr>
              <w:t>序号</w:t>
            </w:r>
          </w:p>
        </w:tc>
        <w:tc>
          <w:tcPr>
            <w:tcW w:w="1418" w:type="dxa"/>
            <w:vMerge w:val="restart"/>
            <w:tcBorders>
              <w:top w:val="single" w:color="auto" w:sz="4" w:space="0"/>
              <w:left w:val="single" w:color="auto" w:sz="4" w:space="0"/>
              <w:right w:val="single" w:color="auto" w:sz="4" w:space="0"/>
            </w:tcBorders>
            <w:vAlign w:val="center"/>
          </w:tcPr>
          <w:p>
            <w:pPr>
              <w:spacing w:line="300" w:lineRule="auto"/>
              <w:jc w:val="center"/>
              <w:rPr>
                <w:rFonts w:ascii="宋体" w:hAnsi="宋体"/>
                <w:color w:val="auto"/>
                <w:sz w:val="24"/>
              </w:rPr>
            </w:pPr>
            <w:r>
              <w:rPr>
                <w:rFonts w:hint="eastAsia" w:ascii="宋体" w:hAnsi="宋体"/>
                <w:color w:val="auto"/>
                <w:sz w:val="24"/>
              </w:rPr>
              <w:t>审查项目</w:t>
            </w:r>
          </w:p>
        </w:tc>
        <w:tc>
          <w:tcPr>
            <w:tcW w:w="5016" w:type="dxa"/>
            <w:vMerge w:val="restart"/>
            <w:tcBorders>
              <w:top w:val="single" w:color="auto" w:sz="4" w:space="0"/>
              <w:left w:val="single" w:color="auto" w:sz="4" w:space="0"/>
              <w:right w:val="single" w:color="auto" w:sz="4" w:space="0"/>
            </w:tcBorders>
            <w:vAlign w:val="center"/>
          </w:tcPr>
          <w:p>
            <w:pPr>
              <w:spacing w:line="300" w:lineRule="auto"/>
              <w:jc w:val="center"/>
              <w:rPr>
                <w:rFonts w:ascii="宋体" w:hAnsi="宋体"/>
                <w:color w:val="auto"/>
                <w:sz w:val="24"/>
              </w:rPr>
            </w:pPr>
            <w:r>
              <w:rPr>
                <w:rFonts w:hint="eastAsia" w:ascii="宋体" w:hAnsi="宋体"/>
                <w:color w:val="auto"/>
                <w:sz w:val="24"/>
              </w:rPr>
              <w:t>评议内容（无效投标认定条件）</w:t>
            </w:r>
          </w:p>
        </w:tc>
        <w:tc>
          <w:tcPr>
            <w:tcW w:w="1912" w:type="dxa"/>
            <w:gridSpan w:val="3"/>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olor w:val="auto"/>
                <w:sz w:val="24"/>
              </w:rPr>
            </w:pPr>
            <w:r>
              <w:rPr>
                <w:rFonts w:hint="eastAsia" w:ascii="宋体" w:hAnsi="宋体"/>
                <w:color w:val="auto"/>
                <w:sz w:val="24"/>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8" w:type="dxa"/>
            <w:vMerge w:val="continue"/>
            <w:tcBorders>
              <w:left w:val="single" w:color="auto" w:sz="4" w:space="0"/>
              <w:bottom w:val="single" w:color="auto" w:sz="4" w:space="0"/>
              <w:right w:val="single" w:color="auto" w:sz="4" w:space="0"/>
            </w:tcBorders>
            <w:vAlign w:val="center"/>
          </w:tcPr>
          <w:p>
            <w:pPr>
              <w:spacing w:line="300" w:lineRule="auto"/>
              <w:jc w:val="center"/>
              <w:rPr>
                <w:rFonts w:ascii="宋体" w:hAnsi="宋体"/>
                <w:color w:val="auto"/>
                <w:sz w:val="24"/>
              </w:rPr>
            </w:pPr>
          </w:p>
        </w:tc>
        <w:tc>
          <w:tcPr>
            <w:tcW w:w="1418" w:type="dxa"/>
            <w:vMerge w:val="continue"/>
            <w:tcBorders>
              <w:left w:val="single" w:color="auto" w:sz="4" w:space="0"/>
              <w:bottom w:val="single" w:color="auto" w:sz="4" w:space="0"/>
              <w:right w:val="single" w:color="auto" w:sz="4" w:space="0"/>
            </w:tcBorders>
            <w:vAlign w:val="center"/>
          </w:tcPr>
          <w:p>
            <w:pPr>
              <w:spacing w:line="300" w:lineRule="auto"/>
              <w:jc w:val="center"/>
              <w:rPr>
                <w:rFonts w:ascii="宋体" w:hAnsi="宋体"/>
                <w:color w:val="auto"/>
                <w:sz w:val="24"/>
              </w:rPr>
            </w:pPr>
          </w:p>
        </w:tc>
        <w:tc>
          <w:tcPr>
            <w:tcW w:w="5016" w:type="dxa"/>
            <w:vMerge w:val="continue"/>
            <w:tcBorders>
              <w:left w:val="single" w:color="auto" w:sz="4" w:space="0"/>
              <w:bottom w:val="single" w:color="auto" w:sz="4" w:space="0"/>
              <w:right w:val="single" w:color="auto" w:sz="4" w:space="0"/>
            </w:tcBorders>
            <w:vAlign w:val="center"/>
          </w:tcPr>
          <w:p>
            <w:pPr>
              <w:spacing w:line="300" w:lineRule="auto"/>
              <w:jc w:val="center"/>
              <w:rPr>
                <w:rFonts w:ascii="宋体" w:hAnsi="宋体"/>
                <w:color w:val="auto"/>
                <w:sz w:val="24"/>
              </w:rPr>
            </w:pPr>
          </w:p>
        </w:tc>
        <w:tc>
          <w:tcPr>
            <w:tcW w:w="63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olor w:val="auto"/>
                <w:sz w:val="24"/>
              </w:rPr>
            </w:pPr>
            <w:r>
              <w:rPr>
                <w:rFonts w:hint="eastAsia" w:ascii="宋体" w:hAnsi="宋体"/>
                <w:color w:val="auto"/>
                <w:sz w:val="24"/>
              </w:rPr>
              <w:t>1#</w:t>
            </w:r>
          </w:p>
        </w:tc>
        <w:tc>
          <w:tcPr>
            <w:tcW w:w="63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olor w:val="auto"/>
                <w:sz w:val="24"/>
              </w:rPr>
            </w:pPr>
            <w:r>
              <w:rPr>
                <w:rFonts w:hint="eastAsia" w:ascii="宋体" w:hAnsi="宋体"/>
                <w:color w:val="auto"/>
                <w:sz w:val="24"/>
              </w:rPr>
              <w:t>2#</w:t>
            </w:r>
          </w:p>
        </w:tc>
        <w:tc>
          <w:tcPr>
            <w:tcW w:w="63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olor w:val="auto"/>
                <w:sz w:val="24"/>
              </w:rPr>
            </w:pPr>
            <w:r>
              <w:rPr>
                <w:rFonts w:hint="eastAsia" w:ascii="宋体" w:hAnsi="宋体"/>
                <w:color w:val="auto"/>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48" w:type="dxa"/>
            <w:tcBorders>
              <w:top w:val="single" w:color="auto" w:sz="4" w:space="0"/>
              <w:left w:val="single" w:color="auto" w:sz="4" w:space="0"/>
              <w:right w:val="single" w:color="auto" w:sz="4" w:space="0"/>
            </w:tcBorders>
            <w:vAlign w:val="center"/>
          </w:tcPr>
          <w:p>
            <w:pPr>
              <w:spacing w:line="300" w:lineRule="auto"/>
              <w:jc w:val="center"/>
              <w:rPr>
                <w:rFonts w:ascii="宋体" w:hAnsi="宋体"/>
                <w:color w:val="auto"/>
                <w:sz w:val="24"/>
              </w:rPr>
            </w:pPr>
            <w:r>
              <w:rPr>
                <w:rFonts w:hint="eastAsia" w:ascii="宋体" w:hAnsi="宋体"/>
                <w:color w:val="auto"/>
                <w:sz w:val="24"/>
              </w:rPr>
              <w:t>1</w:t>
            </w:r>
          </w:p>
        </w:tc>
        <w:tc>
          <w:tcPr>
            <w:tcW w:w="1418" w:type="dxa"/>
            <w:tcBorders>
              <w:top w:val="single" w:color="auto" w:sz="4" w:space="0"/>
              <w:left w:val="single" w:color="auto" w:sz="4" w:space="0"/>
              <w:right w:val="single" w:color="auto" w:sz="4" w:space="0"/>
            </w:tcBorders>
            <w:vAlign w:val="center"/>
          </w:tcPr>
          <w:p>
            <w:pPr>
              <w:spacing w:line="300" w:lineRule="auto"/>
              <w:jc w:val="center"/>
              <w:rPr>
                <w:rFonts w:ascii="宋体" w:hAnsi="宋体"/>
                <w:color w:val="auto"/>
                <w:sz w:val="24"/>
              </w:rPr>
            </w:pPr>
            <w:r>
              <w:rPr>
                <w:rFonts w:hint="eastAsia" w:ascii="宋体" w:hAnsi="宋体"/>
                <w:color w:val="auto"/>
                <w:sz w:val="24"/>
                <w:lang w:eastAsia="zh-CN"/>
              </w:rPr>
              <w:t>供应商</w:t>
            </w:r>
            <w:r>
              <w:rPr>
                <w:rFonts w:hint="eastAsia" w:ascii="宋体" w:hAnsi="宋体"/>
                <w:color w:val="auto"/>
                <w:sz w:val="24"/>
              </w:rPr>
              <w:t>的资格</w:t>
            </w:r>
          </w:p>
        </w:tc>
        <w:tc>
          <w:tcPr>
            <w:tcW w:w="5016"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color w:val="auto"/>
                <w:sz w:val="24"/>
              </w:rPr>
            </w:pPr>
            <w:r>
              <w:rPr>
                <w:rFonts w:hint="eastAsia" w:ascii="宋体" w:hAnsi="宋体"/>
                <w:color w:val="auto"/>
                <w:sz w:val="24"/>
              </w:rPr>
              <w:t>符合第一章</w:t>
            </w:r>
            <w:r>
              <w:rPr>
                <w:rFonts w:hint="eastAsia" w:ascii="宋体" w:hAnsi="宋体"/>
                <w:color w:val="auto"/>
                <w:sz w:val="24"/>
                <w:lang w:eastAsia="zh-CN"/>
              </w:rPr>
              <w:t>供应商</w:t>
            </w:r>
            <w:r>
              <w:rPr>
                <w:rFonts w:hint="eastAsia" w:ascii="宋体" w:hAnsi="宋体"/>
                <w:color w:val="auto"/>
                <w:sz w:val="24"/>
              </w:rPr>
              <w:t>资格要求</w:t>
            </w:r>
          </w:p>
        </w:tc>
        <w:tc>
          <w:tcPr>
            <w:tcW w:w="63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olor w:val="auto"/>
                <w:sz w:val="24"/>
              </w:rPr>
            </w:pPr>
          </w:p>
        </w:tc>
        <w:tc>
          <w:tcPr>
            <w:tcW w:w="63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olor w:val="auto"/>
                <w:sz w:val="24"/>
              </w:rPr>
            </w:pPr>
          </w:p>
        </w:tc>
        <w:tc>
          <w:tcPr>
            <w:tcW w:w="638" w:type="dxa"/>
            <w:tcBorders>
              <w:top w:val="single" w:color="auto" w:sz="4" w:space="0"/>
              <w:left w:val="single" w:color="auto" w:sz="4" w:space="0"/>
              <w:right w:val="single" w:color="auto" w:sz="4" w:space="0"/>
            </w:tcBorders>
            <w:vAlign w:val="center"/>
          </w:tcPr>
          <w:p>
            <w:pPr>
              <w:spacing w:line="30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olor w:val="auto"/>
                <w:sz w:val="24"/>
              </w:rPr>
            </w:pPr>
            <w:r>
              <w:rPr>
                <w:rFonts w:hint="eastAsia" w:ascii="宋体" w:hAnsi="宋体"/>
                <w:color w:val="auto"/>
                <w:sz w:val="24"/>
              </w:rPr>
              <w:t>2</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olor w:val="auto"/>
                <w:sz w:val="24"/>
              </w:rPr>
            </w:pPr>
            <w:r>
              <w:rPr>
                <w:rFonts w:hint="eastAsia" w:ascii="宋体" w:hAnsi="宋体"/>
                <w:color w:val="auto"/>
                <w:sz w:val="24"/>
                <w:lang w:eastAsia="zh-CN"/>
              </w:rPr>
              <w:t>响应</w:t>
            </w:r>
            <w:r>
              <w:rPr>
                <w:rFonts w:hint="eastAsia" w:ascii="宋体" w:hAnsi="宋体"/>
                <w:color w:val="auto"/>
                <w:sz w:val="24"/>
              </w:rPr>
              <w:t>文件的有效性</w:t>
            </w:r>
          </w:p>
        </w:tc>
        <w:tc>
          <w:tcPr>
            <w:tcW w:w="5016"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color w:val="auto"/>
                <w:sz w:val="24"/>
              </w:rPr>
            </w:pPr>
            <w:r>
              <w:rPr>
                <w:rFonts w:hint="eastAsia" w:ascii="宋体" w:hAnsi="宋体"/>
                <w:color w:val="auto"/>
                <w:sz w:val="24"/>
              </w:rPr>
              <w:t>是否符合谈判文件的式样和签署要求且内容完整无缺漏</w:t>
            </w:r>
          </w:p>
        </w:tc>
        <w:tc>
          <w:tcPr>
            <w:tcW w:w="63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olor w:val="auto"/>
                <w:sz w:val="24"/>
              </w:rPr>
            </w:pPr>
          </w:p>
        </w:tc>
        <w:tc>
          <w:tcPr>
            <w:tcW w:w="63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olor w:val="auto"/>
                <w:sz w:val="24"/>
              </w:rPr>
            </w:pPr>
          </w:p>
        </w:tc>
        <w:tc>
          <w:tcPr>
            <w:tcW w:w="63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olor w:val="auto"/>
                <w:sz w:val="24"/>
              </w:rPr>
            </w:pPr>
            <w:r>
              <w:rPr>
                <w:rFonts w:hint="eastAsia" w:ascii="宋体" w:hAnsi="宋体"/>
                <w:color w:val="auto"/>
                <w:sz w:val="24"/>
              </w:rPr>
              <w:t>3</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olor w:val="auto"/>
                <w:sz w:val="24"/>
              </w:rPr>
            </w:pPr>
            <w:r>
              <w:rPr>
                <w:rFonts w:hint="eastAsia" w:ascii="宋体" w:hAnsi="宋体"/>
                <w:color w:val="auto"/>
                <w:sz w:val="24"/>
              </w:rPr>
              <w:t>保证金</w:t>
            </w:r>
          </w:p>
        </w:tc>
        <w:tc>
          <w:tcPr>
            <w:tcW w:w="5016" w:type="dxa"/>
            <w:tcBorders>
              <w:top w:val="single" w:color="auto" w:sz="4" w:space="0"/>
              <w:left w:val="single" w:color="auto" w:sz="4" w:space="0"/>
              <w:bottom w:val="single" w:color="auto" w:sz="4" w:space="0"/>
              <w:right w:val="single" w:color="auto" w:sz="4" w:space="0"/>
            </w:tcBorders>
            <w:vAlign w:val="center"/>
          </w:tcPr>
          <w:p>
            <w:pPr>
              <w:spacing w:line="300" w:lineRule="auto"/>
              <w:rPr>
                <w:rFonts w:hint="eastAsia" w:ascii="宋体" w:hAnsi="宋体" w:eastAsia="宋体"/>
                <w:color w:val="auto"/>
                <w:sz w:val="24"/>
                <w:lang w:eastAsia="zh-CN"/>
              </w:rPr>
            </w:pPr>
            <w:r>
              <w:rPr>
                <w:rFonts w:hint="eastAsia" w:ascii="宋体" w:hAnsi="宋体"/>
                <w:color w:val="auto"/>
                <w:sz w:val="24"/>
              </w:rPr>
              <w:t>是否按要求提交</w:t>
            </w:r>
            <w:r>
              <w:rPr>
                <w:rFonts w:hint="eastAsia" w:ascii="宋体" w:hAnsi="宋体"/>
                <w:color w:val="auto"/>
                <w:sz w:val="24"/>
                <w:lang w:eastAsia="zh-CN"/>
              </w:rPr>
              <w:t>缴纳</w:t>
            </w:r>
            <w:r>
              <w:rPr>
                <w:rFonts w:hint="eastAsia" w:ascii="宋体" w:hAnsi="宋体"/>
                <w:color w:val="auto"/>
                <w:sz w:val="24"/>
              </w:rPr>
              <w:t>保证金</w:t>
            </w:r>
            <w:r>
              <w:rPr>
                <w:rFonts w:hint="eastAsia" w:ascii="宋体" w:hAnsi="宋体"/>
                <w:color w:val="auto"/>
                <w:sz w:val="24"/>
                <w:lang w:eastAsia="zh-CN"/>
              </w:rPr>
              <w:t>凭证</w:t>
            </w:r>
          </w:p>
        </w:tc>
        <w:tc>
          <w:tcPr>
            <w:tcW w:w="63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olor w:val="auto"/>
                <w:sz w:val="24"/>
              </w:rPr>
            </w:pPr>
          </w:p>
        </w:tc>
        <w:tc>
          <w:tcPr>
            <w:tcW w:w="63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olor w:val="auto"/>
                <w:sz w:val="24"/>
              </w:rPr>
            </w:pPr>
          </w:p>
        </w:tc>
        <w:tc>
          <w:tcPr>
            <w:tcW w:w="63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olor w:val="auto"/>
                <w:sz w:val="24"/>
              </w:rPr>
            </w:pPr>
            <w:r>
              <w:rPr>
                <w:rFonts w:hint="eastAsia" w:ascii="宋体" w:hAnsi="宋体"/>
                <w:color w:val="auto"/>
                <w:sz w:val="24"/>
              </w:rPr>
              <w:t>4</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olor w:val="auto"/>
                <w:sz w:val="24"/>
              </w:rPr>
            </w:pPr>
            <w:r>
              <w:rPr>
                <w:rFonts w:hint="eastAsia" w:ascii="宋体" w:hAnsi="宋体"/>
                <w:color w:val="auto"/>
                <w:sz w:val="24"/>
              </w:rPr>
              <w:t>投标有效期</w:t>
            </w:r>
          </w:p>
        </w:tc>
        <w:tc>
          <w:tcPr>
            <w:tcW w:w="5016"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color w:val="auto"/>
                <w:sz w:val="24"/>
              </w:rPr>
            </w:pPr>
            <w:r>
              <w:rPr>
                <w:rFonts w:hint="eastAsia" w:ascii="宋体" w:hAnsi="宋体"/>
                <w:color w:val="auto"/>
                <w:sz w:val="24"/>
              </w:rPr>
              <w:t>从投标截止日期起计算的60 天</w:t>
            </w:r>
          </w:p>
        </w:tc>
        <w:tc>
          <w:tcPr>
            <w:tcW w:w="63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olor w:val="auto"/>
                <w:sz w:val="24"/>
              </w:rPr>
            </w:pPr>
          </w:p>
        </w:tc>
        <w:tc>
          <w:tcPr>
            <w:tcW w:w="63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olor w:val="auto"/>
                <w:sz w:val="24"/>
              </w:rPr>
            </w:pPr>
          </w:p>
        </w:tc>
        <w:tc>
          <w:tcPr>
            <w:tcW w:w="63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olor w:val="auto"/>
                <w:sz w:val="24"/>
              </w:rPr>
            </w:pPr>
            <w:r>
              <w:rPr>
                <w:rFonts w:hint="eastAsia" w:ascii="宋体" w:hAnsi="宋体"/>
                <w:color w:val="auto"/>
                <w:sz w:val="24"/>
              </w:rPr>
              <w:t>5</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olor w:val="auto"/>
                <w:sz w:val="24"/>
              </w:rPr>
            </w:pPr>
            <w:r>
              <w:rPr>
                <w:rFonts w:hint="eastAsia" w:ascii="宋体" w:hAnsi="宋体"/>
                <w:color w:val="auto"/>
                <w:sz w:val="24"/>
              </w:rPr>
              <w:t>实质性响应</w:t>
            </w:r>
          </w:p>
        </w:tc>
        <w:tc>
          <w:tcPr>
            <w:tcW w:w="5016"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color w:val="auto"/>
                <w:sz w:val="24"/>
              </w:rPr>
            </w:pPr>
            <w:r>
              <w:rPr>
                <w:rFonts w:hint="eastAsia" w:ascii="宋体" w:hAnsi="宋体"/>
                <w:color w:val="auto"/>
                <w:sz w:val="24"/>
              </w:rPr>
              <w:t>所投</w:t>
            </w:r>
            <w:r>
              <w:rPr>
                <w:rFonts w:hint="eastAsia" w:ascii="宋体" w:hAnsi="宋体"/>
                <w:color w:val="auto"/>
                <w:sz w:val="24"/>
                <w:lang w:eastAsia="zh-CN"/>
              </w:rPr>
              <w:t>项目内容</w:t>
            </w:r>
            <w:r>
              <w:rPr>
                <w:rFonts w:hint="eastAsia" w:ascii="宋体" w:hAnsi="宋体"/>
                <w:color w:val="auto"/>
                <w:sz w:val="24"/>
              </w:rPr>
              <w:t>是否完全满足谈判文件要求</w:t>
            </w:r>
          </w:p>
        </w:tc>
        <w:tc>
          <w:tcPr>
            <w:tcW w:w="63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olor w:val="auto"/>
                <w:sz w:val="24"/>
              </w:rPr>
            </w:pPr>
          </w:p>
        </w:tc>
        <w:tc>
          <w:tcPr>
            <w:tcW w:w="63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olor w:val="auto"/>
                <w:sz w:val="24"/>
              </w:rPr>
            </w:pPr>
          </w:p>
        </w:tc>
        <w:tc>
          <w:tcPr>
            <w:tcW w:w="63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olor w:val="auto"/>
                <w:sz w:val="24"/>
              </w:rPr>
            </w:pPr>
            <w:r>
              <w:rPr>
                <w:rFonts w:hint="eastAsia" w:ascii="宋体" w:hAnsi="宋体"/>
                <w:color w:val="auto"/>
                <w:sz w:val="24"/>
              </w:rPr>
              <w:t>6</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宋体" w:hAnsi="宋体" w:eastAsia="宋体"/>
                <w:color w:val="auto"/>
                <w:sz w:val="24"/>
                <w:lang w:eastAsia="zh-CN"/>
              </w:rPr>
            </w:pPr>
            <w:r>
              <w:rPr>
                <w:rFonts w:hint="eastAsia" w:ascii="宋体" w:hAnsi="宋体"/>
                <w:color w:val="auto"/>
                <w:sz w:val="24"/>
                <w:lang w:eastAsia="zh-CN"/>
              </w:rPr>
              <w:t>工期</w:t>
            </w:r>
          </w:p>
        </w:tc>
        <w:tc>
          <w:tcPr>
            <w:tcW w:w="5016"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color w:val="auto"/>
                <w:sz w:val="24"/>
              </w:rPr>
            </w:pPr>
            <w:r>
              <w:rPr>
                <w:rFonts w:hint="eastAsia" w:ascii="宋体" w:hAnsi="宋体"/>
                <w:color w:val="auto"/>
                <w:sz w:val="24"/>
              </w:rPr>
              <w:t>是否满足采购要求</w:t>
            </w:r>
          </w:p>
        </w:tc>
        <w:tc>
          <w:tcPr>
            <w:tcW w:w="63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olor w:val="auto"/>
                <w:sz w:val="24"/>
              </w:rPr>
            </w:pPr>
          </w:p>
        </w:tc>
        <w:tc>
          <w:tcPr>
            <w:tcW w:w="63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olor w:val="auto"/>
                <w:sz w:val="24"/>
              </w:rPr>
            </w:pPr>
          </w:p>
        </w:tc>
        <w:tc>
          <w:tcPr>
            <w:tcW w:w="63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olor w:val="auto"/>
                <w:sz w:val="24"/>
              </w:rPr>
            </w:pPr>
            <w:r>
              <w:rPr>
                <w:rFonts w:hint="eastAsia" w:ascii="宋体" w:hAnsi="宋体"/>
                <w:color w:val="auto"/>
                <w:sz w:val="24"/>
              </w:rPr>
              <w:t>7</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olor w:val="auto"/>
                <w:sz w:val="24"/>
              </w:rPr>
            </w:pPr>
            <w:r>
              <w:rPr>
                <w:rFonts w:hint="eastAsia" w:ascii="宋体" w:hAnsi="宋体"/>
                <w:color w:val="auto"/>
                <w:sz w:val="24"/>
              </w:rPr>
              <w:t>投标报价</w:t>
            </w:r>
          </w:p>
        </w:tc>
        <w:tc>
          <w:tcPr>
            <w:tcW w:w="5016"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color w:val="auto"/>
                <w:sz w:val="24"/>
              </w:rPr>
            </w:pPr>
            <w:r>
              <w:rPr>
                <w:rFonts w:hint="eastAsia" w:ascii="宋体" w:hAnsi="宋体"/>
                <w:color w:val="auto"/>
                <w:sz w:val="24"/>
              </w:rPr>
              <w:t>报价有效、不漏项、不超出采购预算</w:t>
            </w:r>
          </w:p>
        </w:tc>
        <w:tc>
          <w:tcPr>
            <w:tcW w:w="63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olor w:val="auto"/>
                <w:sz w:val="24"/>
              </w:rPr>
            </w:pPr>
          </w:p>
        </w:tc>
        <w:tc>
          <w:tcPr>
            <w:tcW w:w="63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olor w:val="auto"/>
                <w:sz w:val="24"/>
              </w:rPr>
            </w:pPr>
          </w:p>
        </w:tc>
        <w:tc>
          <w:tcPr>
            <w:tcW w:w="63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olor w:val="auto"/>
                <w:sz w:val="24"/>
              </w:rPr>
            </w:pPr>
            <w:r>
              <w:rPr>
                <w:rFonts w:hint="eastAsia" w:ascii="宋体" w:hAnsi="宋体"/>
                <w:color w:val="auto"/>
                <w:sz w:val="24"/>
              </w:rPr>
              <w:t>8</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olor w:val="auto"/>
                <w:sz w:val="24"/>
              </w:rPr>
            </w:pPr>
            <w:r>
              <w:rPr>
                <w:rFonts w:hint="eastAsia" w:ascii="宋体" w:hAnsi="宋体"/>
                <w:color w:val="auto"/>
                <w:sz w:val="24"/>
              </w:rPr>
              <w:t>其它</w:t>
            </w:r>
          </w:p>
        </w:tc>
        <w:tc>
          <w:tcPr>
            <w:tcW w:w="5016"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color w:val="auto"/>
                <w:sz w:val="24"/>
              </w:rPr>
            </w:pPr>
            <w:r>
              <w:rPr>
                <w:rFonts w:hint="eastAsia" w:ascii="宋体" w:hAnsi="宋体"/>
                <w:color w:val="auto"/>
                <w:sz w:val="24"/>
              </w:rPr>
              <w:t>是否有其它无效投标认定条件</w:t>
            </w:r>
          </w:p>
        </w:tc>
        <w:tc>
          <w:tcPr>
            <w:tcW w:w="63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olor w:val="auto"/>
                <w:sz w:val="24"/>
              </w:rPr>
            </w:pPr>
          </w:p>
        </w:tc>
        <w:tc>
          <w:tcPr>
            <w:tcW w:w="63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olor w:val="auto"/>
                <w:sz w:val="24"/>
              </w:rPr>
            </w:pPr>
          </w:p>
        </w:tc>
        <w:tc>
          <w:tcPr>
            <w:tcW w:w="63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7082" w:type="dxa"/>
            <w:gridSpan w:val="3"/>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olor w:val="auto"/>
                <w:sz w:val="24"/>
              </w:rPr>
            </w:pPr>
            <w:r>
              <w:rPr>
                <w:rFonts w:hint="eastAsia" w:ascii="宋体" w:hAnsi="宋体"/>
                <w:color w:val="auto"/>
                <w:sz w:val="24"/>
              </w:rPr>
              <w:t>结论（合格/不合格）</w:t>
            </w:r>
          </w:p>
        </w:tc>
        <w:tc>
          <w:tcPr>
            <w:tcW w:w="63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olor w:val="auto"/>
                <w:sz w:val="24"/>
              </w:rPr>
            </w:pPr>
          </w:p>
        </w:tc>
        <w:tc>
          <w:tcPr>
            <w:tcW w:w="63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olor w:val="auto"/>
                <w:sz w:val="24"/>
              </w:rPr>
            </w:pPr>
          </w:p>
        </w:tc>
        <w:tc>
          <w:tcPr>
            <w:tcW w:w="63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olor w:val="auto"/>
                <w:sz w:val="24"/>
              </w:rPr>
            </w:pPr>
          </w:p>
        </w:tc>
      </w:tr>
    </w:tbl>
    <w:p>
      <w:pPr>
        <w:spacing w:line="300" w:lineRule="auto"/>
        <w:rPr>
          <w:rFonts w:ascii="新宋体" w:hAnsi="新宋体" w:eastAsia="新宋体"/>
          <w:color w:val="auto"/>
          <w:szCs w:val="21"/>
        </w:rPr>
      </w:pPr>
      <w:r>
        <w:rPr>
          <w:rFonts w:hint="eastAsia" w:ascii="新宋体" w:hAnsi="新宋体" w:eastAsia="新宋体"/>
          <w:color w:val="auto"/>
          <w:szCs w:val="21"/>
        </w:rPr>
        <w:t>1、在表中的各项只需填写“√/通过”或“×/不通过”。</w:t>
      </w:r>
    </w:p>
    <w:p>
      <w:pPr>
        <w:spacing w:line="300" w:lineRule="auto"/>
        <w:rPr>
          <w:rFonts w:ascii="新宋体" w:hAnsi="新宋体" w:eastAsia="新宋体"/>
          <w:color w:val="auto"/>
          <w:szCs w:val="21"/>
        </w:rPr>
      </w:pPr>
      <w:r>
        <w:rPr>
          <w:rFonts w:hint="eastAsia" w:ascii="新宋体" w:hAnsi="新宋体" w:eastAsia="新宋体"/>
          <w:color w:val="auto"/>
          <w:szCs w:val="21"/>
        </w:rPr>
        <w:t>2、在结论中按“一项否决”的原则，只有全部是√/通过的，填写“合格”；只要其中有一项是×/不通过的，填写“不合格”。</w:t>
      </w:r>
    </w:p>
    <w:p>
      <w:pPr>
        <w:spacing w:line="300" w:lineRule="auto"/>
        <w:rPr>
          <w:rFonts w:ascii="新宋体" w:hAnsi="新宋体" w:eastAsia="新宋体"/>
          <w:color w:val="auto"/>
          <w:szCs w:val="21"/>
        </w:rPr>
      </w:pPr>
      <w:r>
        <w:rPr>
          <w:rFonts w:hint="eastAsia" w:ascii="新宋体" w:hAnsi="新宋体" w:eastAsia="新宋体"/>
          <w:color w:val="auto"/>
          <w:szCs w:val="21"/>
        </w:rPr>
        <w:t>3、结论是合格的，才能进入下一轮；不合格的被淘汰</w:t>
      </w:r>
    </w:p>
    <w:p>
      <w:pPr>
        <w:spacing w:line="300" w:lineRule="auto"/>
        <w:rPr>
          <w:rFonts w:ascii="新宋体" w:hAnsi="新宋体" w:eastAsia="新宋体"/>
          <w:color w:val="auto"/>
          <w:szCs w:val="21"/>
        </w:rPr>
      </w:pPr>
    </w:p>
    <w:p>
      <w:pPr>
        <w:spacing w:line="300" w:lineRule="auto"/>
        <w:rPr>
          <w:rFonts w:ascii="新宋体" w:hAnsi="新宋体" w:eastAsia="新宋体"/>
          <w:color w:val="auto"/>
          <w:szCs w:val="21"/>
        </w:rPr>
      </w:pPr>
    </w:p>
    <w:p>
      <w:pPr>
        <w:spacing w:line="300" w:lineRule="auto"/>
        <w:rPr>
          <w:rFonts w:ascii="新宋体" w:hAnsi="新宋体" w:eastAsia="新宋体"/>
          <w:color w:val="auto"/>
          <w:szCs w:val="21"/>
        </w:rPr>
      </w:pPr>
    </w:p>
    <w:p>
      <w:pPr>
        <w:spacing w:line="480" w:lineRule="exact"/>
        <w:jc w:val="right"/>
        <w:rPr>
          <w:color w:val="auto"/>
          <w:sz w:val="44"/>
          <w:szCs w:val="44"/>
        </w:rPr>
      </w:pPr>
      <w:r>
        <w:rPr>
          <w:rFonts w:hint="eastAsia"/>
          <w:b/>
          <w:color w:val="auto"/>
        </w:rPr>
        <w:t xml:space="preserve">   [末页]</w:t>
      </w:r>
    </w:p>
    <w:p>
      <w:pPr>
        <w:rPr>
          <w:rFonts w:ascii="宋体" w:hAnsi="宋体"/>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0000000000000000000"/>
    <w:charset w:val="86"/>
    <w:family w:val="roman"/>
    <w:pitch w:val="default"/>
    <w:sig w:usb0="00000000" w:usb1="00000000" w:usb2="00000000" w:usb3="00000000" w:csb0="00000000" w:csb1="00000000"/>
  </w:font>
  <w:font w:name="等线">
    <w:altName w:val="宋体"/>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新宋体">
    <w:panose1 w:val="02010609030101010101"/>
    <w:charset w:val="86"/>
    <w:family w:val="modern"/>
    <w:pitch w:val="default"/>
    <w:sig w:usb0="00000003" w:usb1="288F0000" w:usb2="00000006" w:usb3="00000000" w:csb0="00040001"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5239230"/>
      <w:docPartObj>
        <w:docPartGallery w:val="autotext"/>
      </w:docPartObj>
    </w:sdtPr>
    <w:sdtContent>
      <w:p>
        <w:pPr>
          <w:pStyle w:val="14"/>
          <w:jc w:val="center"/>
        </w:pPr>
        <w:r>
          <w:fldChar w:fldCharType="begin"/>
        </w:r>
        <w:r>
          <w:instrText xml:space="preserve">PAGE   \* MERGEFORMAT</w:instrText>
        </w:r>
        <w:r>
          <w:fldChar w:fldCharType="separate"/>
        </w:r>
        <w:r>
          <w:rPr>
            <w:lang w:val="zh-CN"/>
          </w:rPr>
          <w:t>27</w:t>
        </w:r>
        <w:r>
          <w:fldChar w:fldCharType="end"/>
        </w:r>
      </w:p>
    </w:sdtContent>
  </w:sdt>
  <w:p>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5F4523"/>
    <w:multiLevelType w:val="singleLevel"/>
    <w:tmpl w:val="9D5F4523"/>
    <w:lvl w:ilvl="0" w:tentative="0">
      <w:start w:val="18"/>
      <w:numFmt w:val="decimal"/>
      <w:lvlText w:val="%1."/>
      <w:lvlJc w:val="left"/>
      <w:pPr>
        <w:tabs>
          <w:tab w:val="left" w:pos="312"/>
        </w:tabs>
      </w:pPr>
    </w:lvl>
  </w:abstractNum>
  <w:abstractNum w:abstractNumId="1">
    <w:nsid w:val="DF05519E"/>
    <w:multiLevelType w:val="singleLevel"/>
    <w:tmpl w:val="DF05519E"/>
    <w:lvl w:ilvl="0" w:tentative="0">
      <w:start w:val="1"/>
      <w:numFmt w:val="decimal"/>
      <w:suff w:val="nothing"/>
      <w:lvlText w:val="%1、"/>
      <w:lvlJc w:val="left"/>
    </w:lvl>
  </w:abstractNum>
  <w:abstractNum w:abstractNumId="2">
    <w:nsid w:val="0000000F"/>
    <w:multiLevelType w:val="multilevel"/>
    <w:tmpl w:val="0000000F"/>
    <w:lvl w:ilvl="0" w:tentative="0">
      <w:start w:val="1"/>
      <w:numFmt w:val="chineseCountingThousand"/>
      <w:lvlText w:val="%1、"/>
      <w:lvlJc w:val="left"/>
      <w:pPr>
        <w:tabs>
          <w:tab w:val="left" w:pos="420"/>
        </w:tabs>
        <w:ind w:left="420" w:hanging="420"/>
      </w:pPr>
      <w:rPr>
        <w:b/>
        <w:sz w:val="28"/>
        <w:szCs w:val="2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10"/>
    <w:multiLevelType w:val="multilevel"/>
    <w:tmpl w:val="00000010"/>
    <w:lvl w:ilvl="0" w:tentative="0">
      <w:start w:val="1"/>
      <w:numFmt w:val="decimal"/>
      <w:lvlText w:val="（%1）"/>
      <w:lvlJc w:val="left"/>
      <w:pPr>
        <w:tabs>
          <w:tab w:val="left" w:pos="598"/>
        </w:tabs>
        <w:ind w:left="598" w:hanging="420"/>
      </w:pPr>
      <w:rPr>
        <w:rFonts w:hint="eastAsia"/>
        <w:b w:val="0"/>
        <w:sz w:val="24"/>
        <w:szCs w:val="24"/>
      </w:rPr>
    </w:lvl>
    <w:lvl w:ilvl="1" w:tentative="0">
      <w:start w:val="1"/>
      <w:numFmt w:val="lowerLetter"/>
      <w:lvlText w:val="%2)"/>
      <w:lvlJc w:val="left"/>
      <w:pPr>
        <w:tabs>
          <w:tab w:val="left" w:pos="598"/>
        </w:tabs>
        <w:ind w:left="598" w:hanging="420"/>
      </w:pPr>
    </w:lvl>
    <w:lvl w:ilvl="2" w:tentative="0">
      <w:start w:val="1"/>
      <w:numFmt w:val="lowerRoman"/>
      <w:lvlText w:val="%3."/>
      <w:lvlJc w:val="right"/>
      <w:pPr>
        <w:tabs>
          <w:tab w:val="left" w:pos="1018"/>
        </w:tabs>
        <w:ind w:left="1018" w:hanging="420"/>
      </w:pPr>
    </w:lvl>
    <w:lvl w:ilvl="3" w:tentative="0">
      <w:start w:val="1"/>
      <w:numFmt w:val="decimal"/>
      <w:lvlText w:val="%4."/>
      <w:lvlJc w:val="left"/>
      <w:pPr>
        <w:tabs>
          <w:tab w:val="left" w:pos="1438"/>
        </w:tabs>
        <w:ind w:left="1438" w:hanging="420"/>
      </w:pPr>
    </w:lvl>
    <w:lvl w:ilvl="4" w:tentative="0">
      <w:start w:val="1"/>
      <w:numFmt w:val="lowerLetter"/>
      <w:lvlText w:val="%5)"/>
      <w:lvlJc w:val="left"/>
      <w:pPr>
        <w:tabs>
          <w:tab w:val="left" w:pos="1858"/>
        </w:tabs>
        <w:ind w:left="1858" w:hanging="420"/>
      </w:pPr>
    </w:lvl>
    <w:lvl w:ilvl="5" w:tentative="0">
      <w:start w:val="1"/>
      <w:numFmt w:val="lowerRoman"/>
      <w:lvlText w:val="%6."/>
      <w:lvlJc w:val="right"/>
      <w:pPr>
        <w:tabs>
          <w:tab w:val="left" w:pos="2278"/>
        </w:tabs>
        <w:ind w:left="2278" w:hanging="420"/>
      </w:pPr>
    </w:lvl>
    <w:lvl w:ilvl="6" w:tentative="0">
      <w:start w:val="1"/>
      <w:numFmt w:val="decimal"/>
      <w:lvlText w:val="%7."/>
      <w:lvlJc w:val="left"/>
      <w:pPr>
        <w:tabs>
          <w:tab w:val="left" w:pos="2698"/>
        </w:tabs>
        <w:ind w:left="2698" w:hanging="420"/>
      </w:pPr>
    </w:lvl>
    <w:lvl w:ilvl="7" w:tentative="0">
      <w:start w:val="1"/>
      <w:numFmt w:val="lowerLetter"/>
      <w:lvlText w:val="%8)"/>
      <w:lvlJc w:val="left"/>
      <w:pPr>
        <w:tabs>
          <w:tab w:val="left" w:pos="3118"/>
        </w:tabs>
        <w:ind w:left="3118" w:hanging="420"/>
      </w:pPr>
    </w:lvl>
    <w:lvl w:ilvl="8" w:tentative="0">
      <w:start w:val="1"/>
      <w:numFmt w:val="lowerRoman"/>
      <w:lvlText w:val="%9."/>
      <w:lvlJc w:val="right"/>
      <w:pPr>
        <w:tabs>
          <w:tab w:val="left" w:pos="3538"/>
        </w:tabs>
        <w:ind w:left="3538" w:hanging="420"/>
      </w:pPr>
    </w:lvl>
  </w:abstractNum>
  <w:abstractNum w:abstractNumId="4">
    <w:nsid w:val="0591499C"/>
    <w:multiLevelType w:val="multilevel"/>
    <w:tmpl w:val="0591499C"/>
    <w:lvl w:ilvl="0" w:tentative="0">
      <w:start w:val="1"/>
      <w:numFmt w:val="decimal"/>
      <w:lvlText w:val="%1、"/>
      <w:lvlJc w:val="left"/>
      <w:pPr>
        <w:tabs>
          <w:tab w:val="left" w:pos="420"/>
        </w:tabs>
        <w:ind w:left="420" w:hanging="420"/>
      </w:pPr>
      <w:rPr>
        <w:rFonts w:hint="eastAsia"/>
        <w:b/>
        <w:sz w:val="24"/>
        <w:szCs w:val="24"/>
      </w:rPr>
    </w:lvl>
    <w:lvl w:ilvl="1" w:tentative="0">
      <w:start w:val="1"/>
      <w:numFmt w:val="lowerLetter"/>
      <w:lvlText w:val="%2)"/>
      <w:lvlJc w:val="left"/>
      <w:pPr>
        <w:tabs>
          <w:tab w:val="left" w:pos="1079"/>
        </w:tabs>
        <w:ind w:left="1079" w:hanging="420"/>
      </w:pPr>
    </w:lvl>
    <w:lvl w:ilvl="2" w:tentative="0">
      <w:start w:val="1"/>
      <w:numFmt w:val="lowerRoman"/>
      <w:lvlText w:val="%3."/>
      <w:lvlJc w:val="right"/>
      <w:pPr>
        <w:tabs>
          <w:tab w:val="left" w:pos="1499"/>
        </w:tabs>
        <w:ind w:left="1499" w:hanging="420"/>
      </w:pPr>
    </w:lvl>
    <w:lvl w:ilvl="3" w:tentative="0">
      <w:start w:val="1"/>
      <w:numFmt w:val="decimal"/>
      <w:lvlText w:val="%4."/>
      <w:lvlJc w:val="left"/>
      <w:pPr>
        <w:tabs>
          <w:tab w:val="left" w:pos="1919"/>
        </w:tabs>
        <w:ind w:left="1919" w:hanging="420"/>
      </w:pPr>
    </w:lvl>
    <w:lvl w:ilvl="4" w:tentative="0">
      <w:start w:val="1"/>
      <w:numFmt w:val="lowerLetter"/>
      <w:lvlText w:val="%5)"/>
      <w:lvlJc w:val="left"/>
      <w:pPr>
        <w:tabs>
          <w:tab w:val="left" w:pos="2339"/>
        </w:tabs>
        <w:ind w:left="2339" w:hanging="420"/>
      </w:pPr>
    </w:lvl>
    <w:lvl w:ilvl="5" w:tentative="0">
      <w:start w:val="1"/>
      <w:numFmt w:val="lowerRoman"/>
      <w:lvlText w:val="%6."/>
      <w:lvlJc w:val="right"/>
      <w:pPr>
        <w:tabs>
          <w:tab w:val="left" w:pos="2759"/>
        </w:tabs>
        <w:ind w:left="2759" w:hanging="420"/>
      </w:pPr>
    </w:lvl>
    <w:lvl w:ilvl="6" w:tentative="0">
      <w:start w:val="1"/>
      <w:numFmt w:val="decimal"/>
      <w:lvlText w:val="%7."/>
      <w:lvlJc w:val="left"/>
      <w:pPr>
        <w:tabs>
          <w:tab w:val="left" w:pos="3179"/>
        </w:tabs>
        <w:ind w:left="3179" w:hanging="420"/>
      </w:pPr>
    </w:lvl>
    <w:lvl w:ilvl="7" w:tentative="0">
      <w:start w:val="1"/>
      <w:numFmt w:val="lowerLetter"/>
      <w:lvlText w:val="%8)"/>
      <w:lvlJc w:val="left"/>
      <w:pPr>
        <w:tabs>
          <w:tab w:val="left" w:pos="3599"/>
        </w:tabs>
        <w:ind w:left="3599" w:hanging="420"/>
      </w:pPr>
    </w:lvl>
    <w:lvl w:ilvl="8" w:tentative="0">
      <w:start w:val="1"/>
      <w:numFmt w:val="lowerRoman"/>
      <w:lvlText w:val="%9."/>
      <w:lvlJc w:val="right"/>
      <w:pPr>
        <w:tabs>
          <w:tab w:val="left" w:pos="4019"/>
        </w:tabs>
        <w:ind w:left="4019" w:hanging="420"/>
      </w:pPr>
    </w:lvl>
  </w:abstractNum>
  <w:abstractNum w:abstractNumId="5">
    <w:nsid w:val="1F776188"/>
    <w:multiLevelType w:val="multilevel"/>
    <w:tmpl w:val="1F776188"/>
    <w:lvl w:ilvl="0" w:tentative="0">
      <w:start w:val="1"/>
      <w:numFmt w:val="decimal"/>
      <w:suff w:val="nothing"/>
      <w:lvlText w:val="%1、"/>
      <w:lvlJc w:val="left"/>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093BC88"/>
    <w:multiLevelType w:val="singleLevel"/>
    <w:tmpl w:val="4093BC88"/>
    <w:lvl w:ilvl="0" w:tentative="0">
      <w:start w:val="3"/>
      <w:numFmt w:val="chineseCounting"/>
      <w:suff w:val="nothing"/>
      <w:lvlText w:val="第%1章、"/>
      <w:lvlJc w:val="left"/>
      <w:rPr>
        <w:rFonts w:hint="eastAsia"/>
      </w:rPr>
    </w:lvl>
  </w:abstractNum>
  <w:abstractNum w:abstractNumId="7">
    <w:nsid w:val="55FED364"/>
    <w:multiLevelType w:val="singleLevel"/>
    <w:tmpl w:val="55FED364"/>
    <w:lvl w:ilvl="0" w:tentative="0">
      <w:start w:val="1"/>
      <w:numFmt w:val="decimal"/>
      <w:suff w:val="nothing"/>
      <w:lvlText w:val="%1、"/>
      <w:lvlJc w:val="left"/>
    </w:lvl>
  </w:abstractNum>
  <w:abstractNum w:abstractNumId="8">
    <w:nsid w:val="5A1BDBA1"/>
    <w:multiLevelType w:val="singleLevel"/>
    <w:tmpl w:val="5A1BDBA1"/>
    <w:lvl w:ilvl="0" w:tentative="0">
      <w:start w:val="3"/>
      <w:numFmt w:val="chineseCounting"/>
      <w:suff w:val="nothing"/>
      <w:lvlText w:val="%1、"/>
      <w:lvlJc w:val="left"/>
    </w:lvl>
  </w:abstractNum>
  <w:abstractNum w:abstractNumId="9">
    <w:nsid w:val="5A1CFB6B"/>
    <w:multiLevelType w:val="singleLevel"/>
    <w:tmpl w:val="5A1CFB6B"/>
    <w:lvl w:ilvl="0" w:tentative="0">
      <w:start w:val="7"/>
      <w:numFmt w:val="chineseCounting"/>
      <w:suff w:val="nothing"/>
      <w:lvlText w:val="%1、"/>
      <w:lvlJc w:val="left"/>
    </w:lvl>
  </w:abstractNum>
  <w:abstractNum w:abstractNumId="10">
    <w:nsid w:val="60919166"/>
    <w:multiLevelType w:val="singleLevel"/>
    <w:tmpl w:val="60919166"/>
    <w:lvl w:ilvl="0" w:tentative="0">
      <w:start w:val="1"/>
      <w:numFmt w:val="decimal"/>
      <w:suff w:val="nothing"/>
      <w:lvlText w:val="（%1）"/>
      <w:lvlJc w:val="left"/>
    </w:lvl>
  </w:abstractNum>
  <w:abstractNum w:abstractNumId="11">
    <w:nsid w:val="669629B9"/>
    <w:multiLevelType w:val="singleLevel"/>
    <w:tmpl w:val="669629B9"/>
    <w:lvl w:ilvl="0" w:tentative="0">
      <w:start w:val="5"/>
      <w:numFmt w:val="chineseCounting"/>
      <w:suff w:val="nothing"/>
      <w:lvlText w:val="第%1章、"/>
      <w:lvlJc w:val="left"/>
      <w:rPr>
        <w:rFonts w:hint="eastAsia"/>
      </w:rPr>
    </w:lvl>
  </w:abstractNum>
  <w:abstractNum w:abstractNumId="12">
    <w:nsid w:val="6AAA39C2"/>
    <w:multiLevelType w:val="multilevel"/>
    <w:tmpl w:val="6AAA39C2"/>
    <w:lvl w:ilvl="0" w:tentative="0">
      <w:start w:val="1"/>
      <w:numFmt w:val="decimal"/>
      <w:pStyle w:val="103"/>
      <w:lvlText w:val="%1、"/>
      <w:lvlJc w:val="left"/>
      <w:pPr>
        <w:tabs>
          <w:tab w:val="left" w:pos="840"/>
        </w:tabs>
        <w:ind w:left="840" w:hanging="4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12"/>
  </w:num>
  <w:num w:numId="2">
    <w:abstractNumId w:val="1"/>
  </w:num>
  <w:num w:numId="3">
    <w:abstractNumId w:val="8"/>
  </w:num>
  <w:num w:numId="4">
    <w:abstractNumId w:val="10"/>
  </w:num>
  <w:num w:numId="5">
    <w:abstractNumId w:val="0"/>
  </w:num>
  <w:num w:numId="6">
    <w:abstractNumId w:val="9"/>
  </w:num>
  <w:num w:numId="7">
    <w:abstractNumId w:val="6"/>
  </w:num>
  <w:num w:numId="8">
    <w:abstractNumId w:val="11"/>
  </w:num>
  <w:num w:numId="9">
    <w:abstractNumId w:val="7"/>
  </w:num>
  <w:num w:numId="10">
    <w:abstractNumId w:val="5"/>
  </w:num>
  <w:num w:numId="11">
    <w:abstractNumId w:val="2"/>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B3E"/>
    <w:rsid w:val="00023B40"/>
    <w:rsid w:val="00090D74"/>
    <w:rsid w:val="000D0B3E"/>
    <w:rsid w:val="001501A0"/>
    <w:rsid w:val="001623CA"/>
    <w:rsid w:val="0020416B"/>
    <w:rsid w:val="00206362"/>
    <w:rsid w:val="00225734"/>
    <w:rsid w:val="00261048"/>
    <w:rsid w:val="00277387"/>
    <w:rsid w:val="002C691D"/>
    <w:rsid w:val="002F77D1"/>
    <w:rsid w:val="0036428A"/>
    <w:rsid w:val="0038372B"/>
    <w:rsid w:val="003E46F1"/>
    <w:rsid w:val="003E7452"/>
    <w:rsid w:val="0040593B"/>
    <w:rsid w:val="00481552"/>
    <w:rsid w:val="004B3DDD"/>
    <w:rsid w:val="004D4697"/>
    <w:rsid w:val="00521701"/>
    <w:rsid w:val="00537AD0"/>
    <w:rsid w:val="005858CC"/>
    <w:rsid w:val="00591110"/>
    <w:rsid w:val="00597D64"/>
    <w:rsid w:val="005E1155"/>
    <w:rsid w:val="006443C2"/>
    <w:rsid w:val="00651A3A"/>
    <w:rsid w:val="006926C6"/>
    <w:rsid w:val="00693164"/>
    <w:rsid w:val="006A7E59"/>
    <w:rsid w:val="006B339B"/>
    <w:rsid w:val="006B5139"/>
    <w:rsid w:val="006E0BBE"/>
    <w:rsid w:val="007068E4"/>
    <w:rsid w:val="0070696B"/>
    <w:rsid w:val="007436BB"/>
    <w:rsid w:val="007507A2"/>
    <w:rsid w:val="00770382"/>
    <w:rsid w:val="007932F9"/>
    <w:rsid w:val="007D37E5"/>
    <w:rsid w:val="007D52C0"/>
    <w:rsid w:val="0083283F"/>
    <w:rsid w:val="00857493"/>
    <w:rsid w:val="00866D38"/>
    <w:rsid w:val="00870B8C"/>
    <w:rsid w:val="008B68AB"/>
    <w:rsid w:val="008C2A11"/>
    <w:rsid w:val="008E71DE"/>
    <w:rsid w:val="00917A40"/>
    <w:rsid w:val="00946C82"/>
    <w:rsid w:val="009E3CA6"/>
    <w:rsid w:val="00A27BE0"/>
    <w:rsid w:val="00A631FE"/>
    <w:rsid w:val="00A8243F"/>
    <w:rsid w:val="00B438ED"/>
    <w:rsid w:val="00B50190"/>
    <w:rsid w:val="00B7534D"/>
    <w:rsid w:val="00B82CD2"/>
    <w:rsid w:val="00B9165C"/>
    <w:rsid w:val="00BE1D2C"/>
    <w:rsid w:val="00BF653B"/>
    <w:rsid w:val="00C0499B"/>
    <w:rsid w:val="00C0502A"/>
    <w:rsid w:val="00C91852"/>
    <w:rsid w:val="00CE4A96"/>
    <w:rsid w:val="00CF20F8"/>
    <w:rsid w:val="00D239C8"/>
    <w:rsid w:val="00D60398"/>
    <w:rsid w:val="00DA76FB"/>
    <w:rsid w:val="00DC5E3F"/>
    <w:rsid w:val="00E01B15"/>
    <w:rsid w:val="00E60E15"/>
    <w:rsid w:val="00E82C68"/>
    <w:rsid w:val="00E86F33"/>
    <w:rsid w:val="00ED794A"/>
    <w:rsid w:val="00EF66B0"/>
    <w:rsid w:val="00F25A57"/>
    <w:rsid w:val="00F30A20"/>
    <w:rsid w:val="00F43805"/>
    <w:rsid w:val="00F56AD3"/>
    <w:rsid w:val="00F649DF"/>
    <w:rsid w:val="00FC2547"/>
    <w:rsid w:val="00FE3CB1"/>
    <w:rsid w:val="01280421"/>
    <w:rsid w:val="01346D78"/>
    <w:rsid w:val="0206359C"/>
    <w:rsid w:val="02333907"/>
    <w:rsid w:val="03096BF0"/>
    <w:rsid w:val="03445741"/>
    <w:rsid w:val="03573AAE"/>
    <w:rsid w:val="03EB5354"/>
    <w:rsid w:val="055C5A36"/>
    <w:rsid w:val="05D913F0"/>
    <w:rsid w:val="05E73E3B"/>
    <w:rsid w:val="05ED7A0A"/>
    <w:rsid w:val="06796039"/>
    <w:rsid w:val="06A54046"/>
    <w:rsid w:val="06BA0574"/>
    <w:rsid w:val="06D437C2"/>
    <w:rsid w:val="06E934D2"/>
    <w:rsid w:val="07F85069"/>
    <w:rsid w:val="08030B8B"/>
    <w:rsid w:val="0820400F"/>
    <w:rsid w:val="0871495E"/>
    <w:rsid w:val="090C1598"/>
    <w:rsid w:val="097C1897"/>
    <w:rsid w:val="09D405CA"/>
    <w:rsid w:val="0A547AAE"/>
    <w:rsid w:val="0A793ADE"/>
    <w:rsid w:val="0A942D1E"/>
    <w:rsid w:val="0AE272A1"/>
    <w:rsid w:val="0B485696"/>
    <w:rsid w:val="0B670917"/>
    <w:rsid w:val="0B6B2E75"/>
    <w:rsid w:val="0B923429"/>
    <w:rsid w:val="0B942A37"/>
    <w:rsid w:val="0B9C1800"/>
    <w:rsid w:val="0DCC4FDB"/>
    <w:rsid w:val="0DD71CF1"/>
    <w:rsid w:val="0DE05545"/>
    <w:rsid w:val="0DE306DE"/>
    <w:rsid w:val="0DEE341F"/>
    <w:rsid w:val="0DFB2331"/>
    <w:rsid w:val="0E0E4DF2"/>
    <w:rsid w:val="0E9B2CFB"/>
    <w:rsid w:val="0EAB2F7F"/>
    <w:rsid w:val="0EBC1D18"/>
    <w:rsid w:val="0EC30A5C"/>
    <w:rsid w:val="0FCF75D8"/>
    <w:rsid w:val="10A63BC4"/>
    <w:rsid w:val="10F41098"/>
    <w:rsid w:val="1102292D"/>
    <w:rsid w:val="122F64AE"/>
    <w:rsid w:val="12E4595E"/>
    <w:rsid w:val="137A1902"/>
    <w:rsid w:val="13FB6A8C"/>
    <w:rsid w:val="15487854"/>
    <w:rsid w:val="159A6B5D"/>
    <w:rsid w:val="161773DD"/>
    <w:rsid w:val="164E5A9A"/>
    <w:rsid w:val="16BB251D"/>
    <w:rsid w:val="16F444CB"/>
    <w:rsid w:val="17186B5B"/>
    <w:rsid w:val="17590B6E"/>
    <w:rsid w:val="17674AED"/>
    <w:rsid w:val="17A70B11"/>
    <w:rsid w:val="17C24603"/>
    <w:rsid w:val="185E5FF8"/>
    <w:rsid w:val="186D2749"/>
    <w:rsid w:val="18777CC6"/>
    <w:rsid w:val="18AA42BE"/>
    <w:rsid w:val="18C95FEE"/>
    <w:rsid w:val="18F41B56"/>
    <w:rsid w:val="195C6F9B"/>
    <w:rsid w:val="1A8662E4"/>
    <w:rsid w:val="1A8A7283"/>
    <w:rsid w:val="1AF53C6B"/>
    <w:rsid w:val="1B622E6D"/>
    <w:rsid w:val="1BD865E8"/>
    <w:rsid w:val="1BE86E2E"/>
    <w:rsid w:val="1C923884"/>
    <w:rsid w:val="1CEA29B6"/>
    <w:rsid w:val="1D236C82"/>
    <w:rsid w:val="1D5E0071"/>
    <w:rsid w:val="1DBE6086"/>
    <w:rsid w:val="1E400B36"/>
    <w:rsid w:val="1E60059E"/>
    <w:rsid w:val="1E63375E"/>
    <w:rsid w:val="1F4F171D"/>
    <w:rsid w:val="1FC11EE7"/>
    <w:rsid w:val="20123710"/>
    <w:rsid w:val="201A1F3F"/>
    <w:rsid w:val="21BE3368"/>
    <w:rsid w:val="221F3640"/>
    <w:rsid w:val="22534453"/>
    <w:rsid w:val="226F23A3"/>
    <w:rsid w:val="227F4986"/>
    <w:rsid w:val="22C96B7C"/>
    <w:rsid w:val="23EF61D0"/>
    <w:rsid w:val="23FC1E0F"/>
    <w:rsid w:val="247B4857"/>
    <w:rsid w:val="24A732E4"/>
    <w:rsid w:val="24A95D09"/>
    <w:rsid w:val="24B26A07"/>
    <w:rsid w:val="25097ECC"/>
    <w:rsid w:val="25210D75"/>
    <w:rsid w:val="2550302E"/>
    <w:rsid w:val="25B84BBC"/>
    <w:rsid w:val="25D571FF"/>
    <w:rsid w:val="2609157C"/>
    <w:rsid w:val="262247AC"/>
    <w:rsid w:val="264662A5"/>
    <w:rsid w:val="26564153"/>
    <w:rsid w:val="267551F9"/>
    <w:rsid w:val="26E14ADC"/>
    <w:rsid w:val="26FA5F0F"/>
    <w:rsid w:val="27073501"/>
    <w:rsid w:val="271C37A4"/>
    <w:rsid w:val="274C5337"/>
    <w:rsid w:val="27EC16EA"/>
    <w:rsid w:val="28B41A36"/>
    <w:rsid w:val="28C109E7"/>
    <w:rsid w:val="28C85E8C"/>
    <w:rsid w:val="29933688"/>
    <w:rsid w:val="2A180C0B"/>
    <w:rsid w:val="2A734AD5"/>
    <w:rsid w:val="2B357B29"/>
    <w:rsid w:val="2C3F5440"/>
    <w:rsid w:val="2C400DC6"/>
    <w:rsid w:val="2C4B70DD"/>
    <w:rsid w:val="2CD419F6"/>
    <w:rsid w:val="2EF2499D"/>
    <w:rsid w:val="2F1806B8"/>
    <w:rsid w:val="2F5B79CA"/>
    <w:rsid w:val="2F6D4E7F"/>
    <w:rsid w:val="2FA569F8"/>
    <w:rsid w:val="2FD64D4C"/>
    <w:rsid w:val="304E0DC4"/>
    <w:rsid w:val="308A0A36"/>
    <w:rsid w:val="313715CC"/>
    <w:rsid w:val="31567D80"/>
    <w:rsid w:val="321C23D3"/>
    <w:rsid w:val="321E2CB7"/>
    <w:rsid w:val="32216025"/>
    <w:rsid w:val="3222221A"/>
    <w:rsid w:val="32270902"/>
    <w:rsid w:val="32832455"/>
    <w:rsid w:val="32B619B6"/>
    <w:rsid w:val="32FA654C"/>
    <w:rsid w:val="32FC0F4A"/>
    <w:rsid w:val="33084D4C"/>
    <w:rsid w:val="3358363B"/>
    <w:rsid w:val="35D5790E"/>
    <w:rsid w:val="35DD5FD1"/>
    <w:rsid w:val="36841EAD"/>
    <w:rsid w:val="36A357C6"/>
    <w:rsid w:val="36A75013"/>
    <w:rsid w:val="36B57122"/>
    <w:rsid w:val="38010F75"/>
    <w:rsid w:val="38123CFF"/>
    <w:rsid w:val="383B2F01"/>
    <w:rsid w:val="38786674"/>
    <w:rsid w:val="38B815B6"/>
    <w:rsid w:val="390B0DB7"/>
    <w:rsid w:val="392477CD"/>
    <w:rsid w:val="39ED4793"/>
    <w:rsid w:val="3A1E2F45"/>
    <w:rsid w:val="3A234DDE"/>
    <w:rsid w:val="3A5A57E8"/>
    <w:rsid w:val="3A7D1A06"/>
    <w:rsid w:val="3A814428"/>
    <w:rsid w:val="3A8F508E"/>
    <w:rsid w:val="3C9D18A5"/>
    <w:rsid w:val="3CD27DC7"/>
    <w:rsid w:val="3E4F6086"/>
    <w:rsid w:val="3E73467C"/>
    <w:rsid w:val="3F480858"/>
    <w:rsid w:val="3F626AF9"/>
    <w:rsid w:val="3F814549"/>
    <w:rsid w:val="3FB4643E"/>
    <w:rsid w:val="3FB96DDB"/>
    <w:rsid w:val="3FC26FD2"/>
    <w:rsid w:val="3FC467DF"/>
    <w:rsid w:val="3FD80AC5"/>
    <w:rsid w:val="3FD93A27"/>
    <w:rsid w:val="3FEF5D2D"/>
    <w:rsid w:val="400B4453"/>
    <w:rsid w:val="401F62F2"/>
    <w:rsid w:val="40965082"/>
    <w:rsid w:val="41B34E58"/>
    <w:rsid w:val="420031DF"/>
    <w:rsid w:val="432B436D"/>
    <w:rsid w:val="434853E0"/>
    <w:rsid w:val="436959FA"/>
    <w:rsid w:val="43F80A14"/>
    <w:rsid w:val="44216B11"/>
    <w:rsid w:val="44A3194E"/>
    <w:rsid w:val="44FB776C"/>
    <w:rsid w:val="451649D4"/>
    <w:rsid w:val="451E0DCD"/>
    <w:rsid w:val="456472BD"/>
    <w:rsid w:val="458D56EC"/>
    <w:rsid w:val="47652B78"/>
    <w:rsid w:val="47B872F1"/>
    <w:rsid w:val="47C911B3"/>
    <w:rsid w:val="482F33CC"/>
    <w:rsid w:val="4894185B"/>
    <w:rsid w:val="489C1E90"/>
    <w:rsid w:val="48F03BED"/>
    <w:rsid w:val="49280867"/>
    <w:rsid w:val="49321F82"/>
    <w:rsid w:val="4A653599"/>
    <w:rsid w:val="4B065E74"/>
    <w:rsid w:val="4B4B6F82"/>
    <w:rsid w:val="4C001585"/>
    <w:rsid w:val="4D5C0246"/>
    <w:rsid w:val="4DEF2E8E"/>
    <w:rsid w:val="4EDB2F81"/>
    <w:rsid w:val="4F011AFB"/>
    <w:rsid w:val="50010F07"/>
    <w:rsid w:val="50421A8C"/>
    <w:rsid w:val="50F548CB"/>
    <w:rsid w:val="51947992"/>
    <w:rsid w:val="51A655ED"/>
    <w:rsid w:val="51BE77CF"/>
    <w:rsid w:val="51C81087"/>
    <w:rsid w:val="51CF5582"/>
    <w:rsid w:val="527F542C"/>
    <w:rsid w:val="530D46D8"/>
    <w:rsid w:val="530E54AB"/>
    <w:rsid w:val="531E1C51"/>
    <w:rsid w:val="536578C3"/>
    <w:rsid w:val="53881DB5"/>
    <w:rsid w:val="539D0FA4"/>
    <w:rsid w:val="53B11D19"/>
    <w:rsid w:val="53BD2E27"/>
    <w:rsid w:val="53E87C58"/>
    <w:rsid w:val="540675B6"/>
    <w:rsid w:val="54412A5B"/>
    <w:rsid w:val="54D668A2"/>
    <w:rsid w:val="550536DC"/>
    <w:rsid w:val="5523687A"/>
    <w:rsid w:val="55A25D7B"/>
    <w:rsid w:val="56153519"/>
    <w:rsid w:val="56933920"/>
    <w:rsid w:val="56B646A2"/>
    <w:rsid w:val="57F54514"/>
    <w:rsid w:val="58415FAE"/>
    <w:rsid w:val="58C32B59"/>
    <w:rsid w:val="58DF2550"/>
    <w:rsid w:val="599F2BFD"/>
    <w:rsid w:val="59CA6EDA"/>
    <w:rsid w:val="5A376206"/>
    <w:rsid w:val="5BBA0123"/>
    <w:rsid w:val="5BBD1ADE"/>
    <w:rsid w:val="5C0A6F75"/>
    <w:rsid w:val="5CC341E7"/>
    <w:rsid w:val="5D113307"/>
    <w:rsid w:val="5D6F4204"/>
    <w:rsid w:val="5DD66B4B"/>
    <w:rsid w:val="5E665E04"/>
    <w:rsid w:val="5E731C0A"/>
    <w:rsid w:val="5EB52109"/>
    <w:rsid w:val="5EC51937"/>
    <w:rsid w:val="5ECC2710"/>
    <w:rsid w:val="5FC13015"/>
    <w:rsid w:val="605665F5"/>
    <w:rsid w:val="60B13C9E"/>
    <w:rsid w:val="60B17E8C"/>
    <w:rsid w:val="60D677D0"/>
    <w:rsid w:val="619A53AD"/>
    <w:rsid w:val="61E35F71"/>
    <w:rsid w:val="62A86280"/>
    <w:rsid w:val="62AA4D16"/>
    <w:rsid w:val="62B13E42"/>
    <w:rsid w:val="62F01098"/>
    <w:rsid w:val="636F43AB"/>
    <w:rsid w:val="637D5E75"/>
    <w:rsid w:val="63CC4953"/>
    <w:rsid w:val="63FF6E7F"/>
    <w:rsid w:val="64105EA3"/>
    <w:rsid w:val="64132F9F"/>
    <w:rsid w:val="64DF2D77"/>
    <w:rsid w:val="65EE06A0"/>
    <w:rsid w:val="665034F9"/>
    <w:rsid w:val="667F70DE"/>
    <w:rsid w:val="66CB11E7"/>
    <w:rsid w:val="67666A5C"/>
    <w:rsid w:val="678B1B37"/>
    <w:rsid w:val="67AD6D61"/>
    <w:rsid w:val="68926672"/>
    <w:rsid w:val="68E80FC6"/>
    <w:rsid w:val="68FA515D"/>
    <w:rsid w:val="69A87E53"/>
    <w:rsid w:val="69B413A2"/>
    <w:rsid w:val="69F13C86"/>
    <w:rsid w:val="69FD17B9"/>
    <w:rsid w:val="6B111994"/>
    <w:rsid w:val="6B1D45B9"/>
    <w:rsid w:val="6B513DF4"/>
    <w:rsid w:val="6B5424DA"/>
    <w:rsid w:val="6BEA6FFD"/>
    <w:rsid w:val="6BF468FB"/>
    <w:rsid w:val="6C521CC7"/>
    <w:rsid w:val="6CCB36AA"/>
    <w:rsid w:val="6CD404A2"/>
    <w:rsid w:val="6CE8314B"/>
    <w:rsid w:val="6D362288"/>
    <w:rsid w:val="6D4F0921"/>
    <w:rsid w:val="6DE97C29"/>
    <w:rsid w:val="6DF732E2"/>
    <w:rsid w:val="6DFE6186"/>
    <w:rsid w:val="6E170845"/>
    <w:rsid w:val="6E3B423E"/>
    <w:rsid w:val="6E4B4F3C"/>
    <w:rsid w:val="6E630F70"/>
    <w:rsid w:val="6E7F41FA"/>
    <w:rsid w:val="6EA60AD0"/>
    <w:rsid w:val="6EB82786"/>
    <w:rsid w:val="6F0D6273"/>
    <w:rsid w:val="6F4222A8"/>
    <w:rsid w:val="6FF67F9D"/>
    <w:rsid w:val="701177F3"/>
    <w:rsid w:val="71133C9B"/>
    <w:rsid w:val="714E1F12"/>
    <w:rsid w:val="72A65193"/>
    <w:rsid w:val="72B8077A"/>
    <w:rsid w:val="73904E51"/>
    <w:rsid w:val="73B375E7"/>
    <w:rsid w:val="74B16CCA"/>
    <w:rsid w:val="74F81520"/>
    <w:rsid w:val="75087B1C"/>
    <w:rsid w:val="75553DB2"/>
    <w:rsid w:val="75736691"/>
    <w:rsid w:val="76A17481"/>
    <w:rsid w:val="76D2192A"/>
    <w:rsid w:val="77990BDD"/>
    <w:rsid w:val="78180E1E"/>
    <w:rsid w:val="78421489"/>
    <w:rsid w:val="78526B61"/>
    <w:rsid w:val="78EF73BB"/>
    <w:rsid w:val="792D4F70"/>
    <w:rsid w:val="79953EAE"/>
    <w:rsid w:val="7A6A7F03"/>
    <w:rsid w:val="7AEB7F69"/>
    <w:rsid w:val="7B073E19"/>
    <w:rsid w:val="7B8B65F3"/>
    <w:rsid w:val="7B982C2A"/>
    <w:rsid w:val="7B991C46"/>
    <w:rsid w:val="7BBD7C24"/>
    <w:rsid w:val="7BCF3551"/>
    <w:rsid w:val="7BFA35A7"/>
    <w:rsid w:val="7C192234"/>
    <w:rsid w:val="7CB52205"/>
    <w:rsid w:val="7D491883"/>
    <w:rsid w:val="7D5E11EB"/>
    <w:rsid w:val="7DA625E7"/>
    <w:rsid w:val="7E0A1126"/>
    <w:rsid w:val="7E1D74A9"/>
    <w:rsid w:val="7F607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uiPriority="99" w:name="HTML Preformatted"/>
    <w:lsdException w:uiPriority="99"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109"/>
    <w:qFormat/>
    <w:uiPriority w:val="9"/>
    <w:pPr>
      <w:keepNext/>
      <w:keepLines/>
      <w:spacing w:before="340" w:after="330" w:line="578" w:lineRule="auto"/>
      <w:outlineLvl w:val="0"/>
    </w:pPr>
    <w:rPr>
      <w:b/>
      <w:bCs/>
      <w:kern w:val="44"/>
      <w:sz w:val="44"/>
      <w:szCs w:val="44"/>
    </w:rPr>
  </w:style>
  <w:style w:type="paragraph" w:styleId="2">
    <w:name w:val="heading 2"/>
    <w:basedOn w:val="1"/>
    <w:next w:val="1"/>
    <w:link w:val="37"/>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5"/>
    <w:link w:val="40"/>
    <w:qFormat/>
    <w:uiPriority w:val="0"/>
    <w:pPr>
      <w:keepNext/>
      <w:keepLines/>
      <w:tabs>
        <w:tab w:val="left" w:pos="5852"/>
      </w:tabs>
      <w:snapToGrid w:val="0"/>
      <w:spacing w:before="360" w:line="240" w:lineRule="exact"/>
      <w:outlineLvl w:val="2"/>
    </w:pPr>
    <w:rPr>
      <w:b/>
      <w:sz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54"/>
    <w:qFormat/>
    <w:uiPriority w:val="0"/>
    <w:pPr>
      <w:ind w:firstLine="420"/>
    </w:pPr>
    <w:rPr>
      <w:rFonts w:asciiTheme="minorHAnsi" w:hAnsiTheme="minorHAnsi" w:cstheme="minorBidi"/>
      <w:szCs w:val="22"/>
    </w:rPr>
  </w:style>
  <w:style w:type="paragraph" w:styleId="6">
    <w:name w:val="Document Map"/>
    <w:basedOn w:val="1"/>
    <w:link w:val="71"/>
    <w:qFormat/>
    <w:uiPriority w:val="0"/>
    <w:pPr>
      <w:shd w:val="clear" w:color="auto" w:fill="000080"/>
    </w:pPr>
    <w:rPr>
      <w:szCs w:val="24"/>
    </w:rPr>
  </w:style>
  <w:style w:type="paragraph" w:styleId="7">
    <w:name w:val="annotation text"/>
    <w:basedOn w:val="1"/>
    <w:link w:val="69"/>
    <w:unhideWhenUsed/>
    <w:qFormat/>
    <w:uiPriority w:val="0"/>
    <w:pPr>
      <w:jc w:val="left"/>
    </w:pPr>
  </w:style>
  <w:style w:type="paragraph" w:styleId="8">
    <w:name w:val="Body Text"/>
    <w:basedOn w:val="1"/>
    <w:next w:val="9"/>
    <w:qFormat/>
    <w:uiPriority w:val="0"/>
    <w:pPr>
      <w:spacing w:after="120"/>
    </w:pPr>
    <w:rPr>
      <w:rFonts w:ascii="Calibri" w:hAnsi="Calibri" w:eastAsia="宋体" w:cs="Times New Roman"/>
      <w:kern w:val="0"/>
      <w:sz w:val="24"/>
    </w:rPr>
  </w:style>
  <w:style w:type="paragraph" w:styleId="9">
    <w:name w:val="Date"/>
    <w:basedOn w:val="1"/>
    <w:next w:val="1"/>
    <w:link w:val="68"/>
    <w:qFormat/>
    <w:uiPriority w:val="0"/>
    <w:pPr>
      <w:ind w:left="100" w:leftChars="2500"/>
    </w:pPr>
    <w:rPr>
      <w:szCs w:val="24"/>
    </w:rPr>
  </w:style>
  <w:style w:type="paragraph" w:styleId="10">
    <w:name w:val="Body Text Indent"/>
    <w:basedOn w:val="1"/>
    <w:link w:val="38"/>
    <w:qFormat/>
    <w:uiPriority w:val="0"/>
    <w:pPr>
      <w:autoSpaceDE w:val="0"/>
      <w:autoSpaceDN w:val="0"/>
      <w:spacing w:line="360" w:lineRule="auto"/>
      <w:ind w:left="181" w:firstLine="539"/>
    </w:pPr>
    <w:rPr>
      <w:rFonts w:asciiTheme="minorHAnsi" w:hAnsiTheme="minorHAnsi" w:cstheme="minorBidi"/>
      <w:sz w:val="24"/>
      <w:szCs w:val="22"/>
    </w:rPr>
  </w:style>
  <w:style w:type="paragraph" w:styleId="11">
    <w:name w:val="Plain Text"/>
    <w:basedOn w:val="1"/>
    <w:link w:val="47"/>
    <w:qFormat/>
    <w:uiPriority w:val="0"/>
    <w:rPr>
      <w:rFonts w:ascii="宋体" w:hAnsi="Courier New" w:cstheme="minorBidi"/>
      <w:szCs w:val="22"/>
    </w:rPr>
  </w:style>
  <w:style w:type="paragraph" w:styleId="12">
    <w:name w:val="Body Text Indent 2"/>
    <w:basedOn w:val="1"/>
    <w:link w:val="49"/>
    <w:qFormat/>
    <w:uiPriority w:val="0"/>
    <w:pPr>
      <w:spacing w:after="120" w:line="480" w:lineRule="auto"/>
      <w:ind w:left="420" w:leftChars="200"/>
    </w:pPr>
    <w:rPr>
      <w:rFonts w:asciiTheme="minorHAnsi" w:hAnsiTheme="minorHAnsi" w:eastAsiaTheme="minorEastAsia" w:cstheme="minorBidi"/>
      <w:szCs w:val="24"/>
    </w:rPr>
  </w:style>
  <w:style w:type="paragraph" w:styleId="13">
    <w:name w:val="Balloon Text"/>
    <w:basedOn w:val="1"/>
    <w:link w:val="73"/>
    <w:qFormat/>
    <w:uiPriority w:val="0"/>
    <w:rPr>
      <w:sz w:val="18"/>
      <w:szCs w:val="18"/>
    </w:rPr>
  </w:style>
  <w:style w:type="paragraph" w:styleId="14">
    <w:name w:val="footer"/>
    <w:basedOn w:val="1"/>
    <w:link w:val="60"/>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5">
    <w:name w:val="header"/>
    <w:basedOn w:val="1"/>
    <w:link w:val="62"/>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6">
    <w:name w:val="toc 1"/>
    <w:basedOn w:val="1"/>
    <w:next w:val="1"/>
    <w:qFormat/>
    <w:uiPriority w:val="39"/>
    <w:pPr>
      <w:tabs>
        <w:tab w:val="right" w:leader="dot" w:pos="8393"/>
      </w:tabs>
      <w:spacing w:line="500" w:lineRule="exact"/>
    </w:pPr>
    <w:rPr>
      <w:rFonts w:ascii="宋体" w:hAnsi="宋体"/>
      <w:b/>
      <w:bCs/>
      <w:color w:val="000000"/>
      <w:sz w:val="28"/>
      <w:szCs w:val="28"/>
    </w:rPr>
  </w:style>
  <w:style w:type="paragraph" w:styleId="17">
    <w:name w:val="toc 2"/>
    <w:basedOn w:val="1"/>
    <w:next w:val="1"/>
    <w:qFormat/>
    <w:uiPriority w:val="39"/>
    <w:pPr>
      <w:tabs>
        <w:tab w:val="right" w:leader="dot" w:pos="8393"/>
      </w:tabs>
      <w:spacing w:line="500" w:lineRule="exact"/>
      <w:ind w:left="420" w:leftChars="200"/>
      <w:jc w:val="center"/>
    </w:pPr>
    <w:rPr>
      <w:rFonts w:ascii="黑体" w:eastAsia="黑体"/>
      <w:sz w:val="32"/>
      <w:szCs w:val="32"/>
    </w:rPr>
  </w:style>
  <w:style w:type="paragraph" w:styleId="18">
    <w:name w:val="Normal (Web)"/>
    <w:basedOn w:val="1"/>
    <w:qFormat/>
    <w:uiPriority w:val="99"/>
    <w:pPr>
      <w:widowControl/>
      <w:spacing w:before="100" w:beforeAutospacing="1" w:after="100" w:afterAutospacing="1"/>
      <w:jc w:val="left"/>
    </w:pPr>
    <w:rPr>
      <w:rFonts w:ascii="宋体" w:hAnsi="宋体"/>
      <w:kern w:val="0"/>
      <w:sz w:val="24"/>
    </w:rPr>
  </w:style>
  <w:style w:type="paragraph" w:styleId="19">
    <w:name w:val="Title"/>
    <w:basedOn w:val="1"/>
    <w:link w:val="64"/>
    <w:qFormat/>
    <w:uiPriority w:val="0"/>
    <w:pPr>
      <w:tabs>
        <w:tab w:val="left" w:pos="420"/>
      </w:tabs>
      <w:spacing w:before="120" w:after="120" w:line="360" w:lineRule="auto"/>
      <w:ind w:left="420"/>
      <w:jc w:val="center"/>
      <w:outlineLvl w:val="0"/>
    </w:pPr>
    <w:rPr>
      <w:rFonts w:ascii="宋体" w:hAnsi="Verdana" w:cs="Arial" w:eastAsiaTheme="minorEastAsia"/>
      <w:b/>
      <w:bCs/>
      <w:sz w:val="32"/>
      <w:szCs w:val="32"/>
    </w:rPr>
  </w:style>
  <w:style w:type="paragraph" w:styleId="20">
    <w:name w:val="annotation subject"/>
    <w:basedOn w:val="7"/>
    <w:next w:val="7"/>
    <w:link w:val="70"/>
    <w:qFormat/>
    <w:uiPriority w:val="0"/>
    <w:rPr>
      <w:b/>
      <w:bCs/>
      <w:szCs w:val="24"/>
    </w:rPr>
  </w:style>
  <w:style w:type="paragraph" w:styleId="21">
    <w:name w:val="Body Text First Indent 2"/>
    <w:basedOn w:val="10"/>
    <w:link w:val="111"/>
    <w:semiHidden/>
    <w:unhideWhenUsed/>
    <w:qFormat/>
    <w:uiPriority w:val="99"/>
    <w:pPr>
      <w:autoSpaceDE/>
      <w:autoSpaceDN/>
      <w:spacing w:after="120" w:line="240" w:lineRule="auto"/>
      <w:ind w:left="420" w:leftChars="200" w:firstLine="420" w:firstLineChars="200"/>
    </w:pPr>
    <w:rPr>
      <w:rFonts w:ascii="Times New Roman" w:hAnsi="Times New Roman" w:cs="Times New Roman"/>
      <w:sz w:val="21"/>
      <w:szCs w:val="20"/>
    </w:rPr>
  </w:style>
  <w:style w:type="table" w:styleId="23">
    <w:name w:val="Table Grid"/>
    <w:basedOn w:val="22"/>
    <w:qFormat/>
    <w:uiPriority w:val="9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bCs/>
    </w:rPr>
  </w:style>
  <w:style w:type="character" w:styleId="26">
    <w:name w:val="FollowedHyperlink"/>
    <w:basedOn w:val="24"/>
    <w:qFormat/>
    <w:uiPriority w:val="0"/>
    <w:rPr>
      <w:color w:val="013F7C"/>
      <w:u w:val="none"/>
    </w:rPr>
  </w:style>
  <w:style w:type="character" w:styleId="27">
    <w:name w:val="Emphasis"/>
    <w:basedOn w:val="24"/>
    <w:qFormat/>
    <w:uiPriority w:val="0"/>
  </w:style>
  <w:style w:type="character" w:styleId="28">
    <w:name w:val="HTML Definition"/>
    <w:basedOn w:val="24"/>
    <w:qFormat/>
    <w:uiPriority w:val="0"/>
  </w:style>
  <w:style w:type="character" w:styleId="29">
    <w:name w:val="HTML Typewriter"/>
    <w:basedOn w:val="24"/>
    <w:qFormat/>
    <w:uiPriority w:val="0"/>
    <w:rPr>
      <w:rFonts w:ascii="宋体" w:hAnsi="宋体" w:eastAsia="宋体" w:cs="宋体"/>
      <w:sz w:val="24"/>
      <w:szCs w:val="24"/>
    </w:rPr>
  </w:style>
  <w:style w:type="character" w:styleId="30">
    <w:name w:val="HTML Variable"/>
    <w:basedOn w:val="24"/>
    <w:qFormat/>
    <w:uiPriority w:val="0"/>
  </w:style>
  <w:style w:type="character" w:styleId="31">
    <w:name w:val="Hyperlink"/>
    <w:basedOn w:val="24"/>
    <w:qFormat/>
    <w:uiPriority w:val="99"/>
    <w:rPr>
      <w:color w:val="013F7C"/>
      <w:u w:val="none"/>
    </w:rPr>
  </w:style>
  <w:style w:type="character" w:styleId="32">
    <w:name w:val="HTML Code"/>
    <w:basedOn w:val="24"/>
    <w:qFormat/>
    <w:uiPriority w:val="0"/>
    <w:rPr>
      <w:rFonts w:ascii="Courier New" w:hAnsi="Courier New"/>
      <w:sz w:val="20"/>
    </w:rPr>
  </w:style>
  <w:style w:type="character" w:styleId="33">
    <w:name w:val="annotation reference"/>
    <w:basedOn w:val="24"/>
    <w:qFormat/>
    <w:uiPriority w:val="0"/>
    <w:rPr>
      <w:sz w:val="21"/>
      <w:szCs w:val="21"/>
    </w:rPr>
  </w:style>
  <w:style w:type="character" w:styleId="34">
    <w:name w:val="HTML Cite"/>
    <w:basedOn w:val="24"/>
    <w:qFormat/>
    <w:uiPriority w:val="0"/>
  </w:style>
  <w:style w:type="paragraph" w:customStyle="1" w:styleId="35">
    <w:name w:val="章节题目"/>
    <w:basedOn w:val="36"/>
    <w:next w:val="1"/>
    <w:qFormat/>
    <w:uiPriority w:val="0"/>
    <w:pPr>
      <w:spacing w:before="720" w:after="400" w:line="540" w:lineRule="atLeast"/>
      <w:ind w:right="2160"/>
    </w:pPr>
    <w:rPr>
      <w:rFonts w:ascii="Times New Roman" w:hAnsi="Times New Roman"/>
      <w:spacing w:val="-40"/>
      <w:sz w:val="60"/>
    </w:rPr>
  </w:style>
  <w:style w:type="paragraph" w:customStyle="1" w:styleId="36">
    <w:name w:val="基准标题"/>
    <w:basedOn w:val="1"/>
    <w:next w:val="8"/>
    <w:qFormat/>
    <w:uiPriority w:val="0"/>
    <w:pPr>
      <w:keepNext/>
      <w:keepLines/>
      <w:widowControl w:val="0"/>
      <w:spacing w:before="140" w:line="220" w:lineRule="atLeast"/>
    </w:pPr>
    <w:rPr>
      <w:rFonts w:ascii="Arial" w:hAnsi="Arial"/>
      <w:spacing w:val="-4"/>
      <w:kern w:val="28"/>
      <w:sz w:val="22"/>
    </w:rPr>
  </w:style>
  <w:style w:type="character" w:customStyle="1" w:styleId="37">
    <w:name w:val="标题 2 字符"/>
    <w:basedOn w:val="24"/>
    <w:link w:val="2"/>
    <w:qFormat/>
    <w:uiPriority w:val="0"/>
    <w:rPr>
      <w:rFonts w:asciiTheme="majorHAnsi" w:hAnsiTheme="majorHAnsi" w:eastAsiaTheme="majorEastAsia" w:cstheme="majorBidi"/>
      <w:b/>
      <w:bCs/>
      <w:sz w:val="32"/>
      <w:szCs w:val="32"/>
    </w:rPr>
  </w:style>
  <w:style w:type="character" w:customStyle="1" w:styleId="38">
    <w:name w:val="正文文本缩进 字符"/>
    <w:link w:val="10"/>
    <w:qFormat/>
    <w:uiPriority w:val="0"/>
    <w:rPr>
      <w:rFonts w:eastAsia="宋体"/>
      <w:sz w:val="24"/>
    </w:rPr>
  </w:style>
  <w:style w:type="character" w:customStyle="1" w:styleId="39">
    <w:name w:val="正文文本缩进 字符1"/>
    <w:basedOn w:val="24"/>
    <w:semiHidden/>
    <w:qFormat/>
    <w:uiPriority w:val="99"/>
    <w:rPr>
      <w:rFonts w:ascii="Times New Roman" w:hAnsi="Times New Roman" w:eastAsia="宋体" w:cs="Times New Roman"/>
      <w:szCs w:val="20"/>
    </w:rPr>
  </w:style>
  <w:style w:type="character" w:customStyle="1" w:styleId="40">
    <w:name w:val="标题 3 字符"/>
    <w:basedOn w:val="24"/>
    <w:link w:val="4"/>
    <w:qFormat/>
    <w:uiPriority w:val="0"/>
    <w:rPr>
      <w:rFonts w:ascii="Times New Roman" w:hAnsi="Times New Roman" w:eastAsia="宋体" w:cs="Times New Roman"/>
      <w:b/>
      <w:sz w:val="28"/>
      <w:szCs w:val="20"/>
    </w:rPr>
  </w:style>
  <w:style w:type="character" w:customStyle="1" w:styleId="41">
    <w:name w:val="current"/>
    <w:basedOn w:val="24"/>
    <w:qFormat/>
    <w:uiPriority w:val="0"/>
    <w:rPr>
      <w:b/>
      <w:color w:val="FF0084"/>
    </w:rPr>
  </w:style>
  <w:style w:type="character" w:customStyle="1" w:styleId="42">
    <w:name w:val="批注文字 Char"/>
    <w:basedOn w:val="24"/>
    <w:qFormat/>
    <w:uiPriority w:val="0"/>
    <w:rPr>
      <w:rFonts w:eastAsia="宋体"/>
      <w:kern w:val="2"/>
      <w:sz w:val="21"/>
      <w:szCs w:val="24"/>
      <w:lang w:val="en-US" w:eastAsia="zh-CN" w:bidi="ar-SA"/>
    </w:rPr>
  </w:style>
  <w:style w:type="character" w:customStyle="1" w:styleId="43">
    <w:name w:val="批注文字 字符"/>
    <w:basedOn w:val="24"/>
    <w:qFormat/>
    <w:uiPriority w:val="0"/>
    <w:rPr>
      <w:rFonts w:eastAsia="宋体"/>
      <w:kern w:val="2"/>
      <w:sz w:val="21"/>
      <w:szCs w:val="24"/>
      <w:lang w:val="en-US" w:eastAsia="zh-CN" w:bidi="ar-SA"/>
    </w:rPr>
  </w:style>
  <w:style w:type="character" w:customStyle="1" w:styleId="44">
    <w:name w:val="Underrubrik1 Char Char"/>
    <w:qFormat/>
    <w:uiPriority w:val="0"/>
    <w:rPr>
      <w:rFonts w:ascii="Arial" w:hAnsi="Arial"/>
      <w:b/>
      <w:bCs/>
      <w:color w:val="000000"/>
      <w:sz w:val="30"/>
    </w:rPr>
  </w:style>
  <w:style w:type="character" w:customStyle="1" w:styleId="45">
    <w:name w:val="样式3 Char Char"/>
    <w:link w:val="46"/>
    <w:qFormat/>
    <w:uiPriority w:val="0"/>
    <w:rPr>
      <w:rFonts w:ascii="宋体" w:hAnsi="Courier New"/>
      <w:sz w:val="28"/>
      <w:szCs w:val="24"/>
    </w:rPr>
  </w:style>
  <w:style w:type="paragraph" w:customStyle="1" w:styleId="46">
    <w:name w:val="样式3"/>
    <w:basedOn w:val="11"/>
    <w:link w:val="45"/>
    <w:qFormat/>
    <w:uiPriority w:val="0"/>
    <w:pPr>
      <w:spacing w:line="0" w:lineRule="atLeast"/>
      <w:outlineLvl w:val="0"/>
    </w:pPr>
    <w:rPr>
      <w:rFonts w:eastAsiaTheme="minorEastAsia"/>
      <w:sz w:val="28"/>
      <w:szCs w:val="24"/>
    </w:rPr>
  </w:style>
  <w:style w:type="character" w:customStyle="1" w:styleId="47">
    <w:name w:val="纯文本 字符"/>
    <w:basedOn w:val="24"/>
    <w:link w:val="11"/>
    <w:qFormat/>
    <w:uiPriority w:val="0"/>
    <w:rPr>
      <w:rFonts w:ascii="宋体" w:hAnsi="Courier New" w:eastAsia="宋体"/>
    </w:rPr>
  </w:style>
  <w:style w:type="character" w:customStyle="1" w:styleId="48">
    <w:name w:val="ds-reads-from"/>
    <w:basedOn w:val="24"/>
    <w:qFormat/>
    <w:uiPriority w:val="0"/>
  </w:style>
  <w:style w:type="character" w:customStyle="1" w:styleId="49">
    <w:name w:val="正文文本缩进 2 字符"/>
    <w:basedOn w:val="24"/>
    <w:link w:val="12"/>
    <w:qFormat/>
    <w:uiPriority w:val="0"/>
    <w:rPr>
      <w:szCs w:val="24"/>
    </w:rPr>
  </w:style>
  <w:style w:type="character" w:customStyle="1" w:styleId="50">
    <w:name w:val="Char Char5"/>
    <w:basedOn w:val="24"/>
    <w:qFormat/>
    <w:uiPriority w:val="0"/>
    <w:rPr>
      <w:rFonts w:ascii="宋体" w:hAnsi="Courier New" w:eastAsia="宋体"/>
      <w:kern w:val="2"/>
      <w:sz w:val="21"/>
      <w:lang w:val="en-US" w:eastAsia="zh-CN" w:bidi="ar-SA"/>
    </w:rPr>
  </w:style>
  <w:style w:type="character" w:customStyle="1" w:styleId="51">
    <w:name w:val="普通文字 Char Char1"/>
    <w:basedOn w:val="24"/>
    <w:qFormat/>
    <w:uiPriority w:val="0"/>
    <w:rPr>
      <w:rFonts w:ascii="宋体" w:hAnsi="Courier New" w:eastAsia="宋体"/>
      <w:kern w:val="2"/>
      <w:sz w:val="21"/>
      <w:lang w:val="en-US" w:eastAsia="zh-CN" w:bidi="ar-SA"/>
    </w:rPr>
  </w:style>
  <w:style w:type="character" w:customStyle="1" w:styleId="52">
    <w:name w:val="ds-reads-app-special"/>
    <w:basedOn w:val="24"/>
    <w:qFormat/>
    <w:uiPriority w:val="0"/>
    <w:rPr>
      <w:color w:val="FFFFFF"/>
      <w:shd w:val="clear" w:color="auto" w:fill="F94A47"/>
    </w:rPr>
  </w:style>
  <w:style w:type="character" w:customStyle="1" w:styleId="53">
    <w:name w:val="font81"/>
    <w:basedOn w:val="24"/>
    <w:qFormat/>
    <w:uiPriority w:val="0"/>
    <w:rPr>
      <w:rFonts w:ascii="新宋体" w:hAnsi="新宋体" w:eastAsia="新宋体" w:cs="新宋体"/>
      <w:color w:val="000000"/>
      <w:sz w:val="21"/>
      <w:szCs w:val="21"/>
      <w:u w:val="none"/>
    </w:rPr>
  </w:style>
  <w:style w:type="character" w:customStyle="1" w:styleId="54">
    <w:name w:val="正文缩进 字符"/>
    <w:basedOn w:val="24"/>
    <w:link w:val="5"/>
    <w:qFormat/>
    <w:uiPriority w:val="0"/>
    <w:rPr>
      <w:rFonts w:eastAsia="宋体"/>
    </w:rPr>
  </w:style>
  <w:style w:type="character" w:customStyle="1" w:styleId="55">
    <w:name w:val="font91"/>
    <w:basedOn w:val="24"/>
    <w:qFormat/>
    <w:uiPriority w:val="0"/>
    <w:rPr>
      <w:rFonts w:ascii="Arial" w:hAnsi="Arial" w:cs="Arial"/>
      <w:color w:val="000000"/>
      <w:sz w:val="21"/>
      <w:szCs w:val="21"/>
      <w:u w:val="none"/>
    </w:rPr>
  </w:style>
  <w:style w:type="character" w:customStyle="1" w:styleId="56">
    <w:name w:val="font101"/>
    <w:basedOn w:val="24"/>
    <w:qFormat/>
    <w:uiPriority w:val="0"/>
    <w:rPr>
      <w:rFonts w:ascii="宋体" w:hAnsi="宋体" w:eastAsia="宋体" w:cs="宋体"/>
      <w:color w:val="000000"/>
      <w:sz w:val="21"/>
      <w:szCs w:val="21"/>
      <w:u w:val="none"/>
    </w:rPr>
  </w:style>
  <w:style w:type="character" w:customStyle="1" w:styleId="57">
    <w:name w:val="p141"/>
    <w:qFormat/>
    <w:uiPriority w:val="0"/>
    <w:rPr>
      <w:sz w:val="21"/>
      <w:szCs w:val="21"/>
    </w:rPr>
  </w:style>
  <w:style w:type="character" w:customStyle="1" w:styleId="58">
    <w:name w:val="font11"/>
    <w:basedOn w:val="24"/>
    <w:qFormat/>
    <w:uiPriority w:val="0"/>
    <w:rPr>
      <w:rFonts w:ascii="新宋体" w:hAnsi="新宋体" w:eastAsia="新宋体" w:cs="新宋体"/>
      <w:color w:val="000000"/>
      <w:sz w:val="21"/>
      <w:szCs w:val="21"/>
      <w:u w:val="none"/>
    </w:rPr>
  </w:style>
  <w:style w:type="character" w:customStyle="1" w:styleId="59">
    <w:name w:val="Char Char"/>
    <w:basedOn w:val="24"/>
    <w:qFormat/>
    <w:uiPriority w:val="0"/>
    <w:rPr>
      <w:rFonts w:ascii="宋体" w:hAnsi="Courier New" w:eastAsia="宋体"/>
      <w:kern w:val="2"/>
      <w:sz w:val="21"/>
      <w:lang w:val="en-US" w:eastAsia="zh-CN" w:bidi="ar-SA"/>
    </w:rPr>
  </w:style>
  <w:style w:type="character" w:customStyle="1" w:styleId="60">
    <w:name w:val="页脚 字符"/>
    <w:basedOn w:val="24"/>
    <w:link w:val="14"/>
    <w:qFormat/>
    <w:uiPriority w:val="99"/>
    <w:rPr>
      <w:sz w:val="18"/>
      <w:szCs w:val="18"/>
    </w:rPr>
  </w:style>
  <w:style w:type="character" w:customStyle="1" w:styleId="61">
    <w:name w:val="ask-title2"/>
    <w:basedOn w:val="24"/>
    <w:qFormat/>
    <w:uiPriority w:val="0"/>
  </w:style>
  <w:style w:type="character" w:customStyle="1" w:styleId="62">
    <w:name w:val="页眉 字符"/>
    <w:basedOn w:val="24"/>
    <w:link w:val="15"/>
    <w:qFormat/>
    <w:uiPriority w:val="99"/>
    <w:rPr>
      <w:sz w:val="18"/>
      <w:szCs w:val="18"/>
    </w:rPr>
  </w:style>
  <w:style w:type="character" w:customStyle="1" w:styleId="63">
    <w:name w:val="标题 字符1"/>
    <w:basedOn w:val="24"/>
    <w:qFormat/>
    <w:uiPriority w:val="0"/>
    <w:rPr>
      <w:rFonts w:ascii="Cambria" w:hAnsi="Cambria" w:eastAsia="宋体" w:cs="宋体"/>
      <w:b/>
      <w:bCs/>
      <w:kern w:val="2"/>
      <w:sz w:val="32"/>
      <w:szCs w:val="32"/>
    </w:rPr>
  </w:style>
  <w:style w:type="character" w:customStyle="1" w:styleId="64">
    <w:name w:val="标题 字符"/>
    <w:link w:val="19"/>
    <w:qFormat/>
    <w:uiPriority w:val="0"/>
    <w:rPr>
      <w:rFonts w:ascii="宋体" w:hAnsi="Verdana" w:cs="Arial"/>
      <w:b/>
      <w:bCs/>
      <w:sz w:val="32"/>
      <w:szCs w:val="32"/>
    </w:rPr>
  </w:style>
  <w:style w:type="character" w:customStyle="1" w:styleId="65">
    <w:name w:val="ds-unread-count"/>
    <w:basedOn w:val="24"/>
    <w:qFormat/>
    <w:uiPriority w:val="0"/>
    <w:rPr>
      <w:b/>
      <w:color w:val="EE3322"/>
    </w:rPr>
  </w:style>
  <w:style w:type="character" w:customStyle="1" w:styleId="66">
    <w:name w:val="纯文本 字符1"/>
    <w:basedOn w:val="24"/>
    <w:semiHidden/>
    <w:qFormat/>
    <w:uiPriority w:val="99"/>
    <w:rPr>
      <w:rFonts w:hAnsi="Courier New" w:cs="Courier New" w:asciiTheme="minorEastAsia"/>
      <w:szCs w:val="20"/>
    </w:rPr>
  </w:style>
  <w:style w:type="character" w:customStyle="1" w:styleId="67">
    <w:name w:val="正文文本缩进 2 字符1"/>
    <w:basedOn w:val="24"/>
    <w:semiHidden/>
    <w:qFormat/>
    <w:uiPriority w:val="99"/>
    <w:rPr>
      <w:rFonts w:ascii="Times New Roman" w:hAnsi="Times New Roman" w:eastAsia="宋体" w:cs="Times New Roman"/>
      <w:szCs w:val="20"/>
    </w:rPr>
  </w:style>
  <w:style w:type="character" w:customStyle="1" w:styleId="68">
    <w:name w:val="日期 字符"/>
    <w:basedOn w:val="24"/>
    <w:link w:val="9"/>
    <w:qFormat/>
    <w:uiPriority w:val="0"/>
    <w:rPr>
      <w:rFonts w:ascii="Times New Roman" w:hAnsi="Times New Roman" w:eastAsia="宋体" w:cs="Times New Roman"/>
      <w:szCs w:val="24"/>
    </w:rPr>
  </w:style>
  <w:style w:type="character" w:customStyle="1" w:styleId="69">
    <w:name w:val="批注文字 字符1"/>
    <w:basedOn w:val="24"/>
    <w:link w:val="7"/>
    <w:semiHidden/>
    <w:qFormat/>
    <w:uiPriority w:val="99"/>
    <w:rPr>
      <w:rFonts w:ascii="Times New Roman" w:hAnsi="Times New Roman" w:eastAsia="宋体" w:cs="Times New Roman"/>
      <w:szCs w:val="20"/>
    </w:rPr>
  </w:style>
  <w:style w:type="character" w:customStyle="1" w:styleId="70">
    <w:name w:val="批注主题 字符"/>
    <w:basedOn w:val="69"/>
    <w:link w:val="20"/>
    <w:qFormat/>
    <w:uiPriority w:val="0"/>
    <w:rPr>
      <w:rFonts w:ascii="Times New Roman" w:hAnsi="Times New Roman" w:eastAsia="宋体" w:cs="Times New Roman"/>
      <w:b/>
      <w:bCs/>
      <w:szCs w:val="24"/>
    </w:rPr>
  </w:style>
  <w:style w:type="character" w:customStyle="1" w:styleId="71">
    <w:name w:val="文档结构图 字符"/>
    <w:basedOn w:val="24"/>
    <w:link w:val="6"/>
    <w:qFormat/>
    <w:uiPriority w:val="0"/>
    <w:rPr>
      <w:rFonts w:ascii="Times New Roman" w:hAnsi="Times New Roman" w:eastAsia="宋体" w:cs="Times New Roman"/>
      <w:szCs w:val="24"/>
      <w:shd w:val="clear" w:color="auto" w:fill="000080"/>
    </w:rPr>
  </w:style>
  <w:style w:type="character" w:customStyle="1" w:styleId="72">
    <w:name w:val="页眉 字符1"/>
    <w:basedOn w:val="24"/>
    <w:semiHidden/>
    <w:qFormat/>
    <w:uiPriority w:val="99"/>
    <w:rPr>
      <w:rFonts w:ascii="Times New Roman" w:hAnsi="Times New Roman" w:eastAsia="宋体" w:cs="Times New Roman"/>
      <w:sz w:val="18"/>
      <w:szCs w:val="18"/>
    </w:rPr>
  </w:style>
  <w:style w:type="character" w:customStyle="1" w:styleId="73">
    <w:name w:val="批注框文本 字符"/>
    <w:basedOn w:val="24"/>
    <w:link w:val="13"/>
    <w:qFormat/>
    <w:uiPriority w:val="0"/>
    <w:rPr>
      <w:rFonts w:ascii="Times New Roman" w:hAnsi="Times New Roman" w:eastAsia="宋体" w:cs="Times New Roman"/>
      <w:sz w:val="18"/>
      <w:szCs w:val="18"/>
    </w:rPr>
  </w:style>
  <w:style w:type="character" w:customStyle="1" w:styleId="74">
    <w:name w:val="页脚 字符1"/>
    <w:basedOn w:val="24"/>
    <w:semiHidden/>
    <w:qFormat/>
    <w:uiPriority w:val="99"/>
    <w:rPr>
      <w:rFonts w:ascii="Times New Roman" w:hAnsi="Times New Roman" w:eastAsia="宋体" w:cs="Times New Roman"/>
      <w:sz w:val="18"/>
      <w:szCs w:val="18"/>
    </w:rPr>
  </w:style>
  <w:style w:type="character" w:customStyle="1" w:styleId="75">
    <w:name w:val="标题 字符2"/>
    <w:basedOn w:val="24"/>
    <w:qFormat/>
    <w:uiPriority w:val="10"/>
    <w:rPr>
      <w:rFonts w:asciiTheme="majorHAnsi" w:hAnsiTheme="majorHAnsi" w:eastAsiaTheme="majorEastAsia" w:cstheme="majorBidi"/>
      <w:b/>
      <w:bCs/>
      <w:sz w:val="32"/>
      <w:szCs w:val="32"/>
    </w:rPr>
  </w:style>
  <w:style w:type="paragraph" w:customStyle="1" w:styleId="76">
    <w:name w:val="样式 标题 2 + Times New Roman 四号 非加粗 段前: 5 磅 段后: 0 磅 行距: 固定值 20..."/>
    <w:basedOn w:val="2"/>
    <w:qFormat/>
    <w:uiPriority w:val="0"/>
    <w:pPr>
      <w:spacing w:before="100" w:after="0" w:line="400" w:lineRule="exact"/>
    </w:pPr>
    <w:rPr>
      <w:rFonts w:ascii="Times New Roman" w:hAnsi="Times New Roman" w:eastAsia="黑体" w:cs="宋体"/>
      <w:b w:val="0"/>
      <w:bCs w:val="0"/>
      <w:sz w:val="28"/>
      <w:szCs w:val="20"/>
    </w:rPr>
  </w:style>
  <w:style w:type="paragraph" w:customStyle="1" w:styleId="77">
    <w:name w:val="Char Char Char Char Char Char Char"/>
    <w:basedOn w:val="1"/>
    <w:qFormat/>
    <w:uiPriority w:val="0"/>
    <w:rPr>
      <w:szCs w:val="24"/>
    </w:rPr>
  </w:style>
  <w:style w:type="paragraph" w:customStyle="1" w:styleId="78">
    <w:name w:val="列出段落5"/>
    <w:basedOn w:val="1"/>
    <w:qFormat/>
    <w:uiPriority w:val="99"/>
    <w:pPr>
      <w:ind w:firstLine="420" w:firstLineChars="200"/>
    </w:pPr>
    <w:rPr>
      <w:szCs w:val="24"/>
    </w:rPr>
  </w:style>
  <w:style w:type="paragraph" w:customStyle="1" w:styleId="79">
    <w:name w:val="List Paragraph1"/>
    <w:basedOn w:val="1"/>
    <w:qFormat/>
    <w:uiPriority w:val="99"/>
    <w:pPr>
      <w:widowControl/>
      <w:spacing w:after="200" w:line="276" w:lineRule="auto"/>
      <w:ind w:left="720"/>
      <w:contextualSpacing/>
      <w:jc w:val="left"/>
    </w:pPr>
    <w:rPr>
      <w:rFonts w:ascii="Calibri" w:hAnsi="Calibri"/>
      <w:kern w:val="0"/>
      <w:sz w:val="22"/>
      <w:szCs w:val="22"/>
    </w:rPr>
  </w:style>
  <w:style w:type="paragraph" w:customStyle="1" w:styleId="80">
    <w:name w:val="正文文本缩进1"/>
    <w:basedOn w:val="1"/>
    <w:qFormat/>
    <w:uiPriority w:val="0"/>
    <w:pPr>
      <w:widowControl/>
      <w:spacing w:after="120"/>
      <w:ind w:left="420" w:leftChars="200"/>
      <w:jc w:val="left"/>
    </w:pPr>
    <w:rPr>
      <w:kern w:val="0"/>
      <w:sz w:val="34"/>
    </w:rPr>
  </w:style>
  <w:style w:type="paragraph" w:customStyle="1" w:styleId="81">
    <w:name w:val="列出段落4"/>
    <w:basedOn w:val="1"/>
    <w:qFormat/>
    <w:uiPriority w:val="99"/>
    <w:pPr>
      <w:ind w:firstLine="420" w:firstLineChars="200"/>
    </w:pPr>
    <w:rPr>
      <w:szCs w:val="24"/>
    </w:rPr>
  </w:style>
  <w:style w:type="paragraph" w:customStyle="1" w:styleId="82">
    <w:name w:val="列出段落11"/>
    <w:basedOn w:val="1"/>
    <w:qFormat/>
    <w:uiPriority w:val="0"/>
    <w:pPr>
      <w:ind w:firstLine="420" w:firstLineChars="200"/>
    </w:pPr>
    <w:rPr>
      <w:szCs w:val="24"/>
    </w:rPr>
  </w:style>
  <w:style w:type="paragraph" w:customStyle="1" w:styleId="83">
    <w:name w:val="xl87"/>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cs="宋体"/>
      <w:sz w:val="18"/>
      <w:szCs w:val="18"/>
    </w:rPr>
  </w:style>
  <w:style w:type="paragraph" w:customStyle="1" w:styleId="84">
    <w:name w:val="_Style 49"/>
    <w:basedOn w:val="1"/>
    <w:next w:val="11"/>
    <w:qFormat/>
    <w:uiPriority w:val="0"/>
    <w:rPr>
      <w:rFonts w:ascii="宋体" w:hAnsi="Courier New"/>
      <w:sz w:val="24"/>
    </w:rPr>
  </w:style>
  <w:style w:type="paragraph" w:customStyle="1" w:styleId="85">
    <w:name w:val="Char"/>
    <w:basedOn w:val="1"/>
    <w:next w:val="1"/>
    <w:qFormat/>
    <w:uiPriority w:val="0"/>
    <w:pPr>
      <w:widowControl/>
      <w:spacing w:after="160" w:line="240" w:lineRule="exact"/>
      <w:jc w:val="left"/>
    </w:pPr>
    <w:rPr>
      <w:rFonts w:ascii="Verdana" w:hAnsi="Verdana"/>
      <w:kern w:val="0"/>
      <w:sz w:val="20"/>
      <w:lang w:eastAsia="en-US"/>
    </w:rPr>
  </w:style>
  <w:style w:type="paragraph" w:customStyle="1" w:styleId="86">
    <w:name w:val="_Style 13"/>
    <w:basedOn w:val="1"/>
    <w:qFormat/>
    <w:uiPriority w:val="0"/>
    <w:pPr>
      <w:spacing w:after="160" w:line="240" w:lineRule="exact"/>
    </w:pPr>
  </w:style>
  <w:style w:type="paragraph" w:customStyle="1" w:styleId="87">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88">
    <w:name w:val="正文2"/>
    <w:basedOn w:val="89"/>
    <w:qFormat/>
    <w:uiPriority w:val="0"/>
    <w:pPr>
      <w:tabs>
        <w:tab w:val="left" w:pos="420"/>
      </w:tabs>
      <w:adjustRightInd/>
      <w:spacing w:line="360" w:lineRule="auto"/>
      <w:ind w:left="420" w:hanging="420"/>
    </w:pPr>
    <w:rPr>
      <w:kern w:val="2"/>
      <w:sz w:val="24"/>
      <w:szCs w:val="24"/>
    </w:rPr>
  </w:style>
  <w:style w:type="paragraph" w:customStyle="1" w:styleId="89">
    <w:name w:val="正文1"/>
    <w:qFormat/>
    <w:uiPriority w:val="0"/>
    <w:pPr>
      <w:widowControl w:val="0"/>
      <w:adjustRightInd w:val="0"/>
      <w:spacing w:line="312" w:lineRule="atLeast"/>
      <w:jc w:val="both"/>
    </w:pPr>
    <w:rPr>
      <w:rFonts w:ascii="宋体" w:hAnsi="Times New Roman" w:eastAsia="宋体" w:cs="Times New Roman"/>
      <w:kern w:val="0"/>
      <w:sz w:val="34"/>
      <w:szCs w:val="20"/>
      <w:lang w:val="en-US" w:eastAsia="zh-CN" w:bidi="ar-SA"/>
    </w:rPr>
  </w:style>
  <w:style w:type="paragraph" w:customStyle="1" w:styleId="90">
    <w:name w:val="_Style 12"/>
    <w:basedOn w:val="6"/>
    <w:qFormat/>
    <w:uiPriority w:val="0"/>
    <w:pPr>
      <w:adjustRightInd w:val="0"/>
      <w:snapToGrid w:val="0"/>
      <w:spacing w:line="360" w:lineRule="auto"/>
    </w:pPr>
    <w:rPr>
      <w:rFonts w:hAnsi="Tahoma"/>
      <w:sz w:val="24"/>
      <w:szCs w:val="20"/>
    </w:rPr>
  </w:style>
  <w:style w:type="paragraph" w:customStyle="1" w:styleId="91">
    <w:name w:val="列出段落1"/>
    <w:basedOn w:val="1"/>
    <w:qFormat/>
    <w:uiPriority w:val="0"/>
    <w:pPr>
      <w:ind w:firstLine="420" w:firstLineChars="200"/>
    </w:pPr>
    <w:rPr>
      <w:rFonts w:ascii="Calibri" w:hAnsi="Calibri"/>
    </w:rPr>
  </w:style>
  <w:style w:type="paragraph" w:customStyle="1" w:styleId="92">
    <w:name w:val="Char1 Char Char Char Char Char Char1"/>
    <w:basedOn w:val="1"/>
    <w:qFormat/>
    <w:uiPriority w:val="0"/>
    <w:pPr>
      <w:spacing w:after="160" w:line="240" w:lineRule="exact"/>
    </w:pPr>
  </w:style>
  <w:style w:type="paragraph" w:customStyle="1" w:styleId="93">
    <w:name w:val="示例×："/>
    <w:basedOn w:val="1"/>
    <w:qFormat/>
    <w:uiPriority w:val="0"/>
    <w:pPr>
      <w:widowControl/>
    </w:pPr>
    <w:rPr>
      <w:rFonts w:ascii="宋体"/>
      <w:kern w:val="0"/>
      <w:sz w:val="18"/>
      <w:szCs w:val="18"/>
    </w:rPr>
  </w:style>
  <w:style w:type="paragraph" w:customStyle="1" w:styleId="94">
    <w:name w:val="默认段落字体 Para Char Char Char Char Char Char Char"/>
    <w:basedOn w:val="1"/>
    <w:qFormat/>
    <w:uiPriority w:val="0"/>
    <w:pPr>
      <w:spacing w:line="360" w:lineRule="auto"/>
    </w:pPr>
  </w:style>
  <w:style w:type="paragraph" w:customStyle="1" w:styleId="95">
    <w:name w:val="Char Char Char"/>
    <w:basedOn w:val="1"/>
    <w:qFormat/>
    <w:uiPriority w:val="0"/>
    <w:rPr>
      <w:szCs w:val="24"/>
    </w:rPr>
  </w:style>
  <w:style w:type="paragraph" w:customStyle="1" w:styleId="96">
    <w:name w:val="正文3"/>
    <w:qFormat/>
    <w:uiPriority w:val="0"/>
    <w:pPr>
      <w:widowControl w:val="0"/>
      <w:adjustRightInd w:val="0"/>
      <w:spacing w:line="312" w:lineRule="atLeast"/>
      <w:jc w:val="both"/>
      <w:textAlignment w:val="baseline"/>
    </w:pPr>
    <w:rPr>
      <w:rFonts w:ascii="宋体" w:hAnsi="Times New Roman" w:eastAsia="宋体" w:cs="Times New Roman"/>
      <w:kern w:val="0"/>
      <w:sz w:val="34"/>
      <w:szCs w:val="20"/>
      <w:lang w:val="en-US" w:eastAsia="zh-CN" w:bidi="ar-SA"/>
    </w:rPr>
  </w:style>
  <w:style w:type="paragraph" w:customStyle="1" w:styleId="97">
    <w:name w:val="列出段落3"/>
    <w:basedOn w:val="1"/>
    <w:qFormat/>
    <w:uiPriority w:val="0"/>
    <w:pPr>
      <w:ind w:firstLine="420" w:firstLineChars="200"/>
    </w:pPr>
    <w:rPr>
      <w:szCs w:val="24"/>
    </w:rPr>
  </w:style>
  <w:style w:type="paragraph" w:customStyle="1" w:styleId="98">
    <w:name w:val="列出段落2"/>
    <w:basedOn w:val="1"/>
    <w:qFormat/>
    <w:uiPriority w:val="0"/>
    <w:pPr>
      <w:ind w:firstLine="420" w:firstLineChars="200"/>
    </w:pPr>
    <w:rPr>
      <w:szCs w:val="24"/>
    </w:rPr>
  </w:style>
  <w:style w:type="paragraph" w:customStyle="1" w:styleId="99">
    <w:name w:val="样式 首行缩进:  2 字符"/>
    <w:basedOn w:val="1"/>
    <w:qFormat/>
    <w:uiPriority w:val="0"/>
    <w:pPr>
      <w:ind w:firstLine="420" w:firstLineChars="200"/>
    </w:pPr>
    <w:rPr>
      <w:rFonts w:ascii="宋体" w:cs="宋体"/>
    </w:rPr>
  </w:style>
  <w:style w:type="paragraph" w:customStyle="1" w:styleId="100">
    <w:name w:val="Default"/>
    <w:qFormat/>
    <w:uiPriority w:val="0"/>
    <w:pPr>
      <w:widowControl w:val="0"/>
      <w:autoSpaceDE w:val="0"/>
      <w:autoSpaceDN w:val="0"/>
      <w:adjustRightInd w:val="0"/>
    </w:pPr>
    <w:rPr>
      <w:rFonts w:ascii="宋体" w:hAnsi="Times New Roman" w:eastAsia="宋体" w:cs="Times New Roman"/>
      <w:color w:val="000000"/>
      <w:kern w:val="0"/>
      <w:sz w:val="24"/>
      <w:szCs w:val="24"/>
      <w:lang w:val="en-US" w:eastAsia="zh-CN" w:bidi="ar-SA"/>
    </w:rPr>
  </w:style>
  <w:style w:type="paragraph" w:customStyle="1" w:styleId="101">
    <w:name w:val="正文 A"/>
    <w:qFormat/>
    <w:uiPriority w:val="0"/>
    <w:pPr>
      <w:framePr w:wrap="around" w:vAnchor="margin" w:hAnchor="text" w:y="1"/>
      <w:widowControl w:val="0"/>
      <w:jc w:val="both"/>
    </w:pPr>
    <w:rPr>
      <w:rFonts w:ascii="Calibri" w:hAnsi="Calibri" w:eastAsia="Calibri" w:cs="Calibri"/>
      <w:color w:val="000000"/>
      <w:kern w:val="2"/>
      <w:sz w:val="21"/>
      <w:szCs w:val="21"/>
      <w:lang w:val="en-US" w:eastAsia="zh-CN" w:bidi="ar-SA"/>
    </w:rPr>
  </w:style>
  <w:style w:type="paragraph" w:customStyle="1" w:styleId="102">
    <w:name w:val="Char Char1 Char Char Char Char Char Char"/>
    <w:basedOn w:val="1"/>
    <w:qFormat/>
    <w:uiPriority w:val="0"/>
    <w:pPr>
      <w:adjustRightInd w:val="0"/>
      <w:snapToGrid w:val="0"/>
      <w:spacing w:beforeLines="25" w:afterLines="25" w:line="240" w:lineRule="exact"/>
      <w:ind w:firstLine="560" w:firstLineChars="192"/>
    </w:pPr>
    <w:rPr>
      <w:szCs w:val="24"/>
    </w:rPr>
  </w:style>
  <w:style w:type="paragraph" w:customStyle="1" w:styleId="103">
    <w:name w:val="样式1"/>
    <w:basedOn w:val="1"/>
    <w:qFormat/>
    <w:uiPriority w:val="0"/>
    <w:pPr>
      <w:numPr>
        <w:ilvl w:val="0"/>
        <w:numId w:val="1"/>
      </w:numPr>
      <w:tabs>
        <w:tab w:val="left" w:pos="709"/>
      </w:tabs>
    </w:pPr>
    <w:rPr>
      <w:rFonts w:ascii="宋体" w:hAnsi="宋体"/>
      <w:szCs w:val="21"/>
    </w:rPr>
  </w:style>
  <w:style w:type="paragraph" w:customStyle="1" w:styleId="104">
    <w:name w:val="Char Char Char Char"/>
    <w:basedOn w:val="6"/>
    <w:qFormat/>
    <w:uiPriority w:val="0"/>
    <w:pPr>
      <w:adjustRightInd w:val="0"/>
      <w:snapToGrid w:val="0"/>
      <w:spacing w:line="360" w:lineRule="auto"/>
    </w:pPr>
  </w:style>
  <w:style w:type="paragraph" w:customStyle="1" w:styleId="105">
    <w:name w:val="msonormalcxspmiddle"/>
    <w:basedOn w:val="1"/>
    <w:qFormat/>
    <w:uiPriority w:val="0"/>
    <w:pPr>
      <w:widowControl/>
      <w:spacing w:before="280" w:after="280"/>
      <w:jc w:val="left"/>
    </w:pPr>
    <w:rPr>
      <w:rFonts w:ascii="宋体" w:hAnsi="宋体" w:cs="宋体"/>
      <w:kern w:val="1"/>
      <w:sz w:val="24"/>
      <w:szCs w:val="24"/>
      <w:lang w:eastAsia="ar-SA"/>
    </w:rPr>
  </w:style>
  <w:style w:type="paragraph" w:customStyle="1" w:styleId="106">
    <w:name w:val="List Paragraph_32a8a71d-9d51-41db-9a20-0e87fd3ab526"/>
    <w:basedOn w:val="1"/>
    <w:qFormat/>
    <w:uiPriority w:val="99"/>
    <w:pPr>
      <w:ind w:firstLine="420" w:firstLineChars="200"/>
    </w:pPr>
    <w:rPr>
      <w:szCs w:val="24"/>
    </w:rPr>
  </w:style>
  <w:style w:type="paragraph" w:customStyle="1" w:styleId="107">
    <w:name w:val="表格"/>
    <w:basedOn w:val="1"/>
    <w:qFormat/>
    <w:uiPriority w:val="0"/>
    <w:pPr>
      <w:spacing w:line="400" w:lineRule="exact"/>
    </w:pPr>
    <w:rPr>
      <w:sz w:val="24"/>
      <w:szCs w:val="24"/>
    </w:rPr>
  </w:style>
  <w:style w:type="paragraph" w:styleId="108">
    <w:name w:val="List Paragraph"/>
    <w:basedOn w:val="1"/>
    <w:qFormat/>
    <w:uiPriority w:val="34"/>
    <w:pPr>
      <w:ind w:firstLine="420" w:firstLineChars="200"/>
    </w:pPr>
  </w:style>
  <w:style w:type="character" w:customStyle="1" w:styleId="109">
    <w:name w:val="标题 1 字符"/>
    <w:basedOn w:val="24"/>
    <w:link w:val="3"/>
    <w:qFormat/>
    <w:uiPriority w:val="9"/>
    <w:rPr>
      <w:rFonts w:ascii="Times New Roman" w:hAnsi="Times New Roman" w:eastAsia="宋体" w:cs="Times New Roman"/>
      <w:b/>
      <w:bCs/>
      <w:kern w:val="44"/>
      <w:sz w:val="44"/>
      <w:szCs w:val="44"/>
    </w:rPr>
  </w:style>
  <w:style w:type="paragraph" w:customStyle="1" w:styleId="110">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11">
    <w:name w:val="正文首行缩进 2 字符"/>
    <w:basedOn w:val="38"/>
    <w:link w:val="21"/>
    <w:semiHidden/>
    <w:qFormat/>
    <w:uiPriority w:val="99"/>
    <w:rPr>
      <w:rFonts w:ascii="Times New Roman" w:hAnsi="Times New Roman" w:eastAsia="宋体" w:cs="Times New Roman"/>
      <w:sz w:val="24"/>
      <w:szCs w:val="20"/>
    </w:rPr>
  </w:style>
  <w:style w:type="paragraph" w:customStyle="1" w:styleId="112">
    <w:name w:val="zrd-正文"/>
    <w:basedOn w:val="1"/>
    <w:qFormat/>
    <w:uiPriority w:val="0"/>
    <w:pPr>
      <w:widowControl w:val="0"/>
      <w:adjustRightInd w:val="0"/>
      <w:snapToGrid w:val="0"/>
      <w:spacing w:line="360" w:lineRule="auto"/>
    </w:pPr>
    <w:rPr>
      <w:rFonts w:ascii="Times New Roman"/>
      <w:spacing w:val="10"/>
      <w:kern w:val="2"/>
      <w:szCs w:val="28"/>
    </w:rPr>
  </w:style>
  <w:style w:type="character" w:customStyle="1" w:styleId="113">
    <w:name w:val="bord"/>
    <w:basedOn w:val="24"/>
    <w:qFormat/>
    <w:uiPriority w:val="0"/>
  </w:style>
  <w:style w:type="paragraph" w:customStyle="1" w:styleId="114">
    <w:name w:val="Body text|1"/>
    <w:basedOn w:val="1"/>
    <w:qFormat/>
    <w:uiPriority w:val="0"/>
    <w:pPr>
      <w:widowControl w:val="0"/>
      <w:shd w:val="clear" w:color="auto" w:fill="auto"/>
      <w:spacing w:line="389"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CB4C77-AE44-46F4-B228-5FC39D53921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47</Pages>
  <Words>4525</Words>
  <Characters>25798</Characters>
  <Lines>214</Lines>
  <Paragraphs>60</Paragraphs>
  <TotalTime>26</TotalTime>
  <ScaleCrop>false</ScaleCrop>
  <LinksUpToDate>false</LinksUpToDate>
  <CharactersWithSpaces>30263</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2019-02-21T08:38:00Z</dcterms:created>
  <dc:creator>AutoBVT</dc:creator>
  <cp:lastModifiedBy>Administrator</cp:lastModifiedBy>
  <cp:lastPrinted>2019-03-19T06:56:00Z</cp:lastPrinted>
  <dcterms:modified xsi:type="dcterms:W3CDTF">2020-06-08T10:01:53Z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