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6A" w:rsidRDefault="00F0306A" w:rsidP="00F0306A">
      <w:pPr>
        <w:pStyle w:val="1"/>
        <w:spacing w:line="276" w:lineRule="auto"/>
        <w:jc w:val="center"/>
        <w:rPr>
          <w:szCs w:val="21"/>
        </w:rPr>
      </w:pPr>
      <w:bookmarkStart w:id="0" w:name="_Toc28687"/>
      <w:bookmarkStart w:id="1" w:name="_Toc479946804"/>
      <w:r>
        <w:rPr>
          <w:rFonts w:hint="eastAsia"/>
        </w:rPr>
        <w:t xml:space="preserve"> 用户需求书</w:t>
      </w:r>
      <w:bookmarkEnd w:id="0"/>
      <w:bookmarkEnd w:id="1"/>
    </w:p>
    <w:p w:rsidR="00147393" w:rsidRDefault="00147393" w:rsidP="000442BF">
      <w:pPr>
        <w:snapToGrid w:val="0"/>
        <w:spacing w:beforeLines="50" w:afterLines="50" w:line="400" w:lineRule="atLeast"/>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采购标的需实现的目标</w:t>
      </w:r>
    </w:p>
    <w:p w:rsidR="00147393" w:rsidRDefault="00147393" w:rsidP="000442BF">
      <w:pPr>
        <w:snapToGrid w:val="0"/>
        <w:spacing w:beforeLines="50" w:afterLines="50" w:line="400" w:lineRule="atLeast"/>
        <w:ind w:firstLineChars="200" w:firstLine="480"/>
        <w:rPr>
          <w:rFonts w:asciiTheme="minorEastAsia" w:eastAsiaTheme="minorEastAsia" w:hAnsiTheme="minorEastAsia"/>
          <w:sz w:val="24"/>
        </w:rPr>
      </w:pPr>
      <w:r>
        <w:rPr>
          <w:rFonts w:asciiTheme="minorEastAsia" w:eastAsiaTheme="minorEastAsia" w:hAnsiTheme="minorEastAsia"/>
          <w:sz w:val="24"/>
        </w:rPr>
        <w:t>根据以下文件：</w:t>
      </w:r>
      <w:r>
        <w:rPr>
          <w:rFonts w:asciiTheme="minorEastAsia" w:eastAsiaTheme="minorEastAsia" w:hAnsiTheme="minorEastAsia" w:hint="eastAsia"/>
          <w:sz w:val="24"/>
        </w:rPr>
        <w:t>（1）关于印发《调整海域无居民海岛使用金征收标准》的通知（财综〔2018〕15号）；（2）《关于全民所有自然资源资产有偿使用制度改革的指导意见》（国发[2016]82号）；（3）《中共中央办公厅国务院办公厅关于印发&lt;国家生态文明试验区（海南）实施方案&gt;的通知》（厅字[2019]29号）的精神和要求。组织实施海南省海域使用金地方标准、海域基准价格和海域评估技术规范的制定工作，为海南省海域使用审批方式和市场方式出让海域提供依据。</w:t>
      </w:r>
    </w:p>
    <w:p w:rsidR="00147393" w:rsidRDefault="00147393" w:rsidP="000442BF">
      <w:pPr>
        <w:snapToGrid w:val="0"/>
        <w:spacing w:beforeLines="50" w:afterLines="50" w:line="400" w:lineRule="atLeast"/>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执行的相关标准、规范</w:t>
      </w:r>
    </w:p>
    <w:p w:rsidR="00147393" w:rsidRDefault="00147393" w:rsidP="00147393">
      <w:pPr>
        <w:pStyle w:val="a5"/>
        <w:snapToGrid w:val="0"/>
        <w:spacing w:after="210" w:afterAutospacing="0"/>
        <w:ind w:firstLineChars="200" w:firstLine="480"/>
        <w:jc w:val="both"/>
        <w:rPr>
          <w:rFonts w:asciiTheme="minorEastAsia" w:eastAsiaTheme="minorEastAsia" w:hAnsiTheme="minorEastAsia"/>
        </w:rPr>
      </w:pPr>
      <w:r>
        <w:rPr>
          <w:rFonts w:asciiTheme="minorEastAsia" w:eastAsiaTheme="minorEastAsia" w:hAnsiTheme="minorEastAsia" w:hint="eastAsia"/>
        </w:rPr>
        <w:t>（1）自然资源部办公厅印发的《海域定级技术指引（试行）》（2018年）；</w:t>
      </w:r>
    </w:p>
    <w:p w:rsidR="00147393" w:rsidRDefault="00147393" w:rsidP="00147393">
      <w:pPr>
        <w:pStyle w:val="a5"/>
        <w:snapToGrid w:val="0"/>
        <w:spacing w:after="210" w:afterAutospacing="0"/>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财政部 国家海洋局印发《关于调整海域、无居民海岛使用金征收标准的通知》</w:t>
      </w:r>
      <w:r>
        <w:rPr>
          <w:rFonts w:asciiTheme="minorEastAsia" w:eastAsiaTheme="minorEastAsia" w:hAnsiTheme="minorEastAsia" w:hint="eastAsia"/>
        </w:rPr>
        <w:t>（财综〔2018〕15号）</w:t>
      </w:r>
      <w:r>
        <w:rPr>
          <w:rFonts w:asciiTheme="minorEastAsia" w:eastAsiaTheme="minorEastAsia" w:hAnsiTheme="minorEastAsia"/>
        </w:rPr>
        <w:t>文件的海域使用金征收标准；</w:t>
      </w:r>
    </w:p>
    <w:p w:rsidR="00147393" w:rsidRDefault="00147393" w:rsidP="00147393">
      <w:pPr>
        <w:snapToGrid w:val="0"/>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海南省农业填海造地养殖盐业用海海域使用金征收标准和管理规定（琼财综〔2007〕2087 号）。</w:t>
      </w:r>
    </w:p>
    <w:p w:rsidR="00147393" w:rsidRPr="000442BF" w:rsidRDefault="00147393" w:rsidP="000442BF">
      <w:pPr>
        <w:ind w:firstLineChars="200" w:firstLine="480"/>
        <w:rPr>
          <w:rFonts w:asciiTheme="minorEastAsia" w:eastAsiaTheme="minorEastAsia" w:hAnsiTheme="minorEastAsia"/>
          <w:sz w:val="24"/>
        </w:rPr>
      </w:pPr>
      <w:r w:rsidRPr="000442BF">
        <w:rPr>
          <w:rFonts w:asciiTheme="minorEastAsia" w:eastAsiaTheme="minorEastAsia" w:hAnsiTheme="minorEastAsia"/>
          <w:sz w:val="24"/>
        </w:rPr>
        <w:t>（4）海南省自然资源和规划厅、海南省司法厅、海南省农业农村厅海南省生态环境厅印发《关于进一步做好全省水产养殖清退整改工作中渔民转产转业养殖用海审批和海域使用金征收工作的意见》（琼自然资函〔</w:t>
      </w:r>
      <w:bookmarkStart w:id="2" w:name="_GoBack"/>
      <w:bookmarkEnd w:id="2"/>
      <w:r w:rsidRPr="000442BF">
        <w:rPr>
          <w:rFonts w:asciiTheme="minorEastAsia" w:eastAsiaTheme="minorEastAsia" w:hAnsiTheme="minorEastAsia"/>
          <w:sz w:val="24"/>
        </w:rPr>
        <w:t> 2020〕140号）。</w:t>
      </w:r>
    </w:p>
    <w:p w:rsidR="00147393" w:rsidRDefault="00147393" w:rsidP="000442BF">
      <w:pPr>
        <w:widowControl w:val="0"/>
        <w:numPr>
          <w:ilvl w:val="0"/>
          <w:numId w:val="2"/>
        </w:numPr>
        <w:snapToGrid w:val="0"/>
        <w:spacing w:beforeLines="50" w:afterLines="50" w:line="400" w:lineRule="atLeast"/>
        <w:jc w:val="both"/>
        <w:rPr>
          <w:rFonts w:asciiTheme="minorEastAsia" w:eastAsiaTheme="minorEastAsia" w:hAnsiTheme="minorEastAsia"/>
          <w:b/>
          <w:sz w:val="24"/>
        </w:rPr>
      </w:pPr>
      <w:r>
        <w:rPr>
          <w:rFonts w:asciiTheme="minorEastAsia" w:eastAsiaTheme="minorEastAsia" w:hAnsiTheme="minorEastAsia" w:hint="eastAsia"/>
          <w:b/>
          <w:sz w:val="24"/>
        </w:rPr>
        <w:t>工作内容</w:t>
      </w:r>
    </w:p>
    <w:p w:rsidR="00147393" w:rsidRDefault="00147393" w:rsidP="000442BF">
      <w:pPr>
        <w:widowControl w:val="0"/>
        <w:numPr>
          <w:ilvl w:val="0"/>
          <w:numId w:val="3"/>
        </w:numPr>
        <w:snapToGrid w:val="0"/>
        <w:spacing w:beforeLines="50" w:afterLines="50" w:line="400" w:lineRule="atLeast"/>
        <w:jc w:val="both"/>
        <w:rPr>
          <w:rFonts w:asciiTheme="minorEastAsia" w:eastAsiaTheme="minorEastAsia" w:hAnsiTheme="minorEastAsia"/>
          <w:sz w:val="24"/>
        </w:rPr>
      </w:pPr>
      <w:r>
        <w:rPr>
          <w:rFonts w:asciiTheme="minorEastAsia" w:eastAsiaTheme="minorEastAsia" w:hAnsiTheme="minorEastAsia"/>
          <w:sz w:val="24"/>
        </w:rPr>
        <w:t>本项目工作范围为海南省12个沿海市、县（</w:t>
      </w:r>
      <w:r>
        <w:rPr>
          <w:rFonts w:asciiTheme="minorEastAsia" w:eastAsiaTheme="minorEastAsia" w:hAnsiTheme="minorEastAsia" w:hint="eastAsia"/>
          <w:sz w:val="24"/>
        </w:rPr>
        <w:t>不包括三沙市）</w:t>
      </w:r>
      <w:r>
        <w:rPr>
          <w:rFonts w:asciiTheme="minorEastAsia" w:eastAsiaTheme="minorEastAsia" w:hAnsiTheme="minorEastAsia"/>
          <w:sz w:val="24"/>
        </w:rPr>
        <w:t>管理岸线向海一侧海域，与海南省海洋功能区划范围一致。</w:t>
      </w:r>
      <w:r>
        <w:rPr>
          <w:rFonts w:asciiTheme="minorEastAsia" w:eastAsiaTheme="minorEastAsia" w:hAnsiTheme="minorEastAsia" w:hint="eastAsia"/>
          <w:sz w:val="24"/>
        </w:rPr>
        <w:t>海南省海域使用金征收标准</w:t>
      </w:r>
      <w:r>
        <w:rPr>
          <w:rFonts w:asciiTheme="minorEastAsia" w:eastAsiaTheme="minorEastAsia" w:hAnsiTheme="minorEastAsia"/>
          <w:sz w:val="24"/>
        </w:rPr>
        <w:t>包</w:t>
      </w:r>
      <w:r>
        <w:rPr>
          <w:rFonts w:asciiTheme="minorEastAsia" w:eastAsiaTheme="minorEastAsia" w:hAnsiTheme="minorEastAsia" w:hint="eastAsia"/>
          <w:sz w:val="24"/>
        </w:rPr>
        <w:t>含的用海方式，以及开放式养殖用海细分为海上网箱养殖用海，浅海底播养殖用海、滩涂海水养殖和浅海浮筏式养殖用海、网拦围海养殖、鱼礁投放类养殖，深远海智能化养殖用海等；</w:t>
      </w:r>
    </w:p>
    <w:p w:rsidR="00147393" w:rsidRDefault="00147393" w:rsidP="000442BF">
      <w:pPr>
        <w:widowControl w:val="0"/>
        <w:numPr>
          <w:ilvl w:val="0"/>
          <w:numId w:val="3"/>
        </w:numPr>
        <w:snapToGrid w:val="0"/>
        <w:spacing w:beforeLines="50" w:afterLines="50" w:line="400" w:lineRule="atLeast"/>
        <w:jc w:val="both"/>
        <w:rPr>
          <w:rFonts w:asciiTheme="minorEastAsia" w:eastAsiaTheme="minorEastAsia" w:hAnsiTheme="minorEastAsia"/>
          <w:sz w:val="24"/>
        </w:rPr>
      </w:pPr>
      <w:r>
        <w:rPr>
          <w:rFonts w:asciiTheme="minorEastAsia" w:eastAsiaTheme="minorEastAsia" w:hAnsiTheme="minorEastAsia" w:hint="eastAsia"/>
          <w:sz w:val="24"/>
        </w:rPr>
        <w:t>海域定级，为制定海南省海域使用金制定和海南省海域基准价格制定提供依据；</w:t>
      </w:r>
    </w:p>
    <w:p w:rsidR="00147393" w:rsidRDefault="00147393" w:rsidP="000442BF">
      <w:pPr>
        <w:widowControl w:val="0"/>
        <w:numPr>
          <w:ilvl w:val="0"/>
          <w:numId w:val="3"/>
        </w:numPr>
        <w:snapToGrid w:val="0"/>
        <w:spacing w:beforeLines="50" w:afterLines="50" w:line="400" w:lineRule="atLeast"/>
        <w:jc w:val="both"/>
        <w:rPr>
          <w:rFonts w:asciiTheme="minorEastAsia" w:eastAsiaTheme="minorEastAsia" w:hAnsiTheme="minorEastAsia"/>
          <w:sz w:val="24"/>
        </w:rPr>
      </w:pPr>
      <w:r>
        <w:rPr>
          <w:rFonts w:asciiTheme="minorEastAsia" w:eastAsiaTheme="minorEastAsia" w:hAnsiTheme="minorEastAsia" w:hint="eastAsia"/>
          <w:sz w:val="24"/>
        </w:rPr>
        <w:t>海南省海域使用地方标准制定，为审批的方式出让海域使用金提供收费依据，也为海洋价格评估提供基础依据；；</w:t>
      </w:r>
    </w:p>
    <w:p w:rsidR="00147393" w:rsidRDefault="00147393" w:rsidP="000442BF">
      <w:pPr>
        <w:widowControl w:val="0"/>
        <w:numPr>
          <w:ilvl w:val="0"/>
          <w:numId w:val="3"/>
        </w:numPr>
        <w:snapToGrid w:val="0"/>
        <w:spacing w:beforeLines="50" w:afterLines="50" w:line="400" w:lineRule="atLeast"/>
        <w:jc w:val="both"/>
        <w:rPr>
          <w:rFonts w:asciiTheme="minorEastAsia" w:eastAsiaTheme="minorEastAsia" w:hAnsiTheme="minorEastAsia"/>
          <w:sz w:val="24"/>
        </w:rPr>
      </w:pPr>
      <w:r>
        <w:rPr>
          <w:rFonts w:asciiTheme="minorEastAsia" w:eastAsiaTheme="minorEastAsia" w:hAnsiTheme="minorEastAsia" w:hint="eastAsia"/>
          <w:sz w:val="24"/>
        </w:rPr>
        <w:t>海域基准价格和基准价格修正体系建立，为基准价格系数法评价海域价格提供基础依据；</w:t>
      </w:r>
    </w:p>
    <w:p w:rsidR="00147393" w:rsidRDefault="00147393" w:rsidP="000442BF">
      <w:pPr>
        <w:widowControl w:val="0"/>
        <w:numPr>
          <w:ilvl w:val="0"/>
          <w:numId w:val="3"/>
        </w:numPr>
        <w:snapToGrid w:val="0"/>
        <w:spacing w:beforeLines="50" w:afterLines="50" w:line="400" w:lineRule="atLeast"/>
        <w:jc w:val="both"/>
        <w:rPr>
          <w:rFonts w:asciiTheme="minorEastAsia" w:eastAsiaTheme="minorEastAsia" w:hAnsiTheme="minorEastAsia"/>
          <w:sz w:val="24"/>
        </w:rPr>
      </w:pPr>
      <w:r>
        <w:rPr>
          <w:rFonts w:asciiTheme="minorEastAsia" w:eastAsiaTheme="minorEastAsia" w:hAnsiTheme="minorEastAsia" w:hint="eastAsia"/>
          <w:sz w:val="24"/>
        </w:rPr>
        <w:lastRenderedPageBreak/>
        <w:t>《海南省海域价格评估技术规范》编制，规范海南省的海域价格评估方法。</w:t>
      </w:r>
    </w:p>
    <w:p w:rsidR="00147393" w:rsidRDefault="00147393" w:rsidP="00147393">
      <w:pPr>
        <w:snapToGrid w:val="0"/>
        <w:spacing w:line="400" w:lineRule="atLeast"/>
        <w:rPr>
          <w:rFonts w:asciiTheme="minorEastAsia" w:eastAsiaTheme="minorEastAsia" w:hAnsiTheme="minorEastAsia"/>
          <w:sz w:val="24"/>
        </w:rPr>
      </w:pPr>
      <w:r>
        <w:rPr>
          <w:rFonts w:asciiTheme="minorEastAsia" w:eastAsiaTheme="minorEastAsia" w:hAnsiTheme="minorEastAsia" w:hint="eastAsia"/>
          <w:b/>
          <w:sz w:val="24"/>
        </w:rPr>
        <w:t>四、项目工作时间及进度计划</w:t>
      </w:r>
      <w:r>
        <w:rPr>
          <w:rFonts w:asciiTheme="minorEastAsia" w:eastAsiaTheme="minorEastAsia" w:hAnsiTheme="minorEastAsia" w:hint="eastAsia"/>
          <w:sz w:val="24"/>
        </w:rPr>
        <w:tab/>
      </w:r>
    </w:p>
    <w:p w:rsidR="00147393" w:rsidRDefault="00147393" w:rsidP="000442BF">
      <w:pPr>
        <w:snapToGrid w:val="0"/>
        <w:spacing w:beforeLines="50" w:afterLines="50"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项目分二年期，2020年12月25日前完成海南省海域使用金地方标准任务成果；2021年12月25日前完成海南省基准价格制定和海南省海域价格评估技术规范制定成果。</w:t>
      </w:r>
    </w:p>
    <w:p w:rsidR="00147393" w:rsidRDefault="00147393" w:rsidP="00147393">
      <w:pPr>
        <w:snapToGrid w:val="0"/>
        <w:spacing w:line="400" w:lineRule="atLeast"/>
        <w:rPr>
          <w:rFonts w:asciiTheme="minorEastAsia" w:eastAsiaTheme="minorEastAsia" w:hAnsiTheme="minorEastAsia"/>
          <w:sz w:val="24"/>
        </w:rPr>
      </w:pPr>
      <w:r>
        <w:rPr>
          <w:rFonts w:asciiTheme="minorEastAsia" w:eastAsiaTheme="minorEastAsia" w:hAnsiTheme="minorEastAsia" w:hint="eastAsia"/>
          <w:b/>
          <w:sz w:val="24"/>
        </w:rPr>
        <w:t>五、项目成果要求</w:t>
      </w:r>
      <w:r>
        <w:rPr>
          <w:rFonts w:asciiTheme="minorEastAsia" w:eastAsiaTheme="minorEastAsia" w:hAnsiTheme="minorEastAsia"/>
          <w:sz w:val="24"/>
        </w:rPr>
        <w:tab/>
      </w:r>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项目成果包括：</w:t>
      </w:r>
      <w:bookmarkStart w:id="3" w:name="_Toc21097680"/>
    </w:p>
    <w:p w:rsidR="00147393" w:rsidRDefault="00147393" w:rsidP="00147393">
      <w:pPr>
        <w:pStyle w:val="a4"/>
        <w:spacing w:line="400" w:lineRule="atLeast"/>
        <w:ind w:firstLine="482"/>
        <w:rPr>
          <w:rFonts w:asciiTheme="minorEastAsia" w:eastAsiaTheme="minorEastAsia" w:hAnsiTheme="minorEastAsia"/>
          <w:b/>
          <w:bCs/>
          <w:kern w:val="0"/>
        </w:rPr>
      </w:pPr>
      <w:r>
        <w:rPr>
          <w:rFonts w:asciiTheme="minorEastAsia" w:eastAsiaTheme="minorEastAsia" w:hAnsiTheme="minorEastAsia" w:hint="eastAsia"/>
          <w:b/>
          <w:bCs/>
          <w:kern w:val="0"/>
        </w:rPr>
        <w:t>1、文字报告成果</w:t>
      </w:r>
      <w:bookmarkEnd w:id="3"/>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（1）《海域定级技术报告》 ；</w:t>
      </w:r>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（2）《海南省海域使用金征收标准》；</w:t>
      </w:r>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 xml:space="preserve">（3）《海南省海域各基准价格》； </w:t>
      </w:r>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 xml:space="preserve"> (4)《海南省海域价格评估技术规范》</w:t>
      </w:r>
      <w:bookmarkStart w:id="4" w:name="_Toc21097681"/>
      <w:r>
        <w:rPr>
          <w:rFonts w:asciiTheme="minorEastAsia" w:eastAsiaTheme="minorEastAsia" w:hAnsiTheme="minorEastAsia" w:hint="eastAsia"/>
          <w:kern w:val="0"/>
        </w:rPr>
        <w:t xml:space="preserve"> 。</w:t>
      </w:r>
    </w:p>
    <w:p w:rsidR="00147393" w:rsidRDefault="00147393" w:rsidP="00147393">
      <w:pPr>
        <w:pStyle w:val="a4"/>
        <w:spacing w:line="400" w:lineRule="atLeast"/>
        <w:ind w:firstLine="482"/>
        <w:rPr>
          <w:rFonts w:asciiTheme="minorEastAsia" w:eastAsiaTheme="minorEastAsia" w:hAnsiTheme="minorEastAsia"/>
          <w:b/>
          <w:bCs/>
          <w:kern w:val="0"/>
        </w:rPr>
      </w:pPr>
      <w:r>
        <w:rPr>
          <w:rFonts w:asciiTheme="minorEastAsia" w:eastAsiaTheme="minorEastAsia" w:hAnsiTheme="minorEastAsia" w:hint="eastAsia"/>
          <w:b/>
          <w:bCs/>
          <w:kern w:val="0"/>
        </w:rPr>
        <w:t>2、图件成果</w:t>
      </w:r>
      <w:bookmarkEnd w:id="4"/>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图件成果包括：各用海方式定级单元分值图，各用海方式级别图和各类用海级别基准价格图</w:t>
      </w:r>
      <w:bookmarkStart w:id="5" w:name="_Toc21097682"/>
      <w:r>
        <w:rPr>
          <w:rFonts w:asciiTheme="minorEastAsia" w:eastAsiaTheme="minorEastAsia" w:hAnsiTheme="minorEastAsia" w:hint="eastAsia"/>
          <w:kern w:val="0"/>
        </w:rPr>
        <w:t>。</w:t>
      </w:r>
    </w:p>
    <w:p w:rsidR="00147393" w:rsidRDefault="00147393" w:rsidP="00147393">
      <w:pPr>
        <w:pStyle w:val="a4"/>
        <w:numPr>
          <w:ilvl w:val="0"/>
          <w:numId w:val="1"/>
        </w:numPr>
        <w:tabs>
          <w:tab w:val="left" w:pos="360"/>
        </w:tabs>
        <w:adjustRightInd/>
        <w:snapToGrid/>
        <w:spacing w:after="0" w:line="400" w:lineRule="atLeast"/>
        <w:ind w:left="360" w:firstLineChars="200" w:firstLine="482"/>
        <w:jc w:val="left"/>
        <w:rPr>
          <w:rFonts w:asciiTheme="minorEastAsia" w:eastAsiaTheme="minorEastAsia" w:hAnsiTheme="minorEastAsia"/>
          <w:b/>
          <w:bCs/>
          <w:kern w:val="0"/>
        </w:rPr>
      </w:pPr>
      <w:r>
        <w:rPr>
          <w:rFonts w:asciiTheme="minorEastAsia" w:eastAsiaTheme="minorEastAsia" w:hAnsiTheme="minorEastAsia" w:hint="eastAsia"/>
          <w:b/>
          <w:bCs/>
          <w:kern w:val="0"/>
        </w:rPr>
        <w:t>表格成果</w:t>
      </w:r>
      <w:bookmarkEnd w:id="5"/>
    </w:p>
    <w:p w:rsidR="00147393" w:rsidRDefault="00147393" w:rsidP="00147393">
      <w:pPr>
        <w:pStyle w:val="a4"/>
        <w:spacing w:line="400" w:lineRule="atLeast"/>
        <w:ind w:firstLine="480"/>
        <w:rPr>
          <w:rFonts w:asciiTheme="minorEastAsia" w:eastAsiaTheme="minorEastAsia" w:hAnsiTheme="minorEastAsia"/>
          <w:kern w:val="0"/>
        </w:rPr>
      </w:pPr>
      <w:r>
        <w:rPr>
          <w:rFonts w:asciiTheme="minorEastAsia" w:eastAsiaTheme="minorEastAsia" w:hAnsiTheme="minorEastAsia" w:hint="eastAsia"/>
          <w:kern w:val="0"/>
        </w:rPr>
        <w:t>表格成果包括：各类用海级别基准价格表，海南省海域使用金收费标准表，各类用海基准价格因素修正系数表，各类用海基准价格修正因素指标条件说明表</w:t>
      </w:r>
      <w:bookmarkStart w:id="6" w:name="_Toc21097683"/>
      <w:r>
        <w:rPr>
          <w:rFonts w:asciiTheme="minorEastAsia" w:eastAsiaTheme="minorEastAsia" w:hAnsiTheme="minorEastAsia" w:hint="eastAsia"/>
          <w:kern w:val="0"/>
        </w:rPr>
        <w:t>。</w:t>
      </w:r>
    </w:p>
    <w:p w:rsidR="00147393" w:rsidRDefault="00147393" w:rsidP="00147393">
      <w:pPr>
        <w:pStyle w:val="a4"/>
        <w:numPr>
          <w:ilvl w:val="0"/>
          <w:numId w:val="1"/>
        </w:numPr>
        <w:tabs>
          <w:tab w:val="left" w:pos="360"/>
        </w:tabs>
        <w:adjustRightInd/>
        <w:snapToGrid/>
        <w:spacing w:after="0" w:line="360" w:lineRule="auto"/>
        <w:ind w:left="360" w:firstLineChars="200" w:firstLine="482"/>
        <w:jc w:val="left"/>
        <w:rPr>
          <w:rFonts w:asciiTheme="minorEastAsia" w:eastAsiaTheme="minorEastAsia" w:hAnsiTheme="minorEastAsia"/>
          <w:b/>
          <w:bCs/>
          <w:kern w:val="0"/>
        </w:rPr>
      </w:pPr>
      <w:r>
        <w:rPr>
          <w:rFonts w:asciiTheme="minorEastAsia" w:eastAsiaTheme="minorEastAsia" w:hAnsiTheme="minorEastAsia" w:hint="eastAsia"/>
          <w:b/>
          <w:bCs/>
          <w:kern w:val="0"/>
        </w:rPr>
        <w:t>电子成果</w:t>
      </w:r>
      <w:bookmarkEnd w:id="6"/>
    </w:p>
    <w:p w:rsidR="00147393" w:rsidRDefault="00147393" w:rsidP="00147393">
      <w:pPr>
        <w:pStyle w:val="a5"/>
        <w:snapToGrid w:val="0"/>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所有文字成果、图件资料和表格资料的电子版。</w:t>
      </w:r>
    </w:p>
    <w:p w:rsidR="00147393" w:rsidRDefault="00147393" w:rsidP="00147393">
      <w:pPr>
        <w:rPr>
          <w:rFonts w:ascii="宋体" w:hAnsi="宋体"/>
          <w:b/>
          <w:sz w:val="24"/>
        </w:rPr>
      </w:pPr>
      <w:r>
        <w:rPr>
          <w:rFonts w:ascii="宋体" w:hAnsi="宋体" w:hint="eastAsia"/>
          <w:b/>
          <w:sz w:val="24"/>
        </w:rPr>
        <w:t>六、验收标准和方式</w:t>
      </w:r>
    </w:p>
    <w:p w:rsidR="00147393" w:rsidRDefault="00147393" w:rsidP="00147393">
      <w:pPr>
        <w:pStyle w:val="a5"/>
        <w:snapToGrid w:val="0"/>
        <w:spacing w:before="0"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甲方应该在收到乙方提供的项目成果后采用专家评审的方式验收。验收的标准是通过专家评审。乙方配合甲方及评审专家意见及时完善成果。</w:t>
      </w:r>
    </w:p>
    <w:p w:rsidR="00147393" w:rsidRDefault="00147393" w:rsidP="00147393">
      <w:pPr>
        <w:rPr>
          <w:rFonts w:ascii="宋体" w:hAnsi="宋体"/>
          <w:b/>
          <w:sz w:val="24"/>
        </w:rPr>
      </w:pPr>
      <w:r>
        <w:rPr>
          <w:rFonts w:ascii="宋体" w:hAnsi="宋体" w:hint="eastAsia"/>
          <w:b/>
          <w:sz w:val="24"/>
        </w:rPr>
        <w:t>七、其他内容</w:t>
      </w:r>
    </w:p>
    <w:p w:rsidR="00147393" w:rsidRDefault="00147393" w:rsidP="00147393">
      <w:pPr>
        <w:ind w:firstLineChars="200" w:firstLine="480"/>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报价是供应商在可独立履行项目合同义务，通过准确核算，可满足预期实施效果、验收标准和符合自身合法利益的前提下所作出的综合性合理报价。</w:t>
      </w:r>
      <w:r>
        <w:rPr>
          <w:rFonts w:asciiTheme="minorEastAsia" w:eastAsiaTheme="minorEastAsia" w:hAnsiTheme="minorEastAsia" w:hint="eastAsia"/>
          <w:sz w:val="24"/>
        </w:rPr>
        <w:t>（2）项目成果将在海南省自然资源和规划厅和海南省财政外网上公布。（3）组织省外调研工作。</w:t>
      </w:r>
    </w:p>
    <w:p w:rsidR="0054283F" w:rsidRPr="00F0306A" w:rsidRDefault="005703D0" w:rsidP="00147393"/>
    <w:sectPr w:rsidR="0054283F" w:rsidRPr="00F0306A" w:rsidSect="005A6E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3D0" w:rsidRPr="00C35E49" w:rsidRDefault="005703D0" w:rsidP="00147393">
      <w:pPr>
        <w:ind w:firstLine="420"/>
        <w:rPr>
          <w:szCs w:val="24"/>
        </w:rPr>
      </w:pPr>
      <w:r>
        <w:separator/>
      </w:r>
    </w:p>
  </w:endnote>
  <w:endnote w:type="continuationSeparator" w:id="1">
    <w:p w:rsidR="005703D0" w:rsidRPr="00C35E49" w:rsidRDefault="005703D0" w:rsidP="00147393">
      <w:pPr>
        <w:ind w:firstLine="420"/>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3D0" w:rsidRPr="00C35E49" w:rsidRDefault="005703D0" w:rsidP="00147393">
      <w:pPr>
        <w:ind w:firstLine="420"/>
        <w:rPr>
          <w:szCs w:val="24"/>
        </w:rPr>
      </w:pPr>
      <w:r>
        <w:separator/>
      </w:r>
    </w:p>
  </w:footnote>
  <w:footnote w:type="continuationSeparator" w:id="1">
    <w:p w:rsidR="005703D0" w:rsidRPr="00C35E49" w:rsidRDefault="005703D0" w:rsidP="00147393">
      <w:pPr>
        <w:ind w:firstLine="420"/>
        <w:rPr>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E69F6D"/>
    <w:multiLevelType w:val="singleLevel"/>
    <w:tmpl w:val="A5E69F6D"/>
    <w:lvl w:ilvl="0">
      <w:start w:val="3"/>
      <w:numFmt w:val="chineseCounting"/>
      <w:suff w:val="nothing"/>
      <w:lvlText w:val="%1、"/>
      <w:lvlJc w:val="left"/>
      <w:rPr>
        <w:rFonts w:hint="eastAsia"/>
      </w:rPr>
    </w:lvl>
  </w:abstractNum>
  <w:abstractNum w:abstractNumId="1">
    <w:nsid w:val="D34BACE6"/>
    <w:multiLevelType w:val="singleLevel"/>
    <w:tmpl w:val="D34BACE6"/>
    <w:lvl w:ilvl="0">
      <w:start w:val="3"/>
      <w:numFmt w:val="decimal"/>
      <w:suff w:val="nothing"/>
      <w:lvlText w:val="%1、"/>
      <w:lvlJc w:val="left"/>
    </w:lvl>
  </w:abstractNum>
  <w:abstractNum w:abstractNumId="2">
    <w:nsid w:val="614CA6FF"/>
    <w:multiLevelType w:val="singleLevel"/>
    <w:tmpl w:val="614CA6FF"/>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06A"/>
    <w:rsid w:val="000442BF"/>
    <w:rsid w:val="00133A25"/>
    <w:rsid w:val="00147393"/>
    <w:rsid w:val="002D1172"/>
    <w:rsid w:val="005703D0"/>
    <w:rsid w:val="005A6E84"/>
    <w:rsid w:val="008146BE"/>
    <w:rsid w:val="00831561"/>
    <w:rsid w:val="00B26A91"/>
    <w:rsid w:val="00DA06BF"/>
    <w:rsid w:val="00E9226D"/>
    <w:rsid w:val="00EA3AE1"/>
    <w:rsid w:val="00F03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6A"/>
    <w:rPr>
      <w:rFonts w:ascii="Times New Roman" w:eastAsia="宋体" w:hAnsi="Times New Roman" w:cs="Times New Roman"/>
      <w:kern w:val="0"/>
      <w:szCs w:val="20"/>
    </w:rPr>
  </w:style>
  <w:style w:type="paragraph" w:styleId="1">
    <w:name w:val="heading 1"/>
    <w:basedOn w:val="a"/>
    <w:next w:val="a"/>
    <w:link w:val="1Char"/>
    <w:qFormat/>
    <w:rsid w:val="00F0306A"/>
    <w:pPr>
      <w:keepNext/>
      <w:keepLines/>
      <w:widowControl w:val="0"/>
      <w:spacing w:before="340" w:after="330" w:line="576" w:lineRule="auto"/>
      <w:jc w:val="both"/>
      <w:outlineLvl w:val="0"/>
    </w:pPr>
    <w:rPr>
      <w:rFonts w:ascii="宋体" w:hAnsi="宋体"/>
      <w:b/>
      <w:sz w:val="44"/>
      <w:szCs w:val="44"/>
    </w:rPr>
  </w:style>
  <w:style w:type="paragraph" w:styleId="3">
    <w:name w:val="heading 3"/>
    <w:basedOn w:val="a"/>
    <w:next w:val="a"/>
    <w:link w:val="3Char"/>
    <w:unhideWhenUsed/>
    <w:qFormat/>
    <w:rsid w:val="00147393"/>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306A"/>
    <w:rPr>
      <w:rFonts w:ascii="宋体" w:eastAsia="宋体" w:hAnsi="宋体" w:cs="Times New Roman"/>
      <w:b/>
      <w:kern w:val="0"/>
      <w:sz w:val="44"/>
      <w:szCs w:val="44"/>
    </w:rPr>
  </w:style>
  <w:style w:type="paragraph" w:styleId="a3">
    <w:name w:val="Body Text"/>
    <w:basedOn w:val="a"/>
    <w:link w:val="Char"/>
    <w:uiPriority w:val="99"/>
    <w:semiHidden/>
    <w:unhideWhenUsed/>
    <w:rsid w:val="00F0306A"/>
    <w:pPr>
      <w:spacing w:after="120"/>
    </w:pPr>
  </w:style>
  <w:style w:type="character" w:customStyle="1" w:styleId="Char">
    <w:name w:val="正文文本 Char"/>
    <w:basedOn w:val="a0"/>
    <w:link w:val="a3"/>
    <w:uiPriority w:val="99"/>
    <w:semiHidden/>
    <w:rsid w:val="00F0306A"/>
    <w:rPr>
      <w:rFonts w:ascii="Times New Roman" w:eastAsia="宋体" w:hAnsi="Times New Roman" w:cs="Times New Roman"/>
      <w:kern w:val="0"/>
      <w:szCs w:val="20"/>
    </w:rPr>
  </w:style>
  <w:style w:type="paragraph" w:styleId="a4">
    <w:name w:val="Body Text First Indent"/>
    <w:basedOn w:val="a"/>
    <w:link w:val="Char0"/>
    <w:qFormat/>
    <w:rsid w:val="00F0306A"/>
    <w:pPr>
      <w:widowControl w:val="0"/>
      <w:adjustRightInd w:val="0"/>
      <w:snapToGrid w:val="0"/>
      <w:spacing w:after="120" w:line="400" w:lineRule="exact"/>
      <w:ind w:firstLine="510"/>
      <w:jc w:val="both"/>
    </w:pPr>
    <w:rPr>
      <w:kern w:val="2"/>
      <w:sz w:val="24"/>
    </w:rPr>
  </w:style>
  <w:style w:type="character" w:customStyle="1" w:styleId="Char0">
    <w:name w:val="正文首行缩进 Char"/>
    <w:basedOn w:val="Char"/>
    <w:link w:val="a4"/>
    <w:qFormat/>
    <w:rsid w:val="00F0306A"/>
    <w:rPr>
      <w:rFonts w:ascii="Times New Roman" w:eastAsia="宋体" w:hAnsi="Times New Roman" w:cs="Times New Roman"/>
      <w:kern w:val="0"/>
      <w:sz w:val="24"/>
      <w:szCs w:val="20"/>
    </w:rPr>
  </w:style>
  <w:style w:type="paragraph" w:styleId="a5">
    <w:name w:val="Normal (Web)"/>
    <w:basedOn w:val="a"/>
    <w:link w:val="Char1"/>
    <w:qFormat/>
    <w:rsid w:val="00F0306A"/>
    <w:pPr>
      <w:spacing w:before="100" w:beforeAutospacing="1" w:after="100" w:afterAutospacing="1"/>
    </w:pPr>
    <w:rPr>
      <w:rFonts w:ascii="宋体" w:hAnsi="宋体"/>
      <w:sz w:val="24"/>
    </w:rPr>
  </w:style>
  <w:style w:type="character" w:customStyle="1" w:styleId="Char1">
    <w:name w:val="普通(网站) Char"/>
    <w:link w:val="a5"/>
    <w:qFormat/>
    <w:rsid w:val="00F0306A"/>
    <w:rPr>
      <w:rFonts w:ascii="宋体" w:eastAsia="宋体" w:hAnsi="宋体" w:cs="Times New Roman"/>
      <w:kern w:val="0"/>
      <w:sz w:val="24"/>
      <w:szCs w:val="20"/>
    </w:rPr>
  </w:style>
  <w:style w:type="character" w:customStyle="1" w:styleId="a6">
    <w:name w:val="正文文本_"/>
    <w:basedOn w:val="a0"/>
    <w:link w:val="10"/>
    <w:rsid w:val="002D1172"/>
    <w:rPr>
      <w:rFonts w:ascii="黑体" w:eastAsia="黑体" w:hAnsi="黑体" w:cs="黑体"/>
      <w:sz w:val="30"/>
      <w:szCs w:val="30"/>
      <w:shd w:val="clear" w:color="auto" w:fill="FFFFFF"/>
      <w:lang w:val="zh-CN" w:bidi="zh-CN"/>
    </w:rPr>
  </w:style>
  <w:style w:type="paragraph" w:customStyle="1" w:styleId="10">
    <w:name w:val="正文文本1"/>
    <w:basedOn w:val="a"/>
    <w:link w:val="a6"/>
    <w:rsid w:val="002D1172"/>
    <w:pPr>
      <w:widowControl w:val="0"/>
      <w:shd w:val="clear" w:color="auto" w:fill="FFFFFF"/>
      <w:spacing w:line="389" w:lineRule="auto"/>
      <w:ind w:firstLine="400"/>
      <w:jc w:val="distribute"/>
    </w:pPr>
    <w:rPr>
      <w:rFonts w:ascii="黑体" w:eastAsia="黑体" w:hAnsi="黑体" w:cs="黑体"/>
      <w:kern w:val="2"/>
      <w:sz w:val="30"/>
      <w:szCs w:val="30"/>
      <w:lang w:val="zh-CN" w:bidi="zh-CN"/>
    </w:rPr>
  </w:style>
  <w:style w:type="paragraph" w:styleId="a7">
    <w:name w:val="Document Map"/>
    <w:basedOn w:val="a"/>
    <w:link w:val="Char2"/>
    <w:uiPriority w:val="99"/>
    <w:semiHidden/>
    <w:unhideWhenUsed/>
    <w:rsid w:val="00147393"/>
    <w:rPr>
      <w:rFonts w:ascii="宋体"/>
      <w:sz w:val="18"/>
      <w:szCs w:val="18"/>
    </w:rPr>
  </w:style>
  <w:style w:type="character" w:customStyle="1" w:styleId="Char2">
    <w:name w:val="文档结构图 Char"/>
    <w:basedOn w:val="a0"/>
    <w:link w:val="a7"/>
    <w:uiPriority w:val="99"/>
    <w:semiHidden/>
    <w:rsid w:val="00147393"/>
    <w:rPr>
      <w:rFonts w:ascii="宋体" w:eastAsia="宋体" w:hAnsi="Times New Roman" w:cs="Times New Roman"/>
      <w:kern w:val="0"/>
      <w:sz w:val="18"/>
      <w:szCs w:val="18"/>
    </w:rPr>
  </w:style>
  <w:style w:type="paragraph" w:styleId="a8">
    <w:name w:val="header"/>
    <w:basedOn w:val="a"/>
    <w:link w:val="Char3"/>
    <w:uiPriority w:val="99"/>
    <w:semiHidden/>
    <w:unhideWhenUsed/>
    <w:rsid w:val="0014739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semiHidden/>
    <w:rsid w:val="00147393"/>
    <w:rPr>
      <w:rFonts w:ascii="Times New Roman" w:eastAsia="宋体" w:hAnsi="Times New Roman" w:cs="Times New Roman"/>
      <w:kern w:val="0"/>
      <w:sz w:val="18"/>
      <w:szCs w:val="18"/>
    </w:rPr>
  </w:style>
  <w:style w:type="paragraph" w:styleId="a9">
    <w:name w:val="footer"/>
    <w:basedOn w:val="a"/>
    <w:link w:val="Char4"/>
    <w:uiPriority w:val="99"/>
    <w:semiHidden/>
    <w:unhideWhenUsed/>
    <w:rsid w:val="00147393"/>
    <w:pPr>
      <w:tabs>
        <w:tab w:val="center" w:pos="4153"/>
        <w:tab w:val="right" w:pos="8306"/>
      </w:tabs>
      <w:snapToGrid w:val="0"/>
    </w:pPr>
    <w:rPr>
      <w:sz w:val="18"/>
      <w:szCs w:val="18"/>
    </w:rPr>
  </w:style>
  <w:style w:type="character" w:customStyle="1" w:styleId="Char4">
    <w:name w:val="页脚 Char"/>
    <w:basedOn w:val="a0"/>
    <w:link w:val="a9"/>
    <w:uiPriority w:val="99"/>
    <w:semiHidden/>
    <w:rsid w:val="00147393"/>
    <w:rPr>
      <w:rFonts w:ascii="Times New Roman" w:eastAsia="宋体" w:hAnsi="Times New Roman" w:cs="Times New Roman"/>
      <w:kern w:val="0"/>
      <w:sz w:val="18"/>
      <w:szCs w:val="18"/>
    </w:rPr>
  </w:style>
  <w:style w:type="character" w:customStyle="1" w:styleId="3Char">
    <w:name w:val="标题 3 Char"/>
    <w:basedOn w:val="a0"/>
    <w:link w:val="3"/>
    <w:qFormat/>
    <w:rsid w:val="00147393"/>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Chunhua Chen</dc:creator>
  <cp:keywords/>
  <dc:description/>
  <cp:lastModifiedBy>Microsoft</cp:lastModifiedBy>
  <cp:revision>7</cp:revision>
  <dcterms:created xsi:type="dcterms:W3CDTF">2020-03-19T01:27:00Z</dcterms:created>
  <dcterms:modified xsi:type="dcterms:W3CDTF">2020-04-30T00:12:00Z</dcterms:modified>
</cp:coreProperties>
</file>