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both"/>
        <w:rPr>
          <w:rFonts w:asciiTheme="majorEastAsia" w:hAnsiTheme="majorEastAsia" w:eastAsiaTheme="majorEastAsia" w:cstheme="majorEastAsia"/>
          <w:sz w:val="72"/>
          <w:szCs w:val="72"/>
        </w:rPr>
      </w:pPr>
    </w:p>
    <w:p>
      <w:pPr>
        <w:spacing w:line="360" w:lineRule="auto"/>
        <w:rPr>
          <w:rFonts w:asciiTheme="majorEastAsia" w:hAnsiTheme="majorEastAsia" w:eastAsiaTheme="majorEastAsia" w:cstheme="majorEastAsia"/>
        </w:rPr>
      </w:pPr>
    </w:p>
    <w:p>
      <w:pPr>
        <w:pStyle w:val="2"/>
        <w:spacing w:line="360" w:lineRule="auto"/>
        <w:rPr>
          <w:rFonts w:asciiTheme="majorEastAsia" w:hAnsiTheme="majorEastAsia" w:eastAsiaTheme="majorEastAsia" w:cstheme="majorEastAsia"/>
          <w:sz w:val="72"/>
          <w:szCs w:val="72"/>
        </w:rPr>
      </w:pPr>
      <w:r>
        <w:rPr>
          <w:rFonts w:hint="eastAsia" w:asciiTheme="majorEastAsia" w:hAnsiTheme="majorEastAsia" w:eastAsiaTheme="majorEastAsia" w:cstheme="majorEastAsia"/>
          <w:sz w:val="72"/>
          <w:szCs w:val="72"/>
        </w:rPr>
        <w:t>公开招标文件</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rPr>
          <w:rFonts w:hint="eastAsia" w:eastAsia="宋体" w:asciiTheme="majorEastAsia" w:hAnsiTheme="majorEastAsia" w:cstheme="majorEastAsia"/>
          <w:sz w:val="28"/>
          <w:szCs w:val="28"/>
          <w:lang w:eastAsia="zh-CN"/>
        </w:rPr>
      </w:pPr>
      <w:r>
        <w:rPr>
          <w:rFonts w:hint="eastAsia" w:asciiTheme="majorEastAsia" w:hAnsiTheme="majorEastAsia" w:eastAsiaTheme="majorEastAsia" w:cstheme="majorEastAsia"/>
          <w:sz w:val="28"/>
          <w:szCs w:val="28"/>
        </w:rPr>
        <w:t>项目名称:</w:t>
      </w:r>
      <w:r>
        <w:rPr>
          <w:rFonts w:hint="eastAsia"/>
        </w:rPr>
        <w:t xml:space="preserve"> </w:t>
      </w:r>
      <w:r>
        <w:rPr>
          <w:rFonts w:hint="eastAsia" w:asciiTheme="majorEastAsia" w:hAnsiTheme="majorEastAsia" w:eastAsiaTheme="majorEastAsia" w:cstheme="majorEastAsia"/>
          <w:sz w:val="28"/>
          <w:szCs w:val="28"/>
          <w:lang w:eastAsia="zh-CN"/>
        </w:rPr>
        <w:t>颜春岭垃圾填埋场地块土壤和地下水环境调查（二次招标）</w:t>
      </w:r>
    </w:p>
    <w:p>
      <w:pPr>
        <w:pStyle w:val="8"/>
        <w:spacing w:line="360" w:lineRule="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采购人名称：海口市园林和环境卫生管理局 </w:t>
      </w:r>
    </w:p>
    <w:p>
      <w:pPr>
        <w:pStyle w:val="8"/>
        <w:spacing w:line="360" w:lineRule="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rPr>
        <w:t>项目编号：</w:t>
      </w:r>
      <w:r>
        <w:rPr>
          <w:rFonts w:hint="eastAsia" w:asciiTheme="majorEastAsia" w:hAnsiTheme="majorEastAsia" w:eastAsiaTheme="majorEastAsia" w:cstheme="majorEastAsia"/>
          <w:sz w:val="28"/>
          <w:szCs w:val="28"/>
          <w:lang w:eastAsia="zh-CN"/>
        </w:rPr>
        <w:t>HNZS-2019-058R</w:t>
      </w:r>
    </w:p>
    <w:p>
      <w:pPr>
        <w:pStyle w:val="8"/>
        <w:spacing w:line="360" w:lineRule="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采购代理机构：海南中穗项目管理有限公司</w:t>
      </w:r>
    </w:p>
    <w:p>
      <w:pPr>
        <w:pStyle w:val="8"/>
        <w:spacing w:line="360" w:lineRule="auto"/>
        <w:rPr>
          <w:rFonts w:asciiTheme="majorEastAsia" w:hAnsiTheme="majorEastAsia" w:eastAsiaTheme="majorEastAsia" w:cstheme="majorEastAsia"/>
          <w:sz w:val="28"/>
          <w:szCs w:val="28"/>
        </w:rPr>
      </w:pPr>
    </w:p>
    <w:p>
      <w:pPr>
        <w:pStyle w:val="8"/>
        <w:spacing w:line="360" w:lineRule="auto"/>
        <w:rPr>
          <w:rFonts w:asciiTheme="majorEastAsia" w:hAnsiTheme="majorEastAsia" w:eastAsiaTheme="majorEastAsia" w:cstheme="majorEastAsia"/>
        </w:rPr>
      </w:pPr>
    </w:p>
    <w:p>
      <w:pPr>
        <w:pStyle w:val="8"/>
        <w:spacing w:line="360" w:lineRule="auto"/>
        <w:ind w:firstLine="560" w:firstLineChars="200"/>
        <w:jc w:val="center"/>
        <w:rPr>
          <w:rFonts w:asciiTheme="majorEastAsia" w:hAnsiTheme="majorEastAsia" w:eastAsiaTheme="majorEastAsia" w:cstheme="majorEastAsia"/>
        </w:rPr>
      </w:pPr>
      <w:r>
        <w:rPr>
          <w:rFonts w:hint="eastAsia" w:asciiTheme="majorEastAsia" w:hAnsiTheme="majorEastAsia" w:eastAsiaTheme="majorEastAsia" w:cstheme="majorEastAsia"/>
          <w:sz w:val="28"/>
          <w:szCs w:val="28"/>
          <w:u w:val="single"/>
        </w:rPr>
        <w:t>2019</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rPr>
        <w:t>1</w:t>
      </w:r>
      <w:r>
        <w:rPr>
          <w:rFonts w:hint="eastAsia" w:asciiTheme="majorEastAsia" w:hAnsiTheme="majorEastAsia" w:eastAsiaTheme="majorEastAsia" w:cstheme="majorEastAsia"/>
          <w:sz w:val="28"/>
          <w:szCs w:val="28"/>
          <w:u w:val="single"/>
          <w:lang w:val="en-US" w:eastAsia="zh-CN"/>
        </w:rPr>
        <w:t>2</w:t>
      </w:r>
      <w:r>
        <w:rPr>
          <w:rFonts w:hint="eastAsia" w:asciiTheme="majorEastAsia" w:hAnsiTheme="majorEastAsia" w:eastAsiaTheme="majorEastAsia" w:cstheme="majorEastAsia"/>
          <w:sz w:val="28"/>
          <w:szCs w:val="28"/>
        </w:rPr>
        <w:t>月</w:t>
      </w:r>
    </w:p>
    <w:p>
      <w:pPr>
        <w:pStyle w:val="2"/>
        <w:spacing w:line="360" w:lineRule="auto"/>
        <w:rPr>
          <w:rFonts w:asciiTheme="majorEastAsia" w:hAnsiTheme="majorEastAsia" w:eastAsiaTheme="majorEastAsia" w:cstheme="majorEastAsia"/>
        </w:rPr>
        <w:sectPr>
          <w:headerReference r:id="rId3" w:type="default"/>
          <w:footerReference r:id="rId4" w:type="default"/>
          <w:pgSz w:w="11911" w:h="16838"/>
          <w:pgMar w:top="1440" w:right="1417" w:bottom="1440" w:left="1417" w:header="888" w:footer="987" w:gutter="0"/>
          <w:pgNumType w:start="1"/>
          <w:cols w:equalWidth="0" w:num="1">
            <w:col w:w="8310"/>
          </w:cols>
        </w:sectPr>
      </w:pPr>
    </w:p>
    <w:p>
      <w:pPr>
        <w:pStyle w:val="2"/>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 xml:space="preserve">  目　　录</w:t>
      </w:r>
    </w:p>
    <w:p>
      <w:pPr>
        <w:pStyle w:val="8"/>
        <w:spacing w:line="360" w:lineRule="auto"/>
        <w:ind w:firstLine="640" w:firstLineChars="200"/>
        <w:jc w:val="center"/>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sz w:val="32"/>
          <w:szCs w:val="32"/>
        </w:rPr>
        <w:t>第一部分　商务部分</w:t>
      </w:r>
    </w:p>
    <w:p>
      <w:pPr>
        <w:pStyle w:val="8"/>
        <w:spacing w:line="48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第一章　投标邀请</w:t>
      </w:r>
    </w:p>
    <w:p>
      <w:pPr>
        <w:pStyle w:val="8"/>
        <w:spacing w:line="48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第二章　投标人须知</w:t>
      </w:r>
    </w:p>
    <w:p>
      <w:pPr>
        <w:pStyle w:val="8"/>
        <w:spacing w:line="48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第三章　评标方法及标准</w:t>
      </w:r>
    </w:p>
    <w:p>
      <w:pPr>
        <w:pStyle w:val="8"/>
        <w:spacing w:line="48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第四章　政府采购合同</w:t>
      </w:r>
    </w:p>
    <w:p>
      <w:pPr>
        <w:pStyle w:val="8"/>
        <w:spacing w:line="48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第五章　投标文件格式</w:t>
      </w: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sz w:val="32"/>
          <w:szCs w:val="32"/>
        </w:rPr>
        <w:t>第二部分　技术部分</w:t>
      </w:r>
    </w:p>
    <w:p>
      <w:pPr>
        <w:pStyle w:val="8"/>
        <w:spacing w:line="48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(本部分为项目采购需求)</w:t>
      </w:r>
    </w:p>
    <w:p>
      <w:pPr>
        <w:pStyle w:val="8"/>
        <w:spacing w:line="360" w:lineRule="auto"/>
        <w:ind w:firstLine="640" w:firstLineChars="200"/>
        <w:jc w:val="center"/>
        <w:rPr>
          <w:rFonts w:asciiTheme="majorEastAsia" w:hAnsiTheme="majorEastAsia" w:eastAsiaTheme="majorEastAsia" w:cstheme="majorEastAsia"/>
          <w:sz w:val="32"/>
          <w:szCs w:val="32"/>
        </w:rPr>
        <w:sectPr>
          <w:footerReference r:id="rId5" w:type="default"/>
          <w:pgSz w:w="11911" w:h="16838"/>
          <w:pgMar w:top="1440" w:right="1417" w:bottom="1440" w:left="1417" w:header="888" w:footer="987" w:gutter="0"/>
          <w:pgNumType w:start="1"/>
          <w:cols w:equalWidth="0" w:num="1">
            <w:col w:w="8310"/>
          </w:cols>
        </w:sectPr>
      </w:pPr>
    </w:p>
    <w:p>
      <w:pPr>
        <w:pStyle w:val="8"/>
        <w:spacing w:line="360" w:lineRule="auto"/>
        <w:ind w:firstLine="640" w:firstLineChars="200"/>
        <w:jc w:val="center"/>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sz w:val="32"/>
          <w:szCs w:val="32"/>
        </w:rPr>
        <w:t>第一部分　商务部分</w:t>
      </w:r>
    </w:p>
    <w:p>
      <w:pPr>
        <w:pStyle w:val="2"/>
        <w:spacing w:before="0" w:after="0" w:line="360" w:lineRule="auto"/>
        <w:rPr>
          <w:rFonts w:asciiTheme="majorEastAsia" w:hAnsiTheme="majorEastAsia" w:eastAsiaTheme="majorEastAsia" w:cstheme="majorEastAsia"/>
        </w:rPr>
      </w:pPr>
      <w:r>
        <w:rPr>
          <w:rFonts w:hint="eastAsia" w:asciiTheme="majorEastAsia" w:hAnsiTheme="majorEastAsia" w:eastAsiaTheme="majorEastAsia" w:cstheme="majorEastAsia"/>
          <w:sz w:val="32"/>
          <w:szCs w:val="32"/>
        </w:rPr>
        <w:t>第一章　投 标 邀 请</w:t>
      </w:r>
    </w:p>
    <w:p>
      <w:pPr>
        <w:pStyle w:val="8"/>
        <w:spacing w:line="360" w:lineRule="auto"/>
        <w:ind w:right="1"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海南中穗项目管理有限公司（以下简称：采购代理机构） 受海口市园林和环境卫生管理局委托，对</w:t>
      </w:r>
      <w:r>
        <w:rPr>
          <w:rFonts w:hint="eastAsia" w:asciiTheme="majorEastAsia" w:hAnsiTheme="majorEastAsia" w:eastAsiaTheme="majorEastAsia" w:cstheme="majorEastAsia"/>
          <w:lang w:eastAsia="zh-CN"/>
        </w:rPr>
        <w:t>颜春岭垃圾填埋场地块土壤和地下水环境调查（二次招标）</w:t>
      </w:r>
      <w:r>
        <w:rPr>
          <w:rFonts w:hint="eastAsia" w:asciiTheme="majorEastAsia" w:hAnsiTheme="majorEastAsia" w:eastAsiaTheme="majorEastAsia" w:cstheme="majorEastAsia"/>
        </w:rPr>
        <w:t>进行公开招标，欢迎有资格的供应商前来参加投标。</w:t>
      </w:r>
    </w:p>
    <w:p>
      <w:pPr>
        <w:pStyle w:val="8"/>
        <w:spacing w:line="360" w:lineRule="auto"/>
        <w:ind w:firstLine="420" w:firstLineChars="200"/>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rPr>
        <w:t>1.项目名称：</w:t>
      </w:r>
      <w:r>
        <w:rPr>
          <w:rFonts w:hint="eastAsia" w:asciiTheme="majorEastAsia" w:hAnsiTheme="majorEastAsia" w:eastAsiaTheme="majorEastAsia" w:cstheme="majorEastAsia"/>
          <w:lang w:eastAsia="zh-CN"/>
        </w:rPr>
        <w:t>颜春岭垃圾填埋场地块土壤和地下水环境调查（二次招标）</w:t>
      </w:r>
    </w:p>
    <w:p>
      <w:pPr>
        <w:pStyle w:val="8"/>
        <w:spacing w:line="360" w:lineRule="auto"/>
        <w:ind w:firstLine="422" w:firstLineChars="200"/>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.项目编号：</w:t>
      </w:r>
      <w:r>
        <w:rPr>
          <w:rFonts w:hint="eastAsia" w:asciiTheme="majorEastAsia" w:hAnsiTheme="majorEastAsia" w:eastAsiaTheme="majorEastAsia" w:cstheme="majorEastAsia"/>
          <w:lang w:eastAsia="zh-CN"/>
        </w:rPr>
        <w:t>HNZS-2019-058R</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采购内容(项目用途、数量、简要技术要求或采购项目的性质等)：</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3.1项目用途：工作需要</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3.2数量：一项</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3.3采购需求：详见用户需求</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4</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分包及预算：不接受分包，本项目预算：759.2992万元（超出采购预算金额的视为无效投标）</w:t>
      </w:r>
    </w:p>
    <w:p>
      <w:pPr>
        <w:pStyle w:val="8"/>
        <w:spacing w:line="360" w:lineRule="auto"/>
        <w:ind w:firstLine="422" w:firstLineChars="200"/>
        <w:rPr>
          <w:rFonts w:asciiTheme="majorEastAsia" w:hAnsiTheme="majorEastAsia" w:eastAsiaTheme="majorEastAsia" w:cstheme="majorEastAsia"/>
          <w:b/>
        </w:rPr>
      </w:pPr>
      <w:r>
        <w:rPr>
          <w:rFonts w:hint="eastAsia" w:asciiTheme="majorEastAsia" w:hAnsiTheme="majorEastAsia" w:eastAsiaTheme="majorEastAsia" w:cstheme="majorEastAsia"/>
          <w:b/>
        </w:rPr>
        <w:t>5.投标人的资格要求</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1）在中华人民共和国注册，具有独立承担民事责任能力的法人，需提供营业执照副本、组织机构代码证副本、税务登记证副本等有效证件复印件，并加盖公章（提供“一照三号”或“一照一码”营业执照副本也视为同等有效证明）；</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（2）应具有依法缴纳税收和社会保障资金的良好记录（提供2018年至今任意一个月依法缴纳税收及社会保障资金的凭证）（加盖本单位公章）；</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（3）提供参加政府采购活动前三年内，在经营活动中没有重大违法记录的声明函（加盖公章）；</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4）投标人未被列入“中国执行信息公开网”网站（http://zxgk.court.gov.cn/shixin/）失信被执行人名单、未被列入“国家税务总局”网站（http://hd.chinatax.gov.cn/nszx/InitMajor.html）重大税收违法案件当事人名单和未被列入“中国政府采购网”网站（http://www.ccgp.gov.cn/search/cr/））政府采购严重违法失信行为记录名单（提供信息查询结果界面截图或打印结果，加盖投标人公章）；</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（5）购买本项目招标文件并缴纳投标保证金；</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（6）本项目接受联合体投标，但不多于2家。</w:t>
      </w:r>
    </w:p>
    <w:p>
      <w:pPr>
        <w:pStyle w:val="8"/>
        <w:spacing w:line="360" w:lineRule="auto"/>
        <w:ind w:firstLine="422" w:firstLineChars="200"/>
        <w:rPr>
          <w:rFonts w:asciiTheme="majorEastAsia" w:hAnsiTheme="majorEastAsia" w:eastAsiaTheme="majorEastAsia" w:cstheme="majorEastAsia"/>
          <w:b/>
          <w:bCs/>
        </w:rPr>
      </w:pPr>
      <w:r>
        <w:rPr>
          <w:rFonts w:hint="eastAsia" w:asciiTheme="majorEastAsia" w:hAnsiTheme="majorEastAsia" w:eastAsiaTheme="majorEastAsia" w:cstheme="majorEastAsia"/>
          <w:b/>
          <w:bCs/>
        </w:rPr>
        <w:t>6.招标文件的获取</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1）查看采购公告及下载采购文件。登录海口市公共资源交易网（http://ggzy.haikou.gov.cn）网站主页,选择“交易公告”专栏查看采购公告，免费下载项目采购文件。</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2）市场主体登记。在海口市公共资源交易网主页,进入“登录区 → 投标人/供应商”专栏，按照要求登记信息，已经在海南省或海口市公共资源交易网登记过的，无须再登记。</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3）投标申请并获取保证金账号。提交市场主体登记信息后，在海口市公共资源交易网主页,进入交易系统选择“我要投标”，提交项目投标申请，获取投标保证金账号。</w:t>
      </w:r>
    </w:p>
    <w:p>
      <w:pPr>
        <w:pStyle w:val="8"/>
        <w:spacing w:line="360" w:lineRule="auto"/>
        <w:ind w:firstLine="422" w:firstLineChars="200"/>
        <w:rPr>
          <w:rFonts w:asciiTheme="majorEastAsia" w:hAnsiTheme="majorEastAsia" w:eastAsiaTheme="majorEastAsia" w:cstheme="majorEastAsia"/>
          <w:b/>
          <w:bCs/>
        </w:rPr>
      </w:pPr>
      <w:r>
        <w:rPr>
          <w:rFonts w:hint="eastAsia" w:asciiTheme="majorEastAsia" w:hAnsiTheme="majorEastAsia" w:eastAsiaTheme="majorEastAsia" w:cstheme="majorEastAsia"/>
          <w:b/>
          <w:bCs/>
        </w:rPr>
        <w:t>7、投标截止时间、开标时间及地点：</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1）递交投标文件截止时间：20</w:t>
      </w:r>
      <w:r>
        <w:rPr>
          <w:rFonts w:hint="eastAsia" w:asciiTheme="majorEastAsia" w:hAnsiTheme="majorEastAsia" w:eastAsiaTheme="majorEastAsia" w:cstheme="majorEastAsia"/>
          <w:lang w:val="en-US" w:eastAsia="zh-CN"/>
        </w:rPr>
        <w:t>20</w:t>
      </w:r>
      <w:r>
        <w:rPr>
          <w:rFonts w:hint="eastAsia" w:asciiTheme="majorEastAsia" w:hAnsiTheme="majorEastAsia" w:eastAsiaTheme="majorEastAsia" w:cstheme="majorEastAsia"/>
        </w:rPr>
        <w:t>年</w:t>
      </w:r>
      <w:r>
        <w:rPr>
          <w:rFonts w:hint="eastAsia" w:asciiTheme="majorEastAsia" w:hAnsiTheme="majorEastAsia" w:eastAsiaTheme="majorEastAsia" w:cstheme="majorEastAsia"/>
          <w:lang w:val="en-US" w:eastAsia="zh-CN"/>
        </w:rPr>
        <w:t>01</w:t>
      </w:r>
      <w:r>
        <w:rPr>
          <w:rFonts w:hint="eastAsia" w:asciiTheme="majorEastAsia" w:hAnsiTheme="majorEastAsia" w:eastAsiaTheme="majorEastAsia" w:cstheme="majorEastAsia"/>
        </w:rPr>
        <w:t>月</w:t>
      </w:r>
      <w:r>
        <w:rPr>
          <w:rFonts w:hint="eastAsia" w:asciiTheme="majorEastAsia" w:hAnsiTheme="majorEastAsia" w:eastAsiaTheme="majorEastAsia" w:cstheme="majorEastAsia"/>
          <w:lang w:val="en-US" w:eastAsia="zh-CN"/>
        </w:rPr>
        <w:t>06</w:t>
      </w:r>
      <w:r>
        <w:rPr>
          <w:rFonts w:hint="eastAsia" w:asciiTheme="majorEastAsia" w:hAnsiTheme="majorEastAsia" w:eastAsiaTheme="majorEastAsia" w:cstheme="majorEastAsia"/>
        </w:rPr>
        <w:t>日</w:t>
      </w:r>
      <w:r>
        <w:rPr>
          <w:rFonts w:hint="eastAsia" w:asciiTheme="majorEastAsia" w:hAnsiTheme="majorEastAsia" w:eastAsiaTheme="majorEastAsia" w:cstheme="majorEastAsia"/>
          <w:lang w:val="en-US" w:eastAsia="zh-CN"/>
        </w:rPr>
        <w:t>09</w:t>
      </w:r>
      <w:r>
        <w:rPr>
          <w:rFonts w:hint="eastAsia" w:asciiTheme="majorEastAsia" w:hAnsiTheme="majorEastAsia" w:eastAsiaTheme="majorEastAsia" w:cstheme="majorEastAsia"/>
        </w:rPr>
        <w:t>时</w:t>
      </w:r>
      <w:r>
        <w:rPr>
          <w:rFonts w:hint="eastAsia" w:asciiTheme="majorEastAsia" w:hAnsiTheme="majorEastAsia" w:eastAsiaTheme="majorEastAsia" w:cstheme="majorEastAsia"/>
          <w:lang w:val="en-US" w:eastAsia="zh-CN"/>
        </w:rPr>
        <w:t>00</w:t>
      </w:r>
      <w:r>
        <w:rPr>
          <w:rFonts w:hint="eastAsia" w:asciiTheme="majorEastAsia" w:hAnsiTheme="majorEastAsia" w:eastAsiaTheme="majorEastAsia" w:cstheme="majorEastAsia"/>
        </w:rPr>
        <w:t>分（北京时间）；</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2）开标时间：20</w:t>
      </w:r>
      <w:r>
        <w:rPr>
          <w:rFonts w:hint="eastAsia" w:asciiTheme="majorEastAsia" w:hAnsiTheme="majorEastAsia" w:eastAsiaTheme="majorEastAsia" w:cstheme="majorEastAsia"/>
          <w:lang w:val="en-US" w:eastAsia="zh-CN"/>
        </w:rPr>
        <w:t>20</w:t>
      </w:r>
      <w:r>
        <w:rPr>
          <w:rFonts w:hint="eastAsia" w:asciiTheme="majorEastAsia" w:hAnsiTheme="majorEastAsia" w:eastAsiaTheme="majorEastAsia" w:cstheme="majorEastAsia"/>
        </w:rPr>
        <w:t>年</w:t>
      </w:r>
      <w:r>
        <w:rPr>
          <w:rFonts w:hint="eastAsia" w:asciiTheme="majorEastAsia" w:hAnsiTheme="majorEastAsia" w:eastAsiaTheme="majorEastAsia" w:cstheme="majorEastAsia"/>
          <w:lang w:val="en-US" w:eastAsia="zh-CN"/>
        </w:rPr>
        <w:t>01</w:t>
      </w:r>
      <w:r>
        <w:rPr>
          <w:rFonts w:hint="eastAsia" w:asciiTheme="majorEastAsia" w:hAnsiTheme="majorEastAsia" w:eastAsiaTheme="majorEastAsia" w:cstheme="majorEastAsia"/>
        </w:rPr>
        <w:t>月</w:t>
      </w:r>
      <w:r>
        <w:rPr>
          <w:rFonts w:hint="eastAsia" w:asciiTheme="majorEastAsia" w:hAnsiTheme="majorEastAsia" w:eastAsiaTheme="majorEastAsia" w:cstheme="majorEastAsia"/>
          <w:lang w:val="en-US" w:eastAsia="zh-CN"/>
        </w:rPr>
        <w:t>06</w:t>
      </w:r>
      <w:r>
        <w:rPr>
          <w:rFonts w:hint="eastAsia" w:asciiTheme="majorEastAsia" w:hAnsiTheme="majorEastAsia" w:eastAsiaTheme="majorEastAsia" w:cstheme="majorEastAsia"/>
        </w:rPr>
        <w:t>日</w:t>
      </w:r>
      <w:r>
        <w:rPr>
          <w:rFonts w:hint="eastAsia" w:asciiTheme="majorEastAsia" w:hAnsiTheme="majorEastAsia" w:eastAsiaTheme="majorEastAsia" w:cstheme="majorEastAsia"/>
          <w:lang w:val="en-US" w:eastAsia="zh-CN"/>
        </w:rPr>
        <w:t>09</w:t>
      </w:r>
      <w:r>
        <w:rPr>
          <w:rFonts w:hint="eastAsia" w:asciiTheme="majorEastAsia" w:hAnsiTheme="majorEastAsia" w:eastAsiaTheme="majorEastAsia" w:cstheme="majorEastAsia"/>
        </w:rPr>
        <w:t>时</w:t>
      </w:r>
      <w:r>
        <w:rPr>
          <w:rFonts w:hint="eastAsia" w:asciiTheme="majorEastAsia" w:hAnsiTheme="majorEastAsia" w:eastAsiaTheme="majorEastAsia" w:cstheme="majorEastAsia"/>
          <w:lang w:val="en-US" w:eastAsia="zh-CN"/>
        </w:rPr>
        <w:t>00</w:t>
      </w:r>
      <w:r>
        <w:rPr>
          <w:rFonts w:hint="eastAsia" w:asciiTheme="majorEastAsia" w:hAnsiTheme="majorEastAsia" w:eastAsiaTheme="majorEastAsia" w:cstheme="majorEastAsia"/>
        </w:rPr>
        <w:t>分（北京时间）；</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3）递交投标文件及开标地点：海口市公共资源交易中心开标会议室（海口市海甸五西路28号建安大厦副楼</w:t>
      </w:r>
      <w:r>
        <w:rPr>
          <w:rFonts w:hint="eastAsia" w:asciiTheme="majorEastAsia" w:hAnsiTheme="majorEastAsia" w:eastAsiaTheme="majorEastAsia" w:cstheme="majorEastAsia"/>
          <w:lang w:val="en-US" w:eastAsia="zh-CN"/>
        </w:rPr>
        <w:t>203</w:t>
      </w:r>
      <w:r>
        <w:rPr>
          <w:rFonts w:hint="eastAsia" w:asciiTheme="majorEastAsia" w:hAnsiTheme="majorEastAsia" w:eastAsiaTheme="majorEastAsia" w:cstheme="majorEastAsia"/>
        </w:rPr>
        <w:t>开标室会议室）（详见会议室门前标识）,如有变动另行通知；</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4）逾期送达或者未送达指定地点的投标文件，视为无效投标文件不予接收。</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5）在开标时提交电子版、纸质版投标文件；（1）电子版投标文件（标书扫描PDF格式）的递交：电子版投标文件（标书扫描PDF格式）密封，随纸质版投标文件一起递交，否则视为无效投标。（2）投标人提供的电子版投标文件（标书扫描PDF格式）必须与纸质版投标文件的正本保持一致，否则自行承担由此带来的一切风险。</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6）标书售价：招标文件每套售价300.00元（开标现场缴纳，未缴纳标书费用的投标人不得参与本次投标）</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7）投标保证金：151859.00元，缴纳方式：银行转账或银行保函。</w:t>
      </w:r>
    </w:p>
    <w:p>
      <w:pPr>
        <w:pStyle w:val="8"/>
        <w:spacing w:line="360" w:lineRule="auto"/>
        <w:ind w:firstLine="422" w:firstLineChars="200"/>
        <w:rPr>
          <w:rFonts w:asciiTheme="majorEastAsia" w:hAnsiTheme="majorEastAsia" w:eastAsiaTheme="majorEastAsia" w:cstheme="majorEastAsia"/>
          <w:b/>
          <w:bCs/>
        </w:rPr>
      </w:pPr>
      <w:r>
        <w:rPr>
          <w:rFonts w:hint="eastAsia" w:asciiTheme="majorEastAsia" w:hAnsiTheme="majorEastAsia" w:eastAsiaTheme="majorEastAsia" w:cstheme="majorEastAsia"/>
          <w:b/>
          <w:bCs/>
        </w:rPr>
        <w:t>8、采购信息发布媒体</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1）本项目采购信息指定发布媒体为中国海南政府采购网（http://www.ccgp-hainan.gov.cn）和海口市公共资源交易网（http://ggzy.haikou.gov.cn）。</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2）采购文件下载网址海口市公共资源交易网（http://ggzy.haikou.gov.cn）。</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3）有关本项目采购文件的补遗、澄清及变更信息以上述网站公告与下载为准，采购代理机构不再另行通知，采购文件与更正公告的内容相互矛盾时，以最后发出的更正公告内容为准。</w:t>
      </w:r>
    </w:p>
    <w:p>
      <w:pPr>
        <w:pStyle w:val="8"/>
        <w:spacing w:line="360" w:lineRule="auto"/>
        <w:ind w:firstLine="422" w:firstLineChars="200"/>
        <w:rPr>
          <w:rFonts w:asciiTheme="majorEastAsia" w:hAnsiTheme="majorEastAsia" w:eastAsiaTheme="majorEastAsia" w:cstheme="majorEastAsia"/>
          <w:b/>
          <w:bCs/>
        </w:rPr>
      </w:pPr>
      <w:r>
        <w:rPr>
          <w:rFonts w:hint="eastAsia" w:asciiTheme="majorEastAsia" w:hAnsiTheme="majorEastAsia" w:eastAsiaTheme="majorEastAsia" w:cstheme="majorEastAsia"/>
          <w:b/>
          <w:bCs/>
        </w:rPr>
        <w:t>9、公告期限及确认投标获取保证金账户期限</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本项目采购公告及确认投标获取保证金账户期限不少于5个工作日，自2019年</w:t>
      </w:r>
      <w:r>
        <w:rPr>
          <w:rFonts w:hint="eastAsia" w:asciiTheme="majorEastAsia" w:hAnsiTheme="majorEastAsia" w:eastAsiaTheme="majorEastAsia" w:cstheme="majorEastAsia"/>
          <w:lang w:val="en-US" w:eastAsia="zh-CN"/>
        </w:rPr>
        <w:t>12</w:t>
      </w:r>
      <w:r>
        <w:rPr>
          <w:rFonts w:hint="eastAsia" w:asciiTheme="majorEastAsia" w:hAnsiTheme="majorEastAsia" w:eastAsiaTheme="majorEastAsia" w:cstheme="majorEastAsia"/>
        </w:rPr>
        <w:t>月</w:t>
      </w:r>
      <w:r>
        <w:rPr>
          <w:rFonts w:hint="eastAsia" w:asciiTheme="majorEastAsia" w:hAnsiTheme="majorEastAsia" w:eastAsiaTheme="majorEastAsia" w:cstheme="majorEastAsia"/>
          <w:lang w:val="en-US" w:eastAsia="zh-CN"/>
        </w:rPr>
        <w:t>16</w:t>
      </w:r>
      <w:r>
        <w:rPr>
          <w:rFonts w:hint="eastAsia" w:asciiTheme="majorEastAsia" w:hAnsiTheme="majorEastAsia" w:eastAsiaTheme="majorEastAsia" w:cstheme="majorEastAsia"/>
        </w:rPr>
        <w:t>日零时至2019年</w:t>
      </w:r>
      <w:r>
        <w:rPr>
          <w:rFonts w:hint="eastAsia" w:asciiTheme="majorEastAsia" w:hAnsiTheme="majorEastAsia" w:eastAsiaTheme="majorEastAsia" w:cstheme="majorEastAsia"/>
          <w:lang w:val="en-US" w:eastAsia="zh-CN"/>
        </w:rPr>
        <w:t>12</w:t>
      </w:r>
      <w:r>
        <w:rPr>
          <w:rFonts w:hint="eastAsia" w:asciiTheme="majorEastAsia" w:hAnsiTheme="majorEastAsia" w:eastAsiaTheme="majorEastAsia" w:cstheme="majorEastAsia"/>
        </w:rPr>
        <w:t>月</w:t>
      </w:r>
      <w:r>
        <w:rPr>
          <w:rFonts w:hint="eastAsia" w:asciiTheme="majorEastAsia" w:hAnsiTheme="majorEastAsia" w:eastAsiaTheme="majorEastAsia" w:cstheme="majorEastAsia"/>
          <w:lang w:val="en-US" w:eastAsia="zh-CN"/>
        </w:rPr>
        <w:t>23</w:t>
      </w:r>
      <w:r>
        <w:rPr>
          <w:rFonts w:hint="eastAsia" w:asciiTheme="majorEastAsia" w:hAnsiTheme="majorEastAsia" w:eastAsiaTheme="majorEastAsia" w:cstheme="majorEastAsia"/>
        </w:rPr>
        <w:t>日24时止。</w:t>
      </w:r>
    </w:p>
    <w:p>
      <w:pPr>
        <w:pStyle w:val="8"/>
        <w:spacing w:line="360" w:lineRule="auto"/>
        <w:ind w:firstLine="422" w:firstLineChars="200"/>
        <w:rPr>
          <w:rFonts w:asciiTheme="majorEastAsia" w:hAnsiTheme="majorEastAsia" w:eastAsiaTheme="majorEastAsia" w:cstheme="majorEastAsia"/>
          <w:b/>
          <w:bCs/>
        </w:rPr>
      </w:pPr>
      <w:r>
        <w:rPr>
          <w:rFonts w:hint="eastAsia" w:asciiTheme="majorEastAsia" w:hAnsiTheme="majorEastAsia" w:eastAsiaTheme="majorEastAsia" w:cstheme="majorEastAsia"/>
          <w:b/>
          <w:bCs/>
        </w:rPr>
        <w:t>10、采购人、集中采购代理机构名称及联系方式</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采购人名称：海口市园林和环境卫生管理局</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地    址：海口市</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 xml:space="preserve">联 系 人：柳工   </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 xml:space="preserve">联系电话: 0898-68723518　　　    </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采购代理机构：  海南中穗项目管理有限公司</w:t>
      </w:r>
    </w:p>
    <w:p>
      <w:pPr>
        <w:pStyle w:val="8"/>
        <w:spacing w:line="360" w:lineRule="auto"/>
        <w:ind w:left="6090" w:leftChars="200" w:hanging="5670" w:hangingChars="2700"/>
        <w:rPr>
          <w:rFonts w:asciiTheme="majorEastAsia" w:hAnsiTheme="majorEastAsia" w:eastAsiaTheme="majorEastAsia" w:cstheme="majorEastAsia"/>
        </w:rPr>
      </w:pPr>
      <w:r>
        <w:rPr>
          <w:rFonts w:hint="eastAsia" w:asciiTheme="majorEastAsia" w:hAnsiTheme="majorEastAsia" w:eastAsiaTheme="majorEastAsia" w:cstheme="majorEastAsia"/>
        </w:rPr>
        <w:t>地址：海南省海口市美兰区大英山东一路10号海阔天空国瑞城（铂仕苑）3#住宅楼21层2-2101房</w:t>
      </w:r>
    </w:p>
    <w:p>
      <w:pPr>
        <w:pStyle w:val="8"/>
        <w:spacing w:line="360" w:lineRule="auto"/>
        <w:ind w:left="6090" w:leftChars="200" w:hanging="5670" w:hangingChars="2700"/>
        <w:rPr>
          <w:rFonts w:asciiTheme="majorEastAsia" w:hAnsiTheme="majorEastAsia" w:eastAsiaTheme="majorEastAsia" w:cstheme="majorEastAsia"/>
        </w:rPr>
      </w:pPr>
      <w:r>
        <w:rPr>
          <w:rFonts w:hint="eastAsia" w:asciiTheme="majorEastAsia" w:hAnsiTheme="majorEastAsia" w:eastAsiaTheme="majorEastAsia" w:cstheme="majorEastAsia"/>
        </w:rPr>
        <w:t>联系人： 杨工</w:t>
      </w:r>
    </w:p>
    <w:p>
      <w:pPr>
        <w:pStyle w:val="8"/>
        <w:spacing w:line="360" w:lineRule="auto"/>
        <w:ind w:left="6090" w:leftChars="200" w:hanging="5670" w:hangingChars="2700"/>
        <w:rPr>
          <w:rFonts w:hint="eastAsia" w:asciiTheme="majorEastAsia" w:hAnsiTheme="majorEastAsia" w:eastAsiaTheme="majorEastAsia" w:cstheme="majorEastAsia"/>
        </w:rPr>
      </w:pPr>
      <w:r>
        <w:rPr>
          <w:rFonts w:hint="eastAsia" w:asciiTheme="majorEastAsia" w:hAnsiTheme="majorEastAsia" w:eastAsiaTheme="majorEastAsia" w:cstheme="majorEastAsia"/>
        </w:rPr>
        <w:t>电话：0898-65333992</w:t>
      </w:r>
    </w:p>
    <w:p>
      <w:pPr>
        <w:widowControl/>
        <w:jc w:val="left"/>
        <w:rPr>
          <w:rFonts w:asciiTheme="majorEastAsia" w:hAnsiTheme="majorEastAsia" w:eastAsiaTheme="majorEastAsia" w:cstheme="majorEastAsia"/>
          <w:bCs/>
          <w:kern w:val="44"/>
          <w:sz w:val="36"/>
          <w:szCs w:val="44"/>
        </w:rPr>
      </w:pPr>
      <w:r>
        <w:rPr>
          <w:rFonts w:asciiTheme="majorEastAsia" w:hAnsiTheme="majorEastAsia" w:eastAsiaTheme="majorEastAsia" w:cstheme="majorEastAsia"/>
        </w:rPr>
        <w:br w:type="page"/>
      </w:r>
    </w:p>
    <w:p>
      <w:pPr>
        <w:pStyle w:val="2"/>
        <w:spacing w:before="0" w:after="0"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第二章　投标人须知</w:t>
      </w:r>
    </w:p>
    <w:p>
      <w:pPr>
        <w:pStyle w:val="8"/>
        <w:spacing w:line="360" w:lineRule="auto"/>
        <w:ind w:firstLine="420" w:firstLineChars="200"/>
        <w:jc w:val="center"/>
        <w:rPr>
          <w:rFonts w:asciiTheme="majorEastAsia" w:hAnsiTheme="majorEastAsia" w:eastAsiaTheme="majorEastAsia" w:cstheme="majorEastAsia"/>
          <w:b/>
        </w:rPr>
      </w:pPr>
      <w:r>
        <w:rPr>
          <w:rFonts w:hint="eastAsia" w:asciiTheme="majorEastAsia" w:hAnsiTheme="majorEastAsia" w:eastAsiaTheme="majorEastAsia" w:cstheme="majorEastAsia"/>
        </w:rPr>
        <w:t>投标人须知前附表</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注：编列内容填写或选择。</w:t>
      </w:r>
    </w:p>
    <w:tbl>
      <w:tblPr>
        <w:tblStyle w:val="14"/>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2842"/>
        <w:gridCol w:w="5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0"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rPr>
              <w:t>序号</w:t>
            </w:r>
          </w:p>
        </w:tc>
        <w:tc>
          <w:tcPr>
            <w:tcW w:w="2842"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rPr>
              <w:t>条款名称</w:t>
            </w:r>
          </w:p>
        </w:tc>
        <w:tc>
          <w:tcPr>
            <w:tcW w:w="520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0" w:type="dxa"/>
            <w:vMerge w:val="restart"/>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1</w:t>
            </w:r>
          </w:p>
        </w:tc>
        <w:tc>
          <w:tcPr>
            <w:tcW w:w="2842" w:type="dxa"/>
            <w:vAlign w:val="center"/>
          </w:tcPr>
          <w:p>
            <w:pPr>
              <w:pStyle w:val="8"/>
              <w:spacing w:line="360" w:lineRule="auto"/>
              <w:rPr>
                <w:rFonts w:asciiTheme="majorEastAsia" w:hAnsiTheme="majorEastAsia" w:eastAsiaTheme="majorEastAsia" w:cstheme="majorEastAsia"/>
                <w:b/>
              </w:rPr>
            </w:pPr>
            <w:r>
              <w:rPr>
                <w:rFonts w:hint="eastAsia" w:asciiTheme="majorEastAsia" w:hAnsiTheme="majorEastAsia" w:eastAsiaTheme="majorEastAsia" w:cstheme="majorEastAsia"/>
              </w:rPr>
              <w:t>采购项目</w:t>
            </w:r>
          </w:p>
        </w:tc>
        <w:tc>
          <w:tcPr>
            <w:tcW w:w="5206" w:type="dxa"/>
            <w:vAlign w:val="center"/>
          </w:tcPr>
          <w:p>
            <w:pPr>
              <w:pStyle w:val="8"/>
              <w:spacing w:line="360" w:lineRule="auto"/>
              <w:rPr>
                <w:rFonts w:hint="eastAsia" w:asciiTheme="majorEastAsia" w:hAnsiTheme="majorEastAsia" w:eastAsiaTheme="majorEastAsia" w:cstheme="majorEastAsia"/>
                <w:b/>
                <w:lang w:eastAsia="zh-CN"/>
              </w:rPr>
            </w:pPr>
            <w:r>
              <w:rPr>
                <w:rFonts w:hint="eastAsia" w:asciiTheme="majorEastAsia" w:hAnsiTheme="majorEastAsia" w:eastAsiaTheme="majorEastAsia" w:cstheme="majorEastAsia"/>
                <w:lang w:eastAsia="zh-CN"/>
              </w:rPr>
              <w:t>颜春岭垃圾填埋场地块土壤和地下水环境调查（二次招标）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0" w:type="dxa"/>
            <w:vMerge w:val="continue"/>
            <w:vAlign w:val="center"/>
          </w:tcPr>
          <w:p>
            <w:pPr>
              <w:pStyle w:val="8"/>
              <w:spacing w:line="360" w:lineRule="auto"/>
              <w:jc w:val="center"/>
              <w:rPr>
                <w:rFonts w:asciiTheme="majorEastAsia" w:hAnsiTheme="majorEastAsia" w:eastAsiaTheme="majorEastAsia" w:cstheme="majorEastAsia"/>
                <w:b/>
              </w:rPr>
            </w:pPr>
          </w:p>
        </w:tc>
        <w:tc>
          <w:tcPr>
            <w:tcW w:w="2842" w:type="dxa"/>
            <w:vAlign w:val="center"/>
          </w:tcPr>
          <w:p>
            <w:pPr>
              <w:pStyle w:val="8"/>
              <w:spacing w:line="360" w:lineRule="auto"/>
              <w:rPr>
                <w:rFonts w:asciiTheme="majorEastAsia" w:hAnsiTheme="majorEastAsia" w:eastAsiaTheme="majorEastAsia" w:cstheme="majorEastAsia"/>
                <w:b/>
              </w:rPr>
            </w:pPr>
            <w:r>
              <w:rPr>
                <w:rFonts w:hint="eastAsia" w:asciiTheme="majorEastAsia" w:hAnsiTheme="majorEastAsia" w:eastAsiaTheme="majorEastAsia" w:cstheme="majorEastAsia"/>
              </w:rPr>
              <w:t>采购预算</w:t>
            </w:r>
          </w:p>
        </w:tc>
        <w:tc>
          <w:tcPr>
            <w:tcW w:w="5206" w:type="dxa"/>
            <w:vAlign w:val="center"/>
          </w:tcPr>
          <w:p>
            <w:pPr>
              <w:pStyle w:val="8"/>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7592</w:t>
            </w:r>
            <w:r>
              <w:rPr>
                <w:rFonts w:hint="eastAsia" w:asciiTheme="majorEastAsia" w:hAnsiTheme="majorEastAsia" w:eastAsiaTheme="majorEastAsia" w:cstheme="majorEastAsia"/>
                <w:lang w:val="en-US" w:eastAsia="zh-CN"/>
              </w:rPr>
              <w:t>9</w:t>
            </w:r>
            <w:r>
              <w:rPr>
                <w:rFonts w:hint="eastAsia" w:asciiTheme="majorEastAsia" w:hAnsiTheme="majorEastAsia" w:eastAsiaTheme="majorEastAsia" w:cstheme="majorEastAsia"/>
              </w:rPr>
              <w:t>92.00元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1240"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2</w:t>
            </w:r>
          </w:p>
        </w:tc>
        <w:tc>
          <w:tcPr>
            <w:tcW w:w="2842" w:type="dxa"/>
            <w:vAlign w:val="center"/>
          </w:tcPr>
          <w:p>
            <w:pPr>
              <w:pStyle w:val="8"/>
              <w:spacing w:line="360" w:lineRule="auto"/>
              <w:rPr>
                <w:rFonts w:asciiTheme="majorEastAsia" w:hAnsiTheme="majorEastAsia" w:eastAsiaTheme="majorEastAsia" w:cstheme="majorEastAsia"/>
                <w:b/>
              </w:rPr>
            </w:pPr>
            <w:r>
              <w:rPr>
                <w:rFonts w:hint="eastAsia" w:asciiTheme="majorEastAsia" w:hAnsiTheme="majorEastAsia" w:eastAsiaTheme="majorEastAsia" w:cstheme="majorEastAsia"/>
              </w:rPr>
              <w:t>采购人</w:t>
            </w:r>
          </w:p>
        </w:tc>
        <w:tc>
          <w:tcPr>
            <w:tcW w:w="5206" w:type="dxa"/>
            <w:vAlign w:val="center"/>
          </w:tcPr>
          <w:p>
            <w:pPr>
              <w:pStyle w:val="8"/>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名称：海口市园林和环境卫生管理局</w:t>
            </w:r>
          </w:p>
          <w:p>
            <w:pPr>
              <w:pStyle w:val="8"/>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地址：海口市</w:t>
            </w:r>
          </w:p>
          <w:p>
            <w:pPr>
              <w:pStyle w:val="8"/>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电话：</w:t>
            </w:r>
            <w:r>
              <w:rPr>
                <w:rFonts w:asciiTheme="majorEastAsia" w:hAnsiTheme="majorEastAsia" w:eastAsiaTheme="majorEastAsia" w:cstheme="majorEastAsia"/>
              </w:rPr>
              <w:t>0898-68723518</w:t>
            </w:r>
          </w:p>
          <w:p>
            <w:pPr>
              <w:pStyle w:val="8"/>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联系人：柳工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1240"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b/>
              </w:rPr>
              <w:t>3</w:t>
            </w:r>
          </w:p>
        </w:tc>
        <w:tc>
          <w:tcPr>
            <w:tcW w:w="2842" w:type="dxa"/>
            <w:vAlign w:val="center"/>
          </w:tcPr>
          <w:p>
            <w:pPr>
              <w:pStyle w:val="8"/>
              <w:spacing w:line="360" w:lineRule="auto"/>
              <w:rPr>
                <w:rFonts w:asciiTheme="majorEastAsia" w:hAnsiTheme="majorEastAsia" w:eastAsiaTheme="majorEastAsia" w:cstheme="majorEastAsia"/>
                <w:b/>
              </w:rPr>
            </w:pPr>
            <w:r>
              <w:rPr>
                <w:rFonts w:hint="eastAsia" w:asciiTheme="majorEastAsia" w:hAnsiTheme="majorEastAsia" w:eastAsiaTheme="majorEastAsia" w:cstheme="majorEastAsia"/>
              </w:rPr>
              <w:t>采购代理机构</w:t>
            </w:r>
          </w:p>
        </w:tc>
        <w:tc>
          <w:tcPr>
            <w:tcW w:w="5206" w:type="dxa"/>
            <w:vAlign w:val="center"/>
          </w:tcPr>
          <w:p>
            <w:pPr>
              <w:pStyle w:val="8"/>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名称：海南中穗项目管理有限公司</w:t>
            </w:r>
          </w:p>
          <w:p>
            <w:pPr>
              <w:pStyle w:val="8"/>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地址：海南省海口市美兰区大英山东一路10号海阔天空国瑞城（铂仕苑）3#住宅楼21层2-2101房</w:t>
            </w:r>
          </w:p>
          <w:p>
            <w:pPr>
              <w:pStyle w:val="8"/>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电话：杨工</w:t>
            </w:r>
          </w:p>
          <w:p>
            <w:pPr>
              <w:pStyle w:val="8"/>
              <w:spacing w:line="360" w:lineRule="auto"/>
              <w:rPr>
                <w:rFonts w:hint="default" w:asciiTheme="majorEastAsia" w:hAnsiTheme="majorEastAsia" w:eastAsiaTheme="majorEastAsia" w:cstheme="majorEastAsia"/>
                <w:lang w:val="en-US" w:eastAsia="zh-CN"/>
              </w:rPr>
            </w:pPr>
            <w:r>
              <w:rPr>
                <w:rFonts w:hint="eastAsia" w:asciiTheme="majorEastAsia" w:hAnsiTheme="majorEastAsia" w:eastAsiaTheme="majorEastAsia" w:cstheme="majorEastAsia"/>
              </w:rPr>
              <w:t>联系人： 0898-</w:t>
            </w:r>
            <w:r>
              <w:rPr>
                <w:rFonts w:hint="eastAsia" w:asciiTheme="majorEastAsia" w:hAnsiTheme="majorEastAsia" w:eastAsiaTheme="majorEastAsia" w:cstheme="majorEastAsia"/>
                <w:lang w:val="en-US" w:eastAsia="zh-CN"/>
              </w:rPr>
              <w:t>65333992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0"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4</w:t>
            </w:r>
          </w:p>
        </w:tc>
        <w:tc>
          <w:tcPr>
            <w:tcW w:w="2842"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投标人资格条件</w:t>
            </w:r>
          </w:p>
        </w:tc>
        <w:tc>
          <w:tcPr>
            <w:tcW w:w="5206" w:type="dxa"/>
            <w:vAlign w:val="center"/>
          </w:tcPr>
          <w:p>
            <w:pPr>
              <w:pStyle w:val="8"/>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1）、在中华人民共和国注册，具有独立承担民事责任能力的法人，需提供营业执照副本、组织机构代码证副本、税务登记证副本等有效证件复印件，并加盖公章（提供“一照三号”或“一照一码”营业执照副本也视为同等有效证明）；</w:t>
            </w:r>
          </w:p>
          <w:p>
            <w:pPr>
              <w:pStyle w:val="8"/>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（2）、应具有依法缴纳税收和社会保障资金的良好记录（提供2018年至今任意一个月依法缴纳税收及社会保障资金的凭证）（加盖本单位公章）；</w:t>
            </w:r>
          </w:p>
          <w:p>
            <w:pPr>
              <w:pStyle w:val="8"/>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（3）、提供参加政府采购活动前三年内，在经营活动中没有重大违法记录的声明函（加盖公章）；</w:t>
            </w:r>
          </w:p>
          <w:p>
            <w:pPr>
              <w:pStyle w:val="8"/>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4）、投标人未被列入“中国执行信息公开网”网站（http://zxgk.court.gov.cn/shixin/）失信被执行人名单、未被列入“国家税务总局”网站（http://hd.chinatax.gov.cn/nszx/InitMajor.html）重大税收违法案件当事人名单和未被列入“中国政府采购网”网站（http://www.ccgp.gov.cn/search/cr/））政府采购严重违法失信行为记录名单（提供信息查询结果界面截图或打印结果，加盖投标人公章）；</w:t>
            </w:r>
          </w:p>
          <w:p>
            <w:pPr>
              <w:pStyle w:val="8"/>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（5）购买本项目招标文件并缴纳投标保证金；</w:t>
            </w:r>
          </w:p>
          <w:p>
            <w:pPr>
              <w:pStyle w:val="8"/>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（6）本项目接受联合体投标，但不多于2家。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0"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5</w:t>
            </w:r>
          </w:p>
        </w:tc>
        <w:tc>
          <w:tcPr>
            <w:tcW w:w="2842"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领取采购文件需提供的资料</w:t>
            </w:r>
          </w:p>
        </w:tc>
        <w:tc>
          <w:tcPr>
            <w:tcW w:w="5206"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网上获取，线下支付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1240"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6</w:t>
            </w:r>
          </w:p>
        </w:tc>
        <w:tc>
          <w:tcPr>
            <w:tcW w:w="2842"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联合体投标</w:t>
            </w:r>
          </w:p>
        </w:tc>
        <w:tc>
          <w:tcPr>
            <w:tcW w:w="5206"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□不接受</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b/>
                <w:bdr w:val="single" w:color="auto" w:sz="4" w:space="0"/>
              </w:rPr>
              <w:t>√</w:t>
            </w:r>
            <w:r>
              <w:rPr>
                <w:rFonts w:hint="eastAsia" w:asciiTheme="majorEastAsia" w:hAnsiTheme="majorEastAsia" w:eastAsiaTheme="majorEastAsia" w:cstheme="majorEastAsia"/>
              </w:rPr>
              <w:t>接受（不多于2家公司组成的联合体）</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□其他____________________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jc w:val="center"/>
        </w:trPr>
        <w:tc>
          <w:tcPr>
            <w:tcW w:w="1240"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7</w:t>
            </w:r>
          </w:p>
        </w:tc>
        <w:tc>
          <w:tcPr>
            <w:tcW w:w="2842"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采购进口产品</w:t>
            </w:r>
          </w:p>
        </w:tc>
        <w:tc>
          <w:tcPr>
            <w:tcW w:w="5206"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b/>
                <w:spacing w:val="-300"/>
                <w:w w:val="99"/>
                <w:position w:val="-3"/>
                <w:sz w:val="36"/>
              </w:rPr>
              <w:t>□</w:t>
            </w:r>
            <w:r>
              <w:rPr>
                <w:rFonts w:hint="eastAsia" w:asciiTheme="majorEastAsia" w:hAnsiTheme="majorEastAsia" w:eastAsiaTheme="majorEastAsia" w:cstheme="majorEastAsia"/>
                <w:b/>
                <w:w w:val="99"/>
                <w:sz w:val="24"/>
              </w:rPr>
              <w:t xml:space="preserve">√ </w:t>
            </w:r>
            <w:r>
              <w:rPr>
                <w:rFonts w:hint="eastAsia" w:asciiTheme="majorEastAsia" w:hAnsiTheme="majorEastAsia" w:eastAsiaTheme="majorEastAsia" w:cstheme="majorEastAsia"/>
              </w:rPr>
              <w:t>本采购项目拒绝进口产品参加投标</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□本采购项目已经财政部审核同意购买进口产品</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□其他____________________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jc w:val="center"/>
        </w:trPr>
        <w:tc>
          <w:tcPr>
            <w:tcW w:w="1240"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8</w:t>
            </w:r>
          </w:p>
        </w:tc>
        <w:tc>
          <w:tcPr>
            <w:tcW w:w="2842"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政府采购强制采购：节能产品</w:t>
            </w:r>
          </w:p>
        </w:tc>
        <w:tc>
          <w:tcPr>
            <w:tcW w:w="5206"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b/>
                <w:spacing w:val="-300"/>
                <w:w w:val="99"/>
                <w:position w:val="-3"/>
                <w:sz w:val="36"/>
              </w:rPr>
              <w:t>□</w:t>
            </w:r>
            <w:r>
              <w:rPr>
                <w:rFonts w:hint="eastAsia" w:asciiTheme="majorEastAsia" w:hAnsiTheme="majorEastAsia" w:eastAsiaTheme="majorEastAsia" w:cstheme="majorEastAsia"/>
                <w:b/>
                <w:w w:val="99"/>
                <w:sz w:val="24"/>
              </w:rPr>
              <w:t xml:space="preserve">√ </w:t>
            </w:r>
            <w:r>
              <w:rPr>
                <w:rFonts w:hint="eastAsia" w:asciiTheme="majorEastAsia" w:hAnsiTheme="majorEastAsia" w:eastAsiaTheme="majorEastAsia" w:cstheme="majorEastAsia"/>
              </w:rPr>
              <w:t>否</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□是，采购《节能产品政府采购清单》(第__期)内的产品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0" w:type="dxa"/>
            <w:vMerge w:val="restart"/>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9</w:t>
            </w:r>
          </w:p>
        </w:tc>
        <w:tc>
          <w:tcPr>
            <w:tcW w:w="2842"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政府采购优先采购：节能产品(非强制类)</w:t>
            </w:r>
          </w:p>
        </w:tc>
        <w:tc>
          <w:tcPr>
            <w:tcW w:w="5206"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0" w:type="dxa"/>
            <w:vMerge w:val="continue"/>
            <w:vAlign w:val="center"/>
          </w:tcPr>
          <w:p>
            <w:pPr>
              <w:pStyle w:val="8"/>
              <w:spacing w:line="360" w:lineRule="auto"/>
              <w:jc w:val="center"/>
              <w:rPr>
                <w:rFonts w:asciiTheme="majorEastAsia" w:hAnsiTheme="majorEastAsia" w:eastAsiaTheme="majorEastAsia" w:cstheme="majorEastAsia"/>
              </w:rPr>
            </w:pPr>
          </w:p>
        </w:tc>
        <w:tc>
          <w:tcPr>
            <w:tcW w:w="284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政府采购优先采购：环境标志产品</w:t>
            </w:r>
          </w:p>
        </w:tc>
        <w:tc>
          <w:tcPr>
            <w:tcW w:w="5206"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atLeast"/>
          <w:jc w:val="center"/>
        </w:trPr>
        <w:tc>
          <w:tcPr>
            <w:tcW w:w="1240" w:type="dxa"/>
            <w:vMerge w:val="continue"/>
            <w:vAlign w:val="center"/>
          </w:tcPr>
          <w:p>
            <w:pPr>
              <w:pStyle w:val="8"/>
              <w:spacing w:line="360" w:lineRule="auto"/>
              <w:jc w:val="center"/>
              <w:rPr>
                <w:rFonts w:asciiTheme="majorEastAsia" w:hAnsiTheme="majorEastAsia" w:eastAsiaTheme="majorEastAsia" w:cstheme="majorEastAsia"/>
              </w:rPr>
            </w:pPr>
          </w:p>
        </w:tc>
        <w:tc>
          <w:tcPr>
            <w:tcW w:w="284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支持中小企业发展</w:t>
            </w:r>
          </w:p>
        </w:tc>
        <w:tc>
          <w:tcPr>
            <w:tcW w:w="5206"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b/>
              </w:rPr>
              <w:t xml:space="preserve">□ </w:t>
            </w:r>
            <w:r>
              <w:rPr>
                <w:rFonts w:hint="eastAsia" w:asciiTheme="majorEastAsia" w:hAnsiTheme="majorEastAsia" w:eastAsiaTheme="majorEastAsia" w:cstheme="majorEastAsia"/>
              </w:rPr>
              <w:t>专门面向中小企业采购项目</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b/>
                <w:spacing w:val="-300"/>
                <w:w w:val="99"/>
                <w:position w:val="-3"/>
                <w:sz w:val="36"/>
              </w:rPr>
              <w:t>□</w:t>
            </w:r>
            <w:r>
              <w:rPr>
                <w:rFonts w:hint="eastAsia" w:asciiTheme="majorEastAsia" w:hAnsiTheme="majorEastAsia" w:eastAsiaTheme="majorEastAsia" w:cstheme="majorEastAsia"/>
                <w:b/>
                <w:w w:val="99"/>
                <w:sz w:val="24"/>
              </w:rPr>
              <w:t>√</w:t>
            </w:r>
            <w:r>
              <w:rPr>
                <w:rFonts w:hint="eastAsia" w:asciiTheme="majorEastAsia" w:hAnsiTheme="majorEastAsia" w:eastAsiaTheme="majorEastAsia" w:cstheme="majorEastAsia"/>
              </w:rPr>
              <w:t>非专门面向中小企业采购项目。对小型和微型企业产品的价格给予</w:t>
            </w:r>
            <w:r>
              <w:rPr>
                <w:rFonts w:hint="eastAsia" w:asciiTheme="majorEastAsia" w:hAnsiTheme="majorEastAsia" w:eastAsiaTheme="majorEastAsia" w:cstheme="majorEastAsia"/>
                <w:b/>
              </w:rPr>
              <w:t>6%</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10%</w:t>
            </w:r>
            <w:r>
              <w:rPr>
                <w:rFonts w:hint="eastAsia" w:asciiTheme="majorEastAsia" w:hAnsiTheme="majorEastAsia" w:eastAsiaTheme="majorEastAsia" w:cstheme="majorEastAsia"/>
              </w:rPr>
              <w:t>的扣除，用扣除后的价格参与评审，本项目的扣除比例为：小型企业扣除6</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，微型企业扣除8</w:t>
            </w:r>
            <w:r>
              <w:rPr>
                <w:rFonts w:hint="eastAsia" w:asciiTheme="majorEastAsia" w:hAnsiTheme="majorEastAsia" w:eastAsiaTheme="majorEastAsia" w:cstheme="majorEastAsia"/>
                <w:b/>
              </w:rPr>
              <w:t>%，</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□其他________________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0" w:type="dxa"/>
            <w:vMerge w:val="continue"/>
            <w:vAlign w:val="center"/>
          </w:tcPr>
          <w:p>
            <w:pPr>
              <w:pStyle w:val="8"/>
              <w:spacing w:line="360" w:lineRule="auto"/>
              <w:jc w:val="center"/>
              <w:rPr>
                <w:rFonts w:asciiTheme="majorEastAsia" w:hAnsiTheme="majorEastAsia" w:eastAsiaTheme="majorEastAsia" w:cstheme="majorEastAsia"/>
                <w:b/>
              </w:rPr>
            </w:pPr>
          </w:p>
        </w:tc>
        <w:tc>
          <w:tcPr>
            <w:tcW w:w="2842"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信息安全认证</w:t>
            </w:r>
          </w:p>
        </w:tc>
        <w:tc>
          <w:tcPr>
            <w:tcW w:w="5206"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w:t>
            </w:r>
          </w:p>
        </w:tc>
      </w:tr>
    </w:tbl>
    <w:p>
      <w:pPr>
        <w:pStyle w:val="8"/>
        <w:rPr>
          <w:rFonts w:asciiTheme="majorEastAsia" w:hAnsiTheme="majorEastAsia" w:eastAsiaTheme="majorEastAsia" w:cstheme="majorEastAsia"/>
        </w:rPr>
      </w:pPr>
    </w:p>
    <w:tbl>
      <w:tblPr>
        <w:tblStyle w:val="14"/>
        <w:tblW w:w="92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2870"/>
        <w:gridCol w:w="5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rPr>
              <w:t>序号</w:t>
            </w:r>
          </w:p>
        </w:tc>
        <w:tc>
          <w:tcPr>
            <w:tcW w:w="2870"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rPr>
              <w:t>条款名称</w:t>
            </w:r>
          </w:p>
        </w:tc>
        <w:tc>
          <w:tcPr>
            <w:tcW w:w="5162"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10</w:t>
            </w:r>
          </w:p>
        </w:tc>
        <w:tc>
          <w:tcPr>
            <w:tcW w:w="2870"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其他法律法规强制性规定或扶持政策</w:t>
            </w:r>
          </w:p>
        </w:tc>
        <w:tc>
          <w:tcPr>
            <w:tcW w:w="5162"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117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11</w:t>
            </w:r>
          </w:p>
        </w:tc>
        <w:tc>
          <w:tcPr>
            <w:tcW w:w="2870"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履约保证金</w:t>
            </w:r>
          </w:p>
        </w:tc>
        <w:tc>
          <w:tcPr>
            <w:tcW w:w="5162" w:type="dxa"/>
            <w:vAlign w:val="center"/>
          </w:tcPr>
          <w:p>
            <w:pPr>
              <w:pStyle w:val="20"/>
              <w:spacing w:before="79" w:line="360" w:lineRule="auto"/>
              <w:ind w:right="16"/>
              <w:rPr>
                <w:rFonts w:asciiTheme="majorEastAsia" w:hAnsiTheme="majorEastAsia" w:eastAsiaTheme="majorEastAsia" w:cstheme="majorEastAsia"/>
              </w:rPr>
            </w:pPr>
            <w:r>
              <w:rPr>
                <w:rFonts w:hint="eastAsia" w:asciiTheme="majorEastAsia" w:hAnsiTheme="majorEastAsia" w:eastAsiaTheme="majorEastAsia" w:cstheme="majorEastAsia"/>
                <w:szCs w:val="21"/>
                <w:lang w:val="en-US" w:bidi="ar-SA"/>
              </w:rPr>
              <w:t>投标人不能低于成本价恶意报价，如中标人的报价过低，明显不符合市场价格，则采购人有权要求中标人提供预算金额的 10% 作为履约保证金，同时预付款比例调整为 0%。如中标人在实施过程中偷工减料、不按工期完成项目，则采购人有权终止合同，没收履约保证金，并报主管部门严肃处理。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7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12</w:t>
            </w:r>
          </w:p>
        </w:tc>
        <w:tc>
          <w:tcPr>
            <w:tcW w:w="2870" w:type="dxa"/>
          </w:tcPr>
          <w:p>
            <w:pPr>
              <w:pStyle w:val="20"/>
              <w:spacing w:before="79" w:line="360" w:lineRule="auto"/>
              <w:ind w:right="16"/>
              <w:rPr>
                <w:rFonts w:asciiTheme="majorEastAsia" w:hAnsiTheme="majorEastAsia" w:eastAsiaTheme="majorEastAsia" w:cstheme="majorEastAsia"/>
                <w:szCs w:val="21"/>
                <w:lang w:val="en-US" w:bidi="ar-SA"/>
              </w:rPr>
            </w:pPr>
            <w:r>
              <w:rPr>
                <w:rFonts w:hint="eastAsia" w:asciiTheme="majorEastAsia" w:hAnsiTheme="majorEastAsia" w:eastAsiaTheme="majorEastAsia" w:cstheme="majorEastAsia"/>
                <w:szCs w:val="21"/>
                <w:lang w:val="en-US" w:bidi="ar-SA"/>
              </w:rPr>
              <w:t>完成时间</w:t>
            </w:r>
          </w:p>
        </w:tc>
        <w:tc>
          <w:tcPr>
            <w:tcW w:w="5162" w:type="dxa"/>
          </w:tcPr>
          <w:p>
            <w:pPr>
              <w:pStyle w:val="20"/>
              <w:spacing w:before="79" w:line="360" w:lineRule="auto"/>
              <w:ind w:right="16"/>
              <w:rPr>
                <w:rFonts w:asciiTheme="majorEastAsia" w:hAnsiTheme="majorEastAsia" w:eastAsiaTheme="majorEastAsia" w:cstheme="majorEastAsia"/>
                <w:szCs w:val="21"/>
                <w:lang w:val="en-US" w:bidi="ar-SA"/>
              </w:rPr>
            </w:pPr>
            <w:r>
              <w:rPr>
                <w:rFonts w:hint="eastAsia" w:asciiTheme="majorEastAsia" w:hAnsiTheme="majorEastAsia" w:eastAsiaTheme="majorEastAsia" w:cstheme="majorEastAsia"/>
                <w:szCs w:val="21"/>
                <w:lang w:val="en-US" w:bidi="ar-SA"/>
              </w:rPr>
              <w:t>签订任务委托合同后四个月内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7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13</w:t>
            </w:r>
          </w:p>
        </w:tc>
        <w:tc>
          <w:tcPr>
            <w:tcW w:w="2870"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提交投标文件的</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截止时间、地点</w:t>
            </w:r>
          </w:p>
        </w:tc>
        <w:tc>
          <w:tcPr>
            <w:tcW w:w="516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时间：20</w:t>
            </w:r>
            <w:r>
              <w:rPr>
                <w:rFonts w:hint="eastAsia" w:asciiTheme="majorEastAsia" w:hAnsiTheme="majorEastAsia" w:eastAsiaTheme="majorEastAsia" w:cstheme="majorEastAsia"/>
                <w:lang w:val="en-US" w:eastAsia="zh-CN"/>
              </w:rPr>
              <w:t>20</w:t>
            </w:r>
            <w:r>
              <w:rPr>
                <w:rFonts w:hint="eastAsia" w:asciiTheme="majorEastAsia" w:hAnsiTheme="majorEastAsia" w:eastAsiaTheme="majorEastAsia" w:cstheme="majorEastAsia"/>
              </w:rPr>
              <w:t>年</w:t>
            </w:r>
            <w:r>
              <w:rPr>
                <w:rFonts w:hint="eastAsia" w:asciiTheme="majorEastAsia" w:hAnsiTheme="majorEastAsia" w:eastAsiaTheme="majorEastAsia" w:cstheme="majorEastAsia"/>
                <w:lang w:val="en-US" w:eastAsia="zh-CN"/>
              </w:rPr>
              <w:t>01</w:t>
            </w:r>
            <w:r>
              <w:rPr>
                <w:rFonts w:hint="eastAsia" w:asciiTheme="majorEastAsia" w:hAnsiTheme="majorEastAsia" w:eastAsiaTheme="majorEastAsia" w:cstheme="majorEastAsia"/>
              </w:rPr>
              <w:t>月</w:t>
            </w:r>
            <w:r>
              <w:rPr>
                <w:rFonts w:hint="eastAsia" w:asciiTheme="majorEastAsia" w:hAnsiTheme="majorEastAsia" w:eastAsiaTheme="majorEastAsia" w:cstheme="majorEastAsia"/>
                <w:lang w:val="en-US" w:eastAsia="zh-CN"/>
              </w:rPr>
              <w:t>06</w:t>
            </w:r>
            <w:r>
              <w:rPr>
                <w:rFonts w:hint="eastAsia" w:asciiTheme="majorEastAsia" w:hAnsiTheme="majorEastAsia" w:eastAsiaTheme="majorEastAsia" w:cstheme="majorEastAsia"/>
              </w:rPr>
              <w:t>日</w:t>
            </w:r>
            <w:r>
              <w:rPr>
                <w:rFonts w:hint="eastAsia" w:asciiTheme="majorEastAsia" w:hAnsiTheme="majorEastAsia" w:eastAsiaTheme="majorEastAsia" w:cstheme="majorEastAsia"/>
                <w:lang w:val="en-US" w:eastAsia="zh-CN"/>
              </w:rPr>
              <w:t>09</w:t>
            </w:r>
            <w:r>
              <w:rPr>
                <w:rFonts w:hint="eastAsia" w:asciiTheme="majorEastAsia" w:hAnsiTheme="majorEastAsia" w:eastAsiaTheme="majorEastAsia" w:cstheme="majorEastAsia"/>
              </w:rPr>
              <w:t>时</w:t>
            </w:r>
            <w:r>
              <w:rPr>
                <w:rFonts w:hint="eastAsia" w:asciiTheme="majorEastAsia" w:hAnsiTheme="majorEastAsia" w:eastAsiaTheme="majorEastAsia" w:cstheme="majorEastAsia"/>
                <w:lang w:val="en-US" w:eastAsia="zh-CN"/>
              </w:rPr>
              <w:t>00</w:t>
            </w:r>
            <w:r>
              <w:rPr>
                <w:rFonts w:hint="eastAsia" w:asciiTheme="majorEastAsia" w:hAnsiTheme="majorEastAsia" w:eastAsiaTheme="majorEastAsia" w:cstheme="majorEastAsia"/>
              </w:rPr>
              <w:t>分(北京时间)</w:t>
            </w:r>
          </w:p>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地点：海口市公共资源交易中心开标会议室（海口市海甸五西路28号建安大厦副楼</w:t>
            </w:r>
            <w:r>
              <w:rPr>
                <w:rFonts w:hint="eastAsia" w:asciiTheme="majorEastAsia" w:hAnsiTheme="majorEastAsia" w:eastAsiaTheme="majorEastAsia" w:cstheme="majorEastAsia"/>
                <w:lang w:val="en-US" w:eastAsia="zh-CN"/>
              </w:rPr>
              <w:t>203</w:t>
            </w:r>
            <w:r>
              <w:rPr>
                <w:rFonts w:hint="eastAsia" w:asciiTheme="majorEastAsia" w:hAnsiTheme="majorEastAsia" w:eastAsiaTheme="majorEastAsia" w:cstheme="majorEastAsia"/>
              </w:rPr>
              <w:t>开标室会议室）（详见会议室门前标识）,如有变动另行通知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14</w:t>
            </w:r>
          </w:p>
        </w:tc>
        <w:tc>
          <w:tcPr>
            <w:tcW w:w="2870"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澄清或者修改时间</w:t>
            </w:r>
          </w:p>
        </w:tc>
        <w:tc>
          <w:tcPr>
            <w:tcW w:w="5162"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提交投标文件截止时间 15 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117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15</w:t>
            </w:r>
          </w:p>
        </w:tc>
        <w:tc>
          <w:tcPr>
            <w:tcW w:w="2870"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备选方案</w:t>
            </w:r>
          </w:p>
        </w:tc>
        <w:tc>
          <w:tcPr>
            <w:tcW w:w="516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b/>
                <w:w w:val="99"/>
                <w:sz w:val="24"/>
                <w:bdr w:val="single" w:color="auto" w:sz="4" w:space="0"/>
              </w:rPr>
              <w:t>√</w:t>
            </w:r>
            <w:r>
              <w:rPr>
                <w:rFonts w:hint="eastAsia" w:asciiTheme="majorEastAsia" w:hAnsiTheme="majorEastAsia" w:eastAsiaTheme="majorEastAsia" w:cstheme="majorEastAsia"/>
              </w:rPr>
              <w:t>不接受</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□接受</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□其他____________________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117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16</w:t>
            </w:r>
          </w:p>
        </w:tc>
        <w:tc>
          <w:tcPr>
            <w:tcW w:w="2870"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项目特殊要求</w:t>
            </w:r>
          </w:p>
        </w:tc>
        <w:tc>
          <w:tcPr>
            <w:tcW w:w="5162"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jc w:val="center"/>
        </w:trPr>
        <w:tc>
          <w:tcPr>
            <w:tcW w:w="117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17</w:t>
            </w:r>
          </w:p>
        </w:tc>
        <w:tc>
          <w:tcPr>
            <w:tcW w:w="2870"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投标保证金</w:t>
            </w:r>
          </w:p>
        </w:tc>
        <w:tc>
          <w:tcPr>
            <w:tcW w:w="516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 不要求提供</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√要求提供，数额不得超过采购项目预算金额的2%，本项目的投标保证金为人民币151859.00元，提交方式为：银行转账或银行保函。</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保证金账户信息：交易系统随机分配的唯一账号。</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保证金到账截止日期：20</w:t>
            </w:r>
            <w:r>
              <w:rPr>
                <w:rFonts w:hint="eastAsia" w:asciiTheme="majorEastAsia" w:hAnsiTheme="majorEastAsia" w:eastAsiaTheme="majorEastAsia" w:cstheme="majorEastAsia"/>
                <w:lang w:val="en-US" w:eastAsia="zh-CN"/>
              </w:rPr>
              <w:t>20</w:t>
            </w:r>
            <w:r>
              <w:rPr>
                <w:rFonts w:hint="eastAsia" w:asciiTheme="majorEastAsia" w:hAnsiTheme="majorEastAsia" w:eastAsiaTheme="majorEastAsia" w:cstheme="majorEastAsia"/>
              </w:rPr>
              <w:t>年</w:t>
            </w:r>
            <w:r>
              <w:rPr>
                <w:rFonts w:hint="eastAsia" w:asciiTheme="majorEastAsia" w:hAnsiTheme="majorEastAsia" w:eastAsiaTheme="majorEastAsia" w:cstheme="majorEastAsia"/>
                <w:lang w:val="en-US" w:eastAsia="zh-CN"/>
              </w:rPr>
              <w:t>01</w:t>
            </w:r>
            <w:r>
              <w:rPr>
                <w:rFonts w:hint="eastAsia" w:asciiTheme="majorEastAsia" w:hAnsiTheme="majorEastAsia" w:eastAsiaTheme="majorEastAsia" w:cstheme="majorEastAsia"/>
              </w:rPr>
              <w:t>月</w:t>
            </w:r>
            <w:r>
              <w:rPr>
                <w:rFonts w:hint="eastAsia" w:asciiTheme="majorEastAsia" w:hAnsiTheme="majorEastAsia" w:eastAsiaTheme="majorEastAsia" w:cstheme="majorEastAsia"/>
                <w:lang w:val="en-US" w:eastAsia="zh-CN"/>
              </w:rPr>
              <w:t>06</w:t>
            </w:r>
            <w:r>
              <w:rPr>
                <w:rFonts w:hint="eastAsia" w:asciiTheme="majorEastAsia" w:hAnsiTheme="majorEastAsia" w:eastAsiaTheme="majorEastAsia" w:cstheme="majorEastAsia"/>
              </w:rPr>
              <w:t>日</w:t>
            </w:r>
            <w:r>
              <w:rPr>
                <w:rFonts w:hint="eastAsia" w:asciiTheme="majorEastAsia" w:hAnsiTheme="majorEastAsia" w:eastAsiaTheme="majorEastAsia" w:cstheme="majorEastAsia"/>
                <w:lang w:val="en-US" w:eastAsia="zh-CN"/>
              </w:rPr>
              <w:t>09:00</w:t>
            </w:r>
            <w:r>
              <w:rPr>
                <w:rFonts w:hint="eastAsia" w:asciiTheme="majorEastAsia" w:hAnsiTheme="majorEastAsia" w:eastAsiaTheme="majorEastAsia" w:cstheme="majorEastAsia"/>
              </w:rPr>
              <w:t>前（北京时间）</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银行保函要求：</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1）银行保函受益人为海口市园林和环境卫生管理局；</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2）开标现场提交银行保函原件并出具书面承诺原件（投标文件中提供复印件加盖公章）：承诺保函合法有效并接受社会监督（评审结束后，所有保函网上公示）；</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3）银行保函递交截止时间：投标保证金截止时间。</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4 ）海口市公共资源交易中心负责保函的保管和存档。</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如投标人的投标保证金未按要求到账的（或递交银行保函及承诺函的），视为无效投标并不接收投标文件。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18</w:t>
            </w:r>
          </w:p>
        </w:tc>
        <w:tc>
          <w:tcPr>
            <w:tcW w:w="2870"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投标有效期</w:t>
            </w:r>
          </w:p>
        </w:tc>
        <w:tc>
          <w:tcPr>
            <w:tcW w:w="5162"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60日(日历日)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117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19</w:t>
            </w:r>
          </w:p>
        </w:tc>
        <w:tc>
          <w:tcPr>
            <w:tcW w:w="2870"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投标文件份数</w:t>
            </w:r>
          </w:p>
        </w:tc>
        <w:tc>
          <w:tcPr>
            <w:tcW w:w="516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正本1份，</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副本4份，</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电子文件1份</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rPr>
              <w:t>电子版投标文件（标书扫描PDF格式）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17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20</w:t>
            </w:r>
          </w:p>
        </w:tc>
        <w:tc>
          <w:tcPr>
            <w:tcW w:w="2870"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封套上应载明的信息</w:t>
            </w:r>
          </w:p>
        </w:tc>
        <w:tc>
          <w:tcPr>
            <w:tcW w:w="516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________________(项目名称)投标文件</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项目编号：________________</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在____年____月____日____时____分之前不得启封</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投标人名称：________________</w:t>
            </w:r>
          </w:p>
          <w:p>
            <w:pPr>
              <w:pStyle w:val="8"/>
              <w:spacing w:line="360" w:lineRule="auto"/>
              <w:jc w:val="left"/>
              <w:rPr>
                <w:rFonts w:asciiTheme="majorEastAsia" w:hAnsiTheme="majorEastAsia" w:eastAsiaTheme="majorEastAsia" w:cstheme="majorEastAsia"/>
                <w:u w:val="single"/>
              </w:rPr>
            </w:pPr>
            <w:r>
              <w:rPr>
                <w:rFonts w:hint="eastAsia" w:asciiTheme="majorEastAsia" w:hAnsiTheme="majorEastAsia" w:eastAsiaTheme="majorEastAsia" w:cstheme="majorEastAsia"/>
              </w:rPr>
              <w:t>投标人地址：</w:t>
            </w:r>
          </w:p>
          <w:p>
            <w:pPr>
              <w:pStyle w:val="8"/>
              <w:spacing w:line="360" w:lineRule="auto"/>
              <w:jc w:val="left"/>
              <w:rPr>
                <w:rFonts w:asciiTheme="majorEastAsia" w:hAnsiTheme="majorEastAsia" w:eastAsiaTheme="majorEastAsia" w:cstheme="majorEastAsia"/>
                <w:u w:val="single"/>
              </w:rPr>
            </w:pPr>
            <w:r>
              <w:rPr>
                <w:rFonts w:hint="eastAsia" w:asciiTheme="majorEastAsia" w:hAnsiTheme="majorEastAsia" w:eastAsiaTheme="majorEastAsia" w:cstheme="majorEastAsia"/>
              </w:rPr>
              <w:t>联系电话：</w:t>
            </w:r>
          </w:p>
          <w:p>
            <w:pPr>
              <w:pStyle w:val="8"/>
              <w:spacing w:line="360" w:lineRule="auto"/>
              <w:jc w:val="left"/>
              <w:rPr>
                <w:rFonts w:asciiTheme="majorEastAsia" w:hAnsiTheme="majorEastAsia" w:eastAsiaTheme="majorEastAsia" w:cstheme="majorEastAsia"/>
                <w:u w:val="single"/>
              </w:rPr>
            </w:pPr>
            <w:r>
              <w:rPr>
                <w:rFonts w:hint="eastAsia" w:asciiTheme="majorEastAsia" w:hAnsiTheme="majorEastAsia" w:eastAsiaTheme="majorEastAsia" w:cstheme="majorEastAsia"/>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21</w:t>
            </w:r>
          </w:p>
        </w:tc>
        <w:tc>
          <w:tcPr>
            <w:tcW w:w="2870"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开标时间、地点</w:t>
            </w:r>
          </w:p>
        </w:tc>
        <w:tc>
          <w:tcPr>
            <w:tcW w:w="5162" w:type="dxa"/>
            <w:vAlign w:val="center"/>
          </w:tcPr>
          <w:p>
            <w:pPr>
              <w:pStyle w:val="20"/>
              <w:spacing w:before="79" w:line="360" w:lineRule="auto"/>
              <w:rPr>
                <w:rFonts w:asciiTheme="majorEastAsia" w:hAnsiTheme="majorEastAsia" w:eastAsiaTheme="majorEastAsia" w:cstheme="majorEastAsia"/>
                <w:szCs w:val="21"/>
                <w:lang w:val="en-US" w:bidi="ar-SA"/>
              </w:rPr>
            </w:pPr>
            <w:r>
              <w:rPr>
                <w:rFonts w:hint="eastAsia" w:asciiTheme="majorEastAsia" w:hAnsiTheme="majorEastAsia" w:eastAsiaTheme="majorEastAsia" w:cstheme="majorEastAsia"/>
                <w:szCs w:val="21"/>
                <w:lang w:val="en-US" w:bidi="ar-SA"/>
              </w:rPr>
              <w:t>时间：20</w:t>
            </w:r>
            <w:r>
              <w:rPr>
                <w:rFonts w:hint="eastAsia" w:asciiTheme="majorEastAsia" w:hAnsiTheme="majorEastAsia" w:eastAsiaTheme="majorEastAsia" w:cstheme="majorEastAsia"/>
                <w:szCs w:val="21"/>
                <w:lang w:val="en-US" w:eastAsia="zh-CN" w:bidi="ar-SA"/>
              </w:rPr>
              <w:t>20</w:t>
            </w:r>
            <w:r>
              <w:rPr>
                <w:rFonts w:hint="eastAsia" w:asciiTheme="majorEastAsia" w:hAnsiTheme="majorEastAsia" w:eastAsiaTheme="majorEastAsia" w:cstheme="majorEastAsia"/>
                <w:szCs w:val="21"/>
                <w:lang w:val="en-US" w:bidi="ar-SA"/>
              </w:rPr>
              <w:t>年</w:t>
            </w:r>
            <w:r>
              <w:rPr>
                <w:rFonts w:hint="eastAsia" w:asciiTheme="majorEastAsia" w:hAnsiTheme="majorEastAsia" w:eastAsiaTheme="majorEastAsia" w:cstheme="majorEastAsia"/>
                <w:szCs w:val="21"/>
                <w:lang w:val="en-US" w:eastAsia="zh-CN" w:bidi="ar-SA"/>
              </w:rPr>
              <w:t>01</w:t>
            </w:r>
            <w:r>
              <w:rPr>
                <w:rFonts w:hint="eastAsia" w:asciiTheme="majorEastAsia" w:hAnsiTheme="majorEastAsia" w:eastAsiaTheme="majorEastAsia" w:cstheme="majorEastAsia"/>
                <w:szCs w:val="21"/>
                <w:lang w:val="en-US" w:bidi="ar-SA"/>
              </w:rPr>
              <w:t>月</w:t>
            </w:r>
            <w:r>
              <w:rPr>
                <w:rFonts w:hint="eastAsia" w:asciiTheme="majorEastAsia" w:hAnsiTheme="majorEastAsia" w:eastAsiaTheme="majorEastAsia" w:cstheme="majorEastAsia"/>
                <w:szCs w:val="21"/>
                <w:lang w:val="en-US" w:eastAsia="zh-CN" w:bidi="ar-SA"/>
              </w:rPr>
              <w:t>06</w:t>
            </w:r>
            <w:r>
              <w:rPr>
                <w:rFonts w:hint="eastAsia" w:asciiTheme="majorEastAsia" w:hAnsiTheme="majorEastAsia" w:eastAsiaTheme="majorEastAsia" w:cstheme="majorEastAsia"/>
                <w:szCs w:val="21"/>
                <w:lang w:val="en-US" w:bidi="ar-SA"/>
              </w:rPr>
              <w:t>日</w:t>
            </w:r>
            <w:r>
              <w:rPr>
                <w:rFonts w:hint="eastAsia" w:asciiTheme="majorEastAsia" w:hAnsiTheme="majorEastAsia" w:eastAsiaTheme="majorEastAsia" w:cstheme="majorEastAsia"/>
                <w:szCs w:val="21"/>
                <w:lang w:val="en-US" w:eastAsia="zh-CN" w:bidi="ar-SA"/>
              </w:rPr>
              <w:t>09</w:t>
            </w:r>
            <w:r>
              <w:rPr>
                <w:rFonts w:hint="eastAsia" w:asciiTheme="majorEastAsia" w:hAnsiTheme="majorEastAsia" w:eastAsiaTheme="majorEastAsia" w:cstheme="majorEastAsia"/>
                <w:szCs w:val="21"/>
                <w:lang w:val="en-US" w:bidi="ar-SA"/>
              </w:rPr>
              <w:t>时</w:t>
            </w:r>
            <w:r>
              <w:rPr>
                <w:rFonts w:hint="eastAsia" w:asciiTheme="majorEastAsia" w:hAnsiTheme="majorEastAsia" w:eastAsiaTheme="majorEastAsia" w:cstheme="majorEastAsia"/>
                <w:szCs w:val="21"/>
                <w:lang w:val="en-US" w:eastAsia="zh-CN" w:bidi="ar-SA"/>
              </w:rPr>
              <w:t>00</w:t>
            </w:r>
            <w:r>
              <w:rPr>
                <w:rFonts w:hint="eastAsia" w:asciiTheme="majorEastAsia" w:hAnsiTheme="majorEastAsia" w:eastAsiaTheme="majorEastAsia" w:cstheme="majorEastAsia"/>
                <w:szCs w:val="21"/>
                <w:lang w:val="en-US" w:bidi="ar-SA"/>
              </w:rPr>
              <w:t>分</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地点：海口市公共资源交易中心开标会议室（海口市海甸五西路28号建安大厦副楼</w:t>
            </w:r>
            <w:r>
              <w:rPr>
                <w:rFonts w:hint="eastAsia" w:asciiTheme="majorEastAsia" w:hAnsiTheme="majorEastAsia" w:eastAsiaTheme="majorEastAsia" w:cstheme="majorEastAsia"/>
                <w:lang w:val="en-US" w:eastAsia="zh-CN"/>
              </w:rPr>
              <w:t>203</w:t>
            </w:r>
            <w:bookmarkStart w:id="12" w:name="_GoBack"/>
            <w:bookmarkEnd w:id="12"/>
            <w:r>
              <w:rPr>
                <w:rFonts w:hint="eastAsia" w:asciiTheme="majorEastAsia" w:hAnsiTheme="majorEastAsia" w:eastAsiaTheme="majorEastAsia" w:cstheme="majorEastAsia"/>
              </w:rPr>
              <w:t>开标室会议室）（详见会议室门前标识）,如有变动另行通知；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17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22</w:t>
            </w:r>
          </w:p>
        </w:tc>
        <w:tc>
          <w:tcPr>
            <w:tcW w:w="2870" w:type="dxa"/>
          </w:tcPr>
          <w:p>
            <w:pPr>
              <w:pStyle w:val="20"/>
              <w:spacing w:line="360" w:lineRule="auto"/>
              <w:rPr>
                <w:rFonts w:asciiTheme="majorEastAsia" w:hAnsiTheme="majorEastAsia" w:eastAsiaTheme="majorEastAsia" w:cstheme="majorEastAsia"/>
                <w:sz w:val="24"/>
              </w:rPr>
            </w:pPr>
          </w:p>
          <w:p>
            <w:pPr>
              <w:pStyle w:val="20"/>
              <w:spacing w:line="360" w:lineRule="auto"/>
              <w:rPr>
                <w:rFonts w:asciiTheme="majorEastAsia" w:hAnsiTheme="majorEastAsia" w:eastAsiaTheme="majorEastAsia" w:cstheme="majorEastAsia"/>
                <w:sz w:val="24"/>
              </w:rPr>
            </w:pPr>
          </w:p>
          <w:p>
            <w:pPr>
              <w:pStyle w:val="20"/>
              <w:spacing w:line="360" w:lineRule="auto"/>
              <w:rPr>
                <w:rFonts w:asciiTheme="majorEastAsia" w:hAnsiTheme="majorEastAsia" w:eastAsiaTheme="majorEastAsia" w:cstheme="majorEastAsia"/>
                <w:sz w:val="24"/>
              </w:rPr>
            </w:pPr>
          </w:p>
          <w:p>
            <w:pPr>
              <w:pStyle w:val="20"/>
              <w:spacing w:before="190" w:line="360" w:lineRule="auto"/>
              <w:ind w:right="164"/>
              <w:rPr>
                <w:rFonts w:asciiTheme="majorEastAsia" w:hAnsiTheme="majorEastAsia" w:eastAsiaTheme="majorEastAsia" w:cstheme="majorEastAsia"/>
              </w:rPr>
            </w:pPr>
            <w:r>
              <w:rPr>
                <w:rFonts w:hint="eastAsia" w:asciiTheme="majorEastAsia" w:hAnsiTheme="majorEastAsia" w:eastAsiaTheme="majorEastAsia" w:cstheme="majorEastAsia"/>
                <w:szCs w:val="21"/>
                <w:lang w:val="en-US" w:bidi="ar-SA"/>
              </w:rPr>
              <w:t>招标代理服务费</w:t>
            </w:r>
          </w:p>
        </w:tc>
        <w:tc>
          <w:tcPr>
            <w:tcW w:w="5162" w:type="dxa"/>
          </w:tcPr>
          <w:p>
            <w:pPr>
              <w:pStyle w:val="20"/>
              <w:spacing w:before="79" w:line="360" w:lineRule="auto"/>
              <w:rPr>
                <w:rFonts w:asciiTheme="majorEastAsia" w:hAnsiTheme="majorEastAsia" w:eastAsiaTheme="majorEastAsia" w:cstheme="majorEastAsia"/>
                <w:szCs w:val="21"/>
                <w:lang w:val="en-US" w:bidi="ar-SA"/>
              </w:rPr>
            </w:pPr>
            <w:r>
              <w:rPr>
                <w:rFonts w:hint="eastAsia" w:asciiTheme="majorEastAsia" w:hAnsiTheme="majorEastAsia" w:eastAsiaTheme="majorEastAsia" w:cstheme="majorEastAsia"/>
                <w:szCs w:val="21"/>
                <w:lang w:val="en-US" w:bidi="ar-SA"/>
              </w:rPr>
              <w:t>供应商中标后向采购代理机构缴纳采购代理服务费，采购代理服务费的收取标准按照国家计委《招标代理服务收费管理暂行办法》（计价格【2002】1980号及发改价格【2011】534号标准执行。</w:t>
            </w:r>
          </w:p>
          <w:p>
            <w:pPr>
              <w:pStyle w:val="20"/>
              <w:spacing w:before="79" w:line="360" w:lineRule="auto"/>
              <w:rPr>
                <w:rFonts w:asciiTheme="majorEastAsia" w:hAnsiTheme="majorEastAsia" w:eastAsiaTheme="majorEastAsia" w:cstheme="majorEastAsia"/>
                <w:szCs w:val="21"/>
                <w:lang w:val="en-US" w:bidi="ar-SA"/>
              </w:rPr>
            </w:pPr>
            <w:r>
              <w:rPr>
                <w:rFonts w:hint="eastAsia" w:asciiTheme="majorEastAsia" w:hAnsiTheme="majorEastAsia" w:eastAsiaTheme="majorEastAsia" w:cstheme="majorEastAsia"/>
                <w:szCs w:val="21"/>
                <w:lang w:val="en-US" w:bidi="ar-SA"/>
              </w:rPr>
              <w:t>户名：海南中穗项目管理有限公司</w:t>
            </w:r>
          </w:p>
          <w:p>
            <w:pPr>
              <w:pStyle w:val="20"/>
              <w:spacing w:before="79" w:line="360" w:lineRule="auto"/>
              <w:rPr>
                <w:rFonts w:asciiTheme="majorEastAsia" w:hAnsiTheme="majorEastAsia" w:eastAsiaTheme="majorEastAsia" w:cstheme="majorEastAsia"/>
                <w:szCs w:val="21"/>
                <w:lang w:val="en-US" w:bidi="ar-SA"/>
              </w:rPr>
            </w:pPr>
            <w:r>
              <w:rPr>
                <w:rFonts w:hint="eastAsia" w:asciiTheme="majorEastAsia" w:hAnsiTheme="majorEastAsia" w:eastAsiaTheme="majorEastAsia" w:cstheme="majorEastAsia"/>
                <w:szCs w:val="21"/>
                <w:lang w:val="en-US" w:bidi="ar-SA"/>
              </w:rPr>
              <w:t>账号：46050100233600000527</w:t>
            </w:r>
          </w:p>
          <w:p>
            <w:pPr>
              <w:pStyle w:val="20"/>
              <w:spacing w:before="79" w:line="360" w:lineRule="auto"/>
              <w:rPr>
                <w:rFonts w:asciiTheme="majorEastAsia" w:hAnsiTheme="majorEastAsia" w:eastAsiaTheme="majorEastAsia" w:cstheme="majorEastAsia"/>
                <w:szCs w:val="21"/>
                <w:lang w:val="en-US" w:bidi="ar-SA"/>
              </w:rPr>
            </w:pPr>
            <w:r>
              <w:rPr>
                <w:rFonts w:hint="eastAsia" w:asciiTheme="majorEastAsia" w:hAnsiTheme="majorEastAsia" w:eastAsiaTheme="majorEastAsia" w:cstheme="majorEastAsia"/>
                <w:szCs w:val="21"/>
                <w:lang w:val="en-US" w:bidi="ar-SA"/>
              </w:rPr>
              <w:t>开户行：中国建设银行股份有限公司海口金盘支行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23</w:t>
            </w:r>
          </w:p>
        </w:tc>
        <w:tc>
          <w:tcPr>
            <w:tcW w:w="2870"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其他唱标内容</w:t>
            </w:r>
          </w:p>
        </w:tc>
        <w:tc>
          <w:tcPr>
            <w:tcW w:w="516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1176" w:type="dxa"/>
            <w:vAlign w:val="center"/>
          </w:tcPr>
          <w:p>
            <w:pPr>
              <w:pStyle w:val="8"/>
              <w:spacing w:line="360" w:lineRule="auto"/>
              <w:jc w:val="center"/>
              <w:rPr>
                <w:rFonts w:asciiTheme="majorEastAsia" w:hAnsiTheme="majorEastAsia" w:eastAsiaTheme="majorEastAsia" w:cstheme="majorEastAsia"/>
                <w:b/>
              </w:rPr>
            </w:pPr>
            <w:r>
              <w:rPr>
                <w:rFonts w:hint="eastAsia" w:asciiTheme="majorEastAsia" w:hAnsiTheme="majorEastAsia" w:eastAsiaTheme="majorEastAsia" w:cstheme="majorEastAsia"/>
                <w:b/>
              </w:rPr>
              <w:t>24</w:t>
            </w:r>
          </w:p>
        </w:tc>
        <w:tc>
          <w:tcPr>
            <w:tcW w:w="2870" w:type="dxa"/>
            <w:vAlign w:val="center"/>
          </w:tcPr>
          <w:p>
            <w:pPr>
              <w:pStyle w:val="8"/>
              <w:spacing w:line="360" w:lineRule="auto"/>
              <w:jc w:val="left"/>
              <w:rPr>
                <w:rFonts w:asciiTheme="majorEastAsia" w:hAnsiTheme="majorEastAsia" w:eastAsiaTheme="majorEastAsia" w:cstheme="majorEastAsia"/>
                <w:b/>
              </w:rPr>
            </w:pPr>
            <w:r>
              <w:rPr>
                <w:rFonts w:hint="eastAsia" w:asciiTheme="majorEastAsia" w:hAnsiTheme="majorEastAsia" w:eastAsiaTheme="majorEastAsia" w:cstheme="majorEastAsia"/>
              </w:rPr>
              <w:t>公告媒体</w:t>
            </w:r>
          </w:p>
        </w:tc>
        <w:tc>
          <w:tcPr>
            <w:tcW w:w="5162" w:type="dxa"/>
            <w:vAlign w:val="center"/>
          </w:tcPr>
          <w:p>
            <w:pPr>
              <w:pStyle w:val="7"/>
              <w:spacing w:before="4" w:line="360" w:lineRule="auto"/>
              <w:jc w:val="left"/>
              <w:rPr>
                <w:rFonts w:asciiTheme="majorEastAsia" w:hAnsiTheme="majorEastAsia" w:eastAsiaTheme="majorEastAsia" w:cstheme="majorEastAsia"/>
                <w:u w:val="single"/>
                <w:lang w:val="en-US"/>
              </w:rPr>
            </w:pPr>
            <w:r>
              <w:rPr>
                <w:rFonts w:hint="eastAsia" w:asciiTheme="majorEastAsia" w:hAnsiTheme="majorEastAsia" w:eastAsiaTheme="majorEastAsia" w:cstheme="majorEastAsia"/>
                <w:sz w:val="21"/>
                <w:szCs w:val="21"/>
                <w:lang w:val="en-US" w:bidi="ar-SA"/>
              </w:rPr>
              <w:t>中国海南政府采购网（http://www.ccgp-hainan.gov.cn）和海口市公共资源交易网（http://ggzy.haikou.gov.cn）。</w:t>
            </w:r>
          </w:p>
        </w:tc>
      </w:tr>
    </w:tbl>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643" w:firstLineChars="200"/>
        <w:jc w:val="center"/>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br w:type="page"/>
      </w:r>
      <w:r>
        <w:rPr>
          <w:rFonts w:hint="eastAsia" w:asciiTheme="majorEastAsia" w:hAnsiTheme="majorEastAsia" w:eastAsiaTheme="majorEastAsia" w:cstheme="majorEastAsia"/>
          <w:b/>
          <w:sz w:val="32"/>
          <w:szCs w:val="32"/>
        </w:rPr>
        <w:t>投标人须知正文</w:t>
      </w:r>
    </w:p>
    <w:p>
      <w:pPr>
        <w:pStyle w:val="3"/>
        <w:spacing w:line="360" w:lineRule="auto"/>
        <w:ind w:firstLine="562"/>
        <w:rPr>
          <w:rFonts w:asciiTheme="majorEastAsia" w:hAnsiTheme="majorEastAsia" w:eastAsiaTheme="majorEastAsia" w:cstheme="majorEastAsia"/>
        </w:rPr>
      </w:pPr>
      <w:r>
        <w:rPr>
          <w:rFonts w:hint="eastAsia" w:asciiTheme="majorEastAsia" w:hAnsiTheme="majorEastAsia" w:eastAsiaTheme="majorEastAsia" w:cstheme="majorEastAsia"/>
        </w:rPr>
        <w:t>一、总则</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.定义</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“采购人</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是指依法进行政府采购的国家机关、事业单位、团体组织。本次政府采购的采购人名称、地址、电话、联系人见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“采购代理机构</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是指集中采购机构和集中采购机构以外的采购代理机构。本次政府采购的采购代理机构名称、地址、电话、联系人见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　“投标人”是响应招标文件并且符合招标文件规定资格条件和参加投标竞争的法人、其他组织或者自然人。</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4</w:t>
      </w:r>
      <w:r>
        <w:rPr>
          <w:rFonts w:hint="eastAsia" w:asciiTheme="majorEastAsia" w:hAnsiTheme="majorEastAsia" w:eastAsiaTheme="majorEastAsia" w:cstheme="majorEastAsia"/>
        </w:rPr>
        <w:t>　</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供应商</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是指向采购人提供货物、工程或者服务的法人、其他组织或者自然人。</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.采购项目预算</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本项目采购资金已列入政府采购预算，预算金额见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.投标人的资格要求</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投标人应当符合下列资格条件要求：</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)《政府采购法》第二十二条第一款规定的投标人基本资格条件；</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)采购项目有特殊要求，招标文件规定的投标人特定资格条件，具体见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投标人不得存在下列任意情形之一：</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)与采购人或采购代理机构存在隶属关系或者其他利害关系。</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)单位负责人为同一人或者存在直接控股、管理关系的不同供应商，不得参加同一合同项下的政府采购活动。</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)为采购项目提供整体设计、规范编制或者项目管理、监理、检测等服务的供应商，不得再参加该采购项目的其他采购活动。</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4</w:t>
      </w:r>
      <w:r>
        <w:rPr>
          <w:rFonts w:hint="eastAsia" w:asciiTheme="majorEastAsia" w:hAnsiTheme="majorEastAsia" w:eastAsiaTheme="majorEastAsia" w:cstheme="majorEastAsia"/>
        </w:rPr>
        <w:t>)同一合同项（分包）下的货物，制造商参与投标的，不得再委托代理商参与投标。</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4</w:t>
      </w:r>
      <w:r>
        <w:rPr>
          <w:rFonts w:hint="eastAsia" w:asciiTheme="majorEastAsia" w:hAnsiTheme="majorEastAsia" w:eastAsiaTheme="majorEastAsia" w:cstheme="majorEastAsia"/>
        </w:rPr>
        <w:t>.投标费用</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4</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投标人应自行承担所有参与投标的相关费用，不论投标的结果如何</w:t>
      </w:r>
      <w:r>
        <w:rPr>
          <w:rFonts w:hint="eastAsia" w:asciiTheme="majorEastAsia" w:hAnsiTheme="majorEastAsia" w:eastAsiaTheme="majorEastAsia" w:cstheme="majorEastAsia"/>
          <w:b/>
          <w:bCs/>
        </w:rPr>
        <w:t>（包括但不限于采购人中止采购活动而导致投标人产生的费用），</w:t>
      </w:r>
      <w:r>
        <w:rPr>
          <w:rFonts w:hint="eastAsia" w:asciiTheme="majorEastAsia" w:hAnsiTheme="majorEastAsia" w:eastAsiaTheme="majorEastAsia" w:cstheme="majorEastAsia"/>
        </w:rPr>
        <w:t>采购人或者采购代理机构均无义务和责任承担这些费用。</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5</w:t>
      </w:r>
      <w:r>
        <w:rPr>
          <w:rFonts w:hint="eastAsia" w:asciiTheme="majorEastAsia" w:hAnsiTheme="majorEastAsia" w:eastAsiaTheme="majorEastAsia" w:cstheme="majorEastAsia"/>
        </w:rPr>
        <w:t>.授权委托</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投标人代表不是投标人的法定代表人的，应持有法定代表人的授权委托书，同时提供投标人代表身份证明。</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6</w:t>
      </w:r>
      <w:r>
        <w:rPr>
          <w:rFonts w:hint="eastAsia" w:asciiTheme="majorEastAsia" w:hAnsiTheme="majorEastAsia" w:eastAsiaTheme="majorEastAsia" w:cstheme="majorEastAsia"/>
        </w:rPr>
        <w:t>.联合体投标</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6</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联合体中有同类资质的供应商按照联合体分工承担相同工作的，应当按照资质等级较低的供应商确定资质等级。以联合体形式参加政府采购活动的，应在联合体投标协议中明确牵头单位和成员单位，联合体各方不得再单独参加或者与其他供应商另外组成联合体参加同一合同项下的政府采购活动。联合体牵头单位代表联合体负责与本招标文件规定的工作内容和手续办理。</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6</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本项目是否接受联合体投标及相关要求见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7</w:t>
      </w:r>
      <w:r>
        <w:rPr>
          <w:rFonts w:hint="eastAsia" w:asciiTheme="majorEastAsia" w:hAnsiTheme="majorEastAsia" w:eastAsiaTheme="majorEastAsia" w:cstheme="majorEastAsia"/>
        </w:rPr>
        <w:t>.采购进口产品</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7</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本项目是否采购进口产品及相关要求见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8</w:t>
      </w:r>
      <w:r>
        <w:rPr>
          <w:rFonts w:hint="eastAsia" w:asciiTheme="majorEastAsia" w:hAnsiTheme="majorEastAsia" w:eastAsiaTheme="majorEastAsia" w:cstheme="majorEastAsia"/>
        </w:rPr>
        <w:t>.政策与其他规定</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8</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产品属于政府强制采购节能产品范围，必须将是否列入最新一期节能清单作为采购产品的资格条件。本项目的详细要求见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8</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对列入最新一期节能清单(非强制类)、环保清单内的产品，具体要求如下：</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)采用招标方式采购的(除评标方法采用最低评标价法外)或适用于竞争性磋商采购方式的，应当对列入</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两个清单</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的产品分别予以相应的加分；对于同时列入</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两个清单</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的产品，应当优先于只获得其中一项认证的产品。</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采用非招标方式(竞争性谈判、询价)及招标方式评标方法采用最低评标价法的，在报价相同的前提下，应优先采购“两个清单”内的产品；对于同时列入“两个清单”的产品，应当优先于只获得其中一项认证的产品。</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本项目的详细要求见投标人须知前附表。</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8</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　供应商享受支持中小企业发展政策优惠的，可用扣除后的最后报价参与价格比较。本项目价格扣除比例及相关要求见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8</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4</w:t>
      </w:r>
      <w:r>
        <w:rPr>
          <w:rFonts w:hint="eastAsia" w:asciiTheme="majorEastAsia" w:hAnsiTheme="majorEastAsia" w:eastAsiaTheme="majorEastAsia" w:cstheme="majorEastAsia"/>
        </w:rPr>
        <w:t>　采购人使用财政性资金采购信息安全产品的，应当采购经国家认证的信息安全产品，应当在采购文件中载明对产品获得信息安全认证的要求，并要求产品供应商提供由中国信息安全认证中心按国家标准认证颁发的有效认证证书。本项目的详细要求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8</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5</w:t>
      </w:r>
      <w:r>
        <w:rPr>
          <w:rFonts w:hint="eastAsia" w:asciiTheme="majorEastAsia" w:hAnsiTheme="majorEastAsia" w:eastAsiaTheme="majorEastAsia" w:cstheme="majorEastAsia"/>
        </w:rPr>
        <w:t>　其他法律法规强制性规定或扶持政策。本项目的详细要求见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9</w:t>
      </w:r>
      <w:r>
        <w:rPr>
          <w:rFonts w:hint="eastAsia" w:asciiTheme="majorEastAsia" w:hAnsiTheme="majorEastAsia" w:eastAsiaTheme="majorEastAsia" w:cstheme="majorEastAsia"/>
        </w:rPr>
        <w:t>.其他说明</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9</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履约保证金。中标人在收到采购人或采购代理机构的《中标通知书》后，签订合同前，应按照</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的规定提交履约保证金。中标人没有按照规定提交履约保证金的，视为放弃中标，其投标保证金不予退还。</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9</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招标代理服务费。中标人是否交纳投招标代理服务费及相关要求见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9</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　其他规定。投标人应符合</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规定的其他规定。</w:t>
      </w:r>
    </w:p>
    <w:p>
      <w:pPr>
        <w:pStyle w:val="21"/>
        <w:tabs>
          <w:tab w:val="left" w:pos="1343"/>
        </w:tabs>
        <w:spacing w:line="360" w:lineRule="auto"/>
        <w:ind w:left="0" w:firstLine="420" w:firstLineChars="200"/>
        <w:rPr>
          <w:rFonts w:asciiTheme="majorEastAsia" w:hAnsiTheme="majorEastAsia" w:eastAsiaTheme="majorEastAsia" w:cstheme="majorEastAsia"/>
          <w:kern w:val="2"/>
          <w:szCs w:val="21"/>
          <w:lang w:val="en-US" w:bidi="ar-SA"/>
        </w:rPr>
      </w:pPr>
      <w:r>
        <w:rPr>
          <w:rFonts w:hint="eastAsia" w:asciiTheme="majorEastAsia" w:hAnsiTheme="majorEastAsia" w:eastAsiaTheme="majorEastAsia" w:cstheme="majorEastAsia"/>
          <w:kern w:val="2"/>
          <w:szCs w:val="21"/>
          <w:lang w:val="en-US" w:bidi="ar-SA"/>
        </w:rPr>
        <w:t>9.4  本项目不召开（举行）答疑会，投标人自行组织现场踏勘，投标人踏勘现场发生的费用自理。</w:t>
      </w:r>
    </w:p>
    <w:p>
      <w:pPr>
        <w:pStyle w:val="3"/>
        <w:spacing w:line="360" w:lineRule="auto"/>
        <w:ind w:firstLine="562"/>
        <w:rPr>
          <w:rFonts w:asciiTheme="majorEastAsia" w:hAnsiTheme="majorEastAsia" w:eastAsiaTheme="majorEastAsia" w:cstheme="majorEastAsia"/>
        </w:rPr>
      </w:pPr>
      <w:r>
        <w:rPr>
          <w:rFonts w:hint="eastAsia" w:asciiTheme="majorEastAsia" w:hAnsiTheme="majorEastAsia" w:eastAsiaTheme="majorEastAsia" w:cstheme="majorEastAsia"/>
        </w:rPr>
        <w:t>二、招标文件</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10</w:t>
      </w:r>
      <w:r>
        <w:rPr>
          <w:rFonts w:hint="eastAsia" w:asciiTheme="majorEastAsia" w:hAnsiTheme="majorEastAsia" w:eastAsiaTheme="majorEastAsia" w:cstheme="majorEastAsia"/>
        </w:rPr>
        <w:t>.招标文件的构成</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10</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招标文件各章节的内容如下：</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第一章　投标邀请</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第二章　投标人须知</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第三章　评标方法及标准</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第四章　政府采购合同</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第五章　投标文件格式</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第六章　项目需求</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10</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本章第</w:t>
      </w:r>
      <w:r>
        <w:rPr>
          <w:rFonts w:hint="eastAsia" w:asciiTheme="majorEastAsia" w:hAnsiTheme="majorEastAsia" w:eastAsiaTheme="majorEastAsia" w:cstheme="majorEastAsia"/>
          <w:b/>
        </w:rPr>
        <w:t>11.1</w:t>
      </w:r>
      <w:r>
        <w:rPr>
          <w:rFonts w:hint="eastAsia" w:asciiTheme="majorEastAsia" w:hAnsiTheme="majorEastAsia" w:eastAsiaTheme="majorEastAsia" w:cstheme="majorEastAsia"/>
        </w:rPr>
        <w:t>款对招标文件所作的澄清、修改为招标文件的组成部分。</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10</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　投标人应仔细阅读招标文件的全部内容，按照招标文件要求编制投标文件。任何对招标文件的忽略或误解不能作为投标文件存在缺陷或瑕疵的理由，其风险由投标人承担。</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11</w:t>
      </w:r>
      <w:r>
        <w:rPr>
          <w:rFonts w:hint="eastAsia" w:asciiTheme="majorEastAsia" w:hAnsiTheme="majorEastAsia" w:eastAsiaTheme="majorEastAsia" w:cstheme="majorEastAsia"/>
        </w:rPr>
        <w:t>.招标文件的澄清与修改</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11</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采购人或采购代理机构对已发出的招标文件进行必要澄清或者修改的，应当在</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规定的提交投标文件截止时间</w:t>
      </w:r>
      <w:r>
        <w:rPr>
          <w:rFonts w:hint="eastAsia" w:asciiTheme="majorEastAsia" w:hAnsiTheme="majorEastAsia" w:eastAsiaTheme="majorEastAsia" w:cstheme="majorEastAsia"/>
          <w:b/>
        </w:rPr>
        <w:t>15</w:t>
      </w:r>
      <w:r>
        <w:rPr>
          <w:rFonts w:hint="eastAsia" w:asciiTheme="majorEastAsia" w:hAnsiTheme="majorEastAsia" w:eastAsiaTheme="majorEastAsia" w:cstheme="majorEastAsia"/>
        </w:rPr>
        <w:t>日前，以书面形式通知所有招标文件收受人，并在刊登招标公告的媒体上发布澄清公告，投标人应以书面形式回复确认。</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11</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如果澄清或者修改时间距本章第</w:t>
      </w:r>
      <w:r>
        <w:rPr>
          <w:rFonts w:hint="eastAsia" w:asciiTheme="majorEastAsia" w:hAnsiTheme="majorEastAsia" w:eastAsiaTheme="majorEastAsia" w:cstheme="majorEastAsia"/>
          <w:b/>
        </w:rPr>
        <w:t>11.1</w:t>
      </w:r>
      <w:r>
        <w:rPr>
          <w:rFonts w:hint="eastAsia" w:asciiTheme="majorEastAsia" w:hAnsiTheme="majorEastAsia" w:eastAsiaTheme="majorEastAsia" w:cstheme="majorEastAsia"/>
        </w:rPr>
        <w:t>款规定的投标截止时间不足</w:t>
      </w:r>
      <w:r>
        <w:rPr>
          <w:rFonts w:hint="eastAsia" w:asciiTheme="majorEastAsia" w:hAnsiTheme="majorEastAsia" w:eastAsiaTheme="majorEastAsia" w:cstheme="majorEastAsia"/>
          <w:b/>
        </w:rPr>
        <w:t>15</w:t>
      </w:r>
      <w:r>
        <w:rPr>
          <w:rFonts w:hint="eastAsia" w:asciiTheme="majorEastAsia" w:hAnsiTheme="majorEastAsia" w:eastAsiaTheme="majorEastAsia" w:cstheme="majorEastAsia"/>
        </w:rPr>
        <w:t>日，将相应顺延投标截止时间，澄清或者修改时间具体见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11</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对招标文件的澄清和修改，将通知已领取招标文件的潜在投标人。</w:t>
      </w:r>
    </w:p>
    <w:p>
      <w:pPr>
        <w:pStyle w:val="8"/>
        <w:spacing w:line="360" w:lineRule="auto"/>
        <w:ind w:firstLine="422" w:firstLineChars="200"/>
        <w:rPr>
          <w:rFonts w:asciiTheme="majorEastAsia" w:hAnsiTheme="majorEastAsia" w:eastAsiaTheme="majorEastAsia" w:cstheme="majorEastAsia"/>
          <w:b/>
        </w:rPr>
      </w:pPr>
      <w:r>
        <w:rPr>
          <w:rFonts w:hint="eastAsia" w:asciiTheme="majorEastAsia" w:hAnsiTheme="majorEastAsia" w:eastAsiaTheme="majorEastAsia" w:cstheme="majorEastAsia"/>
          <w:b/>
        </w:rPr>
        <w:t>11</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4  在投标截止时间前，采购人可以视采购具体情况，延长投标截止时间和开标时间，并在招标文件要求递交投标文件的截止时间三日前，将变更的时间以书面的形式通知所有购买了招标文件的供应商，同时在文件公告的媒体上发布更改公告。</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12</w:t>
      </w:r>
      <w:r>
        <w:rPr>
          <w:rFonts w:hint="eastAsia" w:asciiTheme="majorEastAsia" w:hAnsiTheme="majorEastAsia" w:eastAsiaTheme="majorEastAsia" w:cstheme="majorEastAsia"/>
        </w:rPr>
        <w:t>.偏离</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12</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本条所称偏离为投标文件对招标文件的偏离，即不满足或不响应招标文件的要求。</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12</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除法律、法规和规章规定外，招标文件中标注</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符号的条款为实质性要求条款(即重要条款)，对其中任何一条的偏离，在评标时将其视为无效投标。</w:t>
      </w:r>
    </w:p>
    <w:p>
      <w:pPr>
        <w:pStyle w:val="3"/>
        <w:spacing w:line="360" w:lineRule="auto"/>
        <w:ind w:firstLine="562"/>
        <w:rPr>
          <w:rFonts w:asciiTheme="majorEastAsia" w:hAnsiTheme="majorEastAsia" w:eastAsiaTheme="majorEastAsia" w:cstheme="majorEastAsia"/>
        </w:rPr>
      </w:pPr>
      <w:r>
        <w:rPr>
          <w:rFonts w:hint="eastAsia" w:asciiTheme="majorEastAsia" w:hAnsiTheme="majorEastAsia" w:eastAsiaTheme="majorEastAsia" w:cstheme="majorEastAsia"/>
        </w:rPr>
        <w:t>三、投标文件</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13</w:t>
      </w:r>
      <w:r>
        <w:rPr>
          <w:rFonts w:hint="eastAsia" w:asciiTheme="majorEastAsia" w:hAnsiTheme="majorEastAsia" w:eastAsiaTheme="majorEastAsia" w:cstheme="majorEastAsia"/>
        </w:rPr>
        <w:t>.投标文件的语言</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13</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投标人提交的投标文件及投标人与采购代理机构就有关投标的所有来往函电均使用中文。投标人可以提交其他语言的资料，但应附有中文注释，有差异时以中文为准。</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14</w:t>
      </w:r>
      <w:r>
        <w:rPr>
          <w:rFonts w:hint="eastAsia" w:asciiTheme="majorEastAsia" w:hAnsiTheme="majorEastAsia" w:eastAsiaTheme="majorEastAsia" w:cstheme="majorEastAsia"/>
        </w:rPr>
        <w:t>.计量单位</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14</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所有计量均采用中华人民共和国法定计量单位，未列明时应默认为我国法定计量单位。</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15</w:t>
      </w:r>
      <w:r>
        <w:rPr>
          <w:rFonts w:hint="eastAsia" w:asciiTheme="majorEastAsia" w:hAnsiTheme="majorEastAsia" w:eastAsiaTheme="majorEastAsia" w:cstheme="majorEastAsia"/>
        </w:rPr>
        <w:t>.投标报价</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投标人应按招标文件规定的供货及服务要求、责任范围和合同条件，以人民币进行报价。</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投标人应按开标一览表和分项价格表的内容和格式要求填写各项货物及服务的分项价格和总价。</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15.3</w:t>
      </w:r>
      <w:r>
        <w:rPr>
          <w:rFonts w:hint="eastAsia" w:asciiTheme="majorEastAsia" w:hAnsiTheme="majorEastAsia" w:eastAsiaTheme="majorEastAsia" w:cstheme="majorEastAsia"/>
        </w:rPr>
        <w:t>　除</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允许提交备选方案外，投标人对每种货物及服务只允许有一个报价，不接受可变动性报价，否则，在评标时将其视为无效投标。</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4</w:t>
      </w:r>
      <w:r>
        <w:rPr>
          <w:rFonts w:hint="eastAsia" w:asciiTheme="majorEastAsia" w:hAnsiTheme="majorEastAsia" w:eastAsiaTheme="majorEastAsia" w:cstheme="majorEastAsia"/>
        </w:rPr>
        <w:t>　投标人的报价均超过了采购预算，采购人不能支付的，本项目予以废标。</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5</w:t>
      </w:r>
      <w:r>
        <w:rPr>
          <w:rFonts w:hint="eastAsia" w:asciiTheme="majorEastAsia" w:hAnsiTheme="majorEastAsia" w:eastAsiaTheme="majorEastAsia" w:cstheme="majorEastAsia"/>
        </w:rPr>
        <w:t>　投标人之间不得相互串通投标报价，不得妨碍其他投标人的公平竞争，不得损害招标采购单位或者其他投标人的合法权益。</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6</w:t>
      </w:r>
      <w:r>
        <w:rPr>
          <w:rFonts w:hint="eastAsia" w:asciiTheme="majorEastAsia" w:hAnsiTheme="majorEastAsia" w:eastAsiaTheme="majorEastAsia" w:cstheme="majorEastAsia"/>
        </w:rPr>
        <w:t>　项目有特殊要求的见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16</w:t>
      </w:r>
      <w:r>
        <w:rPr>
          <w:rFonts w:hint="eastAsia" w:asciiTheme="majorEastAsia" w:hAnsiTheme="majorEastAsia" w:eastAsiaTheme="majorEastAsia" w:cstheme="majorEastAsia"/>
        </w:rPr>
        <w:t>.投标保证金</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16.1</w:t>
      </w:r>
      <w:r>
        <w:rPr>
          <w:rFonts w:hint="eastAsia" w:asciiTheme="majorEastAsia" w:hAnsiTheme="majorEastAsia" w:eastAsiaTheme="majorEastAsia" w:cstheme="majorEastAsia"/>
        </w:rPr>
        <w:t>　</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规定交纳投标保证金的，投标人应以支票、汇票、本票或金融机构、担保机构出具的保函等非现金形式，在本章第</w:t>
      </w:r>
      <w:r>
        <w:rPr>
          <w:rFonts w:hint="eastAsia" w:asciiTheme="majorEastAsia" w:hAnsiTheme="majorEastAsia" w:eastAsiaTheme="majorEastAsia" w:cstheme="majorEastAsia"/>
          <w:b/>
        </w:rPr>
        <w:t>11.1</w:t>
      </w:r>
      <w:r>
        <w:rPr>
          <w:rFonts w:hint="eastAsia" w:asciiTheme="majorEastAsia" w:hAnsiTheme="majorEastAsia" w:eastAsiaTheme="majorEastAsia" w:cstheme="majorEastAsia"/>
        </w:rPr>
        <w:t>款规定的投标截止时间前，向采购人或采购代理机构提交不超过采购项目预算</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的投标保证金(数额采用四舍五入，计算至元)。投标保证金有效期应与本章第</w:t>
      </w:r>
      <w:r>
        <w:rPr>
          <w:rFonts w:hint="eastAsia" w:asciiTheme="majorEastAsia" w:hAnsiTheme="majorEastAsia" w:eastAsiaTheme="majorEastAsia" w:cstheme="majorEastAsia"/>
          <w:b/>
        </w:rPr>
        <w:t>17.1</w:t>
      </w:r>
      <w:r>
        <w:rPr>
          <w:rFonts w:hint="eastAsia" w:asciiTheme="majorEastAsia" w:hAnsiTheme="majorEastAsia" w:eastAsiaTheme="majorEastAsia" w:cstheme="majorEastAsia"/>
        </w:rPr>
        <w:t>款规定的投标有效期一致。投标人未按照招标文件要求提交投标保证金的，采购人或采购代理机构应当拒绝接收投标人的投标文件或评标委员会在评标时将其视为无效投标。</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16</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联合体投标的，可以由联合体中的一方或者共同提交投标保证金。以一方名义提交投标保证金的，对联合体各方均具有约束力。</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16</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　未中标的投标人的投标保证金，将在中标通知书发出后</w:t>
      </w:r>
      <w:r>
        <w:rPr>
          <w:rFonts w:hint="eastAsia" w:asciiTheme="majorEastAsia" w:hAnsiTheme="majorEastAsia" w:eastAsiaTheme="majorEastAsia" w:cstheme="majorEastAsia"/>
          <w:b/>
        </w:rPr>
        <w:t>5</w:t>
      </w:r>
      <w:r>
        <w:rPr>
          <w:rFonts w:hint="eastAsia" w:asciiTheme="majorEastAsia" w:hAnsiTheme="majorEastAsia" w:eastAsiaTheme="majorEastAsia" w:cstheme="majorEastAsia"/>
        </w:rPr>
        <w:t>个工作日内无息退还。</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16</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4</w:t>
      </w:r>
      <w:r>
        <w:rPr>
          <w:rFonts w:hint="eastAsia" w:asciiTheme="majorEastAsia" w:hAnsiTheme="majorEastAsia" w:eastAsiaTheme="majorEastAsia" w:cstheme="majorEastAsia"/>
        </w:rPr>
        <w:t>　中标的投标人的投标保证金，将在政府采购合同签订后</w:t>
      </w:r>
      <w:r>
        <w:rPr>
          <w:rFonts w:hint="eastAsia" w:asciiTheme="majorEastAsia" w:hAnsiTheme="majorEastAsia" w:eastAsiaTheme="majorEastAsia" w:cstheme="majorEastAsia"/>
          <w:b/>
        </w:rPr>
        <w:t>5</w:t>
      </w:r>
      <w:r>
        <w:rPr>
          <w:rFonts w:hint="eastAsia" w:asciiTheme="majorEastAsia" w:hAnsiTheme="majorEastAsia" w:eastAsiaTheme="majorEastAsia" w:cstheme="majorEastAsia"/>
        </w:rPr>
        <w:t>个工作日内无息退还。</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16</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5</w:t>
      </w:r>
      <w:r>
        <w:rPr>
          <w:rFonts w:hint="eastAsia" w:asciiTheme="majorEastAsia" w:hAnsiTheme="majorEastAsia" w:eastAsiaTheme="majorEastAsia" w:cstheme="majorEastAsia"/>
        </w:rPr>
        <w:t>　有以下情形之一的，投标保证金将不予退还：</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投标人在本章第</w:t>
      </w:r>
      <w:r>
        <w:rPr>
          <w:rFonts w:hint="eastAsia" w:asciiTheme="majorEastAsia" w:hAnsiTheme="majorEastAsia" w:eastAsiaTheme="majorEastAsia" w:cstheme="majorEastAsia"/>
          <w:b/>
        </w:rPr>
        <w:t>17.1</w:t>
      </w:r>
      <w:r>
        <w:rPr>
          <w:rFonts w:hint="eastAsia" w:asciiTheme="majorEastAsia" w:hAnsiTheme="majorEastAsia" w:eastAsiaTheme="majorEastAsia" w:cstheme="majorEastAsia"/>
        </w:rPr>
        <w:t>款规定的投标有效期内撤回或修改投标文件；</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17</w:t>
      </w:r>
      <w:r>
        <w:rPr>
          <w:rFonts w:hint="eastAsia" w:asciiTheme="majorEastAsia" w:hAnsiTheme="majorEastAsia" w:eastAsiaTheme="majorEastAsia" w:cstheme="majorEastAsia"/>
        </w:rPr>
        <w:t>.投标有效期</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17.1</w:t>
      </w:r>
      <w:r>
        <w:rPr>
          <w:rFonts w:hint="eastAsia" w:asciiTheme="majorEastAsia" w:hAnsiTheme="majorEastAsia" w:eastAsiaTheme="majorEastAsia" w:cstheme="majorEastAsia"/>
        </w:rPr>
        <w:t>　投标有效期见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，在此期间投标文件对投标人具有法律约束力，以保证采购人有足够的时间完成评标、定标以及签订合同。投标有效期从本章第</w:t>
      </w:r>
      <w:r>
        <w:rPr>
          <w:rFonts w:hint="eastAsia" w:asciiTheme="majorEastAsia" w:hAnsiTheme="majorEastAsia" w:eastAsiaTheme="majorEastAsia" w:cstheme="majorEastAsia"/>
          <w:b/>
        </w:rPr>
        <w:t>11.1</w:t>
      </w:r>
      <w:r>
        <w:rPr>
          <w:rFonts w:hint="eastAsia" w:asciiTheme="majorEastAsia" w:hAnsiTheme="majorEastAsia" w:eastAsiaTheme="majorEastAsia" w:cstheme="majorEastAsia"/>
        </w:rPr>
        <w:t>款规定的投标截止之日起计算。投标有效期不足的，在评标时将其视为无效投标。</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17</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特殊情况需延长投标有效期的，采购人或采购代理机构可于投标有效期届满之前，要求投标人同意延长有效期，采购人或采购代理机构的要求与投标人的答复均应为书面形式。投标人拒绝延长的，其投标在原投标有效期届满后将不再有效，但有权收回其投标保证金；投标人同意延长的，应相应延长其投标保证金的有效期，但不允许修改或撤回投标文件。</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18</w:t>
      </w:r>
      <w:r>
        <w:rPr>
          <w:rFonts w:hint="eastAsia" w:asciiTheme="majorEastAsia" w:hAnsiTheme="majorEastAsia" w:eastAsiaTheme="majorEastAsia" w:cstheme="majorEastAsia"/>
        </w:rPr>
        <w:t>.投标文件的式样和签署</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18</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投标文件正本、副本、电子版份数见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。正本和副本的封面应注明</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正本</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或</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副本</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的字样，当正本和副本不一致时，以正本为准。投标文件电子版需包括</w:t>
      </w:r>
      <w:r>
        <w:rPr>
          <w:rFonts w:hint="eastAsia" w:asciiTheme="majorEastAsia" w:hAnsiTheme="majorEastAsia" w:eastAsiaTheme="majorEastAsia" w:cstheme="majorEastAsia"/>
          <w:b/>
        </w:rPr>
        <w:t>Word</w:t>
      </w:r>
      <w:r>
        <w:rPr>
          <w:rFonts w:hint="eastAsia" w:asciiTheme="majorEastAsia" w:hAnsiTheme="majorEastAsia" w:eastAsiaTheme="majorEastAsia" w:cstheme="majorEastAsia"/>
        </w:rPr>
        <w:t>和扫描件两种版本。</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18.2</w:t>
      </w:r>
      <w:r>
        <w:rPr>
          <w:rFonts w:hint="eastAsia" w:asciiTheme="majorEastAsia" w:hAnsiTheme="majorEastAsia" w:eastAsiaTheme="majorEastAsia" w:cstheme="majorEastAsia"/>
        </w:rPr>
        <w:t>　投标文件应用不褪色的材料打印或书写，并在招标文件要求签字、盖章处盖单位章和由法定代表人或其授权代表签字。投标文件中的任何行间插字、涂改和增删，改动之处应加盖单位章或由投标人的法定代表人或其授权的代理人签字确认。不按上述要求盖章和签字的，在评标时将其视为无效投标。</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19</w:t>
      </w:r>
      <w:r>
        <w:rPr>
          <w:rFonts w:hint="eastAsia" w:asciiTheme="majorEastAsia" w:hAnsiTheme="majorEastAsia" w:eastAsiaTheme="majorEastAsia" w:cstheme="majorEastAsia"/>
        </w:rPr>
        <w:t>.投标文件的密封和标记</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19</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投标文件按正本和副本分别包装，注明</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正本</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或</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副本</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，加贴封条，并在封套的封口处加盖投标人单位章或由法定代表人或其授权的代理人签字。</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19</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投标文件封套或外包装上应载明的内容见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19</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　投标文件如果未按上述规定密封和标记，采购人或采购代理机构应当拒绝接收。</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19</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4</w:t>
      </w:r>
      <w:r>
        <w:rPr>
          <w:rFonts w:hint="eastAsia" w:asciiTheme="majorEastAsia" w:hAnsiTheme="majorEastAsia" w:eastAsiaTheme="majorEastAsia" w:cstheme="majorEastAsia"/>
        </w:rPr>
        <w:t>　为方便开标唱标，投标人应单独将开标一览表及投标保证金另行封装在同一密封套内，并标明开标一览表及投标保证金字样，投标时单独提交。</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20</w:t>
      </w:r>
      <w:r>
        <w:rPr>
          <w:rFonts w:hint="eastAsia" w:asciiTheme="majorEastAsia" w:hAnsiTheme="majorEastAsia" w:eastAsiaTheme="majorEastAsia" w:cstheme="majorEastAsia"/>
        </w:rPr>
        <w:t>.投标文件的递交</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20</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投标文件应在本章第</w:t>
      </w:r>
      <w:r>
        <w:rPr>
          <w:rFonts w:hint="eastAsia" w:asciiTheme="majorEastAsia" w:hAnsiTheme="majorEastAsia" w:eastAsiaTheme="majorEastAsia" w:cstheme="majorEastAsia"/>
          <w:b/>
        </w:rPr>
        <w:t>11.1</w:t>
      </w:r>
      <w:r>
        <w:rPr>
          <w:rFonts w:hint="eastAsia" w:asciiTheme="majorEastAsia" w:hAnsiTheme="majorEastAsia" w:eastAsiaTheme="majorEastAsia" w:cstheme="majorEastAsia"/>
        </w:rPr>
        <w:t>款规定的投标截止时间之前送到</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指定的地点。</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20</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逾期送达或未送达指定地点的投标文件，采购人或采购代理机构应当拒绝接收。</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21</w:t>
      </w:r>
      <w:r>
        <w:rPr>
          <w:rFonts w:hint="eastAsia" w:asciiTheme="majorEastAsia" w:hAnsiTheme="majorEastAsia" w:eastAsiaTheme="majorEastAsia" w:cstheme="majorEastAsia"/>
        </w:rPr>
        <w:t>.投标文件的修改和撤回</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21</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在本章第</w:t>
      </w:r>
      <w:r>
        <w:rPr>
          <w:rFonts w:hint="eastAsia" w:asciiTheme="majorEastAsia" w:hAnsiTheme="majorEastAsia" w:eastAsiaTheme="majorEastAsia" w:cstheme="majorEastAsia"/>
          <w:b/>
        </w:rPr>
        <w:t>11.1</w:t>
      </w:r>
      <w:r>
        <w:rPr>
          <w:rFonts w:hint="eastAsia" w:asciiTheme="majorEastAsia" w:hAnsiTheme="majorEastAsia" w:eastAsiaTheme="majorEastAsia" w:cstheme="majorEastAsia"/>
        </w:rPr>
        <w:t>款规定的投标截止时间前，投标人可以书面形式修改、补充或撤回已递交的投标文件，但应以书面形式通知采购人或采购代理机构。</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21</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修改、补充的内容为投标文件的组成部分。修改、补充的投标文件应按本章第</w:t>
      </w:r>
      <w:r>
        <w:rPr>
          <w:rFonts w:hint="eastAsia" w:asciiTheme="majorEastAsia" w:hAnsiTheme="majorEastAsia" w:eastAsiaTheme="majorEastAsia" w:cstheme="majorEastAsia"/>
          <w:b/>
        </w:rPr>
        <w:t>18</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19</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20</w:t>
      </w:r>
      <w:r>
        <w:rPr>
          <w:rFonts w:hint="eastAsia" w:asciiTheme="majorEastAsia" w:hAnsiTheme="majorEastAsia" w:eastAsiaTheme="majorEastAsia" w:cstheme="majorEastAsia"/>
        </w:rPr>
        <w:t>项规定编制、签署、密封、标记和递交，并标明“修改、补充”字样。</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21</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　投标人按本章</w:t>
      </w:r>
      <w:r>
        <w:rPr>
          <w:rFonts w:hint="eastAsia" w:asciiTheme="majorEastAsia" w:hAnsiTheme="majorEastAsia" w:eastAsiaTheme="majorEastAsia" w:cstheme="majorEastAsia"/>
          <w:b/>
        </w:rPr>
        <w:t>20.1</w:t>
      </w:r>
      <w:r>
        <w:rPr>
          <w:rFonts w:hint="eastAsia" w:asciiTheme="majorEastAsia" w:hAnsiTheme="majorEastAsia" w:eastAsiaTheme="majorEastAsia" w:cstheme="majorEastAsia"/>
        </w:rPr>
        <w:t>款撤回投标文件的，采购人或采购代理机构自收到投标人书面撤回通知时及时退还已收取的投标保证金。</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21</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4</w:t>
      </w:r>
      <w:r>
        <w:rPr>
          <w:rFonts w:hint="eastAsia" w:asciiTheme="majorEastAsia" w:hAnsiTheme="majorEastAsia" w:eastAsiaTheme="majorEastAsia" w:cstheme="majorEastAsia"/>
        </w:rPr>
        <w:t>　投标人在投标有效期内撤回投标文件的，投标保证金将不予退还。</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21</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5</w:t>
      </w:r>
      <w:r>
        <w:rPr>
          <w:rFonts w:hint="eastAsia" w:asciiTheme="majorEastAsia" w:hAnsiTheme="majorEastAsia" w:eastAsiaTheme="majorEastAsia" w:cstheme="majorEastAsia"/>
        </w:rPr>
        <w:t>　投标人在投标有效期内不得修改其投标文件。</w:t>
      </w:r>
    </w:p>
    <w:p>
      <w:pPr>
        <w:pStyle w:val="3"/>
        <w:spacing w:line="360" w:lineRule="auto"/>
        <w:ind w:firstLine="562"/>
        <w:rPr>
          <w:rFonts w:asciiTheme="majorEastAsia" w:hAnsiTheme="majorEastAsia" w:eastAsiaTheme="majorEastAsia" w:cstheme="majorEastAsia"/>
        </w:rPr>
      </w:pPr>
      <w:r>
        <w:rPr>
          <w:rFonts w:hint="eastAsia" w:asciiTheme="majorEastAsia" w:hAnsiTheme="majorEastAsia" w:eastAsiaTheme="majorEastAsia" w:cstheme="majorEastAsia"/>
        </w:rPr>
        <w:t>四、开标和评标</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22</w:t>
      </w:r>
      <w:r>
        <w:rPr>
          <w:rFonts w:hint="eastAsia" w:asciiTheme="majorEastAsia" w:hAnsiTheme="majorEastAsia" w:eastAsiaTheme="majorEastAsia" w:cstheme="majorEastAsia"/>
        </w:rPr>
        <w:t>.开标</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22</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采购人或采购代理机构在</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规定的开标时间和开标地点组织公开开标，采购人、投标人和有关方面代表参加。</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22</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开标时，公布在投标截止时间前递交投标文件的投标人名称；由投标人或其推选的代表检查投标文件的密封情况，也可以由采购代理机构委托的公证机构检查并公证；经确认无误后，由采购人或采购代理机构当众拆封投标文件，宣读投标人名称、投标价格和</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规定的投标文件的其他主要内容，并记录在案。</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22</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　未宣读的投标价格等实质性内容，评标时不予承认。</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22</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4</w:t>
      </w:r>
      <w:r>
        <w:rPr>
          <w:rFonts w:hint="eastAsia" w:asciiTheme="majorEastAsia" w:hAnsiTheme="majorEastAsia" w:eastAsiaTheme="majorEastAsia" w:cstheme="majorEastAsia"/>
        </w:rPr>
        <w:t>　投标人代表及有关人员在开标记录上签字确认。</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23</w:t>
      </w:r>
      <w:r>
        <w:rPr>
          <w:rFonts w:hint="eastAsia" w:asciiTheme="majorEastAsia" w:hAnsiTheme="majorEastAsia" w:eastAsiaTheme="majorEastAsia" w:cstheme="majorEastAsia"/>
        </w:rPr>
        <w:t>.评标委员会</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23</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评标由采购人或采购代理机构依法组建的评标委员会负责。评标委员会由政府采购评审专家和采购人代表组成。</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24</w:t>
      </w:r>
      <w:r>
        <w:rPr>
          <w:rFonts w:hint="eastAsia" w:asciiTheme="majorEastAsia" w:hAnsiTheme="majorEastAsia" w:eastAsiaTheme="majorEastAsia" w:cstheme="majorEastAsia"/>
        </w:rPr>
        <w:t>.评标方法和标准</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24</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本项目评标方法和标准见招标文件第三章。</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.评标程序</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投标文件的初审</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1.1</w:t>
      </w:r>
      <w:r>
        <w:rPr>
          <w:rFonts w:hint="eastAsia" w:asciiTheme="majorEastAsia" w:hAnsiTheme="majorEastAsia" w:eastAsiaTheme="majorEastAsia" w:cstheme="majorEastAsia"/>
        </w:rPr>
        <w:t>　初审分为资格性检查和符合性检查。</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资格性检查。根据政府采购法律法规规定和招标文件的规定，对投标文件中的资格证明、投标保证金等进行审查，以确定投标人是否具备投标资格。</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符合性检查。依据招标文件的规定，从投标文件的有效性、完整性和对招标文件的响应程度进行审查，以确定是否对招标文件的实质性要求作出响应。</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25.1.2</w:t>
      </w:r>
      <w:r>
        <w:rPr>
          <w:rFonts w:hint="eastAsia" w:asciiTheme="majorEastAsia" w:hAnsiTheme="majorEastAsia" w:eastAsiaTheme="majorEastAsia" w:cstheme="majorEastAsia"/>
        </w:rPr>
        <w:t>　有下列情形之一的，应在资格性、符合性检查时按照无效投标处理：</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)投标人未按照招标文件规定提交投标保证金的；</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)投标文件未按照招标文件规定要求密封、签署、盖章的；</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)投标人不具备招标文件规定的投标人资格条件的；</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4</w:t>
      </w:r>
      <w:r>
        <w:rPr>
          <w:rFonts w:hint="eastAsia" w:asciiTheme="majorEastAsia" w:hAnsiTheme="majorEastAsia" w:eastAsiaTheme="majorEastAsia" w:cstheme="majorEastAsia"/>
        </w:rPr>
        <w:t>)不满足标注</w:t>
      </w:r>
      <w:r>
        <w:rPr>
          <w:rFonts w:hint="eastAsia" w:asciiTheme="majorEastAsia" w:hAnsiTheme="majorEastAsia" w:eastAsiaTheme="majorEastAsia" w:cstheme="majorEastAsia"/>
          <w:b/>
        </w:rPr>
        <w:t>★</w:t>
      </w:r>
      <w:r>
        <w:rPr>
          <w:rFonts w:hint="eastAsia" w:asciiTheme="majorEastAsia" w:hAnsiTheme="majorEastAsia" w:eastAsiaTheme="majorEastAsia" w:cstheme="majorEastAsia"/>
        </w:rPr>
        <w:t>的实质性要求的；</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5</w:t>
      </w:r>
      <w:r>
        <w:rPr>
          <w:rFonts w:hint="eastAsia" w:asciiTheme="majorEastAsia" w:hAnsiTheme="majorEastAsia" w:eastAsiaTheme="majorEastAsia" w:cstheme="majorEastAsia"/>
        </w:rPr>
        <w:t>)投标有效期不足的；</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6</w:t>
      </w:r>
      <w:r>
        <w:rPr>
          <w:rFonts w:hint="eastAsia" w:asciiTheme="majorEastAsia" w:hAnsiTheme="majorEastAsia" w:eastAsiaTheme="majorEastAsia" w:cstheme="majorEastAsia"/>
        </w:rPr>
        <w:t>)不符合法律、法规和招标文件规定的实质性要求。</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bCs/>
        </w:rPr>
        <w:t>(7)提供虚假材料，严重干扰招投标程序的。</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核价原则</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2.1</w:t>
      </w:r>
      <w:r>
        <w:rPr>
          <w:rFonts w:hint="eastAsia" w:asciiTheme="majorEastAsia" w:hAnsiTheme="majorEastAsia" w:eastAsiaTheme="majorEastAsia" w:cstheme="majorEastAsia"/>
        </w:rPr>
        <w:t>　投标文件中开标一览表(投标报价表)内容与投标文件中明细表内容不一致的，以开标一览表(报价表)为准。</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2.2</w:t>
      </w:r>
      <w:r>
        <w:rPr>
          <w:rFonts w:hint="eastAsia" w:asciiTheme="majorEastAsia" w:hAnsiTheme="majorEastAsia" w:eastAsiaTheme="majorEastAsia" w:cstheme="majorEastAsia"/>
        </w:rPr>
        <w:t>　投标文件的大写金额和小写金额不一致的，以大写金额为准。</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2.3</w:t>
      </w:r>
      <w:r>
        <w:rPr>
          <w:rFonts w:hint="eastAsia" w:asciiTheme="majorEastAsia" w:hAnsiTheme="majorEastAsia" w:eastAsiaTheme="majorEastAsia" w:cstheme="majorEastAsia"/>
        </w:rPr>
        <w:t>　总价金额与按单价汇总金额不一致的，以单价金额计算结果为准。</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2.4</w:t>
      </w:r>
      <w:r>
        <w:rPr>
          <w:rFonts w:hint="eastAsia" w:asciiTheme="majorEastAsia" w:hAnsiTheme="majorEastAsia" w:eastAsiaTheme="majorEastAsia" w:cstheme="majorEastAsia"/>
        </w:rPr>
        <w:t>　单价金额小数点有明显错误的，应以总价为准，并修改单价。</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　对不同文字文本投标文件的解释发生异议的，以中文文本为准。</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2.6</w:t>
      </w:r>
      <w:r>
        <w:rPr>
          <w:rFonts w:hint="eastAsia" w:asciiTheme="majorEastAsia" w:hAnsiTheme="majorEastAsia" w:eastAsiaTheme="majorEastAsia" w:cstheme="majorEastAsia"/>
        </w:rPr>
        <w:t>　评标委员会将按上述修正错误的方法调整投标文件中的投标报价，调整后的价格应对投标人具有约束力。</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　投标文件澄清</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3.1</w:t>
      </w:r>
      <w:r>
        <w:rPr>
          <w:rFonts w:hint="eastAsia" w:asciiTheme="majorEastAsia" w:hAnsiTheme="majorEastAsia" w:eastAsiaTheme="majorEastAsia" w:cstheme="majorEastAsia"/>
        </w:rPr>
        <w:t>　对投标文件中含义不明确、同类问题表述不一致或者有明显文字和计算错误的内容，评标委员会将以书面形式通知投标人作出必要的澄清、说明，但不得超出投标文件的范围或对投标文件做实质性的修改(计算错误修正除外)。评标委员会不接受投标人主动提出的澄清、说明。</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3.2</w:t>
      </w:r>
      <w:r>
        <w:rPr>
          <w:rFonts w:hint="eastAsia" w:asciiTheme="majorEastAsia" w:hAnsiTheme="majorEastAsia" w:eastAsiaTheme="majorEastAsia" w:cstheme="majorEastAsia"/>
        </w:rPr>
        <w:t>　投标人的澄清、说明或者补正应该采用书面形式，由法定代表人或其授权的代理人签字，并按评标委员会的通知要求递交。</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3.3</w:t>
      </w:r>
      <w:r>
        <w:rPr>
          <w:rFonts w:hint="eastAsia" w:asciiTheme="majorEastAsia" w:hAnsiTheme="majorEastAsia" w:eastAsiaTheme="majorEastAsia" w:cstheme="majorEastAsia"/>
        </w:rPr>
        <w:t>　有效的书面澄清材料，是投标文件的补充材料，成为投标文件的组成部分。</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4</w:t>
      </w:r>
      <w:r>
        <w:rPr>
          <w:rFonts w:hint="eastAsia" w:asciiTheme="majorEastAsia" w:hAnsiTheme="majorEastAsia" w:eastAsiaTheme="majorEastAsia" w:cstheme="majorEastAsia"/>
        </w:rPr>
        <w:t>　废标条款</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有下列情形之一时，评标委员会应予废标，并将理由通知所有投标人：</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)符合专业条件的投标人或者对招标文件作实质性响应的投标人不足三家的；</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)出现影响采购公正的违法、违规行为的；</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)投标人的报价均超过了采购预算，采购人不能支付的；</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4</w:t>
      </w:r>
      <w:r>
        <w:rPr>
          <w:rFonts w:hint="eastAsia" w:asciiTheme="majorEastAsia" w:hAnsiTheme="majorEastAsia" w:eastAsiaTheme="majorEastAsia" w:cstheme="majorEastAsia"/>
        </w:rPr>
        <w:t>)因重大变故，采购任务取消的。</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5</w:t>
      </w:r>
      <w:r>
        <w:rPr>
          <w:rFonts w:hint="eastAsia" w:asciiTheme="majorEastAsia" w:hAnsiTheme="majorEastAsia" w:eastAsiaTheme="majorEastAsia" w:cstheme="majorEastAsia"/>
        </w:rPr>
        <w:t>　比较与评价</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5.1</w:t>
      </w:r>
      <w:r>
        <w:rPr>
          <w:rFonts w:hint="eastAsia" w:asciiTheme="majorEastAsia" w:hAnsiTheme="majorEastAsia" w:eastAsiaTheme="majorEastAsia" w:cstheme="majorEastAsia"/>
        </w:rPr>
        <w:t>　评标委员会应按照招标文件中规定的评标方法和标准，对资格性检查和符合性检查合格的投标文件进行商务和技术评估，综合比较与评价。</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6</w:t>
      </w:r>
      <w:r>
        <w:rPr>
          <w:rFonts w:hint="eastAsia" w:asciiTheme="majorEastAsia" w:hAnsiTheme="majorEastAsia" w:eastAsiaTheme="majorEastAsia" w:cstheme="majorEastAsia"/>
        </w:rPr>
        <w:t>　推荐中标候选人名单</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25</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6.1</w:t>
      </w:r>
      <w:r>
        <w:rPr>
          <w:rFonts w:hint="eastAsia" w:asciiTheme="majorEastAsia" w:hAnsiTheme="majorEastAsia" w:eastAsiaTheme="majorEastAsia" w:cstheme="majorEastAsia"/>
        </w:rPr>
        <w:t>　最低评标价法：评标委员会按经评审投标报价由低到高顺序推荐中标候选人。经评审投标报价相同时，按技术指标优劣顺序推荐中标候选人。</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综合评分法：按评审后得分由高到低顺序排列。得分相同的，按投标报价由低到高顺序排列。得分且投标报价相同的，按技术指标优劣顺序排列。</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25.7 定标</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25.7.1 定标原则</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采购人或其授权的评标委员会应按照评标报告中推荐的中标候选人排名顺序确定中标人。</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25.7.2 定标程序</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)采购代理机构应当在评标结束后2个工作日内将评标报告送采购人。</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)采购人应当自收到评审报告之日起5个工作日内在评审报告推荐的中标候选人按顺序确定中标人。</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)采购人或者采购代理机构应当自中标人确定之日起2个工作日内，在投标人须知前附表指定的媒体上公告中标结果。中标公告期限为1个工作日。</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25.7.3 中标人变更</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中标人拒绝与采购人签订合同的，采购人可以按照评标报告推荐的中标候选人顺序，确定排名下一位的候选人为中标人，也可以重新开展政府采购活动。</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26</w:t>
      </w:r>
      <w:r>
        <w:rPr>
          <w:rFonts w:hint="eastAsia" w:asciiTheme="majorEastAsia" w:hAnsiTheme="majorEastAsia" w:eastAsiaTheme="majorEastAsia" w:cstheme="majorEastAsia"/>
        </w:rPr>
        <w:t>.公告的媒体</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26</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中标人确定后，中标信息将在</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指定的公告媒体上公布。</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27</w:t>
      </w:r>
      <w:r>
        <w:rPr>
          <w:rFonts w:hint="eastAsia" w:asciiTheme="majorEastAsia" w:hAnsiTheme="majorEastAsia" w:eastAsiaTheme="majorEastAsia" w:cstheme="majorEastAsia"/>
        </w:rPr>
        <w:t>.中标通知</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27</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采购人或者采购代理机构应当自中标供应商确定之日起</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个工作日内，发出中标通知书，中标通知书对采购人和中标供应商具有同等法律效力。</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28</w:t>
      </w:r>
      <w:r>
        <w:rPr>
          <w:rFonts w:hint="eastAsia" w:asciiTheme="majorEastAsia" w:hAnsiTheme="majorEastAsia" w:eastAsiaTheme="majorEastAsia" w:cstheme="majorEastAsia"/>
        </w:rPr>
        <w:t>.询问、质疑、投诉</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28</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供应商对政府采购活动事项有疑问的，可以向采购人或采购代理机构提出询问。采购人或采购代理机构将在</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个工作日内作出答复。</w:t>
      </w:r>
    </w:p>
    <w:p>
      <w:pPr>
        <w:pStyle w:val="8"/>
        <w:spacing w:line="360" w:lineRule="auto"/>
        <w:ind w:firstLine="422"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b/>
        </w:rPr>
        <w:t>28</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供应商认为采购文件、采购过程和中标、成交结果使自己的权益受到损害的，可以在知道或者应知其权益受到损害之日起7个工作日内，以书面形式向采购人或采购代理机构提出质疑。质疑时间按下面规定时间确定：</w:t>
      </w:r>
    </w:p>
    <w:p>
      <w:pPr>
        <w:pStyle w:val="8"/>
        <w:spacing w:line="36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(1)关于采购文件的质疑，应从采购文件获取之日或者采购文件公告期限届满之日起7个工作日内提出。</w:t>
      </w:r>
    </w:p>
    <w:p>
      <w:pPr>
        <w:pStyle w:val="8"/>
        <w:spacing w:line="36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(2)关于采购过程的质疑，应在各采购程序环节结束之日起7个工作日内提出。</w:t>
      </w:r>
    </w:p>
    <w:p>
      <w:pPr>
        <w:pStyle w:val="8"/>
        <w:spacing w:line="36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(3)关于中标结果的质疑，应在中标结果信息公告期限届满之日起7个工作日内提出。</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28</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　投标人提出质疑的，应提供质疑书原件。采购人或采购代理机构应当向质疑供应商签收回执。</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28</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4</w:t>
      </w:r>
      <w:r>
        <w:rPr>
          <w:rFonts w:hint="eastAsia" w:asciiTheme="majorEastAsia" w:hAnsiTheme="majorEastAsia" w:eastAsiaTheme="majorEastAsia" w:cstheme="majorEastAsia"/>
        </w:rPr>
        <w:t>　质疑书应当由投标人法定代表人或其授权的代理人签字并加盖投标人单位章，质疑书由授权的代理人签字的应附投标人法定代表人委托授权书。</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28</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5</w:t>
      </w:r>
      <w:r>
        <w:rPr>
          <w:rFonts w:hint="eastAsia" w:asciiTheme="majorEastAsia" w:hAnsiTheme="majorEastAsia" w:eastAsiaTheme="majorEastAsia" w:cstheme="majorEastAsia"/>
        </w:rPr>
        <w:t>　采购人或采购代理机构将在签收回执之日起</w:t>
      </w:r>
      <w:r>
        <w:rPr>
          <w:rFonts w:hint="eastAsia" w:asciiTheme="majorEastAsia" w:hAnsiTheme="majorEastAsia" w:eastAsiaTheme="majorEastAsia" w:cstheme="majorEastAsia"/>
          <w:b/>
        </w:rPr>
        <w:t>7</w:t>
      </w:r>
      <w:r>
        <w:rPr>
          <w:rFonts w:hint="eastAsia" w:asciiTheme="majorEastAsia" w:hAnsiTheme="majorEastAsia" w:eastAsiaTheme="majorEastAsia" w:cstheme="majorEastAsia"/>
        </w:rPr>
        <w:t>个工作日内作出书面答复，并以书面形式通知质疑投标人和其他有关的投标人。</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28</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6</w:t>
      </w:r>
      <w:r>
        <w:rPr>
          <w:rFonts w:hint="eastAsia" w:asciiTheme="majorEastAsia" w:hAnsiTheme="majorEastAsia" w:eastAsiaTheme="majorEastAsia" w:cstheme="majorEastAsia"/>
        </w:rPr>
        <w:t>　投标人对采购人或采购代理机构的答复不满意，或采购人或采购代理机构未在规定的期限作出答复的，可在答复期满后</w:t>
      </w:r>
      <w:r>
        <w:rPr>
          <w:rFonts w:hint="eastAsia" w:asciiTheme="majorEastAsia" w:hAnsiTheme="majorEastAsia" w:eastAsiaTheme="majorEastAsia" w:cstheme="majorEastAsia"/>
          <w:b/>
        </w:rPr>
        <w:t>15</w:t>
      </w:r>
      <w:r>
        <w:rPr>
          <w:rFonts w:hint="eastAsia" w:asciiTheme="majorEastAsia" w:hAnsiTheme="majorEastAsia" w:eastAsiaTheme="majorEastAsia" w:cstheme="majorEastAsia"/>
        </w:rPr>
        <w:t>个工作日内，按政府采购法律法规规定及程序，向财政部提出投诉。</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29</w:t>
      </w:r>
      <w:r>
        <w:rPr>
          <w:rFonts w:hint="eastAsia" w:asciiTheme="majorEastAsia" w:hAnsiTheme="majorEastAsia" w:eastAsiaTheme="majorEastAsia" w:cstheme="majorEastAsia"/>
        </w:rPr>
        <w:t>.签订合同</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29</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招标文件和中标供应商投标文件等均为签订政府采购合同的依据。</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29</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　中标供应商应当在成交通知书发出之日起</w:t>
      </w:r>
      <w:r>
        <w:rPr>
          <w:rFonts w:hint="eastAsia" w:asciiTheme="majorEastAsia" w:hAnsiTheme="majorEastAsia" w:eastAsiaTheme="majorEastAsia" w:cstheme="majorEastAsia"/>
          <w:b/>
        </w:rPr>
        <w:t>30</w:t>
      </w:r>
      <w:r>
        <w:rPr>
          <w:rFonts w:hint="eastAsia" w:asciiTheme="majorEastAsia" w:hAnsiTheme="majorEastAsia" w:eastAsiaTheme="majorEastAsia" w:cstheme="majorEastAsia"/>
        </w:rPr>
        <w:t>日内，与采购人签订政府采购合同。</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29</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3</w:t>
      </w:r>
      <w:r>
        <w:rPr>
          <w:rFonts w:hint="eastAsia" w:asciiTheme="majorEastAsia" w:hAnsiTheme="majorEastAsia" w:eastAsiaTheme="majorEastAsia" w:cstheme="majorEastAsia"/>
        </w:rPr>
        <w:t>　采购人不得向中标供应商提出超出招标文件以外的任何要求作为签订合同的条件，不得与中标供应商订立背离招标文件确定的合同文本以及采购标的、规格型号、采购金额、采购数量、技术和服务要求等实质性内容的协议。</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29</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4</w:t>
      </w:r>
      <w:r>
        <w:rPr>
          <w:rFonts w:hint="eastAsia" w:asciiTheme="majorEastAsia" w:hAnsiTheme="majorEastAsia" w:eastAsiaTheme="majorEastAsia" w:cstheme="majorEastAsia"/>
        </w:rPr>
        <w:t>　自政府采购合同签订之日起</w:t>
      </w:r>
      <w:r>
        <w:rPr>
          <w:rFonts w:hint="eastAsia" w:asciiTheme="majorEastAsia" w:hAnsiTheme="majorEastAsia" w:eastAsiaTheme="majorEastAsia" w:cstheme="majorEastAsia"/>
          <w:b/>
        </w:rPr>
        <w:t>2</w:t>
      </w:r>
      <w:r>
        <w:rPr>
          <w:rFonts w:hint="eastAsia" w:asciiTheme="majorEastAsia" w:hAnsiTheme="majorEastAsia" w:eastAsiaTheme="majorEastAsia" w:cstheme="majorEastAsia"/>
        </w:rPr>
        <w:t>个工作日内，本项目政府采购合同在财政部指定的媒体上公告，具体见</w:t>
      </w:r>
      <w:r>
        <w:rPr>
          <w:rFonts w:hint="eastAsia" w:asciiTheme="majorEastAsia" w:hAnsiTheme="majorEastAsia" w:eastAsiaTheme="majorEastAsia" w:cstheme="majorEastAsia"/>
          <w:b/>
        </w:rPr>
        <w:t>投标人须知前附表</w:t>
      </w:r>
      <w:r>
        <w:rPr>
          <w:rFonts w:hint="eastAsia" w:asciiTheme="majorEastAsia" w:hAnsiTheme="majorEastAsia" w:eastAsiaTheme="majorEastAsia" w:cstheme="majorEastAsia"/>
        </w:rPr>
        <w:t>，但政府采购合同中涉及国家秘密、商业秘密的内容除外。</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30</w:t>
      </w:r>
      <w:r>
        <w:rPr>
          <w:rFonts w:hint="eastAsia" w:asciiTheme="majorEastAsia" w:hAnsiTheme="majorEastAsia" w:eastAsiaTheme="majorEastAsia" w:cstheme="majorEastAsia"/>
        </w:rPr>
        <w:t>.保密</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30</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评标委员会小组成员以及与评标委员会工作有关的人员不得泄露评标情况以及评标过程中获悉的国家秘密、商业秘密。</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31</w:t>
      </w:r>
      <w:r>
        <w:rPr>
          <w:rFonts w:hint="eastAsia" w:asciiTheme="majorEastAsia" w:hAnsiTheme="majorEastAsia" w:eastAsiaTheme="majorEastAsia" w:cstheme="majorEastAsia"/>
        </w:rPr>
        <w:t>.禁止行为</w:t>
      </w:r>
    </w:p>
    <w:p>
      <w:pPr>
        <w:pStyle w:val="8"/>
        <w:spacing w:line="360" w:lineRule="auto"/>
        <w:ind w:firstLine="422" w:firstLineChars="200"/>
        <w:rPr>
          <w:rFonts w:asciiTheme="majorEastAsia" w:hAnsiTheme="majorEastAsia" w:eastAsiaTheme="majorEastAsia" w:cstheme="majorEastAsia"/>
        </w:rPr>
      </w:pPr>
      <w:r>
        <w:rPr>
          <w:rFonts w:hint="eastAsia" w:asciiTheme="majorEastAsia" w:hAnsiTheme="majorEastAsia" w:eastAsiaTheme="majorEastAsia" w:cstheme="majorEastAsia"/>
          <w:b/>
        </w:rPr>
        <w:t>31</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b/>
        </w:rPr>
        <w:t>1</w:t>
      </w:r>
      <w:r>
        <w:rPr>
          <w:rFonts w:hint="eastAsia" w:asciiTheme="majorEastAsia" w:hAnsiTheme="majorEastAsia" w:eastAsiaTheme="majorEastAsia" w:cstheme="majorEastAsia"/>
        </w:rPr>
        <w:t>　供应商不得与采购人、采购代理机构、其他供应商恶意串通；不得向采购人、采购代理机构或者评标委员会成员行贿或者提供其他不正当利益；不得提供虚假材料谋取中标；不得以任何方式干扰、影响采购工作。供应商违反政府采购法律法规相关规定的，依法追究法律责任。</w:t>
      </w:r>
    </w:p>
    <w:p>
      <w:pPr>
        <w:pStyle w:val="8"/>
        <w:spacing w:line="360" w:lineRule="auto"/>
        <w:ind w:firstLine="422" w:firstLineChars="200"/>
        <w:rPr>
          <w:rFonts w:asciiTheme="majorEastAsia" w:hAnsiTheme="majorEastAsia" w:eastAsiaTheme="majorEastAsia" w:cstheme="majorEastAsia"/>
          <w:b/>
        </w:rPr>
      </w:pPr>
      <w:r>
        <w:rPr>
          <w:rFonts w:hint="eastAsia" w:asciiTheme="majorEastAsia" w:hAnsiTheme="majorEastAsia" w:eastAsiaTheme="majorEastAsia" w:cstheme="majorEastAsia"/>
          <w:b/>
        </w:rPr>
        <w:br w:type="page"/>
      </w:r>
    </w:p>
    <w:p>
      <w:pPr>
        <w:pStyle w:val="2"/>
        <w:spacing w:before="0" w:after="0"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第三章　评标方法及标准</w:t>
      </w:r>
    </w:p>
    <w:p>
      <w:pPr>
        <w:pStyle w:val="3"/>
        <w:spacing w:before="221" w:after="0" w:line="360" w:lineRule="auto"/>
        <w:ind w:firstLine="0" w:firstLineChars="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一、评标方法</w:t>
      </w:r>
    </w:p>
    <w:p>
      <w:pPr>
        <w:pStyle w:val="7"/>
        <w:spacing w:line="360" w:lineRule="auto"/>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lang w:val="en-US" w:bidi="ar-SA"/>
        </w:rPr>
        <w:t>（一）评标方法定义</w:t>
      </w:r>
    </w:p>
    <w:p>
      <w:pPr>
        <w:pStyle w:val="7"/>
        <w:spacing w:line="360" w:lineRule="auto"/>
        <w:ind w:firstLine="420" w:firstLineChars="200"/>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lang w:val="en-US" w:bidi="ar-SA"/>
        </w:rPr>
        <w:t>本项目采用综合评分法进行评标。综合评分法，是指投标文件满足招标文件全部实质性要求且按照评审因素的量化指标评审得分最高的供应商为中标候选人的评标方法。投标人总得分为价格、技术、商务等评定因素分别按照相应权重值计算分项得分后相加，满分为100 分。</w:t>
      </w:r>
    </w:p>
    <w:p>
      <w:pPr>
        <w:pStyle w:val="7"/>
        <w:spacing w:before="140" w:line="360" w:lineRule="auto"/>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lang w:val="en-US" w:bidi="ar-SA"/>
        </w:rPr>
        <w:t>（二）评标程序</w:t>
      </w:r>
    </w:p>
    <w:p>
      <w:pPr>
        <w:pStyle w:val="7"/>
        <w:spacing w:before="140" w:line="360" w:lineRule="auto"/>
        <w:ind w:firstLine="420" w:firstLineChars="200"/>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lang w:val="en-US" w:bidi="ar-SA"/>
        </w:rPr>
        <w:t>评标工作由采购代理机构负责组织，具体评标事务由采购代理机构依法组建的评标委员会负责。评标委员会由专家和采购人代表组成，其中经济、技术专家由海南省综合评标专家库中随机抽取 4 人+1 名采购人代表组成。评标委员会成员到位后，推举其中一位评审专家担任评审组长，并由评审组长牵头组织该项目评审工作。评标委员会按以下程序独立履行评审职责：</w:t>
      </w:r>
    </w:p>
    <w:p>
      <w:pPr>
        <w:pStyle w:val="7"/>
        <w:numPr>
          <w:ilvl w:val="0"/>
          <w:numId w:val="1"/>
        </w:numPr>
        <w:spacing w:before="140" w:line="360" w:lineRule="auto"/>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lang w:val="en-US" w:bidi="ar-SA"/>
        </w:rPr>
        <w:t>资格性检查。依据法律法规和招标文件的规定，对投标文件中的资格证明、投标保证金等进行审查，以确定投标人是否具备投标资格。资格性检查资料表如下：</w:t>
      </w:r>
    </w:p>
    <w:tbl>
      <w:tblPr>
        <w:tblStyle w:val="15"/>
        <w:tblW w:w="9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850"/>
        <w:gridCol w:w="2200"/>
        <w:gridCol w:w="4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2" w:type="dxa"/>
          </w:tcPr>
          <w:p>
            <w:pPr>
              <w:pStyle w:val="7"/>
              <w:spacing w:before="140" w:line="360" w:lineRule="auto"/>
              <w:jc w:val="center"/>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lang w:val="en-US" w:bidi="ar-SA"/>
              </w:rPr>
              <w:t>序号</w:t>
            </w:r>
          </w:p>
        </w:tc>
        <w:tc>
          <w:tcPr>
            <w:tcW w:w="4050" w:type="dxa"/>
            <w:gridSpan w:val="2"/>
          </w:tcPr>
          <w:p>
            <w:pPr>
              <w:pStyle w:val="7"/>
              <w:spacing w:before="140" w:line="360" w:lineRule="auto"/>
              <w:jc w:val="center"/>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lang w:val="en-US" w:bidi="ar-SA"/>
              </w:rPr>
              <w:t>检查因素</w:t>
            </w:r>
          </w:p>
        </w:tc>
        <w:tc>
          <w:tcPr>
            <w:tcW w:w="4276" w:type="dxa"/>
          </w:tcPr>
          <w:p>
            <w:pPr>
              <w:pStyle w:val="7"/>
              <w:spacing w:before="140" w:line="360" w:lineRule="auto"/>
              <w:jc w:val="center"/>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lang w:val="en-US" w:bidi="ar-SA"/>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2" w:type="dxa"/>
            <w:vMerge w:val="restart"/>
          </w:tcPr>
          <w:p>
            <w:pPr>
              <w:pStyle w:val="7"/>
              <w:spacing w:before="140" w:line="360" w:lineRule="auto"/>
              <w:rPr>
                <w:rFonts w:asciiTheme="majorEastAsia" w:hAnsiTheme="majorEastAsia" w:eastAsiaTheme="majorEastAsia" w:cstheme="majorEastAsia"/>
                <w:sz w:val="21"/>
                <w:szCs w:val="21"/>
                <w:lang w:val="en-US" w:bidi="ar-SA"/>
              </w:rPr>
            </w:pPr>
            <w:r>
              <w:rPr>
                <w:rFonts w:asciiTheme="majorEastAsia" w:hAnsiTheme="majorEastAsia" w:eastAsiaTheme="majorEastAsia" w:cstheme="majorEastAsia"/>
                <w:sz w:val="21"/>
                <w:szCs w:val="21"/>
                <w:lang w:val="en-US" w:bidi="ar-SA"/>
              </w:rPr>
              <w:t>1</w:t>
            </w:r>
          </w:p>
        </w:tc>
        <w:tc>
          <w:tcPr>
            <w:tcW w:w="1850" w:type="dxa"/>
            <w:vMerge w:val="restart"/>
          </w:tcPr>
          <w:p>
            <w:pPr>
              <w:pStyle w:val="7"/>
              <w:spacing w:before="140" w:line="360" w:lineRule="auto"/>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rPr>
              <w:t>投标人应符合的基本资格条件</w:t>
            </w:r>
          </w:p>
        </w:tc>
        <w:tc>
          <w:tcPr>
            <w:tcW w:w="2200" w:type="dxa"/>
            <w:vAlign w:val="center"/>
          </w:tcPr>
          <w:p>
            <w:pPr>
              <w:pStyle w:val="7"/>
              <w:spacing w:before="140" w:line="360" w:lineRule="auto"/>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rPr>
              <w:t>在中华人民共和国注册，具有独立承担民事责任能力的法人</w:t>
            </w:r>
          </w:p>
        </w:tc>
        <w:tc>
          <w:tcPr>
            <w:tcW w:w="4276" w:type="dxa"/>
            <w:vAlign w:val="center"/>
          </w:tcPr>
          <w:p>
            <w:pPr>
              <w:pStyle w:val="8"/>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需提供营业执照副本、组织机构代码证副本、税务登记证副本等有效证件复印件，并加盖公章（提供“一照三号”或“一照一码”营业执照副本也视为同等有效证明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2" w:type="dxa"/>
            <w:vMerge w:val="continue"/>
          </w:tcPr>
          <w:p>
            <w:pPr>
              <w:pStyle w:val="7"/>
              <w:spacing w:before="140" w:line="360" w:lineRule="auto"/>
              <w:rPr>
                <w:rFonts w:asciiTheme="majorEastAsia" w:hAnsiTheme="majorEastAsia" w:eastAsiaTheme="majorEastAsia" w:cstheme="majorEastAsia"/>
                <w:sz w:val="21"/>
                <w:szCs w:val="21"/>
                <w:lang w:val="en-US" w:bidi="ar-SA"/>
              </w:rPr>
            </w:pPr>
          </w:p>
        </w:tc>
        <w:tc>
          <w:tcPr>
            <w:tcW w:w="1850" w:type="dxa"/>
            <w:vMerge w:val="continue"/>
          </w:tcPr>
          <w:p>
            <w:pPr>
              <w:pStyle w:val="7"/>
              <w:spacing w:before="140" w:line="360" w:lineRule="auto"/>
              <w:rPr>
                <w:rFonts w:asciiTheme="majorEastAsia" w:hAnsiTheme="majorEastAsia" w:eastAsiaTheme="majorEastAsia" w:cstheme="majorEastAsia"/>
                <w:sz w:val="21"/>
                <w:szCs w:val="21"/>
                <w:lang w:val="en-US" w:bidi="ar-SA"/>
              </w:rPr>
            </w:pPr>
          </w:p>
        </w:tc>
        <w:tc>
          <w:tcPr>
            <w:tcW w:w="2200" w:type="dxa"/>
          </w:tcPr>
          <w:p>
            <w:pPr>
              <w:pStyle w:val="7"/>
              <w:spacing w:before="140" w:line="360" w:lineRule="auto"/>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lang w:val="en-US"/>
              </w:rPr>
              <w:t>应具有依法缴纳税收和社会保障资金的良好记录</w:t>
            </w:r>
          </w:p>
        </w:tc>
        <w:tc>
          <w:tcPr>
            <w:tcW w:w="4276" w:type="dxa"/>
          </w:tcPr>
          <w:p>
            <w:pPr>
              <w:pStyle w:val="7"/>
              <w:spacing w:before="140" w:line="360" w:lineRule="auto"/>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lang w:val="en-US"/>
              </w:rPr>
              <w:t>提供</w:t>
            </w:r>
            <w:r>
              <w:rPr>
                <w:rFonts w:asciiTheme="majorEastAsia" w:hAnsiTheme="majorEastAsia" w:eastAsiaTheme="majorEastAsia" w:cstheme="majorEastAsia"/>
                <w:sz w:val="21"/>
                <w:szCs w:val="21"/>
                <w:lang w:val="en-US"/>
              </w:rPr>
              <w:t>2018年至今任意一个月依法缴纳税收及社会保障资金的凭证，复印件加盖公章。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2" w:type="dxa"/>
            <w:vMerge w:val="continue"/>
          </w:tcPr>
          <w:p>
            <w:pPr>
              <w:pStyle w:val="7"/>
              <w:spacing w:before="140" w:line="360" w:lineRule="auto"/>
              <w:rPr>
                <w:rFonts w:asciiTheme="majorEastAsia" w:hAnsiTheme="majorEastAsia" w:eastAsiaTheme="majorEastAsia" w:cstheme="majorEastAsia"/>
                <w:sz w:val="21"/>
                <w:szCs w:val="21"/>
                <w:lang w:val="en-US" w:bidi="ar-SA"/>
              </w:rPr>
            </w:pPr>
          </w:p>
        </w:tc>
        <w:tc>
          <w:tcPr>
            <w:tcW w:w="1850" w:type="dxa"/>
            <w:vMerge w:val="continue"/>
          </w:tcPr>
          <w:p>
            <w:pPr>
              <w:pStyle w:val="7"/>
              <w:spacing w:before="140" w:line="360" w:lineRule="auto"/>
              <w:rPr>
                <w:rFonts w:asciiTheme="majorEastAsia" w:hAnsiTheme="majorEastAsia" w:eastAsiaTheme="majorEastAsia" w:cstheme="majorEastAsia"/>
                <w:sz w:val="21"/>
                <w:szCs w:val="21"/>
                <w:lang w:val="en-US" w:bidi="ar-SA"/>
              </w:rPr>
            </w:pPr>
          </w:p>
        </w:tc>
        <w:tc>
          <w:tcPr>
            <w:tcW w:w="2200" w:type="dxa"/>
          </w:tcPr>
          <w:p>
            <w:pPr>
              <w:pStyle w:val="7"/>
              <w:spacing w:before="140" w:line="360" w:lineRule="auto"/>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rPr>
              <w:t>提供参加政府采购活动前三年内，在经营活动中没有重大违法记录的声明函</w:t>
            </w:r>
          </w:p>
        </w:tc>
        <w:tc>
          <w:tcPr>
            <w:tcW w:w="4276" w:type="dxa"/>
          </w:tcPr>
          <w:p>
            <w:pPr>
              <w:pStyle w:val="7"/>
              <w:spacing w:before="140" w:line="360" w:lineRule="auto"/>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lang w:val="en-US" w:bidi="ar-SA"/>
              </w:rPr>
              <w:t>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2" w:type="dxa"/>
            <w:vMerge w:val="continue"/>
          </w:tcPr>
          <w:p>
            <w:pPr>
              <w:pStyle w:val="7"/>
              <w:spacing w:before="140" w:line="360" w:lineRule="auto"/>
              <w:rPr>
                <w:rFonts w:asciiTheme="majorEastAsia" w:hAnsiTheme="majorEastAsia" w:eastAsiaTheme="majorEastAsia" w:cstheme="majorEastAsia"/>
                <w:sz w:val="21"/>
                <w:szCs w:val="21"/>
                <w:lang w:val="en-US" w:bidi="ar-SA"/>
              </w:rPr>
            </w:pPr>
          </w:p>
        </w:tc>
        <w:tc>
          <w:tcPr>
            <w:tcW w:w="1850" w:type="dxa"/>
            <w:vMerge w:val="continue"/>
          </w:tcPr>
          <w:p>
            <w:pPr>
              <w:pStyle w:val="7"/>
              <w:spacing w:before="140" w:line="360" w:lineRule="auto"/>
              <w:rPr>
                <w:rFonts w:asciiTheme="majorEastAsia" w:hAnsiTheme="majorEastAsia" w:eastAsiaTheme="majorEastAsia" w:cstheme="majorEastAsia"/>
                <w:sz w:val="21"/>
                <w:szCs w:val="21"/>
                <w:lang w:val="en-US" w:bidi="ar-SA"/>
              </w:rPr>
            </w:pPr>
          </w:p>
        </w:tc>
        <w:tc>
          <w:tcPr>
            <w:tcW w:w="2200" w:type="dxa"/>
          </w:tcPr>
          <w:p>
            <w:pPr>
              <w:pStyle w:val="7"/>
              <w:spacing w:before="140" w:line="360" w:lineRule="auto"/>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法律、行政法规规定的其他条件</w:t>
            </w:r>
          </w:p>
        </w:tc>
        <w:tc>
          <w:tcPr>
            <w:tcW w:w="4276" w:type="dxa"/>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lang w:bidi="zh-CN"/>
              </w:rPr>
              <w:t>投标人未被列入“中国执行信息公开网”网站（http://zxgk.court.gov.cn/shixin/）失信被执行人名单、未被列入“国家税务总局”网站（http://hd.chinatax.gov.cn/nszx/InitMajor.html）重大税收违法案件当事人名单和未被列入“中国政府采购网”网站（http://www.ccgp.gov.cn/search/cr/））政府采购严重违法失信行为记录名单（提供信息查询结果界面截图或打印结果，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2" w:type="dxa"/>
          </w:tcPr>
          <w:p>
            <w:pPr>
              <w:pStyle w:val="7"/>
              <w:spacing w:before="140" w:line="360" w:lineRule="auto"/>
              <w:rPr>
                <w:rFonts w:asciiTheme="majorEastAsia" w:hAnsiTheme="majorEastAsia" w:eastAsiaTheme="majorEastAsia" w:cstheme="majorEastAsia"/>
                <w:sz w:val="21"/>
                <w:szCs w:val="21"/>
                <w:lang w:val="en-US" w:bidi="ar-SA"/>
              </w:rPr>
            </w:pPr>
            <w:r>
              <w:rPr>
                <w:rFonts w:asciiTheme="majorEastAsia" w:hAnsiTheme="majorEastAsia" w:eastAsiaTheme="majorEastAsia" w:cstheme="majorEastAsia"/>
                <w:sz w:val="21"/>
                <w:szCs w:val="21"/>
                <w:lang w:val="en-US" w:bidi="ar-SA"/>
              </w:rPr>
              <w:t>2</w:t>
            </w:r>
          </w:p>
        </w:tc>
        <w:tc>
          <w:tcPr>
            <w:tcW w:w="4050" w:type="dxa"/>
            <w:gridSpan w:val="2"/>
          </w:tcPr>
          <w:p>
            <w:pPr>
              <w:pStyle w:val="7"/>
              <w:spacing w:before="140" w:line="360" w:lineRule="auto"/>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投标保证金</w:t>
            </w:r>
          </w:p>
        </w:tc>
        <w:tc>
          <w:tcPr>
            <w:tcW w:w="4276" w:type="dxa"/>
          </w:tcPr>
          <w:p>
            <w:pPr>
              <w:pStyle w:val="7"/>
              <w:spacing w:before="140" w:line="360" w:lineRule="auto"/>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rPr>
              <w:t>投标保证金到账截止时间足额投标保证金或提交银行保函及承诺函（银行转账凭证或银行保函及承诺函复印件加盖公章）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2" w:type="dxa"/>
          </w:tcPr>
          <w:p>
            <w:pPr>
              <w:pStyle w:val="7"/>
              <w:spacing w:before="140" w:line="360" w:lineRule="auto"/>
              <w:rPr>
                <w:rFonts w:asciiTheme="majorEastAsia" w:hAnsiTheme="majorEastAsia" w:eastAsiaTheme="majorEastAsia" w:cstheme="majorEastAsia"/>
                <w:sz w:val="21"/>
                <w:szCs w:val="21"/>
                <w:lang w:val="en-US" w:bidi="ar-SA"/>
              </w:rPr>
            </w:pPr>
            <w:r>
              <w:rPr>
                <w:rFonts w:asciiTheme="majorEastAsia" w:hAnsiTheme="majorEastAsia" w:eastAsiaTheme="majorEastAsia" w:cstheme="majorEastAsia"/>
                <w:sz w:val="21"/>
                <w:szCs w:val="21"/>
                <w:lang w:val="en-US" w:bidi="ar-SA"/>
              </w:rPr>
              <w:t>3</w:t>
            </w:r>
          </w:p>
        </w:tc>
        <w:tc>
          <w:tcPr>
            <w:tcW w:w="4050" w:type="dxa"/>
            <w:gridSpan w:val="2"/>
          </w:tcPr>
          <w:p>
            <w:pPr>
              <w:pStyle w:val="7"/>
              <w:spacing w:before="140" w:line="360" w:lineRule="auto"/>
              <w:rPr>
                <w:rFonts w:asciiTheme="majorEastAsia" w:hAnsiTheme="majorEastAsia" w:eastAsiaTheme="majorEastAsia" w:cstheme="majorEastAsia"/>
                <w:sz w:val="21"/>
                <w:szCs w:val="21"/>
                <w:lang w:val="en-US"/>
              </w:rPr>
            </w:pPr>
            <w:r>
              <w:rPr>
                <w:rFonts w:hint="eastAsia" w:asciiTheme="majorEastAsia" w:hAnsiTheme="majorEastAsia" w:eastAsiaTheme="majorEastAsia" w:cstheme="majorEastAsia"/>
                <w:sz w:val="21"/>
                <w:szCs w:val="21"/>
                <w:lang w:val="en-US"/>
              </w:rPr>
              <w:t>联合体</w:t>
            </w:r>
          </w:p>
        </w:tc>
        <w:tc>
          <w:tcPr>
            <w:tcW w:w="4276" w:type="dxa"/>
          </w:tcPr>
          <w:p>
            <w:pPr>
              <w:pStyle w:val="7"/>
              <w:spacing w:before="140" w:line="360" w:lineRule="auto"/>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不多于</w:t>
            </w:r>
            <w:r>
              <w:rPr>
                <w:rFonts w:asciiTheme="majorEastAsia" w:hAnsiTheme="majorEastAsia" w:eastAsiaTheme="majorEastAsia" w:cstheme="majorEastAsia"/>
                <w:sz w:val="21"/>
                <w:szCs w:val="21"/>
              </w:rPr>
              <w:t>2家的联合体投标</w:t>
            </w:r>
          </w:p>
        </w:tc>
      </w:tr>
    </w:tbl>
    <w:p>
      <w:pPr>
        <w:pStyle w:val="21"/>
        <w:numPr>
          <w:ilvl w:val="0"/>
          <w:numId w:val="1"/>
        </w:numPr>
        <w:tabs>
          <w:tab w:val="left" w:pos="1343"/>
        </w:tabs>
        <w:spacing w:before="120" w:line="360" w:lineRule="auto"/>
        <w:ind w:left="0" w:firstLine="0"/>
        <w:jc w:val="both"/>
        <w:rPr>
          <w:rFonts w:asciiTheme="majorEastAsia" w:hAnsiTheme="majorEastAsia" w:eastAsiaTheme="majorEastAsia" w:cstheme="majorEastAsia"/>
          <w:kern w:val="2"/>
          <w:szCs w:val="21"/>
        </w:rPr>
      </w:pPr>
      <w:r>
        <w:rPr>
          <w:rFonts w:hint="eastAsia" w:asciiTheme="majorEastAsia" w:hAnsiTheme="majorEastAsia" w:eastAsiaTheme="majorEastAsia" w:cstheme="majorEastAsia"/>
          <w:kern w:val="2"/>
          <w:szCs w:val="21"/>
        </w:rPr>
        <w:t>符合性检查。依据招标文件的规定，从投标文件的有效性、完整性和对招标文件的响应程度进行审查，以确定是否对招标文件的实质性要求作出响应。符合性检查资料表如下：</w:t>
      </w:r>
    </w:p>
    <w:tbl>
      <w:tblPr>
        <w:tblStyle w:val="14"/>
        <w:tblW w:w="9108"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728"/>
        <w:gridCol w:w="3492"/>
        <w:gridCol w:w="1080"/>
        <w:gridCol w:w="108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648" w:type="dxa"/>
            <w:tcBorders>
              <w:top w:val="single" w:color="auto" w:sz="4" w:space="0"/>
              <w:bottom w:val="single" w:color="auto" w:sz="4" w:space="0"/>
              <w:right w:val="single" w:color="auto" w:sz="4" w:space="0"/>
            </w:tcBorders>
            <w:vAlign w:val="center"/>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序号</w:t>
            </w:r>
          </w:p>
        </w:tc>
        <w:tc>
          <w:tcPr>
            <w:tcW w:w="172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审查项目</w:t>
            </w:r>
          </w:p>
        </w:tc>
        <w:tc>
          <w:tcPr>
            <w:tcW w:w="34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评议内容（无效投标认定条件）</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投标人</w:t>
            </w:r>
            <w:r>
              <w:rPr>
                <w:rFonts w:asciiTheme="majorEastAsia" w:hAnsiTheme="majorEastAsia" w:eastAsiaTheme="majorEastAsia" w:cstheme="majorEastAsia"/>
                <w:szCs w:val="21"/>
                <w:lang w:val="zh-CN" w:bidi="zh-CN"/>
              </w:rPr>
              <w:t>1</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投标人</w:t>
            </w:r>
            <w:r>
              <w:rPr>
                <w:rFonts w:asciiTheme="majorEastAsia" w:hAnsiTheme="majorEastAsia" w:eastAsiaTheme="majorEastAsia" w:cstheme="majorEastAsia"/>
                <w:szCs w:val="21"/>
                <w:lang w:val="zh-CN" w:bidi="zh-CN"/>
              </w:rPr>
              <w:t>2</w:t>
            </w:r>
          </w:p>
        </w:tc>
        <w:tc>
          <w:tcPr>
            <w:tcW w:w="1080" w:type="dxa"/>
            <w:tcBorders>
              <w:top w:val="single" w:color="auto" w:sz="4" w:space="0"/>
              <w:left w:val="single" w:color="auto" w:sz="4" w:space="0"/>
              <w:bottom w:val="single" w:color="auto" w:sz="4" w:space="0"/>
            </w:tcBorders>
            <w:vAlign w:val="center"/>
          </w:tcPr>
          <w:p>
            <w:pPr>
              <w:shd w:val="clear" w:color="auto" w:fill="FFFFFF"/>
              <w:snapToGrid w:val="0"/>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投标人</w:t>
            </w:r>
            <w:r>
              <w:rPr>
                <w:rFonts w:asciiTheme="majorEastAsia" w:hAnsiTheme="majorEastAsia" w:eastAsiaTheme="majorEastAsia" w:cstheme="majorEastAsia"/>
                <w:szCs w:val="21"/>
                <w:lang w:val="zh-CN" w:bidi="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48" w:type="dxa"/>
            <w:tcBorders>
              <w:top w:val="single" w:color="auto" w:sz="4" w:space="0"/>
              <w:bottom w:val="single" w:color="auto" w:sz="4" w:space="0"/>
              <w:right w:val="single" w:color="auto" w:sz="4" w:space="0"/>
            </w:tcBorders>
            <w:vAlign w:val="center"/>
          </w:tcPr>
          <w:p>
            <w:pPr>
              <w:shd w:val="clear" w:color="auto" w:fill="FFFFFF"/>
              <w:spacing w:line="360" w:lineRule="auto"/>
              <w:jc w:val="center"/>
              <w:rPr>
                <w:rFonts w:asciiTheme="majorEastAsia" w:hAnsiTheme="majorEastAsia" w:eastAsiaTheme="majorEastAsia" w:cstheme="majorEastAsia"/>
                <w:szCs w:val="21"/>
                <w:lang w:val="zh-CN" w:bidi="zh-CN"/>
              </w:rPr>
            </w:pPr>
            <w:r>
              <w:rPr>
                <w:rFonts w:asciiTheme="majorEastAsia" w:hAnsiTheme="majorEastAsia" w:eastAsiaTheme="majorEastAsia" w:cstheme="majorEastAsia"/>
                <w:szCs w:val="21"/>
                <w:lang w:val="zh-CN" w:bidi="zh-CN"/>
              </w:rPr>
              <w:t>1</w:t>
            </w: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投标文件递交情况</w:t>
            </w:r>
          </w:p>
        </w:tc>
        <w:tc>
          <w:tcPr>
            <w:tcW w:w="34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正本和副本的数量是否符合采购文件要求</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c>
          <w:tcPr>
            <w:tcW w:w="1080" w:type="dxa"/>
            <w:tcBorders>
              <w:top w:val="single" w:color="auto" w:sz="4" w:space="0"/>
              <w:left w:val="single" w:color="auto" w:sz="4" w:space="0"/>
              <w:bottom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48" w:type="dxa"/>
            <w:tcBorders>
              <w:top w:val="single" w:color="auto" w:sz="4" w:space="0"/>
              <w:bottom w:val="single" w:color="auto" w:sz="4" w:space="0"/>
              <w:right w:val="single" w:color="auto" w:sz="4" w:space="0"/>
            </w:tcBorders>
            <w:vAlign w:val="center"/>
          </w:tcPr>
          <w:p>
            <w:pPr>
              <w:shd w:val="clear" w:color="auto" w:fill="FFFFFF"/>
              <w:spacing w:line="360" w:lineRule="auto"/>
              <w:jc w:val="center"/>
              <w:rPr>
                <w:rFonts w:asciiTheme="majorEastAsia" w:hAnsiTheme="majorEastAsia" w:eastAsiaTheme="majorEastAsia" w:cstheme="majorEastAsia"/>
                <w:szCs w:val="21"/>
                <w:lang w:val="zh-CN" w:bidi="zh-CN"/>
              </w:rPr>
            </w:pPr>
            <w:r>
              <w:rPr>
                <w:rFonts w:asciiTheme="majorEastAsia" w:hAnsiTheme="majorEastAsia" w:eastAsiaTheme="majorEastAsia" w:cstheme="majorEastAsia"/>
                <w:szCs w:val="21"/>
                <w:lang w:val="zh-CN" w:bidi="zh-CN"/>
              </w:rPr>
              <w:t>2</w:t>
            </w: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投标文件的有效性</w:t>
            </w:r>
          </w:p>
        </w:tc>
        <w:tc>
          <w:tcPr>
            <w:tcW w:w="34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是否符合投标文件的式样和签署要求且内容完整无缺漏</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c>
          <w:tcPr>
            <w:tcW w:w="1080" w:type="dxa"/>
            <w:tcBorders>
              <w:top w:val="single" w:color="auto" w:sz="4" w:space="0"/>
              <w:left w:val="single" w:color="auto" w:sz="4" w:space="0"/>
              <w:bottom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48" w:type="dxa"/>
            <w:tcBorders>
              <w:top w:val="single" w:color="auto" w:sz="4" w:space="0"/>
              <w:bottom w:val="single" w:color="auto" w:sz="4" w:space="0"/>
              <w:right w:val="single" w:color="auto" w:sz="4" w:space="0"/>
            </w:tcBorders>
            <w:vAlign w:val="center"/>
          </w:tcPr>
          <w:p>
            <w:pPr>
              <w:shd w:val="clear" w:color="auto" w:fill="FFFFFF"/>
              <w:spacing w:line="360" w:lineRule="auto"/>
              <w:jc w:val="center"/>
              <w:rPr>
                <w:rFonts w:asciiTheme="majorEastAsia" w:hAnsiTheme="majorEastAsia" w:eastAsiaTheme="majorEastAsia" w:cstheme="majorEastAsia"/>
                <w:szCs w:val="21"/>
                <w:lang w:val="zh-CN" w:bidi="zh-CN"/>
              </w:rPr>
            </w:pPr>
            <w:r>
              <w:rPr>
                <w:rFonts w:asciiTheme="majorEastAsia" w:hAnsiTheme="majorEastAsia" w:eastAsiaTheme="majorEastAsia" w:cstheme="majorEastAsia"/>
                <w:szCs w:val="21"/>
                <w:lang w:val="zh-CN" w:bidi="zh-CN"/>
              </w:rPr>
              <w:t>3</w:t>
            </w: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投标人应提交的相关文件</w:t>
            </w:r>
          </w:p>
        </w:tc>
        <w:tc>
          <w:tcPr>
            <w:tcW w:w="34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是否提交投标函、报价一览表</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c>
          <w:tcPr>
            <w:tcW w:w="1080" w:type="dxa"/>
            <w:tcBorders>
              <w:top w:val="single" w:color="auto" w:sz="4" w:space="0"/>
              <w:left w:val="single" w:color="auto" w:sz="4" w:space="0"/>
              <w:bottom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48" w:type="dxa"/>
            <w:tcBorders>
              <w:top w:val="single" w:color="auto" w:sz="4" w:space="0"/>
              <w:bottom w:val="single" w:color="auto" w:sz="4" w:space="0"/>
              <w:right w:val="single" w:color="auto" w:sz="4" w:space="0"/>
            </w:tcBorders>
            <w:vAlign w:val="center"/>
          </w:tcPr>
          <w:p>
            <w:pPr>
              <w:shd w:val="clear" w:color="auto" w:fill="FFFFFF"/>
              <w:spacing w:line="360" w:lineRule="auto"/>
              <w:jc w:val="center"/>
              <w:rPr>
                <w:rFonts w:asciiTheme="majorEastAsia" w:hAnsiTheme="majorEastAsia" w:eastAsiaTheme="majorEastAsia" w:cstheme="majorEastAsia"/>
                <w:szCs w:val="21"/>
                <w:lang w:val="zh-CN" w:bidi="zh-CN"/>
              </w:rPr>
            </w:pPr>
            <w:r>
              <w:rPr>
                <w:rFonts w:asciiTheme="majorEastAsia" w:hAnsiTheme="majorEastAsia" w:eastAsiaTheme="majorEastAsia" w:cstheme="majorEastAsia"/>
                <w:szCs w:val="21"/>
                <w:lang w:val="zh-CN" w:bidi="zh-CN"/>
              </w:rPr>
              <w:t>4</w:t>
            </w: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实质性响应要求</w:t>
            </w:r>
          </w:p>
        </w:tc>
        <w:tc>
          <w:tcPr>
            <w:tcW w:w="34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技术、质量、服务是否均能满足采购文件实质性响应要求</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c>
          <w:tcPr>
            <w:tcW w:w="1080" w:type="dxa"/>
            <w:tcBorders>
              <w:top w:val="single" w:color="auto" w:sz="4" w:space="0"/>
              <w:left w:val="single" w:color="auto" w:sz="4" w:space="0"/>
              <w:bottom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48" w:type="dxa"/>
            <w:tcBorders>
              <w:top w:val="single" w:color="auto" w:sz="4" w:space="0"/>
              <w:bottom w:val="single" w:color="auto" w:sz="4" w:space="0"/>
              <w:right w:val="single" w:color="auto" w:sz="4" w:space="0"/>
            </w:tcBorders>
          </w:tcPr>
          <w:p>
            <w:pPr>
              <w:shd w:val="clear" w:color="auto" w:fill="FFFFFF"/>
              <w:spacing w:line="360" w:lineRule="auto"/>
              <w:jc w:val="left"/>
              <w:rPr>
                <w:rFonts w:asciiTheme="majorEastAsia" w:hAnsiTheme="majorEastAsia" w:eastAsiaTheme="majorEastAsia" w:cstheme="majorEastAsia"/>
                <w:szCs w:val="21"/>
                <w:lang w:val="zh-CN" w:bidi="zh-CN"/>
              </w:rPr>
            </w:pPr>
            <w:r>
              <w:rPr>
                <w:rFonts w:asciiTheme="majorEastAsia" w:hAnsiTheme="majorEastAsia" w:eastAsiaTheme="majorEastAsia" w:cstheme="majorEastAsia"/>
                <w:szCs w:val="21"/>
                <w:lang w:val="zh-CN" w:bidi="zh-CN"/>
              </w:rPr>
              <w:t>5</w:t>
            </w:r>
          </w:p>
        </w:tc>
        <w:tc>
          <w:tcPr>
            <w:tcW w:w="1728"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投标有效期</w:t>
            </w:r>
          </w:p>
        </w:tc>
        <w:tc>
          <w:tcPr>
            <w:tcW w:w="3492"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投标有效期是否满足</w:t>
            </w:r>
            <w:r>
              <w:rPr>
                <w:rFonts w:asciiTheme="majorEastAsia" w:hAnsiTheme="majorEastAsia" w:eastAsiaTheme="majorEastAsia" w:cstheme="majorEastAsia"/>
                <w:szCs w:val="21"/>
                <w:lang w:val="zh-CN" w:bidi="zh-CN"/>
              </w:rPr>
              <w:t>60天</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c>
          <w:tcPr>
            <w:tcW w:w="1080" w:type="dxa"/>
            <w:tcBorders>
              <w:top w:val="single" w:color="auto" w:sz="4" w:space="0"/>
              <w:left w:val="single" w:color="auto" w:sz="4" w:space="0"/>
              <w:bottom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648" w:type="dxa"/>
            <w:tcBorders>
              <w:top w:val="single" w:color="auto" w:sz="4" w:space="0"/>
              <w:bottom w:val="single" w:color="auto" w:sz="4" w:space="0"/>
              <w:right w:val="single" w:color="auto" w:sz="4" w:space="0"/>
            </w:tcBorders>
          </w:tcPr>
          <w:p>
            <w:pPr>
              <w:shd w:val="clear" w:color="auto" w:fill="FFFFFF"/>
              <w:spacing w:line="360" w:lineRule="auto"/>
              <w:jc w:val="left"/>
              <w:rPr>
                <w:rFonts w:asciiTheme="majorEastAsia" w:hAnsiTheme="majorEastAsia" w:eastAsiaTheme="majorEastAsia" w:cstheme="majorEastAsia"/>
                <w:szCs w:val="21"/>
                <w:lang w:val="zh-CN" w:bidi="zh-CN"/>
              </w:rPr>
            </w:pPr>
            <w:r>
              <w:rPr>
                <w:rFonts w:asciiTheme="majorEastAsia" w:hAnsiTheme="majorEastAsia" w:eastAsiaTheme="majorEastAsia" w:cstheme="majorEastAsia"/>
                <w:szCs w:val="21"/>
                <w:lang w:val="zh-CN" w:bidi="zh-CN"/>
              </w:rPr>
              <w:t>6</w:t>
            </w:r>
          </w:p>
        </w:tc>
        <w:tc>
          <w:tcPr>
            <w:tcW w:w="1728"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left"/>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完成时间</w:t>
            </w:r>
          </w:p>
        </w:tc>
        <w:tc>
          <w:tcPr>
            <w:tcW w:w="3492"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left"/>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是否满足招标文件要求</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c>
          <w:tcPr>
            <w:tcW w:w="1080" w:type="dxa"/>
            <w:tcBorders>
              <w:top w:val="single" w:color="auto" w:sz="4" w:space="0"/>
              <w:left w:val="single" w:color="auto" w:sz="4" w:space="0"/>
              <w:bottom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5" w:hRule="atLeast"/>
        </w:trPr>
        <w:tc>
          <w:tcPr>
            <w:tcW w:w="648" w:type="dxa"/>
            <w:tcBorders>
              <w:top w:val="single" w:color="auto" w:sz="4" w:space="0"/>
              <w:bottom w:val="single" w:color="auto" w:sz="4" w:space="0"/>
              <w:right w:val="single" w:color="auto" w:sz="4" w:space="0"/>
            </w:tcBorders>
            <w:vAlign w:val="center"/>
          </w:tcPr>
          <w:p>
            <w:pPr>
              <w:shd w:val="clear" w:color="auto" w:fill="FFFFFF"/>
              <w:spacing w:line="360" w:lineRule="auto"/>
              <w:jc w:val="center"/>
              <w:rPr>
                <w:rFonts w:asciiTheme="majorEastAsia" w:hAnsiTheme="majorEastAsia" w:eastAsiaTheme="majorEastAsia" w:cstheme="majorEastAsia"/>
                <w:szCs w:val="21"/>
                <w:lang w:val="zh-CN" w:bidi="zh-CN"/>
              </w:rPr>
            </w:pPr>
            <w:r>
              <w:rPr>
                <w:rFonts w:asciiTheme="majorEastAsia" w:hAnsiTheme="majorEastAsia" w:eastAsiaTheme="majorEastAsia" w:cstheme="majorEastAsia"/>
                <w:szCs w:val="21"/>
                <w:lang w:val="zh-CN" w:bidi="zh-CN"/>
              </w:rPr>
              <w:t>7</w:t>
            </w:r>
          </w:p>
        </w:tc>
        <w:tc>
          <w:tcPr>
            <w:tcW w:w="1728"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ajorEastAsia" w:hAnsiTheme="majorEastAsia" w:eastAsiaTheme="majorEastAsia" w:cstheme="majorEastAsia"/>
                <w:szCs w:val="21"/>
                <w:lang w:val="zh-CN" w:bidi="zh-CN"/>
              </w:rPr>
            </w:pPr>
          </w:p>
          <w:p>
            <w:pPr>
              <w:spacing w:line="360" w:lineRule="auto"/>
              <w:jc w:val="left"/>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报价唯一</w:t>
            </w:r>
          </w:p>
        </w:tc>
        <w:tc>
          <w:tcPr>
            <w:tcW w:w="3492"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只能在采购预算范围内报价，报价只能有一个有效报价，不得提交选择性报价。</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p>
        </w:tc>
        <w:tc>
          <w:tcPr>
            <w:tcW w:w="1080" w:type="dxa"/>
            <w:tcBorders>
              <w:top w:val="single" w:color="auto" w:sz="4" w:space="0"/>
              <w:left w:val="single" w:color="auto" w:sz="4" w:space="0"/>
              <w:bottom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868" w:type="dxa"/>
            <w:gridSpan w:val="3"/>
            <w:tcBorders>
              <w:top w:val="single" w:color="auto" w:sz="4" w:space="0"/>
              <w:bottom w:val="single" w:color="auto" w:sz="4" w:space="0"/>
              <w:right w:val="single" w:color="auto" w:sz="4" w:space="0"/>
            </w:tcBorders>
          </w:tcPr>
          <w:p>
            <w:pPr>
              <w:shd w:val="clear" w:color="auto" w:fill="FFFFFF"/>
              <w:spacing w:line="360" w:lineRule="auto"/>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结</w:t>
            </w:r>
            <w:r>
              <w:rPr>
                <w:rFonts w:asciiTheme="majorEastAsia" w:hAnsiTheme="majorEastAsia" w:eastAsiaTheme="majorEastAsia" w:cstheme="majorEastAsia"/>
                <w:szCs w:val="21"/>
                <w:lang w:val="zh-CN" w:bidi="zh-CN"/>
              </w:rPr>
              <w:t xml:space="preserve">         </w:t>
            </w:r>
            <w:r>
              <w:rPr>
                <w:rFonts w:hint="eastAsia" w:asciiTheme="majorEastAsia" w:hAnsiTheme="majorEastAsia" w:eastAsiaTheme="majorEastAsia" w:cstheme="majorEastAsia"/>
                <w:szCs w:val="21"/>
                <w:lang w:val="zh-CN" w:bidi="zh-CN"/>
              </w:rPr>
              <w:t>论</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c>
          <w:tcPr>
            <w:tcW w:w="1080" w:type="dxa"/>
            <w:tcBorders>
              <w:top w:val="single" w:color="auto" w:sz="4" w:space="0"/>
              <w:left w:val="single" w:color="auto" w:sz="4" w:space="0"/>
              <w:bottom w:val="single" w:color="auto" w:sz="4" w:space="0"/>
            </w:tcBorders>
          </w:tcPr>
          <w:p>
            <w:pPr>
              <w:shd w:val="clear" w:color="auto" w:fill="FFFFFF"/>
              <w:spacing w:line="360" w:lineRule="auto"/>
              <w:jc w:val="center"/>
              <w:rPr>
                <w:rFonts w:asciiTheme="majorEastAsia" w:hAnsiTheme="majorEastAsia" w:eastAsiaTheme="majorEastAsia" w:cstheme="majorEastAsia"/>
                <w:szCs w:val="21"/>
                <w:lang w:val="zh-CN" w:bidi="zh-CN"/>
              </w:rPr>
            </w:pPr>
            <w:r>
              <w:rPr>
                <w:rFonts w:hint="eastAsia" w:asciiTheme="majorEastAsia" w:hAnsiTheme="majorEastAsia" w:eastAsiaTheme="majorEastAsia" w:cstheme="majorEastAsia"/>
                <w:szCs w:val="21"/>
                <w:lang w:val="zh-CN" w:bidi="zh-CN"/>
              </w:rPr>
              <w:t> </w:t>
            </w:r>
          </w:p>
        </w:tc>
      </w:tr>
    </w:tbl>
    <w:p>
      <w:pPr>
        <w:pStyle w:val="21"/>
        <w:tabs>
          <w:tab w:val="left" w:pos="1343"/>
        </w:tabs>
        <w:spacing w:before="121" w:line="360" w:lineRule="auto"/>
        <w:ind w:left="0" w:right="37" w:firstLine="0"/>
        <w:rPr>
          <w:rFonts w:asciiTheme="majorEastAsia" w:hAnsiTheme="majorEastAsia" w:eastAsiaTheme="majorEastAsia" w:cstheme="majorEastAsia"/>
          <w:kern w:val="2"/>
          <w:szCs w:val="21"/>
        </w:rPr>
      </w:pPr>
      <w:r>
        <w:rPr>
          <w:rFonts w:asciiTheme="majorEastAsia" w:hAnsiTheme="majorEastAsia" w:eastAsiaTheme="majorEastAsia" w:cstheme="majorEastAsia"/>
          <w:kern w:val="2"/>
          <w:szCs w:val="21"/>
          <w:lang w:val="en-US"/>
        </w:rPr>
        <w:t>3、</w:t>
      </w:r>
      <w:r>
        <w:rPr>
          <w:rFonts w:hint="eastAsia" w:asciiTheme="majorEastAsia" w:hAnsiTheme="majorEastAsia" w:eastAsiaTheme="majorEastAsia" w:cstheme="majorEastAsia"/>
          <w:kern w:val="2"/>
          <w:szCs w:val="21"/>
        </w:rPr>
        <w:t>澄清有关问题。对投标文件中含义不明确、同类问题表述不一致或者有明显文字和计算错误的内容，评标委员会可以书面形式（应当由评标委员会成员签字）要求投标人作出必要澄清、说明或者纠正。投标人的澄清、说明或者补正应当采用书面形式，由其法定代表人授权代表签字，其澄清的内容不得超出投标文件的范围或者改变投标文件的实质性内容。</w:t>
      </w:r>
    </w:p>
    <w:p>
      <w:pPr>
        <w:pStyle w:val="21"/>
        <w:tabs>
          <w:tab w:val="left" w:pos="1343"/>
        </w:tabs>
        <w:spacing w:before="8" w:line="360" w:lineRule="auto"/>
        <w:ind w:left="0" w:right="37" w:firstLine="0"/>
        <w:rPr>
          <w:rFonts w:asciiTheme="majorEastAsia" w:hAnsiTheme="majorEastAsia" w:eastAsiaTheme="majorEastAsia" w:cstheme="majorEastAsia"/>
          <w:kern w:val="2"/>
          <w:szCs w:val="21"/>
        </w:rPr>
      </w:pPr>
      <w:r>
        <w:rPr>
          <w:rFonts w:asciiTheme="majorEastAsia" w:hAnsiTheme="majorEastAsia" w:eastAsiaTheme="majorEastAsia" w:cstheme="majorEastAsia"/>
          <w:kern w:val="2"/>
          <w:szCs w:val="21"/>
          <w:lang w:val="en-US"/>
        </w:rPr>
        <w:t>4、</w:t>
      </w:r>
      <w:r>
        <w:rPr>
          <w:rFonts w:hint="eastAsia" w:asciiTheme="majorEastAsia" w:hAnsiTheme="majorEastAsia" w:eastAsiaTheme="majorEastAsia" w:cstheme="majorEastAsia"/>
          <w:kern w:val="2"/>
          <w:szCs w:val="21"/>
        </w:rPr>
        <w:t>比较与评价。按招标文件中规定的评标方法和标准，对资格性检查和符合性检查合格的投标文件进行商务和技术评估。</w:t>
      </w:r>
    </w:p>
    <w:p>
      <w:pPr>
        <w:pStyle w:val="21"/>
        <w:tabs>
          <w:tab w:val="left" w:pos="1343"/>
        </w:tabs>
        <w:spacing w:before="121" w:line="360" w:lineRule="auto"/>
        <w:ind w:left="0" w:right="37" w:firstLine="0"/>
        <w:rPr>
          <w:rFonts w:asciiTheme="majorEastAsia" w:hAnsiTheme="majorEastAsia" w:eastAsiaTheme="majorEastAsia" w:cstheme="majorEastAsia"/>
          <w:kern w:val="2"/>
          <w:szCs w:val="21"/>
        </w:rPr>
      </w:pPr>
      <w:r>
        <w:rPr>
          <w:rFonts w:asciiTheme="majorEastAsia" w:hAnsiTheme="majorEastAsia" w:eastAsiaTheme="majorEastAsia" w:cstheme="majorEastAsia"/>
          <w:kern w:val="2"/>
          <w:szCs w:val="21"/>
          <w:lang w:val="en-US"/>
        </w:rPr>
        <w:t>4.1、</w:t>
      </w:r>
      <w:r>
        <w:rPr>
          <w:rFonts w:hint="eastAsia" w:asciiTheme="majorEastAsia" w:hAnsiTheme="majorEastAsia" w:eastAsiaTheme="majorEastAsia" w:cstheme="majorEastAsia"/>
          <w:kern w:val="2"/>
          <w:szCs w:val="21"/>
        </w:rPr>
        <w:t>若同一合同项（分包）下为单一品目的货物采购招标中，同一品牌同一型号产品有多家供应商参加投标，只能按照一家供应商计算。评标中在其他条件（资格性检查、符合性检查）合格的前提下，</w:t>
      </w:r>
      <w:r>
        <w:rPr>
          <w:rFonts w:asciiTheme="majorEastAsia" w:hAnsiTheme="majorEastAsia" w:eastAsiaTheme="majorEastAsia" w:cstheme="majorEastAsia"/>
          <w:kern w:val="2"/>
          <w:szCs w:val="21"/>
        </w:rPr>
        <w:t xml:space="preserve"> </w:t>
      </w:r>
      <w:r>
        <w:rPr>
          <w:rFonts w:hint="eastAsia" w:asciiTheme="majorEastAsia" w:hAnsiTheme="majorEastAsia" w:eastAsiaTheme="majorEastAsia" w:cstheme="majorEastAsia"/>
          <w:kern w:val="2"/>
          <w:szCs w:val="21"/>
        </w:rPr>
        <w:t>选取报价最低的供应商进入评标，舍掉其他供应商。</w:t>
      </w:r>
    </w:p>
    <w:p>
      <w:pPr>
        <w:pStyle w:val="21"/>
        <w:tabs>
          <w:tab w:val="left" w:pos="1343"/>
        </w:tabs>
        <w:spacing w:before="121" w:line="360" w:lineRule="auto"/>
        <w:ind w:left="0" w:right="37" w:firstLine="0"/>
        <w:rPr>
          <w:rFonts w:asciiTheme="majorEastAsia" w:hAnsiTheme="majorEastAsia" w:eastAsiaTheme="majorEastAsia" w:cstheme="majorEastAsia"/>
          <w:kern w:val="2"/>
          <w:szCs w:val="21"/>
        </w:rPr>
      </w:pPr>
      <w:r>
        <w:rPr>
          <w:rFonts w:asciiTheme="majorEastAsia" w:hAnsiTheme="majorEastAsia" w:eastAsiaTheme="majorEastAsia" w:cstheme="majorEastAsia"/>
          <w:kern w:val="2"/>
          <w:szCs w:val="21"/>
          <w:lang w:val="en-US"/>
        </w:rPr>
        <w:t>4.2、</w:t>
      </w:r>
      <w:r>
        <w:rPr>
          <w:rFonts w:hint="eastAsia" w:asciiTheme="majorEastAsia" w:hAnsiTheme="majorEastAsia" w:eastAsiaTheme="majorEastAsia" w:cstheme="majorEastAsia"/>
          <w:kern w:val="2"/>
          <w:szCs w:val="21"/>
        </w:rPr>
        <w:t>评标委员会各成员独立对每个有效投标人的投标文件进行评价、打分，然后由评审组长组织评标委员会对各成员打分情况进行核查及复核，个别成员对同一投标人同一评分项的打分偏离较大的，应对投标人的投标文件进行再次核对，确属打分有误的，应及时进行修正。</w:t>
      </w:r>
    </w:p>
    <w:p>
      <w:pPr>
        <w:pStyle w:val="21"/>
        <w:tabs>
          <w:tab w:val="left" w:pos="1343"/>
        </w:tabs>
        <w:spacing w:before="121" w:line="360" w:lineRule="auto"/>
        <w:ind w:left="0" w:right="37" w:firstLine="0"/>
        <w:rPr>
          <w:rFonts w:asciiTheme="majorEastAsia" w:hAnsiTheme="majorEastAsia" w:eastAsiaTheme="majorEastAsia" w:cstheme="majorEastAsia"/>
          <w:kern w:val="2"/>
          <w:szCs w:val="21"/>
        </w:rPr>
      </w:pPr>
      <w:r>
        <w:rPr>
          <w:rFonts w:asciiTheme="majorEastAsia" w:hAnsiTheme="majorEastAsia" w:eastAsiaTheme="majorEastAsia" w:cstheme="majorEastAsia"/>
          <w:kern w:val="2"/>
          <w:szCs w:val="21"/>
          <w:lang w:val="en-US"/>
        </w:rPr>
        <w:t>4.3、</w:t>
      </w:r>
      <w:r>
        <w:rPr>
          <w:rFonts w:hint="eastAsia" w:asciiTheme="majorEastAsia" w:hAnsiTheme="majorEastAsia" w:eastAsiaTheme="majorEastAsia" w:cstheme="majorEastAsia"/>
          <w:kern w:val="2"/>
          <w:szCs w:val="21"/>
        </w:rPr>
        <w:t>复核后，评标委员会汇总每个投标人每项评分因素的得分。</w:t>
      </w:r>
    </w:p>
    <w:p>
      <w:pPr>
        <w:pStyle w:val="21"/>
        <w:tabs>
          <w:tab w:val="left" w:pos="1343"/>
        </w:tabs>
        <w:spacing w:before="121" w:line="360" w:lineRule="auto"/>
        <w:ind w:left="0" w:right="37" w:firstLine="0"/>
        <w:rPr>
          <w:rFonts w:asciiTheme="majorEastAsia" w:hAnsiTheme="majorEastAsia" w:eastAsiaTheme="majorEastAsia" w:cstheme="majorEastAsia"/>
          <w:kern w:val="2"/>
          <w:szCs w:val="21"/>
        </w:rPr>
      </w:pPr>
      <w:r>
        <w:rPr>
          <w:rFonts w:asciiTheme="majorEastAsia" w:hAnsiTheme="majorEastAsia" w:eastAsiaTheme="majorEastAsia" w:cstheme="majorEastAsia"/>
          <w:kern w:val="2"/>
          <w:szCs w:val="21"/>
          <w:lang w:val="en-US"/>
        </w:rPr>
        <w:t>5、</w:t>
      </w:r>
      <w:r>
        <w:rPr>
          <w:rFonts w:hint="eastAsia" w:asciiTheme="majorEastAsia" w:hAnsiTheme="majorEastAsia" w:eastAsiaTheme="majorEastAsia" w:cstheme="majorEastAsia"/>
          <w:kern w:val="2"/>
          <w:szCs w:val="21"/>
        </w:rPr>
        <w:t>推荐中标候选人名单。按评审后得分由高到低的排列顺序推荐综合得分排名前三的投标人为本分包（项目）中标候选人，排名第一的为第一中标候选人。若综合得分相同的，按投标报价由低到高顺序排列。</w:t>
      </w:r>
    </w:p>
    <w:p>
      <w:pPr>
        <w:pStyle w:val="21"/>
        <w:tabs>
          <w:tab w:val="left" w:pos="1343"/>
        </w:tabs>
        <w:spacing w:before="5" w:line="360" w:lineRule="auto"/>
        <w:ind w:left="0" w:right="37" w:firstLine="0"/>
        <w:jc w:val="both"/>
        <w:rPr>
          <w:rFonts w:asciiTheme="majorEastAsia" w:hAnsiTheme="majorEastAsia" w:eastAsiaTheme="majorEastAsia" w:cstheme="majorEastAsia"/>
          <w:kern w:val="2"/>
          <w:szCs w:val="21"/>
        </w:rPr>
      </w:pPr>
      <w:r>
        <w:rPr>
          <w:rFonts w:asciiTheme="majorEastAsia" w:hAnsiTheme="majorEastAsia" w:eastAsiaTheme="majorEastAsia" w:cstheme="majorEastAsia"/>
          <w:kern w:val="2"/>
          <w:szCs w:val="21"/>
          <w:lang w:val="en-US"/>
        </w:rPr>
        <w:t>6、</w:t>
      </w:r>
      <w:r>
        <w:rPr>
          <w:rFonts w:hint="eastAsia" w:asciiTheme="majorEastAsia" w:hAnsiTheme="majorEastAsia" w:eastAsiaTheme="majorEastAsia" w:cstheme="majorEastAsia"/>
          <w:kern w:val="2"/>
          <w:szCs w:val="21"/>
        </w:rPr>
        <w:t>若综合得分且投标报价相同的，按技术指标优劣顺序排列；若综合得分、投标报价、技术指标均相同的，按商务部分的优劣顺序排列。</w:t>
      </w:r>
    </w:p>
    <w:p>
      <w:pPr>
        <w:numPr>
          <w:ilvl w:val="0"/>
          <w:numId w:val="2"/>
        </w:numPr>
        <w:spacing w:line="360" w:lineRule="auto"/>
        <w:ind w:firstLine="56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评分细则</w:t>
      </w:r>
    </w:p>
    <w:tbl>
      <w:tblPr>
        <w:tblStyle w:val="14"/>
        <w:tblW w:w="98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228"/>
        <w:gridCol w:w="1132"/>
        <w:gridCol w:w="6022"/>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554" w:type="dxa"/>
            <w:vAlign w:val="center"/>
          </w:tcPr>
          <w:p>
            <w:pPr>
              <w:spacing w:line="360" w:lineRule="atLeast"/>
              <w:jc w:val="center"/>
              <w:rPr>
                <w:rFonts w:ascii="宋体" w:hAnsi="宋体"/>
                <w:szCs w:val="21"/>
              </w:rPr>
            </w:pPr>
            <w:r>
              <w:rPr>
                <w:rFonts w:hint="eastAsia" w:ascii="宋体" w:hAnsi="宋体"/>
                <w:szCs w:val="21"/>
              </w:rPr>
              <w:t>序号</w:t>
            </w:r>
          </w:p>
        </w:tc>
        <w:tc>
          <w:tcPr>
            <w:tcW w:w="2360" w:type="dxa"/>
            <w:gridSpan w:val="2"/>
            <w:vAlign w:val="center"/>
          </w:tcPr>
          <w:p>
            <w:pPr>
              <w:spacing w:line="360" w:lineRule="atLeast"/>
              <w:jc w:val="center"/>
              <w:rPr>
                <w:rFonts w:ascii="宋体" w:hAnsi="宋体"/>
                <w:szCs w:val="21"/>
              </w:rPr>
            </w:pPr>
            <w:r>
              <w:rPr>
                <w:rFonts w:hint="eastAsia" w:ascii="宋体" w:hAnsi="宋体"/>
                <w:szCs w:val="21"/>
              </w:rPr>
              <w:t>评分项目</w:t>
            </w:r>
          </w:p>
        </w:tc>
        <w:tc>
          <w:tcPr>
            <w:tcW w:w="6022" w:type="dxa"/>
            <w:vAlign w:val="center"/>
          </w:tcPr>
          <w:p>
            <w:pPr>
              <w:spacing w:line="360" w:lineRule="atLeast"/>
              <w:jc w:val="center"/>
              <w:rPr>
                <w:rFonts w:ascii="宋体" w:hAnsi="宋体"/>
                <w:szCs w:val="21"/>
              </w:rPr>
            </w:pPr>
            <w:r>
              <w:rPr>
                <w:rFonts w:hint="eastAsia" w:ascii="宋体" w:hAnsi="宋体"/>
                <w:szCs w:val="21"/>
              </w:rPr>
              <w:t>评分标准</w:t>
            </w:r>
          </w:p>
        </w:tc>
        <w:tc>
          <w:tcPr>
            <w:tcW w:w="864" w:type="dxa"/>
            <w:vAlign w:val="center"/>
          </w:tcPr>
          <w:p>
            <w:pPr>
              <w:spacing w:line="360" w:lineRule="atLeast"/>
              <w:jc w:val="center"/>
              <w:rPr>
                <w:rFonts w:ascii="宋体" w:hAnsi="宋体"/>
                <w:szCs w:val="21"/>
              </w:rPr>
            </w:pPr>
            <w:r>
              <w:rPr>
                <w:rFonts w:hint="eastAsia" w:ascii="宋体" w:hAnsi="宋体"/>
                <w:szCs w:val="21"/>
              </w:rPr>
              <w:t>得</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9800" w:type="dxa"/>
            <w:gridSpan w:val="5"/>
            <w:vAlign w:val="center"/>
          </w:tcPr>
          <w:p>
            <w:pPr>
              <w:spacing w:line="360" w:lineRule="atLeast"/>
              <w:jc w:val="center"/>
              <w:rPr>
                <w:rFonts w:ascii="宋体" w:hAnsi="宋体"/>
                <w:b/>
                <w:szCs w:val="21"/>
              </w:rPr>
            </w:pPr>
            <w:r>
              <w:rPr>
                <w:rFonts w:hint="eastAsia" w:ascii="宋体" w:hAnsi="宋体"/>
                <w:b/>
                <w:szCs w:val="21"/>
              </w:rPr>
              <w:t>商务评分标准（</w:t>
            </w:r>
            <w:r>
              <w:rPr>
                <w:rFonts w:ascii="宋体" w:hAnsi="宋体"/>
                <w:b/>
                <w:szCs w:val="21"/>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554" w:type="dxa"/>
            <w:vAlign w:val="center"/>
          </w:tcPr>
          <w:p>
            <w:pPr>
              <w:spacing w:line="320" w:lineRule="exact"/>
              <w:jc w:val="center"/>
              <w:rPr>
                <w:rFonts w:ascii="宋体" w:hAnsi="宋体"/>
                <w:szCs w:val="21"/>
              </w:rPr>
            </w:pPr>
            <w:r>
              <w:rPr>
                <w:rFonts w:ascii="宋体" w:hAnsi="宋体"/>
                <w:szCs w:val="21"/>
              </w:rPr>
              <w:t>1</w:t>
            </w:r>
          </w:p>
        </w:tc>
        <w:tc>
          <w:tcPr>
            <w:tcW w:w="2360" w:type="dxa"/>
            <w:gridSpan w:val="2"/>
            <w:vAlign w:val="center"/>
          </w:tcPr>
          <w:p>
            <w:pPr>
              <w:spacing w:line="320" w:lineRule="exact"/>
              <w:jc w:val="center"/>
              <w:rPr>
                <w:rFonts w:ascii="宋体" w:hAnsi="宋体"/>
                <w:szCs w:val="21"/>
              </w:rPr>
            </w:pPr>
            <w:r>
              <w:rPr>
                <w:rFonts w:hint="eastAsia" w:hAnsi="宋体"/>
                <w:sz w:val="24"/>
              </w:rPr>
              <w:t>项目负责人情况（</w:t>
            </w:r>
            <w:r>
              <w:rPr>
                <w:rFonts w:hAnsi="宋体"/>
                <w:sz w:val="24"/>
              </w:rPr>
              <w:t>7</w:t>
            </w:r>
            <w:r>
              <w:rPr>
                <w:rFonts w:hint="eastAsia" w:hAnsi="宋体"/>
                <w:sz w:val="24"/>
              </w:rPr>
              <w:t>分）</w:t>
            </w:r>
          </w:p>
        </w:tc>
        <w:tc>
          <w:tcPr>
            <w:tcW w:w="6022" w:type="dxa"/>
            <w:vAlign w:val="center"/>
          </w:tcPr>
          <w:p>
            <w:pPr>
              <w:spacing w:line="360" w:lineRule="auto"/>
              <w:rPr>
                <w:rFonts w:ascii="宋体" w:hAnsi="宋体"/>
                <w:szCs w:val="21"/>
              </w:rPr>
            </w:pPr>
            <w:r>
              <w:rPr>
                <w:rFonts w:hint="eastAsia" w:ascii="宋体" w:hAnsi="宋体"/>
                <w:szCs w:val="21"/>
              </w:rPr>
              <w:t>项目负责人具有环境科学类正高级技术职称且承担过省级重点行业企业用地污染状况调查相关项目的，得7</w:t>
            </w:r>
            <w:r>
              <w:rPr>
                <w:rFonts w:ascii="宋体" w:hAnsi="宋体"/>
                <w:szCs w:val="21"/>
              </w:rPr>
              <w:t>分；</w:t>
            </w:r>
          </w:p>
          <w:p>
            <w:pPr>
              <w:spacing w:line="360" w:lineRule="auto"/>
              <w:rPr>
                <w:rFonts w:ascii="宋体" w:hAnsi="宋体"/>
                <w:szCs w:val="21"/>
              </w:rPr>
            </w:pPr>
            <w:r>
              <w:rPr>
                <w:rFonts w:hint="eastAsia" w:ascii="宋体" w:hAnsi="宋体"/>
                <w:szCs w:val="21"/>
              </w:rPr>
              <w:t>项目负责人具有环境科学类副高及以下技术职称且承担过省级及以上土壤相关项目的，得4</w:t>
            </w:r>
            <w:r>
              <w:rPr>
                <w:rFonts w:ascii="宋体" w:hAnsi="宋体"/>
                <w:szCs w:val="21"/>
              </w:rPr>
              <w:t>分；</w:t>
            </w:r>
          </w:p>
          <w:p>
            <w:pPr>
              <w:spacing w:line="360" w:lineRule="auto"/>
              <w:rPr>
                <w:rFonts w:ascii="宋体" w:hAnsi="宋体"/>
                <w:szCs w:val="21"/>
              </w:rPr>
            </w:pPr>
            <w:r>
              <w:rPr>
                <w:rFonts w:hint="eastAsia" w:ascii="宋体" w:hAnsi="宋体"/>
                <w:szCs w:val="21"/>
              </w:rPr>
              <w:t>其他得</w:t>
            </w:r>
            <w:r>
              <w:rPr>
                <w:rFonts w:ascii="宋体" w:hAnsi="宋体"/>
                <w:szCs w:val="21"/>
              </w:rPr>
              <w:t>0分。</w:t>
            </w:r>
          </w:p>
          <w:p>
            <w:pPr>
              <w:spacing w:line="360" w:lineRule="auto"/>
              <w:rPr>
                <w:rFonts w:ascii="宋体" w:hAnsi="宋体"/>
                <w:szCs w:val="21"/>
              </w:rPr>
            </w:pPr>
            <w:r>
              <w:rPr>
                <w:rFonts w:hint="eastAsia" w:ascii="宋体" w:hAnsi="宋体"/>
                <w:szCs w:val="21"/>
              </w:rPr>
              <w:t>本项最高得分为</w:t>
            </w:r>
            <w:r>
              <w:rPr>
                <w:rFonts w:ascii="宋体" w:hAnsi="宋体"/>
                <w:szCs w:val="21"/>
              </w:rPr>
              <w:t>7分。</w:t>
            </w:r>
          </w:p>
          <w:p>
            <w:pPr>
              <w:spacing w:line="360" w:lineRule="auto"/>
              <w:rPr>
                <w:rFonts w:ascii="宋体" w:hAnsi="宋体"/>
                <w:szCs w:val="21"/>
              </w:rPr>
            </w:pPr>
            <w:r>
              <w:rPr>
                <w:rFonts w:hint="eastAsia" w:ascii="宋体" w:hAnsi="宋体"/>
                <w:szCs w:val="21"/>
              </w:rPr>
              <w:t>注：如一人具有多个技术职称的，按职称等级较高的技术职称评审；如一人具有多个同一等级技术职称的，按一个技术职称评审，不重复计分。</w:t>
            </w:r>
          </w:p>
          <w:p>
            <w:pPr>
              <w:spacing w:line="360" w:lineRule="auto"/>
              <w:rPr>
                <w:rFonts w:ascii="宋体" w:hAnsi="宋体"/>
                <w:szCs w:val="21"/>
              </w:rPr>
            </w:pPr>
            <w:r>
              <w:rPr>
                <w:rFonts w:hint="eastAsia" w:ascii="宋体" w:hAnsi="宋体"/>
                <w:szCs w:val="21"/>
              </w:rPr>
              <w:t>需提供技术职称证书、合同材料、本单位近三个月社保证明复印件，并加盖投标人单位公章。</w:t>
            </w:r>
          </w:p>
        </w:tc>
        <w:tc>
          <w:tcPr>
            <w:tcW w:w="864" w:type="dxa"/>
            <w:vAlign w:val="center"/>
          </w:tcPr>
          <w:p>
            <w:pPr>
              <w:spacing w:line="320" w:lineRule="exact"/>
              <w:jc w:val="center"/>
              <w:rPr>
                <w:rFonts w:ascii="宋体" w:hAnsi="宋体"/>
                <w:szCs w:val="21"/>
              </w:rPr>
            </w:pPr>
            <w:r>
              <w:rPr>
                <w:rFonts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554" w:type="dxa"/>
            <w:vMerge w:val="restart"/>
            <w:vAlign w:val="center"/>
          </w:tcPr>
          <w:p>
            <w:pPr>
              <w:spacing w:line="320" w:lineRule="exact"/>
              <w:jc w:val="center"/>
              <w:rPr>
                <w:rFonts w:ascii="宋体" w:hAnsi="宋体"/>
                <w:szCs w:val="21"/>
              </w:rPr>
            </w:pPr>
            <w:r>
              <w:rPr>
                <w:rFonts w:ascii="宋体" w:hAnsi="宋体"/>
                <w:szCs w:val="21"/>
              </w:rPr>
              <w:t>2</w:t>
            </w:r>
          </w:p>
        </w:tc>
        <w:tc>
          <w:tcPr>
            <w:tcW w:w="2360" w:type="dxa"/>
            <w:gridSpan w:val="2"/>
            <w:vMerge w:val="restart"/>
            <w:vAlign w:val="center"/>
          </w:tcPr>
          <w:p>
            <w:pPr>
              <w:spacing w:line="320" w:lineRule="exact"/>
              <w:jc w:val="center"/>
              <w:rPr>
                <w:rFonts w:ascii="宋体" w:hAnsi="宋体"/>
                <w:szCs w:val="21"/>
              </w:rPr>
            </w:pPr>
            <w:r>
              <w:rPr>
                <w:rFonts w:hint="eastAsia" w:ascii="宋体" w:hAnsi="宋体"/>
                <w:szCs w:val="21"/>
              </w:rPr>
              <w:t>项目主要技术人员（不含项目负责人）情况（</w:t>
            </w:r>
            <w:r>
              <w:rPr>
                <w:rFonts w:ascii="宋体" w:hAnsi="宋体"/>
                <w:szCs w:val="21"/>
              </w:rPr>
              <w:t>9分）</w:t>
            </w:r>
          </w:p>
        </w:tc>
        <w:tc>
          <w:tcPr>
            <w:tcW w:w="6022" w:type="dxa"/>
            <w:vAlign w:val="center"/>
          </w:tcPr>
          <w:p>
            <w:pPr>
              <w:spacing w:line="360" w:lineRule="auto"/>
              <w:rPr>
                <w:rFonts w:ascii="宋体" w:hAnsi="宋体"/>
                <w:szCs w:val="21"/>
              </w:rPr>
            </w:pPr>
            <w:r>
              <w:rPr>
                <w:rFonts w:hint="eastAsia" w:ascii="宋体" w:hAnsi="宋体"/>
                <w:szCs w:val="21"/>
              </w:rPr>
              <w:t>项目主要技术人员（不含项目负责人）中具有高级技术职称</w:t>
            </w:r>
            <w:r>
              <w:rPr>
                <w:rFonts w:ascii="宋体" w:hAnsi="宋体"/>
                <w:szCs w:val="21"/>
              </w:rPr>
              <w:t>10人（含）以上的，得3分；</w:t>
            </w:r>
          </w:p>
          <w:p>
            <w:pPr>
              <w:spacing w:line="360" w:lineRule="auto"/>
              <w:rPr>
                <w:rFonts w:ascii="宋体" w:hAnsi="宋体"/>
                <w:szCs w:val="21"/>
              </w:rPr>
            </w:pPr>
            <w:r>
              <w:rPr>
                <w:rFonts w:hint="eastAsia" w:ascii="宋体" w:hAnsi="宋体"/>
                <w:szCs w:val="21"/>
              </w:rPr>
              <w:t>其他或没有的得</w:t>
            </w:r>
            <w:r>
              <w:rPr>
                <w:rFonts w:ascii="宋体" w:hAnsi="宋体"/>
                <w:szCs w:val="21"/>
              </w:rPr>
              <w:t>0分。</w:t>
            </w:r>
          </w:p>
          <w:p>
            <w:pPr>
              <w:spacing w:line="360" w:lineRule="auto"/>
              <w:rPr>
                <w:rFonts w:ascii="宋体" w:hAnsi="宋体"/>
                <w:szCs w:val="21"/>
              </w:rPr>
            </w:pPr>
            <w:r>
              <w:rPr>
                <w:rFonts w:hint="eastAsia" w:ascii="宋体" w:hAnsi="宋体"/>
                <w:szCs w:val="21"/>
              </w:rPr>
              <w:t>本项最高得分为</w:t>
            </w:r>
            <w:r>
              <w:rPr>
                <w:rFonts w:ascii="宋体" w:hAnsi="宋体"/>
                <w:szCs w:val="21"/>
              </w:rPr>
              <w:t>3分。</w:t>
            </w:r>
          </w:p>
          <w:p>
            <w:pPr>
              <w:spacing w:line="360" w:lineRule="auto"/>
              <w:rPr>
                <w:rFonts w:ascii="宋体" w:hAnsi="宋体"/>
                <w:szCs w:val="21"/>
              </w:rPr>
            </w:pPr>
            <w:r>
              <w:rPr>
                <w:rFonts w:hint="eastAsia" w:ascii="宋体" w:hAnsi="宋体"/>
                <w:szCs w:val="21"/>
              </w:rPr>
              <w:t>需提供技术职称证书、本单位近三个月社保证明复印件，并加盖投标人单位公章。</w:t>
            </w:r>
          </w:p>
        </w:tc>
        <w:tc>
          <w:tcPr>
            <w:tcW w:w="864" w:type="dxa"/>
            <w:vAlign w:val="center"/>
          </w:tcPr>
          <w:p>
            <w:pPr>
              <w:spacing w:line="320" w:lineRule="exact"/>
              <w:jc w:val="center"/>
              <w:rPr>
                <w:rFonts w:ascii="宋体" w:hAns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554" w:type="dxa"/>
            <w:vMerge w:val="continue"/>
            <w:vAlign w:val="center"/>
          </w:tcPr>
          <w:p>
            <w:pPr>
              <w:spacing w:line="320" w:lineRule="exact"/>
              <w:jc w:val="center"/>
              <w:rPr>
                <w:rFonts w:ascii="宋体" w:hAnsi="宋体"/>
                <w:szCs w:val="21"/>
              </w:rPr>
            </w:pPr>
          </w:p>
        </w:tc>
        <w:tc>
          <w:tcPr>
            <w:tcW w:w="2360" w:type="dxa"/>
            <w:gridSpan w:val="2"/>
            <w:vMerge w:val="continue"/>
            <w:vAlign w:val="center"/>
          </w:tcPr>
          <w:p>
            <w:pPr>
              <w:spacing w:line="320" w:lineRule="exact"/>
              <w:jc w:val="center"/>
              <w:rPr>
                <w:rFonts w:ascii="宋体" w:hAnsi="宋体"/>
                <w:szCs w:val="21"/>
              </w:rPr>
            </w:pPr>
          </w:p>
        </w:tc>
        <w:tc>
          <w:tcPr>
            <w:tcW w:w="6022" w:type="dxa"/>
          </w:tcPr>
          <w:p>
            <w:pPr>
              <w:spacing w:line="360" w:lineRule="auto"/>
              <w:rPr>
                <w:rFonts w:ascii="宋体" w:hAnsi="宋体"/>
                <w:szCs w:val="21"/>
              </w:rPr>
            </w:pPr>
            <w:r>
              <w:rPr>
                <w:rFonts w:hint="eastAsia" w:ascii="宋体" w:hAnsi="宋体"/>
                <w:szCs w:val="21"/>
              </w:rPr>
              <w:t>项目主要技术人员（不含项目负责人）中承担过重点行业企业用地污染状况调查相关项目的，每人得</w:t>
            </w:r>
            <w:r>
              <w:rPr>
                <w:rFonts w:ascii="宋体" w:hAnsi="宋体"/>
                <w:szCs w:val="21"/>
              </w:rPr>
              <w:t>2分；</w:t>
            </w:r>
          </w:p>
          <w:p>
            <w:pPr>
              <w:spacing w:line="360" w:lineRule="auto"/>
              <w:rPr>
                <w:rFonts w:ascii="宋体" w:hAnsi="宋体"/>
                <w:szCs w:val="21"/>
              </w:rPr>
            </w:pPr>
            <w:r>
              <w:rPr>
                <w:rFonts w:hint="eastAsia" w:ascii="宋体" w:hAnsi="宋体"/>
                <w:szCs w:val="21"/>
              </w:rPr>
              <w:t>其他或没有的得</w:t>
            </w:r>
            <w:r>
              <w:rPr>
                <w:rFonts w:ascii="宋体" w:hAnsi="宋体"/>
                <w:szCs w:val="21"/>
              </w:rPr>
              <w:t>0分。</w:t>
            </w:r>
          </w:p>
          <w:p>
            <w:pPr>
              <w:spacing w:line="360" w:lineRule="auto"/>
              <w:rPr>
                <w:rFonts w:ascii="宋体" w:hAnsi="宋体"/>
                <w:szCs w:val="21"/>
              </w:rPr>
            </w:pPr>
            <w:r>
              <w:rPr>
                <w:rFonts w:hint="eastAsia" w:ascii="宋体" w:hAnsi="宋体"/>
                <w:szCs w:val="21"/>
              </w:rPr>
              <w:t>本项最高得分为</w:t>
            </w:r>
            <w:r>
              <w:rPr>
                <w:rFonts w:ascii="宋体" w:hAnsi="宋体"/>
                <w:szCs w:val="21"/>
              </w:rPr>
              <w:t>6分。</w:t>
            </w:r>
          </w:p>
          <w:p>
            <w:pPr>
              <w:spacing w:line="360" w:lineRule="auto"/>
              <w:rPr>
                <w:rFonts w:ascii="宋体" w:hAnsi="宋体"/>
                <w:szCs w:val="21"/>
              </w:rPr>
            </w:pPr>
            <w:r>
              <w:rPr>
                <w:rFonts w:hint="eastAsia" w:ascii="宋体" w:hAnsi="宋体"/>
                <w:szCs w:val="21"/>
              </w:rPr>
              <w:t>需提供合同材料、本单位近三个月社保证明复印件，并加盖投标人单位公章。</w:t>
            </w:r>
          </w:p>
        </w:tc>
        <w:tc>
          <w:tcPr>
            <w:tcW w:w="864" w:type="dxa"/>
            <w:vAlign w:val="center"/>
          </w:tcPr>
          <w:p>
            <w:pPr>
              <w:spacing w:line="320" w:lineRule="exact"/>
              <w:jc w:val="center"/>
              <w:rPr>
                <w:rFonts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2" w:hRule="atLeast"/>
          <w:jc w:val="center"/>
        </w:trPr>
        <w:tc>
          <w:tcPr>
            <w:tcW w:w="554" w:type="dxa"/>
            <w:vMerge w:val="restart"/>
            <w:vAlign w:val="center"/>
          </w:tcPr>
          <w:p>
            <w:pPr>
              <w:spacing w:line="320" w:lineRule="exact"/>
              <w:jc w:val="center"/>
              <w:rPr>
                <w:rFonts w:ascii="宋体" w:hAnsi="宋体"/>
                <w:szCs w:val="21"/>
              </w:rPr>
            </w:pPr>
            <w:r>
              <w:rPr>
                <w:rFonts w:ascii="宋体" w:hAnsi="宋体"/>
                <w:szCs w:val="21"/>
              </w:rPr>
              <w:t>3</w:t>
            </w:r>
          </w:p>
        </w:tc>
        <w:tc>
          <w:tcPr>
            <w:tcW w:w="2360" w:type="dxa"/>
            <w:gridSpan w:val="2"/>
            <w:vMerge w:val="restart"/>
            <w:vAlign w:val="center"/>
          </w:tcPr>
          <w:p>
            <w:pPr>
              <w:spacing w:line="320" w:lineRule="exact"/>
              <w:jc w:val="center"/>
              <w:rPr>
                <w:rFonts w:ascii="宋体" w:hAnsi="宋体"/>
                <w:szCs w:val="21"/>
              </w:rPr>
            </w:pPr>
            <w:r>
              <w:rPr>
                <w:rFonts w:hint="eastAsia" w:ascii="宋体" w:hAnsi="宋体"/>
                <w:szCs w:val="21"/>
              </w:rPr>
              <w:t>类似案例（</w:t>
            </w:r>
            <w:r>
              <w:rPr>
                <w:rFonts w:ascii="宋体" w:hAnsi="宋体"/>
                <w:szCs w:val="21"/>
              </w:rPr>
              <w:t>12分）注：合同不得重复记分</w:t>
            </w:r>
          </w:p>
        </w:tc>
        <w:tc>
          <w:tcPr>
            <w:tcW w:w="6022" w:type="dxa"/>
            <w:vAlign w:val="center"/>
          </w:tcPr>
          <w:p>
            <w:pPr>
              <w:spacing w:line="360" w:lineRule="auto"/>
              <w:rPr>
                <w:rFonts w:ascii="宋体" w:hAnsi="宋体"/>
                <w:szCs w:val="21"/>
              </w:rPr>
            </w:pPr>
            <w:r>
              <w:rPr>
                <w:rFonts w:hint="eastAsia" w:ascii="宋体" w:hAnsi="宋体"/>
                <w:szCs w:val="21"/>
              </w:rPr>
              <w:t>投标人</w:t>
            </w:r>
            <w:r>
              <w:rPr>
                <w:rFonts w:ascii="宋体" w:hAnsi="宋体"/>
                <w:szCs w:val="21"/>
              </w:rPr>
              <w:t>201</w:t>
            </w:r>
            <w:r>
              <w:rPr>
                <w:rFonts w:hint="eastAsia" w:ascii="宋体" w:hAnsi="宋体"/>
                <w:szCs w:val="21"/>
              </w:rPr>
              <w:t>5</w:t>
            </w:r>
            <w:r>
              <w:rPr>
                <w:rFonts w:ascii="宋体" w:hAnsi="宋体"/>
                <w:szCs w:val="21"/>
              </w:rPr>
              <w:t>年至今（以合同签订日期为准）承揽过700万元（含）以上的</w:t>
            </w:r>
            <w:r>
              <w:rPr>
                <w:rFonts w:hint="eastAsia" w:ascii="宋体" w:hAnsi="宋体"/>
                <w:szCs w:val="21"/>
              </w:rPr>
              <w:t>地块调查项目，每项得</w:t>
            </w:r>
            <w:r>
              <w:rPr>
                <w:rFonts w:ascii="宋体" w:hAnsi="宋体"/>
                <w:szCs w:val="21"/>
              </w:rPr>
              <w:t>2分；没有的得0分。</w:t>
            </w:r>
          </w:p>
          <w:p>
            <w:pPr>
              <w:spacing w:line="360" w:lineRule="auto"/>
              <w:rPr>
                <w:rFonts w:ascii="宋体" w:hAnsi="宋体"/>
                <w:szCs w:val="21"/>
              </w:rPr>
            </w:pPr>
            <w:r>
              <w:rPr>
                <w:rFonts w:hint="eastAsia" w:ascii="宋体" w:hAnsi="宋体"/>
                <w:szCs w:val="21"/>
              </w:rPr>
              <w:t>本项最高得分为</w:t>
            </w:r>
            <w:r>
              <w:rPr>
                <w:rFonts w:ascii="宋体" w:hAnsi="宋体"/>
                <w:szCs w:val="21"/>
              </w:rPr>
              <w:t>6分。</w:t>
            </w:r>
          </w:p>
          <w:p>
            <w:pPr>
              <w:spacing w:line="360" w:lineRule="auto"/>
              <w:rPr>
                <w:rFonts w:ascii="宋体" w:hAnsi="宋体"/>
                <w:szCs w:val="21"/>
              </w:rPr>
            </w:pPr>
            <w:r>
              <w:rPr>
                <w:rFonts w:hint="eastAsia" w:ascii="宋体" w:hAnsi="宋体"/>
                <w:szCs w:val="21"/>
              </w:rPr>
              <w:t>需提供项目合同复印件，并加盖投标人单位公章。</w:t>
            </w:r>
          </w:p>
        </w:tc>
        <w:tc>
          <w:tcPr>
            <w:tcW w:w="864" w:type="dxa"/>
            <w:vAlign w:val="center"/>
          </w:tcPr>
          <w:p>
            <w:pPr>
              <w:spacing w:line="320" w:lineRule="exact"/>
              <w:jc w:val="center"/>
              <w:rPr>
                <w:rFonts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2" w:hRule="atLeast"/>
          <w:jc w:val="center"/>
        </w:trPr>
        <w:tc>
          <w:tcPr>
            <w:tcW w:w="554" w:type="dxa"/>
            <w:vMerge w:val="continue"/>
            <w:vAlign w:val="center"/>
          </w:tcPr>
          <w:p>
            <w:pPr>
              <w:spacing w:line="320" w:lineRule="exact"/>
              <w:jc w:val="center"/>
              <w:rPr>
                <w:rFonts w:ascii="宋体" w:hAnsi="宋体"/>
                <w:szCs w:val="21"/>
              </w:rPr>
            </w:pPr>
          </w:p>
        </w:tc>
        <w:tc>
          <w:tcPr>
            <w:tcW w:w="2360" w:type="dxa"/>
            <w:gridSpan w:val="2"/>
            <w:vMerge w:val="continue"/>
            <w:vAlign w:val="center"/>
          </w:tcPr>
          <w:p>
            <w:pPr>
              <w:spacing w:line="320" w:lineRule="exact"/>
              <w:jc w:val="center"/>
              <w:rPr>
                <w:rFonts w:ascii="宋体" w:hAnsi="宋体"/>
                <w:szCs w:val="21"/>
              </w:rPr>
            </w:pPr>
          </w:p>
        </w:tc>
        <w:tc>
          <w:tcPr>
            <w:tcW w:w="6022" w:type="dxa"/>
            <w:vAlign w:val="center"/>
          </w:tcPr>
          <w:p>
            <w:pPr>
              <w:spacing w:line="360" w:lineRule="auto"/>
              <w:rPr>
                <w:rFonts w:ascii="宋体" w:hAnsi="宋体"/>
                <w:szCs w:val="21"/>
              </w:rPr>
            </w:pPr>
            <w:r>
              <w:rPr>
                <w:rFonts w:hint="eastAsia" w:ascii="宋体" w:hAnsi="宋体"/>
                <w:szCs w:val="21"/>
              </w:rPr>
              <w:t>投标人</w:t>
            </w:r>
            <w:r>
              <w:rPr>
                <w:rFonts w:ascii="宋体" w:hAnsi="宋体"/>
                <w:szCs w:val="21"/>
              </w:rPr>
              <w:t>2015年至今（以合同签订日期为准）承揽过</w:t>
            </w:r>
            <w:r>
              <w:rPr>
                <w:rFonts w:hint="eastAsia" w:ascii="宋体" w:hAnsi="宋体"/>
                <w:szCs w:val="21"/>
              </w:rPr>
              <w:t>地块调查项目</w:t>
            </w:r>
            <w:r>
              <w:rPr>
                <w:rFonts w:ascii="宋体" w:hAnsi="宋体"/>
                <w:szCs w:val="21"/>
              </w:rPr>
              <w:t>的，</w:t>
            </w:r>
            <w:r>
              <w:rPr>
                <w:rFonts w:hint="eastAsia" w:ascii="宋体" w:hAnsi="宋体"/>
                <w:szCs w:val="21"/>
              </w:rPr>
              <w:t>每项得</w:t>
            </w:r>
            <w:r>
              <w:rPr>
                <w:rFonts w:ascii="宋体" w:hAnsi="宋体"/>
                <w:szCs w:val="21"/>
              </w:rPr>
              <w:t>2分；没有的得0分。</w:t>
            </w:r>
          </w:p>
          <w:p>
            <w:pPr>
              <w:spacing w:line="360" w:lineRule="auto"/>
              <w:rPr>
                <w:rFonts w:ascii="宋体" w:hAnsi="宋体"/>
                <w:szCs w:val="21"/>
              </w:rPr>
            </w:pPr>
            <w:r>
              <w:rPr>
                <w:rFonts w:hint="eastAsia" w:ascii="宋体" w:hAnsi="宋体"/>
                <w:szCs w:val="21"/>
              </w:rPr>
              <w:t>本项最高得分为</w:t>
            </w:r>
            <w:r>
              <w:rPr>
                <w:rFonts w:ascii="宋体" w:hAnsi="宋体"/>
                <w:szCs w:val="21"/>
              </w:rPr>
              <w:t>6分。</w:t>
            </w:r>
          </w:p>
          <w:p>
            <w:pPr>
              <w:spacing w:line="360" w:lineRule="auto"/>
              <w:rPr>
                <w:rFonts w:ascii="宋体" w:hAnsi="宋体"/>
                <w:szCs w:val="21"/>
              </w:rPr>
            </w:pPr>
            <w:r>
              <w:rPr>
                <w:rFonts w:hint="eastAsia" w:ascii="宋体" w:hAnsi="宋体"/>
                <w:szCs w:val="21"/>
              </w:rPr>
              <w:t>需提供项目合同复印件，并加盖投标人单位公章。</w:t>
            </w:r>
          </w:p>
        </w:tc>
        <w:tc>
          <w:tcPr>
            <w:tcW w:w="864" w:type="dxa"/>
            <w:vAlign w:val="center"/>
          </w:tcPr>
          <w:p>
            <w:pPr>
              <w:spacing w:line="320" w:lineRule="exact"/>
              <w:jc w:val="center"/>
              <w:rPr>
                <w:rFonts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6" w:hRule="atLeast"/>
          <w:jc w:val="center"/>
        </w:trPr>
        <w:tc>
          <w:tcPr>
            <w:tcW w:w="554" w:type="dxa"/>
            <w:vAlign w:val="center"/>
          </w:tcPr>
          <w:p>
            <w:pPr>
              <w:spacing w:line="320" w:lineRule="exact"/>
              <w:jc w:val="center"/>
              <w:rPr>
                <w:rFonts w:ascii="宋体" w:hAnsi="宋体"/>
                <w:szCs w:val="21"/>
              </w:rPr>
            </w:pPr>
            <w:r>
              <w:rPr>
                <w:rFonts w:ascii="宋体" w:hAnsi="宋体"/>
                <w:szCs w:val="21"/>
              </w:rPr>
              <w:t>4</w:t>
            </w:r>
          </w:p>
        </w:tc>
        <w:tc>
          <w:tcPr>
            <w:tcW w:w="2360" w:type="dxa"/>
            <w:gridSpan w:val="2"/>
            <w:vAlign w:val="center"/>
          </w:tcPr>
          <w:p>
            <w:pPr>
              <w:spacing w:line="320" w:lineRule="exact"/>
              <w:jc w:val="center"/>
              <w:rPr>
                <w:rFonts w:ascii="宋体" w:hAnsi="宋体"/>
                <w:szCs w:val="21"/>
              </w:rPr>
            </w:pPr>
            <w:r>
              <w:rPr>
                <w:rFonts w:hint="eastAsia" w:ascii="宋体" w:hAnsi="宋体"/>
                <w:szCs w:val="21"/>
              </w:rPr>
              <w:t>后续服务计划（</w:t>
            </w:r>
            <w:r>
              <w:rPr>
                <w:rFonts w:ascii="宋体" w:hAnsi="宋体"/>
                <w:szCs w:val="21"/>
              </w:rPr>
              <w:t>6分）</w:t>
            </w:r>
          </w:p>
        </w:tc>
        <w:tc>
          <w:tcPr>
            <w:tcW w:w="6022" w:type="dxa"/>
            <w:vAlign w:val="center"/>
          </w:tcPr>
          <w:p>
            <w:pPr>
              <w:spacing w:line="320" w:lineRule="exact"/>
              <w:rPr>
                <w:rFonts w:ascii="宋体" w:hAnsi="宋体"/>
                <w:szCs w:val="21"/>
              </w:rPr>
            </w:pPr>
            <w:r>
              <w:rPr>
                <w:rFonts w:hint="eastAsia" w:ascii="宋体" w:hAnsi="宋体"/>
                <w:szCs w:val="21"/>
              </w:rPr>
              <w:t>考查、对比后续服务计划是否详细、合理，是否能够承诺针对本项目提供及时、本地化的后续服务。</w:t>
            </w:r>
          </w:p>
          <w:p>
            <w:pPr>
              <w:spacing w:line="320" w:lineRule="exact"/>
              <w:rPr>
                <w:rFonts w:ascii="宋体" w:hAnsi="宋体"/>
                <w:szCs w:val="21"/>
              </w:rPr>
            </w:pPr>
            <w:r>
              <w:rPr>
                <w:rFonts w:hint="eastAsia" w:ascii="宋体" w:hAnsi="宋体"/>
                <w:szCs w:val="21"/>
              </w:rPr>
              <w:t>优：</w:t>
            </w:r>
            <w:r>
              <w:rPr>
                <w:rFonts w:ascii="宋体" w:hAnsi="宋体"/>
                <w:szCs w:val="21"/>
              </w:rPr>
              <w:t>6-5分，良：4-3分，一般：2-0分。</w:t>
            </w:r>
          </w:p>
        </w:tc>
        <w:tc>
          <w:tcPr>
            <w:tcW w:w="864" w:type="dxa"/>
            <w:vAlign w:val="center"/>
          </w:tcPr>
          <w:p>
            <w:pPr>
              <w:spacing w:line="320" w:lineRule="exact"/>
              <w:jc w:val="center"/>
              <w:rPr>
                <w:rFonts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6" w:hRule="atLeast"/>
          <w:jc w:val="center"/>
        </w:trPr>
        <w:tc>
          <w:tcPr>
            <w:tcW w:w="554" w:type="dxa"/>
            <w:vAlign w:val="center"/>
          </w:tcPr>
          <w:p>
            <w:pPr>
              <w:spacing w:line="320" w:lineRule="exact"/>
              <w:jc w:val="center"/>
              <w:rPr>
                <w:rFonts w:ascii="宋体" w:hAnsi="宋体"/>
                <w:szCs w:val="21"/>
              </w:rPr>
            </w:pPr>
            <w:r>
              <w:rPr>
                <w:rFonts w:ascii="宋体" w:hAnsi="宋体"/>
                <w:szCs w:val="21"/>
              </w:rPr>
              <w:t>5</w:t>
            </w:r>
          </w:p>
        </w:tc>
        <w:tc>
          <w:tcPr>
            <w:tcW w:w="2360" w:type="dxa"/>
            <w:gridSpan w:val="2"/>
            <w:vAlign w:val="center"/>
          </w:tcPr>
          <w:p>
            <w:pPr>
              <w:spacing w:line="320" w:lineRule="exact"/>
              <w:jc w:val="center"/>
              <w:rPr>
                <w:rFonts w:ascii="宋体" w:hAnsi="宋体"/>
                <w:szCs w:val="21"/>
              </w:rPr>
            </w:pPr>
            <w:r>
              <w:rPr>
                <w:rFonts w:hint="eastAsia" w:ascii="宋体" w:hAnsi="宋体"/>
                <w:szCs w:val="21"/>
              </w:rPr>
              <w:t>工作进度计划（</w:t>
            </w:r>
            <w:r>
              <w:rPr>
                <w:rFonts w:ascii="宋体" w:hAnsi="宋体"/>
                <w:szCs w:val="21"/>
              </w:rPr>
              <w:t>3分）</w:t>
            </w:r>
          </w:p>
        </w:tc>
        <w:tc>
          <w:tcPr>
            <w:tcW w:w="6022" w:type="dxa"/>
            <w:vAlign w:val="center"/>
          </w:tcPr>
          <w:p>
            <w:pPr>
              <w:spacing w:line="320" w:lineRule="exact"/>
              <w:rPr>
                <w:rFonts w:ascii="宋体" w:hAnsi="宋体"/>
                <w:szCs w:val="21"/>
              </w:rPr>
            </w:pPr>
            <w:r>
              <w:rPr>
                <w:rFonts w:hint="eastAsia" w:ascii="宋体" w:hAnsi="宋体"/>
                <w:szCs w:val="21"/>
              </w:rPr>
              <w:t>考查、对比是否有针对本项目制定的工作进度计划，进度计划是否详细可行、合理，是否以严谨且可执行的保障措施实现本项目对时间的要求。</w:t>
            </w:r>
          </w:p>
          <w:p>
            <w:pPr>
              <w:spacing w:line="320" w:lineRule="exact"/>
              <w:rPr>
                <w:rFonts w:ascii="宋体" w:hAnsi="宋体"/>
                <w:szCs w:val="21"/>
              </w:rPr>
            </w:pPr>
            <w:r>
              <w:rPr>
                <w:rFonts w:hint="eastAsia" w:ascii="宋体" w:hAnsi="宋体"/>
                <w:szCs w:val="21"/>
              </w:rPr>
              <w:t>优：</w:t>
            </w:r>
            <w:r>
              <w:rPr>
                <w:rFonts w:ascii="宋体" w:hAnsi="宋体"/>
                <w:szCs w:val="21"/>
              </w:rPr>
              <w:t>3分，良：2分，一般：1分。</w:t>
            </w:r>
          </w:p>
        </w:tc>
        <w:tc>
          <w:tcPr>
            <w:tcW w:w="864" w:type="dxa"/>
            <w:vAlign w:val="center"/>
          </w:tcPr>
          <w:p>
            <w:pPr>
              <w:spacing w:line="320" w:lineRule="exact"/>
              <w:jc w:val="center"/>
              <w:rPr>
                <w:rFonts w:ascii="宋体" w:hAns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6" w:hRule="atLeast"/>
          <w:jc w:val="center"/>
        </w:trPr>
        <w:tc>
          <w:tcPr>
            <w:tcW w:w="554" w:type="dxa"/>
            <w:vMerge w:val="restart"/>
            <w:vAlign w:val="center"/>
          </w:tcPr>
          <w:p>
            <w:pPr>
              <w:spacing w:line="320" w:lineRule="exact"/>
              <w:jc w:val="center"/>
              <w:rPr>
                <w:rFonts w:ascii="宋体" w:hAnsi="宋体"/>
                <w:szCs w:val="21"/>
              </w:rPr>
            </w:pPr>
            <w:r>
              <w:rPr>
                <w:rFonts w:ascii="宋体" w:hAnsi="宋体"/>
                <w:szCs w:val="21"/>
              </w:rPr>
              <w:t>6</w:t>
            </w:r>
          </w:p>
        </w:tc>
        <w:tc>
          <w:tcPr>
            <w:tcW w:w="2360" w:type="dxa"/>
            <w:gridSpan w:val="2"/>
            <w:vMerge w:val="restart"/>
            <w:vAlign w:val="center"/>
          </w:tcPr>
          <w:p>
            <w:pPr>
              <w:spacing w:line="320" w:lineRule="exact"/>
              <w:jc w:val="center"/>
              <w:rPr>
                <w:rFonts w:ascii="宋体" w:hAnsi="宋体"/>
                <w:szCs w:val="21"/>
              </w:rPr>
            </w:pPr>
            <w:r>
              <w:rPr>
                <w:rFonts w:hint="eastAsia" w:ascii="宋体" w:hAnsi="宋体"/>
                <w:szCs w:val="21"/>
              </w:rPr>
              <w:t>投标人其他相关资格、认证证书及获得的相关荣誉（</w:t>
            </w:r>
            <w:r>
              <w:rPr>
                <w:rFonts w:ascii="宋体" w:hAnsi="宋体"/>
                <w:szCs w:val="21"/>
              </w:rPr>
              <w:t>13分）</w:t>
            </w:r>
          </w:p>
        </w:tc>
        <w:tc>
          <w:tcPr>
            <w:tcW w:w="6022" w:type="dxa"/>
            <w:vAlign w:val="center"/>
          </w:tcPr>
          <w:p>
            <w:pPr>
              <w:spacing w:line="320" w:lineRule="exact"/>
              <w:rPr>
                <w:rFonts w:ascii="宋体" w:hAnsi="宋体"/>
                <w:szCs w:val="21"/>
              </w:rPr>
            </w:pPr>
            <w:r>
              <w:rPr>
                <w:rFonts w:hint="eastAsia" w:ascii="宋体" w:hAnsi="宋体"/>
                <w:szCs w:val="21"/>
              </w:rPr>
              <w:t>投标人具有钻探能力的，得</w:t>
            </w:r>
            <w:r>
              <w:rPr>
                <w:rFonts w:ascii="宋体" w:hAnsi="宋体"/>
                <w:szCs w:val="21"/>
              </w:rPr>
              <w:t>3分；</w:t>
            </w:r>
          </w:p>
          <w:p>
            <w:pPr>
              <w:spacing w:line="320" w:lineRule="exact"/>
              <w:rPr>
                <w:rFonts w:ascii="宋体" w:hAnsi="宋体"/>
                <w:szCs w:val="21"/>
              </w:rPr>
            </w:pPr>
            <w:r>
              <w:rPr>
                <w:rFonts w:hint="eastAsia" w:ascii="宋体" w:hAnsi="宋体"/>
                <w:szCs w:val="21"/>
              </w:rPr>
              <w:t>其他或没有的得</w:t>
            </w:r>
            <w:r>
              <w:rPr>
                <w:rFonts w:ascii="宋体" w:hAnsi="宋体"/>
                <w:szCs w:val="21"/>
              </w:rPr>
              <w:t>0分。</w:t>
            </w:r>
          </w:p>
          <w:p>
            <w:pPr>
              <w:spacing w:line="320" w:lineRule="exact"/>
              <w:rPr>
                <w:rFonts w:ascii="宋体" w:hAnsi="宋体"/>
                <w:szCs w:val="21"/>
              </w:rPr>
            </w:pPr>
            <w:r>
              <w:rPr>
                <w:rFonts w:hint="eastAsia" w:ascii="宋体" w:hAnsi="宋体"/>
                <w:szCs w:val="21"/>
              </w:rPr>
              <w:t>需提供专业钻机发票复印件，并加盖投标人单位公章。</w:t>
            </w:r>
          </w:p>
        </w:tc>
        <w:tc>
          <w:tcPr>
            <w:tcW w:w="864" w:type="dxa"/>
            <w:vAlign w:val="center"/>
          </w:tcPr>
          <w:p>
            <w:pPr>
              <w:spacing w:line="320" w:lineRule="exact"/>
              <w:jc w:val="center"/>
              <w:rPr>
                <w:rFonts w:ascii="宋体" w:hAns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6" w:hRule="atLeast"/>
          <w:jc w:val="center"/>
        </w:trPr>
        <w:tc>
          <w:tcPr>
            <w:tcW w:w="554" w:type="dxa"/>
            <w:vMerge w:val="continue"/>
            <w:vAlign w:val="center"/>
          </w:tcPr>
          <w:p>
            <w:pPr>
              <w:spacing w:line="320" w:lineRule="exact"/>
              <w:jc w:val="center"/>
              <w:rPr>
                <w:rFonts w:ascii="宋体" w:hAnsi="宋体"/>
                <w:szCs w:val="21"/>
              </w:rPr>
            </w:pPr>
          </w:p>
        </w:tc>
        <w:tc>
          <w:tcPr>
            <w:tcW w:w="2360" w:type="dxa"/>
            <w:gridSpan w:val="2"/>
            <w:vMerge w:val="continue"/>
            <w:vAlign w:val="center"/>
          </w:tcPr>
          <w:p>
            <w:pPr>
              <w:spacing w:line="320" w:lineRule="exact"/>
              <w:jc w:val="center"/>
              <w:rPr>
                <w:rFonts w:ascii="宋体" w:hAnsi="宋体"/>
                <w:szCs w:val="21"/>
              </w:rPr>
            </w:pPr>
          </w:p>
        </w:tc>
        <w:tc>
          <w:tcPr>
            <w:tcW w:w="6022" w:type="dxa"/>
            <w:vAlign w:val="center"/>
          </w:tcPr>
          <w:p>
            <w:pPr>
              <w:spacing w:line="320" w:lineRule="exact"/>
              <w:rPr>
                <w:rFonts w:ascii="宋体" w:hAnsi="宋体"/>
                <w:szCs w:val="21"/>
              </w:rPr>
            </w:pPr>
            <w:r>
              <w:rPr>
                <w:rFonts w:hint="eastAsia" w:ascii="宋体" w:hAnsi="宋体"/>
                <w:szCs w:val="21"/>
              </w:rPr>
              <w:t>投标人</w:t>
            </w:r>
            <w:r>
              <w:rPr>
                <w:rFonts w:ascii="宋体" w:hAnsi="宋体"/>
                <w:szCs w:val="21"/>
              </w:rPr>
              <w:t>201</w:t>
            </w:r>
            <w:r>
              <w:rPr>
                <w:rFonts w:hint="eastAsia" w:ascii="宋体" w:hAnsi="宋体"/>
                <w:szCs w:val="21"/>
              </w:rPr>
              <w:t>5</w:t>
            </w:r>
            <w:r>
              <w:rPr>
                <w:rFonts w:ascii="宋体" w:hAnsi="宋体"/>
                <w:szCs w:val="21"/>
              </w:rPr>
              <w:t>年至今（以获奖证书日期为准）获得过国家级奖项的每个得3</w:t>
            </w:r>
            <w:r>
              <w:rPr>
                <w:rFonts w:hint="eastAsia" w:ascii="宋体" w:hAnsi="宋体"/>
                <w:szCs w:val="21"/>
              </w:rPr>
              <w:t>分，</w:t>
            </w:r>
            <w:r>
              <w:rPr>
                <w:rFonts w:ascii="宋体" w:hAnsi="宋体"/>
                <w:szCs w:val="21"/>
              </w:rPr>
              <w:t>省（部）级奖项的，每个得1分；</w:t>
            </w:r>
          </w:p>
          <w:p>
            <w:pPr>
              <w:spacing w:line="320" w:lineRule="exact"/>
              <w:rPr>
                <w:rFonts w:ascii="宋体" w:hAnsi="宋体"/>
                <w:szCs w:val="21"/>
              </w:rPr>
            </w:pPr>
            <w:r>
              <w:rPr>
                <w:rFonts w:hint="eastAsia" w:ascii="宋体" w:hAnsi="宋体"/>
                <w:szCs w:val="21"/>
              </w:rPr>
              <w:t>其他或没有的得</w:t>
            </w:r>
            <w:r>
              <w:rPr>
                <w:rFonts w:ascii="宋体" w:hAnsi="宋体"/>
                <w:szCs w:val="21"/>
              </w:rPr>
              <w:t>0分。</w:t>
            </w:r>
          </w:p>
          <w:p>
            <w:pPr>
              <w:spacing w:line="320" w:lineRule="exact"/>
              <w:rPr>
                <w:rFonts w:ascii="宋体" w:hAnsi="宋体"/>
                <w:szCs w:val="21"/>
              </w:rPr>
            </w:pPr>
            <w:r>
              <w:rPr>
                <w:rFonts w:hint="eastAsia" w:ascii="宋体" w:hAnsi="宋体"/>
                <w:szCs w:val="21"/>
              </w:rPr>
              <w:t>本项最高得分为</w:t>
            </w:r>
            <w:r>
              <w:rPr>
                <w:rFonts w:ascii="宋体" w:hAnsi="宋体"/>
                <w:szCs w:val="21"/>
              </w:rPr>
              <w:t>10分。</w:t>
            </w:r>
          </w:p>
          <w:p>
            <w:pPr>
              <w:spacing w:line="320" w:lineRule="exact"/>
              <w:rPr>
                <w:rFonts w:ascii="宋体" w:hAnsi="宋体"/>
                <w:szCs w:val="21"/>
              </w:rPr>
            </w:pPr>
            <w:r>
              <w:rPr>
                <w:rFonts w:hint="eastAsia" w:ascii="宋体" w:hAnsi="宋体"/>
                <w:szCs w:val="21"/>
              </w:rPr>
              <w:t>需提供获奖证书复印件，并加盖投标人单位公章。</w:t>
            </w:r>
          </w:p>
        </w:tc>
        <w:tc>
          <w:tcPr>
            <w:tcW w:w="864" w:type="dxa"/>
            <w:vAlign w:val="center"/>
          </w:tcPr>
          <w:p>
            <w:pPr>
              <w:spacing w:line="320" w:lineRule="exact"/>
              <w:jc w:val="center"/>
              <w:rPr>
                <w:rFonts w:ascii="宋体" w:hAns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9800" w:type="dxa"/>
            <w:gridSpan w:val="5"/>
            <w:vAlign w:val="center"/>
          </w:tcPr>
          <w:p>
            <w:pPr>
              <w:spacing w:line="320" w:lineRule="exact"/>
              <w:jc w:val="center"/>
              <w:rPr>
                <w:rFonts w:ascii="宋体" w:hAnsi="宋体"/>
                <w:b/>
                <w:szCs w:val="21"/>
              </w:rPr>
            </w:pPr>
            <w:r>
              <w:rPr>
                <w:rFonts w:hint="eastAsia" w:ascii="宋体" w:hAnsi="宋体"/>
                <w:b/>
                <w:szCs w:val="21"/>
              </w:rPr>
              <w:t>技术评分标准（</w:t>
            </w:r>
            <w:r>
              <w:rPr>
                <w:rFonts w:ascii="宋体" w:hAnsi="宋体"/>
                <w:b/>
                <w:szCs w:val="21"/>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554" w:type="dxa"/>
            <w:vMerge w:val="restart"/>
            <w:vAlign w:val="center"/>
          </w:tcPr>
          <w:p>
            <w:pPr>
              <w:spacing w:line="320" w:lineRule="exact"/>
              <w:jc w:val="center"/>
              <w:rPr>
                <w:rFonts w:ascii="宋体" w:hAnsi="宋体"/>
                <w:szCs w:val="21"/>
              </w:rPr>
            </w:pPr>
            <w:r>
              <w:rPr>
                <w:rFonts w:ascii="宋体" w:hAnsi="宋体"/>
                <w:szCs w:val="21"/>
              </w:rPr>
              <w:t>7</w:t>
            </w:r>
          </w:p>
        </w:tc>
        <w:tc>
          <w:tcPr>
            <w:tcW w:w="1228" w:type="dxa"/>
            <w:vMerge w:val="restart"/>
            <w:vAlign w:val="center"/>
          </w:tcPr>
          <w:p>
            <w:pPr>
              <w:spacing w:line="360" w:lineRule="auto"/>
              <w:jc w:val="center"/>
              <w:rPr>
                <w:rFonts w:ascii="宋体" w:hAnsi="宋体"/>
                <w:szCs w:val="21"/>
              </w:rPr>
            </w:pPr>
            <w:r>
              <w:rPr>
                <w:rFonts w:hint="eastAsia" w:hAnsi="宋体"/>
                <w:sz w:val="24"/>
              </w:rPr>
              <w:t>项目现状及技术解决方案（</w:t>
            </w:r>
            <w:r>
              <w:t>34</w:t>
            </w:r>
            <w:r>
              <w:rPr>
                <w:rFonts w:hint="eastAsia" w:hAnsi="宋体"/>
                <w:sz w:val="24"/>
              </w:rPr>
              <w:t>分</w:t>
            </w:r>
            <w:r>
              <w:rPr>
                <w:rFonts w:hAnsi="宋体"/>
                <w:sz w:val="24"/>
              </w:rPr>
              <w:t>）</w:t>
            </w:r>
          </w:p>
        </w:tc>
        <w:tc>
          <w:tcPr>
            <w:tcW w:w="1132" w:type="dxa"/>
            <w:vAlign w:val="center"/>
          </w:tcPr>
          <w:p>
            <w:pPr>
              <w:spacing w:beforeAutospacing="1" w:afterAutospacing="1" w:line="360" w:lineRule="auto"/>
              <w:jc w:val="center"/>
              <w:rPr>
                <w:rFonts w:ascii="宋体" w:hAnsi="宋体"/>
                <w:szCs w:val="21"/>
              </w:rPr>
            </w:pPr>
            <w:r>
              <w:rPr>
                <w:rFonts w:hint="eastAsia" w:ascii="宋体" w:hAnsi="宋体" w:cs="仿宋_GB2312"/>
                <w:szCs w:val="21"/>
              </w:rPr>
              <w:t>项目的理解与认识（</w:t>
            </w:r>
            <w:r>
              <w:rPr>
                <w:rFonts w:ascii="宋体" w:hAnsi="宋体" w:cs="仿宋_GB2312"/>
                <w:szCs w:val="21"/>
              </w:rPr>
              <w:t>14分）</w:t>
            </w:r>
          </w:p>
        </w:tc>
        <w:tc>
          <w:tcPr>
            <w:tcW w:w="6022" w:type="dxa"/>
            <w:vAlign w:val="center"/>
          </w:tcPr>
          <w:p>
            <w:pPr>
              <w:spacing w:beforeAutospacing="1" w:afterAutospacing="1" w:line="360" w:lineRule="auto"/>
              <w:rPr>
                <w:rFonts w:ascii="宋体" w:hAnsi="宋体" w:cs="仿宋_GB2312"/>
                <w:szCs w:val="21"/>
              </w:rPr>
            </w:pPr>
            <w:r>
              <w:rPr>
                <w:rFonts w:hint="eastAsia" w:ascii="宋体" w:hAnsi="宋体" w:cs="仿宋_GB2312"/>
                <w:szCs w:val="21"/>
              </w:rPr>
              <w:t>考查、对比投标人对项目背景及相关政策理解是否充分。</w:t>
            </w:r>
          </w:p>
          <w:p>
            <w:pPr>
              <w:spacing w:beforeAutospacing="1" w:afterAutospacing="1" w:line="360" w:lineRule="auto"/>
              <w:rPr>
                <w:rFonts w:ascii="宋体" w:hAnsi="宋体" w:cs="仿宋_GB2312"/>
                <w:szCs w:val="21"/>
              </w:rPr>
            </w:pPr>
            <w:r>
              <w:rPr>
                <w:rFonts w:hint="eastAsia" w:ascii="宋体" w:hAnsi="宋体" w:cs="仿宋_GB2312"/>
                <w:szCs w:val="21"/>
              </w:rPr>
              <w:t>优：</w:t>
            </w:r>
            <w:r>
              <w:rPr>
                <w:rFonts w:ascii="宋体" w:hAnsi="宋体" w:cs="仿宋_GB2312"/>
                <w:szCs w:val="21"/>
              </w:rPr>
              <w:t>14-11分，良：10-8分，中：7-5分，差：4-0分。</w:t>
            </w:r>
          </w:p>
        </w:tc>
        <w:tc>
          <w:tcPr>
            <w:tcW w:w="864" w:type="dxa"/>
            <w:vAlign w:val="center"/>
          </w:tcPr>
          <w:p>
            <w:pPr>
              <w:spacing w:beforeAutospacing="1" w:afterAutospacing="1" w:line="360" w:lineRule="auto"/>
              <w:jc w:val="center"/>
              <w:rPr>
                <w:rFonts w:ascii="宋体" w:hAnsi="宋体"/>
                <w:szCs w:val="21"/>
              </w:rPr>
            </w:pPr>
            <w:r>
              <w:rPr>
                <w:rFonts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554" w:type="dxa"/>
            <w:vMerge w:val="continue"/>
            <w:vAlign w:val="center"/>
          </w:tcPr>
          <w:p>
            <w:pPr>
              <w:spacing w:line="320" w:lineRule="exact"/>
              <w:jc w:val="center"/>
              <w:rPr>
                <w:rFonts w:ascii="宋体" w:hAnsi="宋体"/>
                <w:szCs w:val="21"/>
              </w:rPr>
            </w:pPr>
          </w:p>
        </w:tc>
        <w:tc>
          <w:tcPr>
            <w:tcW w:w="1228" w:type="dxa"/>
            <w:vMerge w:val="continue"/>
            <w:vAlign w:val="center"/>
          </w:tcPr>
          <w:p>
            <w:pPr>
              <w:spacing w:line="360" w:lineRule="auto"/>
              <w:jc w:val="center"/>
              <w:rPr>
                <w:rFonts w:ascii="宋体" w:hAnsi="宋体"/>
                <w:szCs w:val="21"/>
              </w:rPr>
            </w:pPr>
          </w:p>
        </w:tc>
        <w:tc>
          <w:tcPr>
            <w:tcW w:w="1132" w:type="dxa"/>
            <w:vAlign w:val="center"/>
          </w:tcPr>
          <w:p>
            <w:pPr>
              <w:spacing w:line="360" w:lineRule="auto"/>
              <w:jc w:val="center"/>
              <w:rPr>
                <w:rFonts w:ascii="宋体" w:hAnsi="宋体"/>
                <w:szCs w:val="21"/>
              </w:rPr>
            </w:pPr>
            <w:r>
              <w:rPr>
                <w:rFonts w:hint="eastAsia" w:ascii="宋体" w:hAnsi="宋体" w:cs="仿宋_GB2312"/>
                <w:szCs w:val="21"/>
              </w:rPr>
              <w:t>技术解决方案（</w:t>
            </w:r>
            <w:r>
              <w:rPr>
                <w:rFonts w:ascii="宋体" w:hAnsi="宋体" w:cs="仿宋_GB2312"/>
                <w:szCs w:val="21"/>
              </w:rPr>
              <w:t>14分）</w:t>
            </w:r>
          </w:p>
        </w:tc>
        <w:tc>
          <w:tcPr>
            <w:tcW w:w="6022" w:type="dxa"/>
            <w:vAlign w:val="center"/>
          </w:tcPr>
          <w:p>
            <w:pPr>
              <w:spacing w:line="360" w:lineRule="auto"/>
              <w:rPr>
                <w:rFonts w:ascii="宋体" w:hAnsi="宋体" w:cs="仿宋_GB2312"/>
                <w:szCs w:val="21"/>
              </w:rPr>
            </w:pPr>
            <w:r>
              <w:rPr>
                <w:rFonts w:hint="eastAsia" w:ascii="宋体" w:hAnsi="宋体" w:cs="仿宋_GB2312"/>
                <w:szCs w:val="21"/>
              </w:rPr>
              <w:t>考查、对比投标人调查方案的构思是否严谨、完整，调查方案是否合理、可行。</w:t>
            </w:r>
          </w:p>
          <w:p>
            <w:pPr>
              <w:spacing w:line="360" w:lineRule="auto"/>
              <w:rPr>
                <w:rFonts w:ascii="宋体" w:hAnsi="宋体"/>
                <w:szCs w:val="21"/>
              </w:rPr>
            </w:pPr>
            <w:r>
              <w:rPr>
                <w:rFonts w:hint="eastAsia" w:ascii="宋体" w:hAnsi="宋体" w:cs="仿宋_GB2312"/>
                <w:szCs w:val="21"/>
              </w:rPr>
              <w:t>优：</w:t>
            </w:r>
            <w:r>
              <w:rPr>
                <w:rFonts w:ascii="宋体" w:hAnsi="宋体" w:cs="仿宋_GB2312"/>
                <w:szCs w:val="21"/>
              </w:rPr>
              <w:t>14-11分，良：10-8分，中：7-5分，差：4-0分。</w:t>
            </w:r>
          </w:p>
        </w:tc>
        <w:tc>
          <w:tcPr>
            <w:tcW w:w="864" w:type="dxa"/>
            <w:vAlign w:val="center"/>
          </w:tcPr>
          <w:p>
            <w:pPr>
              <w:spacing w:line="360" w:lineRule="auto"/>
              <w:jc w:val="center"/>
              <w:rPr>
                <w:rFonts w:ascii="宋体" w:hAnsi="宋体"/>
                <w:szCs w:val="21"/>
              </w:rPr>
            </w:pPr>
            <w:r>
              <w:rPr>
                <w:rFonts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554" w:type="dxa"/>
            <w:vMerge w:val="continue"/>
            <w:vAlign w:val="center"/>
          </w:tcPr>
          <w:p>
            <w:pPr>
              <w:spacing w:line="320" w:lineRule="exact"/>
              <w:jc w:val="center"/>
              <w:rPr>
                <w:rFonts w:ascii="宋体" w:hAnsi="宋体"/>
                <w:szCs w:val="21"/>
              </w:rPr>
            </w:pPr>
          </w:p>
        </w:tc>
        <w:tc>
          <w:tcPr>
            <w:tcW w:w="1228" w:type="dxa"/>
            <w:vMerge w:val="continue"/>
            <w:vAlign w:val="center"/>
          </w:tcPr>
          <w:p>
            <w:pPr>
              <w:spacing w:line="360" w:lineRule="auto"/>
              <w:jc w:val="center"/>
              <w:rPr>
                <w:rFonts w:ascii="宋体" w:hAnsi="宋体"/>
                <w:szCs w:val="21"/>
              </w:rPr>
            </w:pPr>
          </w:p>
        </w:tc>
        <w:tc>
          <w:tcPr>
            <w:tcW w:w="1132" w:type="dxa"/>
            <w:vAlign w:val="center"/>
          </w:tcPr>
          <w:p>
            <w:pPr>
              <w:spacing w:line="360" w:lineRule="auto"/>
              <w:jc w:val="center"/>
              <w:rPr>
                <w:rFonts w:ascii="宋体" w:hAnsi="宋体"/>
                <w:szCs w:val="21"/>
              </w:rPr>
            </w:pPr>
            <w:r>
              <w:rPr>
                <w:rFonts w:hint="eastAsia" w:ascii="宋体" w:hAnsi="宋体" w:cs="仿宋_GB2312"/>
                <w:szCs w:val="21"/>
              </w:rPr>
              <w:t>成果质量保证措施（</w:t>
            </w:r>
            <w:r>
              <w:rPr>
                <w:rFonts w:ascii="宋体" w:hAnsi="宋体" w:cs="仿宋_GB2312"/>
                <w:szCs w:val="21"/>
              </w:rPr>
              <w:t>6分）</w:t>
            </w:r>
          </w:p>
        </w:tc>
        <w:tc>
          <w:tcPr>
            <w:tcW w:w="6022" w:type="dxa"/>
            <w:vAlign w:val="center"/>
          </w:tcPr>
          <w:p>
            <w:pPr>
              <w:spacing w:line="360" w:lineRule="auto"/>
              <w:rPr>
                <w:rFonts w:ascii="宋体" w:hAnsi="宋体" w:cs="仿宋_GB2312"/>
                <w:szCs w:val="21"/>
              </w:rPr>
            </w:pPr>
            <w:r>
              <w:rPr>
                <w:rFonts w:hint="eastAsia" w:ascii="宋体" w:hAnsi="宋体" w:cs="仿宋_GB2312"/>
                <w:szCs w:val="21"/>
              </w:rPr>
              <w:t>考查、对比投标人针对本项目是否具有完善的成果质量保证措施，质量保证措施是否具体。</w:t>
            </w:r>
          </w:p>
          <w:p>
            <w:pPr>
              <w:spacing w:line="360" w:lineRule="auto"/>
              <w:rPr>
                <w:rFonts w:ascii="宋体" w:hAnsi="宋体"/>
                <w:szCs w:val="21"/>
              </w:rPr>
            </w:pPr>
            <w:r>
              <w:rPr>
                <w:rFonts w:hint="eastAsia" w:ascii="宋体" w:hAnsi="宋体" w:cs="仿宋_GB2312"/>
                <w:szCs w:val="21"/>
              </w:rPr>
              <w:t>优：</w:t>
            </w:r>
            <w:r>
              <w:rPr>
                <w:rFonts w:ascii="宋体" w:hAnsi="宋体" w:cs="仿宋_GB2312"/>
                <w:szCs w:val="21"/>
              </w:rPr>
              <w:t>6-5分，良：4-3分，一般2-0分。</w:t>
            </w:r>
          </w:p>
        </w:tc>
        <w:tc>
          <w:tcPr>
            <w:tcW w:w="864" w:type="dxa"/>
            <w:vAlign w:val="center"/>
          </w:tcPr>
          <w:p>
            <w:pPr>
              <w:spacing w:line="360" w:lineRule="auto"/>
              <w:jc w:val="center"/>
              <w:rPr>
                <w:rFonts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8" w:hRule="atLeast"/>
          <w:jc w:val="center"/>
        </w:trPr>
        <w:tc>
          <w:tcPr>
            <w:tcW w:w="554" w:type="dxa"/>
            <w:vMerge w:val="continue"/>
            <w:vAlign w:val="center"/>
          </w:tcPr>
          <w:p>
            <w:pPr>
              <w:spacing w:line="320" w:lineRule="exact"/>
              <w:jc w:val="center"/>
              <w:rPr>
                <w:rFonts w:ascii="宋体" w:hAnsi="宋体"/>
                <w:szCs w:val="21"/>
              </w:rPr>
            </w:pPr>
          </w:p>
        </w:tc>
        <w:tc>
          <w:tcPr>
            <w:tcW w:w="2360" w:type="dxa"/>
            <w:gridSpan w:val="2"/>
            <w:vAlign w:val="center"/>
          </w:tcPr>
          <w:p>
            <w:pPr>
              <w:spacing w:line="360" w:lineRule="auto"/>
              <w:jc w:val="center"/>
              <w:rPr>
                <w:rFonts w:ascii="宋体" w:hAnsi="宋体"/>
                <w:szCs w:val="21"/>
              </w:rPr>
            </w:pPr>
            <w:r>
              <w:rPr>
                <w:rFonts w:hint="eastAsia" w:ascii="宋体" w:hAnsi="宋体" w:cs="仿宋_GB2312"/>
                <w:szCs w:val="21"/>
              </w:rPr>
              <w:t>对本项目开展的合理化建议（</w:t>
            </w:r>
            <w:r>
              <w:rPr>
                <w:rFonts w:ascii="宋体" w:hAnsi="宋体" w:cs="仿宋_GB2312"/>
                <w:szCs w:val="21"/>
              </w:rPr>
              <w:t>6分）</w:t>
            </w:r>
          </w:p>
        </w:tc>
        <w:tc>
          <w:tcPr>
            <w:tcW w:w="6022" w:type="dxa"/>
            <w:vAlign w:val="center"/>
          </w:tcPr>
          <w:p>
            <w:pPr>
              <w:spacing w:line="360" w:lineRule="auto"/>
              <w:rPr>
                <w:rFonts w:ascii="宋体" w:hAnsi="宋体" w:cs="仿宋_GB2312"/>
                <w:szCs w:val="21"/>
              </w:rPr>
            </w:pPr>
            <w:r>
              <w:rPr>
                <w:rFonts w:hint="eastAsia" w:ascii="宋体" w:hAnsi="宋体" w:cs="仿宋_GB2312"/>
                <w:szCs w:val="21"/>
              </w:rPr>
              <w:t>考查、对比投标人针对本项目开展的合理化建议是否具有针对性，是否合理恰当。</w:t>
            </w:r>
          </w:p>
          <w:p>
            <w:pPr>
              <w:spacing w:line="360" w:lineRule="auto"/>
              <w:rPr>
                <w:rFonts w:ascii="宋体" w:hAnsi="宋体"/>
                <w:szCs w:val="21"/>
              </w:rPr>
            </w:pPr>
            <w:r>
              <w:rPr>
                <w:rFonts w:hint="eastAsia" w:ascii="宋体" w:hAnsi="宋体" w:cs="仿宋_GB2312"/>
                <w:szCs w:val="21"/>
              </w:rPr>
              <w:t>优：</w:t>
            </w:r>
            <w:r>
              <w:rPr>
                <w:rFonts w:ascii="宋体" w:hAnsi="宋体" w:cs="仿宋_GB2312"/>
                <w:szCs w:val="21"/>
              </w:rPr>
              <w:t>6-5分，良：4-3分，一般2-0分。</w:t>
            </w:r>
          </w:p>
        </w:tc>
        <w:tc>
          <w:tcPr>
            <w:tcW w:w="864" w:type="dxa"/>
            <w:vAlign w:val="center"/>
          </w:tcPr>
          <w:p>
            <w:pPr>
              <w:spacing w:line="360" w:lineRule="auto"/>
              <w:jc w:val="center"/>
              <w:rPr>
                <w:rFonts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9800" w:type="dxa"/>
            <w:gridSpan w:val="5"/>
            <w:vAlign w:val="center"/>
          </w:tcPr>
          <w:p>
            <w:pPr>
              <w:spacing w:line="320" w:lineRule="exact"/>
              <w:jc w:val="center"/>
              <w:rPr>
                <w:rFonts w:ascii="宋体" w:hAnsi="宋体"/>
                <w:b/>
                <w:szCs w:val="21"/>
              </w:rPr>
            </w:pPr>
            <w:r>
              <w:rPr>
                <w:rFonts w:hint="eastAsia" w:ascii="宋体" w:hAnsi="宋体"/>
                <w:b/>
                <w:szCs w:val="21"/>
              </w:rPr>
              <w:t>投标价格（</w:t>
            </w:r>
            <w:r>
              <w:rPr>
                <w:rFonts w:ascii="宋体" w:hAnsi="宋体"/>
                <w:b/>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554" w:type="dxa"/>
            <w:vAlign w:val="center"/>
          </w:tcPr>
          <w:p>
            <w:pPr>
              <w:spacing w:line="320" w:lineRule="exact"/>
              <w:jc w:val="center"/>
              <w:rPr>
                <w:rFonts w:ascii="宋体" w:hAnsi="宋体"/>
                <w:szCs w:val="21"/>
              </w:rPr>
            </w:pPr>
            <w:r>
              <w:rPr>
                <w:rFonts w:ascii="宋体" w:hAnsi="宋体"/>
                <w:szCs w:val="21"/>
              </w:rPr>
              <w:t>8</w:t>
            </w:r>
          </w:p>
        </w:tc>
        <w:tc>
          <w:tcPr>
            <w:tcW w:w="2360" w:type="dxa"/>
            <w:gridSpan w:val="2"/>
            <w:vAlign w:val="center"/>
          </w:tcPr>
          <w:p>
            <w:pPr>
              <w:spacing w:line="320" w:lineRule="exact"/>
              <w:jc w:val="center"/>
              <w:rPr>
                <w:rFonts w:ascii="宋体" w:hAnsi="宋体"/>
                <w:b/>
                <w:szCs w:val="21"/>
              </w:rPr>
            </w:pPr>
            <w:r>
              <w:rPr>
                <w:rFonts w:hint="eastAsia" w:ascii="宋体" w:hAnsi="宋体"/>
                <w:b/>
                <w:szCs w:val="21"/>
              </w:rPr>
              <w:t>投标价格</w:t>
            </w:r>
          </w:p>
          <w:p>
            <w:pPr>
              <w:spacing w:line="320" w:lineRule="exact"/>
              <w:jc w:val="center"/>
              <w:rPr>
                <w:rFonts w:ascii="宋体" w:hAnsi="宋体"/>
                <w:b/>
                <w:szCs w:val="21"/>
              </w:rPr>
            </w:pPr>
            <w:r>
              <w:rPr>
                <w:rFonts w:ascii="宋体" w:hAnsi="宋体"/>
                <w:b/>
                <w:szCs w:val="21"/>
              </w:rPr>
              <w:t>10分</w:t>
            </w:r>
          </w:p>
        </w:tc>
        <w:tc>
          <w:tcPr>
            <w:tcW w:w="6022" w:type="dxa"/>
            <w:vAlign w:val="center"/>
          </w:tcPr>
          <w:p>
            <w:pPr>
              <w:spacing w:line="320" w:lineRule="exact"/>
              <w:rPr>
                <w:rFonts w:ascii="宋体" w:hAnsi="宋体"/>
                <w:szCs w:val="21"/>
              </w:rPr>
            </w:pPr>
            <w:r>
              <w:rPr>
                <w:rFonts w:hint="eastAsia" w:ascii="宋体" w:hAnsi="宋体"/>
                <w:szCs w:val="21"/>
              </w:rPr>
              <w:t>评标基准值</w:t>
            </w:r>
            <w:r>
              <w:rPr>
                <w:rFonts w:ascii="宋体" w:hAnsi="宋体"/>
                <w:szCs w:val="21"/>
              </w:rPr>
              <w:t>=有效投标人最低投标报价</w:t>
            </w:r>
          </w:p>
          <w:p>
            <w:pPr>
              <w:spacing w:line="320" w:lineRule="exact"/>
              <w:rPr>
                <w:rFonts w:ascii="宋体" w:hAnsi="宋体"/>
                <w:szCs w:val="21"/>
              </w:rPr>
            </w:pPr>
            <w:r>
              <w:rPr>
                <w:rFonts w:hint="eastAsia" w:ascii="宋体" w:hAnsi="宋体"/>
                <w:szCs w:val="21"/>
              </w:rPr>
              <w:t>价格得分</w:t>
            </w:r>
            <w:r>
              <w:rPr>
                <w:rFonts w:ascii="宋体" w:hAnsi="宋体"/>
                <w:szCs w:val="21"/>
              </w:rPr>
              <w:t>=评标基准值/投标报价*10分*100%</w:t>
            </w:r>
          </w:p>
        </w:tc>
        <w:tc>
          <w:tcPr>
            <w:tcW w:w="864" w:type="dxa"/>
            <w:vAlign w:val="center"/>
          </w:tcPr>
          <w:p>
            <w:pPr>
              <w:spacing w:line="320" w:lineRule="exact"/>
              <w:jc w:val="center"/>
              <w:rPr>
                <w:rFonts w:ascii="宋体" w:hAnsi="宋体"/>
                <w:szCs w:val="21"/>
              </w:rPr>
            </w:pPr>
            <w:r>
              <w:rPr>
                <w:rFonts w:ascii="宋体" w:hAnsi="宋体"/>
                <w:szCs w:val="21"/>
              </w:rPr>
              <w:t>10</w:t>
            </w:r>
          </w:p>
        </w:tc>
      </w:tr>
    </w:tbl>
    <w:p>
      <w:pPr>
        <w:spacing w:line="320" w:lineRule="exact"/>
        <w:rPr>
          <w:rFonts w:ascii="宋体" w:hAnsi="宋体" w:cs="宋体"/>
          <w:szCs w:val="21"/>
        </w:rPr>
      </w:pPr>
      <w:r>
        <w:rPr>
          <w:rFonts w:hint="eastAsia" w:ascii="宋体" w:hAnsi="宋体" w:cs="宋体"/>
          <w:szCs w:val="21"/>
        </w:rPr>
        <w:t>中标价格</w:t>
      </w:r>
      <w:r>
        <w:rPr>
          <w:rFonts w:ascii="宋体" w:hAnsi="宋体" w:cs="宋体"/>
          <w:szCs w:val="21"/>
        </w:rPr>
        <w:t xml:space="preserve">=投标人报价，由评标委员会根据评标结果，确定 1 </w:t>
      </w:r>
      <w:r>
        <w:rPr>
          <w:rFonts w:hint="eastAsia" w:ascii="宋体" w:hAnsi="宋体" w:cs="宋体"/>
          <w:szCs w:val="21"/>
        </w:rPr>
        <w:t>名中标人，并推荐二、三中标候选人。</w:t>
      </w:r>
    </w:p>
    <w:p>
      <w:pPr>
        <w:numPr>
          <w:ilvl w:val="0"/>
          <w:numId w:val="2"/>
        </w:numPr>
        <w:spacing w:line="360" w:lineRule="auto"/>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关于小微企业报价扣除比例说明</w:t>
      </w:r>
    </w:p>
    <w:p>
      <w:pPr>
        <w:spacing w:line="360" w:lineRule="auto"/>
        <w:rPr>
          <w:rFonts w:ascii="宋体" w:hAnsi="宋体" w:cs="宋体"/>
          <w:szCs w:val="21"/>
        </w:rPr>
      </w:pPr>
      <w:r>
        <w:rPr>
          <w:rFonts w:hint="eastAsia" w:ascii="宋体" w:hAnsi="宋体" w:cs="宋体"/>
          <w:szCs w:val="21"/>
        </w:rPr>
        <w:t>（一）关于小微企业：</w:t>
      </w:r>
    </w:p>
    <w:p>
      <w:pPr>
        <w:spacing w:line="360" w:lineRule="auto"/>
        <w:rPr>
          <w:rFonts w:ascii="宋体" w:hAnsi="宋体" w:cs="宋体"/>
          <w:szCs w:val="21"/>
        </w:rPr>
      </w:pPr>
      <w:r>
        <w:rPr>
          <w:rFonts w:hint="eastAsia" w:ascii="宋体" w:hAnsi="宋体" w:cs="宋体"/>
          <w:szCs w:val="21"/>
        </w:rPr>
        <w:t>按</w:t>
      </w:r>
      <w:r>
        <w:rPr>
          <w:rFonts w:ascii="宋体" w:hAnsi="宋体" w:cs="宋体"/>
          <w:szCs w:val="21"/>
        </w:rPr>
        <w:t>&lt;</w:t>
      </w:r>
      <w:r>
        <w:rPr>
          <w:rFonts w:hint="eastAsia" w:ascii="宋体" w:hAnsi="宋体" w:cs="宋体"/>
          <w:szCs w:val="21"/>
        </w:rPr>
        <w:t>关于印发《政府采购促进中小企业发展暂行办法》的通知</w:t>
      </w:r>
      <w:r>
        <w:rPr>
          <w:rFonts w:ascii="宋体" w:hAnsi="宋体" w:cs="宋体"/>
          <w:szCs w:val="21"/>
        </w:rPr>
        <w:t>&gt;</w:t>
      </w:r>
      <w:r>
        <w:rPr>
          <w:rFonts w:hint="eastAsia" w:ascii="宋体" w:hAnsi="宋体" w:cs="宋体"/>
          <w:szCs w:val="21"/>
        </w:rPr>
        <w:t>（财库〔</w:t>
      </w:r>
      <w:r>
        <w:rPr>
          <w:rFonts w:ascii="宋体" w:hAnsi="宋体" w:cs="宋体"/>
          <w:szCs w:val="21"/>
        </w:rPr>
        <w:t xml:space="preserve">2011〕181 </w:t>
      </w:r>
      <w:r>
        <w:rPr>
          <w:rFonts w:hint="eastAsia" w:ascii="宋体" w:hAnsi="宋体" w:cs="宋体"/>
          <w:szCs w:val="21"/>
        </w:rPr>
        <w:t>号）之规定，中小企业的标准为：</w:t>
      </w:r>
    </w:p>
    <w:p>
      <w:pPr>
        <w:spacing w:line="360" w:lineRule="auto"/>
        <w:rPr>
          <w:rFonts w:ascii="宋体" w:hAnsi="宋体" w:cs="宋体"/>
          <w:szCs w:val="21"/>
        </w:rPr>
      </w:pPr>
      <w:r>
        <w:rPr>
          <w:rFonts w:ascii="宋体" w:hAnsi="宋体" w:cs="宋体"/>
          <w:szCs w:val="21"/>
        </w:rPr>
        <w:t>1、提供本企业制造的货物、承担的工程或者服务，或者提供其他中小企业制造的货物，不包括提供或使用大型企业注册商标的货物。</w:t>
      </w:r>
    </w:p>
    <w:p>
      <w:pPr>
        <w:spacing w:line="360" w:lineRule="auto"/>
        <w:rPr>
          <w:rFonts w:ascii="宋体" w:hAnsi="宋体" w:cs="宋体"/>
          <w:szCs w:val="21"/>
        </w:rPr>
      </w:pPr>
      <w:r>
        <w:rPr>
          <w:rFonts w:ascii="宋体" w:hAnsi="宋体" w:cs="宋体"/>
          <w:szCs w:val="21"/>
        </w:rPr>
        <w:t xml:space="preserve">2、本规定所称中小企业划分标准按照《工业和信息化部、国家统计局、国家发展和改革委员会、财政部关于印发中小企业划型标准规定的通知》（工信部联企业〔2011〕300 </w:t>
      </w:r>
      <w:r>
        <w:rPr>
          <w:rFonts w:hint="eastAsia" w:ascii="宋体" w:hAnsi="宋体" w:cs="宋体"/>
          <w:szCs w:val="21"/>
        </w:rPr>
        <w:t>号）执行，须提供企业所在地的县级以上中小企业主管部门的证明文件。</w:t>
      </w:r>
    </w:p>
    <w:p>
      <w:pPr>
        <w:spacing w:line="360" w:lineRule="auto"/>
        <w:rPr>
          <w:rFonts w:ascii="宋体" w:hAnsi="宋体" w:cs="宋体"/>
          <w:szCs w:val="21"/>
        </w:rPr>
      </w:pPr>
      <w:r>
        <w:rPr>
          <w:rFonts w:ascii="宋体" w:hAnsi="宋体" w:cs="宋体"/>
          <w:szCs w:val="21"/>
        </w:rPr>
        <w:t>3、小型、微型企业提供有中型企业制造的货物的，视同为中型企业；小型、微型、中型企业提供有大型企业制造的货物的，视同为大型企业。</w:t>
      </w:r>
    </w:p>
    <w:p>
      <w:pPr>
        <w:spacing w:line="360" w:lineRule="auto"/>
        <w:rPr>
          <w:rFonts w:ascii="宋体" w:hAnsi="宋体" w:cs="宋体"/>
          <w:szCs w:val="21"/>
        </w:rPr>
      </w:pPr>
      <w:r>
        <w:rPr>
          <w:rFonts w:hint="eastAsia" w:ascii="宋体" w:hAnsi="宋体" w:cs="宋体"/>
          <w:szCs w:val="21"/>
        </w:rPr>
        <w:t>（二）、依照</w:t>
      </w:r>
      <w:r>
        <w:rPr>
          <w:rFonts w:ascii="宋体" w:hAnsi="宋体" w:cs="宋体"/>
          <w:szCs w:val="21"/>
        </w:rPr>
        <w:t>&lt;</w:t>
      </w:r>
      <w:r>
        <w:rPr>
          <w:rFonts w:hint="eastAsia" w:ascii="宋体" w:hAnsi="宋体" w:cs="宋体"/>
          <w:szCs w:val="21"/>
        </w:rPr>
        <w:t>财政部、司法部关于政府采购支持监狱企业发展有关问题的通知</w:t>
      </w:r>
      <w:r>
        <w:rPr>
          <w:rFonts w:ascii="宋体" w:hAnsi="宋体" w:cs="宋体"/>
          <w:szCs w:val="21"/>
        </w:rPr>
        <w:t>&gt;</w:t>
      </w:r>
      <w:r>
        <w:rPr>
          <w:rFonts w:hint="eastAsia" w:ascii="宋体" w:hAnsi="宋体" w:cs="宋体"/>
          <w:szCs w:val="21"/>
        </w:rPr>
        <w:t>（财库〔</w:t>
      </w:r>
      <w:r>
        <w:rPr>
          <w:rFonts w:ascii="宋体" w:hAnsi="宋体" w:cs="宋体"/>
          <w:szCs w:val="21"/>
        </w:rPr>
        <w:t xml:space="preserve">2014〕68 </w:t>
      </w:r>
      <w:r>
        <w:rPr>
          <w:rFonts w:hint="eastAsia" w:ascii="宋体" w:hAnsi="宋体" w:cs="宋体"/>
          <w:szCs w:val="21"/>
        </w:rPr>
        <w:t>号）之规定，监狱企业应当符合以下条件：</w:t>
      </w:r>
    </w:p>
    <w:p>
      <w:pPr>
        <w:spacing w:line="360" w:lineRule="auto"/>
        <w:rPr>
          <w:rFonts w:ascii="宋体" w:hAnsi="宋体" w:cs="宋体"/>
          <w:szCs w:val="21"/>
        </w:rPr>
      </w:pPr>
      <w:r>
        <w:rPr>
          <w:rFonts w:ascii="宋体" w:hAnsi="宋体" w:cs="宋体"/>
          <w:szCs w:val="21"/>
        </w:rPr>
        <w:t>1、监狱企业是指由司法部认定的为罪犯、戒毒人员提供生产项目和劳动对象，且全部产权属于司法部监狱管理局、戒毒管理局、直属煤矿管理局，各省、自治区、直辖市监狱管理局、戒毒管理局，各（设区的市）监狱、强制隔离戒毒所、戒毒康复所，以及新疆生产建设兵团监狱管理局、戒毒管理局的企业。</w:t>
      </w:r>
    </w:p>
    <w:p>
      <w:pPr>
        <w:spacing w:line="360" w:lineRule="auto"/>
        <w:rPr>
          <w:rFonts w:ascii="宋体" w:hAnsi="宋体" w:cs="宋体"/>
          <w:szCs w:val="21"/>
        </w:rPr>
      </w:pPr>
      <w:r>
        <w:rPr>
          <w:rFonts w:ascii="宋体" w:hAnsi="宋体" w:cs="宋体"/>
          <w:szCs w:val="21"/>
        </w:rPr>
        <w:t>2、监狱企业参加政府采购活动时，视同小型、微型企业，应当提供由省级以上监狱管理局、戒毒管理局（含新疆生产建设兵团）出具的属于监狱企业的证明文件。</w:t>
      </w:r>
    </w:p>
    <w:p>
      <w:pPr>
        <w:spacing w:line="360" w:lineRule="auto"/>
        <w:rPr>
          <w:rFonts w:ascii="宋体" w:hAnsi="宋体" w:cs="宋体"/>
          <w:szCs w:val="21"/>
        </w:rPr>
      </w:pPr>
      <w:r>
        <w:rPr>
          <w:rFonts w:hint="eastAsia" w:ascii="宋体" w:hAnsi="宋体" w:cs="宋体"/>
          <w:szCs w:val="21"/>
        </w:rPr>
        <w:t>（三）残疾人福利性单位，根据《财政部</w:t>
      </w:r>
      <w:r>
        <w:rPr>
          <w:rFonts w:ascii="宋体" w:hAnsi="宋体" w:cs="宋体"/>
          <w:szCs w:val="21"/>
        </w:rPr>
        <w:t xml:space="preserve"> </w:t>
      </w:r>
      <w:r>
        <w:rPr>
          <w:rFonts w:hint="eastAsia" w:ascii="宋体" w:hAnsi="宋体" w:cs="宋体"/>
          <w:szCs w:val="21"/>
        </w:rPr>
        <w:t>民政部</w:t>
      </w:r>
      <w:r>
        <w:rPr>
          <w:rFonts w:ascii="宋体" w:hAnsi="宋体" w:cs="宋体"/>
          <w:szCs w:val="21"/>
        </w:rPr>
        <w:t xml:space="preserve"> </w:t>
      </w:r>
      <w:r>
        <w:rPr>
          <w:rFonts w:hint="eastAsia" w:ascii="宋体" w:hAnsi="宋体" w:cs="宋体"/>
          <w:szCs w:val="21"/>
        </w:rPr>
        <w:t>中国残疾人联合会关于促进残疾人就业政府采购政策的通知》（财库〔</w:t>
      </w:r>
      <w:r>
        <w:rPr>
          <w:rFonts w:ascii="宋体" w:hAnsi="宋体" w:cs="宋体"/>
          <w:szCs w:val="21"/>
        </w:rPr>
        <w:t xml:space="preserve">2017〕 141 </w:t>
      </w:r>
      <w:r>
        <w:rPr>
          <w:rFonts w:hint="eastAsia" w:ascii="宋体" w:hAnsi="宋体" w:cs="宋体"/>
          <w:szCs w:val="21"/>
        </w:rPr>
        <w:t>号）的规定标准执行。</w:t>
      </w:r>
    </w:p>
    <w:p>
      <w:pPr>
        <w:spacing w:line="360" w:lineRule="auto"/>
        <w:rPr>
          <w:rFonts w:ascii="宋体" w:hAnsi="宋体" w:cs="宋体"/>
          <w:szCs w:val="21"/>
        </w:rPr>
      </w:pPr>
      <w:r>
        <w:rPr>
          <w:rFonts w:hint="eastAsia" w:ascii="宋体" w:hAnsi="宋体" w:cs="宋体"/>
          <w:szCs w:val="21"/>
        </w:rPr>
        <w:t>（四）具体投标报价扣除比例说明：</w:t>
      </w:r>
    </w:p>
    <w:p>
      <w:pPr>
        <w:spacing w:line="360" w:lineRule="auto"/>
        <w:rPr>
          <w:rFonts w:ascii="宋体" w:hAnsi="宋体" w:cs="宋体"/>
          <w:szCs w:val="21"/>
          <w:lang w:val="zh-CN"/>
        </w:rPr>
      </w:pPr>
      <w:r>
        <w:rPr>
          <w:rFonts w:ascii="宋体" w:hAnsi="宋体" w:cs="宋体"/>
          <w:szCs w:val="21"/>
        </w:rPr>
        <w:t>1、</w:t>
      </w:r>
      <w:r>
        <w:rPr>
          <w:rFonts w:hint="eastAsia" w:ascii="宋体" w:hAnsi="宋体" w:cs="宋体"/>
          <w:szCs w:val="21"/>
          <w:lang w:val="zh-CN"/>
        </w:rPr>
        <w:t>供应商为非联合体参与谈判的，对小型企业给予</w:t>
      </w:r>
      <w:r>
        <w:rPr>
          <w:rFonts w:ascii="宋体" w:hAnsi="宋体" w:cs="宋体"/>
          <w:szCs w:val="21"/>
          <w:lang w:val="zh-CN"/>
        </w:rPr>
        <w:t xml:space="preserve"> 6%的扣除， </w:t>
      </w:r>
      <w:r>
        <w:rPr>
          <w:rFonts w:hint="eastAsia" w:ascii="宋体" w:hAnsi="宋体" w:cs="宋体"/>
          <w:szCs w:val="21"/>
          <w:lang w:val="zh-CN"/>
        </w:rPr>
        <w:t>微型企业给予</w:t>
      </w:r>
      <w:r>
        <w:rPr>
          <w:rFonts w:ascii="宋体" w:hAnsi="宋体" w:cs="宋体"/>
          <w:szCs w:val="21"/>
          <w:lang w:val="zh-CN"/>
        </w:rPr>
        <w:t xml:space="preserve"> 8%的扣除</w:t>
      </w:r>
      <w:r>
        <w:rPr>
          <w:rFonts w:hint="eastAsia" w:ascii="宋体" w:hAnsi="宋体" w:cs="宋体"/>
          <w:szCs w:val="21"/>
          <w:lang w:val="zh-CN"/>
        </w:rPr>
        <w:t>，以扣除后的报价参与评审。</w:t>
      </w:r>
    </w:p>
    <w:p>
      <w:pPr>
        <w:spacing w:line="360" w:lineRule="auto"/>
        <w:rPr>
          <w:rFonts w:ascii="宋体" w:hAnsi="宋体" w:cs="宋体"/>
          <w:szCs w:val="21"/>
          <w:lang w:val="zh-CN"/>
        </w:rPr>
      </w:pPr>
      <w:r>
        <w:rPr>
          <w:rFonts w:ascii="宋体" w:hAnsi="宋体" w:cs="宋体"/>
          <w:szCs w:val="21"/>
        </w:rPr>
        <w:t>2、</w:t>
      </w:r>
      <w:r>
        <w:rPr>
          <w:rFonts w:hint="eastAsia" w:ascii="宋体" w:hAnsi="宋体" w:cs="宋体"/>
          <w:szCs w:val="21"/>
          <w:lang w:val="zh-CN"/>
        </w:rPr>
        <w:t>供应商为联合体参与谈判的，在联合协议中小型企业、微型企业的协议合同金额占到联合体协议合同总金额</w:t>
      </w:r>
      <w:r>
        <w:rPr>
          <w:rFonts w:ascii="宋体" w:hAnsi="宋体" w:cs="宋体"/>
          <w:szCs w:val="21"/>
          <w:lang w:val="zh-CN"/>
        </w:rPr>
        <w:t xml:space="preserve"> 30％以上的，与小型企业联合的可给予联合体 2%的报价扣除，与微型企业联合的可给予联合体 3%的报价扣除。</w:t>
      </w:r>
    </w:p>
    <w:p>
      <w:pPr>
        <w:spacing w:line="360" w:lineRule="auto"/>
        <w:rPr>
          <w:rFonts w:ascii="宋体" w:hAnsi="宋体" w:cs="宋体"/>
          <w:szCs w:val="21"/>
        </w:rPr>
        <w:sectPr>
          <w:footerReference r:id="rId6" w:type="default"/>
          <w:pgSz w:w="11911" w:h="16838"/>
          <w:pgMar w:top="1440" w:right="1421" w:bottom="1440" w:left="1417" w:header="888" w:footer="987" w:gutter="0"/>
          <w:cols w:equalWidth="0" w:num="1">
            <w:col w:w="9073"/>
          </w:cols>
        </w:sectPr>
      </w:pPr>
      <w:r>
        <w:rPr>
          <w:rFonts w:ascii="宋体" w:hAnsi="宋体" w:cs="宋体"/>
          <w:szCs w:val="21"/>
        </w:rPr>
        <w:t>3、</w:t>
      </w:r>
      <w:r>
        <w:rPr>
          <w:rFonts w:hint="eastAsia" w:ascii="宋体" w:hAnsi="宋体" w:cs="宋体"/>
          <w:szCs w:val="21"/>
          <w:lang w:val="zh-CN"/>
        </w:rPr>
        <w:t>监狱企业、残疾人福利性单位属于微型企业的，应提供企业所在地的县级以上中小企业主管部门的证明文件复印件和微型企业承诺书（详见第</w:t>
      </w:r>
      <w:r>
        <w:rPr>
          <w:rFonts w:hint="eastAsia" w:ascii="宋体" w:hAnsi="宋体" w:cs="宋体"/>
          <w:szCs w:val="21"/>
        </w:rPr>
        <w:t>五</w:t>
      </w:r>
      <w:r>
        <w:rPr>
          <w:rFonts w:hint="eastAsia" w:ascii="宋体" w:hAnsi="宋体" w:cs="宋体"/>
          <w:szCs w:val="21"/>
          <w:lang w:val="zh-CN"/>
        </w:rPr>
        <w:t>篇</w:t>
      </w:r>
      <w:r>
        <w:rPr>
          <w:rFonts w:ascii="宋体" w:hAnsi="宋体" w:cs="宋体"/>
          <w:szCs w:val="21"/>
          <w:lang w:val="zh-CN"/>
        </w:rPr>
        <w:t xml:space="preserve"> </w:t>
      </w:r>
      <w:r>
        <w:rPr>
          <w:rFonts w:hint="eastAsia" w:ascii="宋体" w:hAnsi="宋体" w:cs="宋体"/>
          <w:szCs w:val="21"/>
        </w:rPr>
        <w:t>附件</w:t>
      </w:r>
      <w:r>
        <w:rPr>
          <w:rFonts w:ascii="宋体" w:hAnsi="宋体" w:cs="宋体"/>
          <w:szCs w:val="21"/>
        </w:rPr>
        <w:t xml:space="preserve">7 </w:t>
      </w:r>
      <w:r>
        <w:rPr>
          <w:rFonts w:hint="eastAsia" w:ascii="宋体" w:hAnsi="宋体" w:cs="宋体"/>
          <w:szCs w:val="21"/>
          <w:lang w:val="zh-CN"/>
        </w:rPr>
        <w:t>其他“</w:t>
      </w:r>
      <w:r>
        <w:rPr>
          <w:rFonts w:hint="eastAsia" w:ascii="宋体" w:hAnsi="宋体" w:cs="宋体"/>
          <w:szCs w:val="21"/>
        </w:rPr>
        <w:t>中小</w:t>
      </w:r>
      <w:r>
        <w:rPr>
          <w:rFonts w:hint="eastAsia" w:ascii="宋体" w:hAnsi="宋体" w:cs="宋体"/>
          <w:szCs w:val="21"/>
          <w:lang w:val="zh-CN"/>
        </w:rPr>
        <w:t>微型企业承诺书”）。未提供以上资料的监狱企业、残疾人福利性单位视同小型企业</w:t>
      </w:r>
    </w:p>
    <w:p>
      <w:pPr>
        <w:pStyle w:val="7"/>
        <w:spacing w:before="140" w:line="360" w:lineRule="auto"/>
        <w:rPr>
          <w:rFonts w:asciiTheme="majorEastAsia" w:hAnsiTheme="majorEastAsia" w:eastAsiaTheme="majorEastAsia" w:cstheme="majorEastAsia"/>
          <w:sz w:val="21"/>
          <w:szCs w:val="21"/>
          <w:lang w:val="en-US" w:bidi="ar-SA"/>
        </w:rPr>
      </w:pPr>
    </w:p>
    <w:p>
      <w:pPr>
        <w:pStyle w:val="2"/>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第四章　政府采购合同</w:t>
      </w:r>
    </w:p>
    <w:p>
      <w:pPr>
        <w:pStyle w:val="8"/>
        <w:spacing w:line="360" w:lineRule="auto"/>
        <w:ind w:firstLine="420" w:firstLineChars="200"/>
        <w:rPr>
          <w:rFonts w:asciiTheme="majorEastAsia" w:hAnsiTheme="majorEastAsia" w:eastAsiaTheme="majorEastAsia" w:cstheme="majorEastAsia"/>
        </w:rPr>
      </w:pPr>
    </w:p>
    <w:p>
      <w:pPr>
        <w:pStyle w:val="8"/>
        <w:spacing w:line="480" w:lineRule="auto"/>
        <w:ind w:firstLine="420" w:firstLineChars="200"/>
        <w:rPr>
          <w:rFonts w:asciiTheme="majorEastAsia" w:hAnsiTheme="majorEastAsia" w:eastAsiaTheme="majorEastAsia" w:cstheme="majorEastAsia"/>
        </w:rPr>
      </w:pPr>
    </w:p>
    <w:p>
      <w:pPr>
        <w:pStyle w:val="8"/>
        <w:spacing w:line="480" w:lineRule="auto"/>
        <w:ind w:firstLine="422" w:firstLineChars="200"/>
        <w:jc w:val="center"/>
        <w:rPr>
          <w:rFonts w:asciiTheme="majorEastAsia" w:hAnsiTheme="majorEastAsia" w:eastAsiaTheme="majorEastAsia" w:cstheme="majorEastAsia"/>
          <w:b/>
          <w:bCs/>
        </w:rPr>
      </w:pPr>
      <w:r>
        <w:rPr>
          <w:rFonts w:hint="eastAsia" w:asciiTheme="majorEastAsia" w:hAnsiTheme="majorEastAsia" w:eastAsiaTheme="majorEastAsia" w:cstheme="majorEastAsia"/>
          <w:b/>
          <w:bCs/>
        </w:rPr>
        <w:t>（本合同为样本，仅供甲乙双方参考，具体以双方签订的合同为准</w:t>
      </w:r>
      <w:r>
        <w:rPr>
          <w:rFonts w:asciiTheme="majorEastAsia" w:hAnsiTheme="majorEastAsia" w:eastAsiaTheme="majorEastAsia" w:cstheme="majorEastAsia"/>
          <w:b/>
          <w:bCs/>
        </w:rPr>
        <w:t>)</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jc w:val="center"/>
        <w:rPr>
          <w:rFonts w:asciiTheme="majorEastAsia" w:hAnsiTheme="majorEastAsia" w:eastAsiaTheme="majorEastAsia" w:cstheme="majorEastAsia"/>
        </w:rPr>
      </w:pPr>
      <w:r>
        <w:rPr>
          <w:rFonts w:asciiTheme="majorEastAsia" w:hAnsiTheme="majorEastAsia" w:eastAsiaTheme="majorEastAsia" w:cstheme="majorEastAsia"/>
        </w:rPr>
        <w:t>______________项目</w:t>
      </w:r>
    </w:p>
    <w:p>
      <w:pPr>
        <w:pStyle w:val="8"/>
        <w:spacing w:line="360" w:lineRule="auto"/>
        <w:ind w:firstLine="420" w:firstLineChars="200"/>
        <w:jc w:val="center"/>
        <w:rPr>
          <w:rFonts w:asciiTheme="majorEastAsia" w:hAnsiTheme="majorEastAsia" w:eastAsiaTheme="majorEastAsia" w:cstheme="majorEastAsia"/>
        </w:rPr>
      </w:pPr>
    </w:p>
    <w:p>
      <w:pPr>
        <w:pStyle w:val="8"/>
        <w:spacing w:line="360" w:lineRule="auto"/>
        <w:ind w:firstLine="420" w:firstLineChars="200"/>
        <w:jc w:val="center"/>
        <w:rPr>
          <w:rFonts w:asciiTheme="majorEastAsia" w:hAnsiTheme="majorEastAsia" w:eastAsiaTheme="majorEastAsia" w:cstheme="majorEastAsia"/>
        </w:rPr>
      </w:pPr>
    </w:p>
    <w:p>
      <w:pPr>
        <w:pStyle w:val="8"/>
        <w:spacing w:line="360" w:lineRule="auto"/>
        <w:ind w:firstLine="420" w:firstLineChars="200"/>
        <w:jc w:val="center"/>
        <w:rPr>
          <w:rFonts w:asciiTheme="majorEastAsia" w:hAnsiTheme="majorEastAsia" w:eastAsiaTheme="majorEastAsia" w:cstheme="majorEastAsia"/>
        </w:rPr>
      </w:pPr>
    </w:p>
    <w:p>
      <w:pPr>
        <w:pStyle w:val="8"/>
        <w:spacing w:line="360" w:lineRule="auto"/>
        <w:ind w:firstLine="420" w:firstLineChars="200"/>
        <w:jc w:val="center"/>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2"/>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合　　同</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2551" w:firstLineChars="1215"/>
        <w:rPr>
          <w:rFonts w:asciiTheme="majorEastAsia" w:hAnsiTheme="majorEastAsia" w:eastAsiaTheme="majorEastAsia" w:cstheme="majorEastAsia"/>
        </w:rPr>
      </w:pPr>
      <w:r>
        <w:rPr>
          <w:rFonts w:hint="eastAsia" w:asciiTheme="majorEastAsia" w:hAnsiTheme="majorEastAsia" w:eastAsiaTheme="majorEastAsia" w:cstheme="majorEastAsia"/>
        </w:rPr>
        <w:t>合同编号：</w:t>
      </w:r>
      <w:r>
        <w:rPr>
          <w:rFonts w:asciiTheme="majorEastAsia" w:hAnsiTheme="majorEastAsia" w:eastAsiaTheme="majorEastAsia" w:cstheme="majorEastAsia"/>
        </w:rPr>
        <w:t>________________</w:t>
      </w:r>
    </w:p>
    <w:p>
      <w:pPr>
        <w:pStyle w:val="8"/>
        <w:spacing w:line="360" w:lineRule="auto"/>
        <w:ind w:firstLine="2551" w:firstLineChars="1215"/>
        <w:rPr>
          <w:rFonts w:asciiTheme="majorEastAsia" w:hAnsiTheme="majorEastAsia" w:eastAsiaTheme="majorEastAsia" w:cstheme="majorEastAsia"/>
        </w:rPr>
      </w:pPr>
    </w:p>
    <w:p>
      <w:pPr>
        <w:pStyle w:val="8"/>
        <w:spacing w:line="360" w:lineRule="auto"/>
        <w:ind w:firstLine="2551" w:firstLineChars="1215"/>
        <w:rPr>
          <w:rFonts w:asciiTheme="majorEastAsia" w:hAnsiTheme="majorEastAsia" w:eastAsiaTheme="majorEastAsia" w:cstheme="majorEastAsia"/>
        </w:rPr>
      </w:pPr>
      <w:r>
        <w:rPr>
          <w:rFonts w:hint="eastAsia" w:asciiTheme="majorEastAsia" w:hAnsiTheme="majorEastAsia" w:eastAsiaTheme="majorEastAsia" w:cstheme="majorEastAsia"/>
        </w:rPr>
        <w:t>甲　　方：</w:t>
      </w:r>
      <w:r>
        <w:rPr>
          <w:rFonts w:asciiTheme="majorEastAsia" w:hAnsiTheme="majorEastAsia" w:eastAsiaTheme="majorEastAsia" w:cstheme="majorEastAsia"/>
        </w:rPr>
        <w:t>________________(采购人名称)</w:t>
      </w:r>
    </w:p>
    <w:p>
      <w:pPr>
        <w:pStyle w:val="8"/>
        <w:spacing w:line="360" w:lineRule="auto"/>
        <w:ind w:firstLine="2551" w:firstLineChars="1215"/>
        <w:rPr>
          <w:rFonts w:asciiTheme="majorEastAsia" w:hAnsiTheme="majorEastAsia" w:eastAsiaTheme="majorEastAsia" w:cstheme="majorEastAsia"/>
        </w:rPr>
      </w:pPr>
    </w:p>
    <w:p>
      <w:pPr>
        <w:pStyle w:val="8"/>
        <w:spacing w:line="360" w:lineRule="auto"/>
        <w:ind w:firstLine="2551" w:firstLineChars="1215"/>
        <w:rPr>
          <w:rFonts w:asciiTheme="majorEastAsia" w:hAnsiTheme="majorEastAsia" w:eastAsiaTheme="majorEastAsia" w:cstheme="majorEastAsia"/>
        </w:rPr>
      </w:pPr>
      <w:r>
        <w:rPr>
          <w:rFonts w:hint="eastAsia" w:asciiTheme="majorEastAsia" w:hAnsiTheme="majorEastAsia" w:eastAsiaTheme="majorEastAsia" w:cstheme="majorEastAsia"/>
        </w:rPr>
        <w:t>乙　　方：</w:t>
      </w:r>
      <w:r>
        <w:rPr>
          <w:rFonts w:asciiTheme="majorEastAsia" w:hAnsiTheme="majorEastAsia" w:eastAsiaTheme="majorEastAsia" w:cstheme="majorEastAsia"/>
        </w:rPr>
        <w:t>________________(中标供应商名称)</w:t>
      </w:r>
    </w:p>
    <w:p>
      <w:pPr>
        <w:pStyle w:val="8"/>
        <w:spacing w:line="360" w:lineRule="auto"/>
        <w:ind w:firstLine="2551" w:firstLineChars="1215"/>
        <w:rPr>
          <w:rFonts w:asciiTheme="majorEastAsia" w:hAnsiTheme="majorEastAsia" w:eastAsiaTheme="majorEastAsia" w:cstheme="majorEastAsia"/>
        </w:rPr>
      </w:pPr>
    </w:p>
    <w:p>
      <w:pPr>
        <w:pStyle w:val="8"/>
        <w:spacing w:line="360" w:lineRule="auto"/>
        <w:ind w:firstLine="2551" w:firstLineChars="1215"/>
        <w:rPr>
          <w:rFonts w:asciiTheme="majorEastAsia" w:hAnsiTheme="majorEastAsia" w:eastAsiaTheme="majorEastAsia" w:cstheme="majorEastAsia"/>
        </w:rPr>
      </w:pPr>
      <w:r>
        <w:rPr>
          <w:rFonts w:hint="eastAsia" w:asciiTheme="majorEastAsia" w:hAnsiTheme="majorEastAsia" w:eastAsiaTheme="majorEastAsia" w:cstheme="majorEastAsia"/>
        </w:rPr>
        <w:t>日　　期：</w:t>
      </w:r>
      <w:r>
        <w:rPr>
          <w:rFonts w:asciiTheme="majorEastAsia" w:hAnsiTheme="majorEastAsia" w:eastAsiaTheme="majorEastAsia" w:cstheme="majorEastAsia"/>
        </w:rPr>
        <w:t>______年______月______日</w:t>
      </w:r>
    </w:p>
    <w:p>
      <w:pPr>
        <w:pStyle w:val="8"/>
        <w:spacing w:line="360" w:lineRule="auto"/>
        <w:ind w:right="250" w:rightChars="119" w:firstLine="420" w:firstLineChars="200"/>
        <w:rPr>
          <w:rFonts w:asciiTheme="majorEastAsia" w:hAnsiTheme="majorEastAsia" w:eastAsiaTheme="majorEastAsia" w:cstheme="majorEastAsia"/>
        </w:rPr>
      </w:pPr>
      <w:r>
        <w:rPr>
          <w:rFonts w:asciiTheme="majorEastAsia" w:hAnsiTheme="majorEastAsia" w:eastAsiaTheme="majorEastAsia" w:cstheme="majorEastAsia"/>
        </w:rPr>
        <w:br w:type="page"/>
      </w:r>
      <w:r>
        <w:rPr>
          <w:rFonts w:hint="eastAsia" w:asciiTheme="majorEastAsia" w:hAnsiTheme="majorEastAsia" w:eastAsiaTheme="majorEastAsia" w:cstheme="majorEastAsia"/>
        </w:rPr>
        <w:t>　　</w:t>
      </w:r>
      <w:r>
        <w:rPr>
          <w:rFonts w:asciiTheme="majorEastAsia" w:hAnsiTheme="majorEastAsia" w:eastAsiaTheme="majorEastAsia" w:cstheme="majorEastAsia"/>
        </w:rPr>
        <w:t>________(采购人名称)(以下简称：“甲方”)通过____采购(采购方式)确定____(中标供应商名称)(以下简称：“乙方”)为____项目(项目名称)的____供应商。甲乙双方同意签署《____项目(项目名称)合同》(合同编号：____，以下简称：“合同”)。</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1.合同文件</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下列文件是构成本合同不可分割的部分：</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(1)合同条款；</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(2)报价表；</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(3)投标文件技术部分；</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(4)其他(根据实际情况需要增加的内容)。</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2.合同范围和条件</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本合同的范围和条件应与上述合同文件的规定相一致。</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3.采购内容及数量</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根据实际情况填写</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4.合同总金额</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本合同总金额为人民币</w:t>
      </w:r>
      <w:r>
        <w:rPr>
          <w:rFonts w:asciiTheme="majorEastAsia" w:hAnsiTheme="majorEastAsia" w:eastAsiaTheme="majorEastAsia" w:cstheme="majorEastAsia"/>
        </w:rPr>
        <w:t>______元(￥______)。</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5.服务时间及地点</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5.1　服务时间</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5.2　服务地点</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6.履约保证金</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根据实际情况填写。</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7.付款方式</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根据实际情况填写。</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8.合同有效期</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根据实际情况填写。</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9.合同纠纷的解决方式</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首先通过双方协商解决，协商解决不成，则通过以下途径之一解决纠纷</w:t>
      </w:r>
      <w:r>
        <w:rPr>
          <w:rFonts w:asciiTheme="majorEastAsia" w:hAnsiTheme="majorEastAsia" w:eastAsiaTheme="majorEastAsia" w:cstheme="majorEastAsia"/>
        </w:rPr>
        <w:t>(请在方框内画“√”选择)：</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asciiTheme="majorEastAsia" w:hAnsiTheme="majorEastAsia" w:eastAsiaTheme="majorEastAsia" w:cstheme="majorEastAsia"/>
        </w:rPr>
        <w:t xml:space="preserve"> </w:t>
      </w:r>
      <w:r>
        <w:rPr>
          <w:rFonts w:hint="eastAsia" w:asciiTheme="majorEastAsia" w:hAnsiTheme="majorEastAsia" w:eastAsiaTheme="majorEastAsia" w:cstheme="majorEastAsia"/>
        </w:rPr>
        <w:t>提请仲裁委员会</w:t>
      </w:r>
      <w:r>
        <w:rPr>
          <w:rFonts w:asciiTheme="majorEastAsia" w:hAnsiTheme="majorEastAsia" w:eastAsiaTheme="majorEastAsia" w:cstheme="majorEastAsia"/>
        </w:rPr>
        <w:t>(根据实际情况填写)仲裁</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w:t>
      </w:r>
      <w:r>
        <w:rPr>
          <w:rFonts w:asciiTheme="majorEastAsia" w:hAnsiTheme="majorEastAsia" w:eastAsiaTheme="majorEastAsia" w:cstheme="majorEastAsia"/>
        </w:rPr>
        <w:t xml:space="preserve"> </w:t>
      </w:r>
      <w:r>
        <w:rPr>
          <w:rFonts w:hint="eastAsia" w:asciiTheme="majorEastAsia" w:hAnsiTheme="majorEastAsia" w:eastAsiaTheme="majorEastAsia" w:cstheme="majorEastAsia"/>
        </w:rPr>
        <w:t>向人民法院提起诉讼</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10.合同生效</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本合同一式</w:t>
      </w:r>
      <w:r>
        <w:rPr>
          <w:rFonts w:asciiTheme="majorEastAsia" w:hAnsiTheme="majorEastAsia" w:eastAsiaTheme="majorEastAsia" w:cstheme="majorEastAsia"/>
        </w:rPr>
        <w:t>______份，经甲乙双方法定代表人或被授权代表签字盖章，并在甲方收到乙方提交的履约保证金后生效。</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甲方：</w:t>
      </w:r>
      <w:r>
        <w:rPr>
          <w:rFonts w:asciiTheme="majorEastAsia" w:hAnsiTheme="majorEastAsia" w:eastAsiaTheme="majorEastAsia" w:cstheme="majorEastAsia"/>
        </w:rPr>
        <w:t>(采购人名称)乙方：(中标供应商名称)</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签字：</w:t>
      </w:r>
      <w:r>
        <w:rPr>
          <w:rFonts w:asciiTheme="majorEastAsia" w:hAnsiTheme="majorEastAsia" w:eastAsiaTheme="majorEastAsia" w:cstheme="majorEastAsia"/>
        </w:rPr>
        <w:t xml:space="preserve">__________________  </w:t>
      </w:r>
      <w:r>
        <w:rPr>
          <w:rFonts w:hint="eastAsia" w:asciiTheme="majorEastAsia" w:hAnsiTheme="majorEastAsia" w:eastAsiaTheme="majorEastAsia" w:cstheme="majorEastAsia"/>
        </w:rPr>
        <w:t>　　　　　　　　签字：</w:t>
      </w:r>
      <w:r>
        <w:rPr>
          <w:rFonts w:asciiTheme="majorEastAsia" w:hAnsiTheme="majorEastAsia" w:eastAsiaTheme="majorEastAsia" w:cstheme="majorEastAsia"/>
        </w:rPr>
        <w:t>__________________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盖章：</w:t>
      </w:r>
      <w:r>
        <w:rPr>
          <w:rFonts w:asciiTheme="majorEastAsia" w:hAnsiTheme="majorEastAsia" w:eastAsiaTheme="majorEastAsia" w:cstheme="majorEastAsia"/>
        </w:rPr>
        <w:t xml:space="preserve">__________________  </w:t>
      </w:r>
      <w:r>
        <w:rPr>
          <w:rFonts w:hint="eastAsia" w:asciiTheme="majorEastAsia" w:hAnsiTheme="majorEastAsia" w:eastAsiaTheme="majorEastAsia" w:cstheme="majorEastAsia"/>
        </w:rPr>
        <w:t>　　　　　　　　盖章：</w:t>
      </w:r>
      <w:r>
        <w:rPr>
          <w:rFonts w:asciiTheme="majorEastAsia" w:hAnsiTheme="majorEastAsia" w:eastAsiaTheme="majorEastAsia" w:cstheme="majorEastAsia"/>
        </w:rPr>
        <w:t>__________________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日期：</w:t>
      </w:r>
      <w:r>
        <w:rPr>
          <w:rFonts w:asciiTheme="majorEastAsia" w:hAnsiTheme="majorEastAsia" w:eastAsiaTheme="majorEastAsia" w:cstheme="majorEastAsia"/>
        </w:rPr>
        <w:t xml:space="preserve">____年____月____日 </w:t>
      </w:r>
      <w:r>
        <w:rPr>
          <w:rFonts w:hint="eastAsia" w:asciiTheme="majorEastAsia" w:hAnsiTheme="majorEastAsia" w:eastAsiaTheme="majorEastAsia" w:cstheme="majorEastAsia"/>
        </w:rPr>
        <w:t>　　　　　　　　</w:t>
      </w:r>
      <w:r>
        <w:rPr>
          <w:rFonts w:asciiTheme="majorEastAsia" w:hAnsiTheme="majorEastAsia" w:eastAsiaTheme="majorEastAsia" w:cstheme="majorEastAsia"/>
        </w:rPr>
        <w:t xml:space="preserve"> </w:t>
      </w:r>
      <w:r>
        <w:rPr>
          <w:rFonts w:hint="eastAsia" w:asciiTheme="majorEastAsia" w:hAnsiTheme="majorEastAsia" w:eastAsiaTheme="majorEastAsia" w:cstheme="majorEastAsia"/>
        </w:rPr>
        <w:t>日期：</w:t>
      </w:r>
      <w:r>
        <w:rPr>
          <w:rFonts w:asciiTheme="majorEastAsia" w:hAnsiTheme="majorEastAsia" w:eastAsiaTheme="majorEastAsia" w:cstheme="majorEastAsia"/>
        </w:rPr>
        <w:t>____年____月____日</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2520" w:firstLineChars="1200"/>
        <w:rPr>
          <w:rFonts w:asciiTheme="majorEastAsia" w:hAnsiTheme="majorEastAsia" w:eastAsiaTheme="majorEastAsia" w:cstheme="majorEastAsia"/>
        </w:rPr>
      </w:pPr>
      <w:r>
        <w:rPr>
          <w:rFonts w:hint="eastAsia" w:asciiTheme="majorEastAsia" w:hAnsiTheme="majorEastAsia" w:eastAsiaTheme="majorEastAsia" w:cstheme="majorEastAsia"/>
        </w:rPr>
        <w:t>招标代理机构：海南中穗项目管理有限公司</w:t>
      </w:r>
    </w:p>
    <w:p>
      <w:pPr>
        <w:pStyle w:val="8"/>
        <w:spacing w:line="360" w:lineRule="auto"/>
        <w:ind w:firstLine="420" w:firstLineChars="200"/>
        <w:jc w:val="center"/>
        <w:rPr>
          <w:rFonts w:asciiTheme="majorEastAsia" w:hAnsiTheme="majorEastAsia" w:eastAsiaTheme="majorEastAsia" w:cstheme="majorEastAsia"/>
          <w:b/>
        </w:rPr>
      </w:pPr>
      <w:r>
        <w:rPr>
          <w:rFonts w:hint="eastAsia" w:asciiTheme="majorEastAsia" w:hAnsiTheme="majorEastAsia" w:eastAsiaTheme="majorEastAsia" w:cstheme="majorEastAsia"/>
        </w:rPr>
        <w:t>日期：</w:t>
      </w:r>
      <w:r>
        <w:rPr>
          <w:rFonts w:asciiTheme="majorEastAsia" w:hAnsiTheme="majorEastAsia" w:eastAsiaTheme="majorEastAsia" w:cstheme="majorEastAsia"/>
          <w:b/>
        </w:rPr>
        <w:br w:type="page"/>
      </w:r>
      <w:r>
        <w:rPr>
          <w:rFonts w:hint="eastAsia" w:asciiTheme="majorEastAsia" w:hAnsiTheme="majorEastAsia" w:eastAsiaTheme="majorEastAsia" w:cstheme="majorEastAsia"/>
          <w:b/>
        </w:rPr>
        <w:t>合同前附表</w:t>
      </w:r>
    </w:p>
    <w:p>
      <w:pPr>
        <w:pStyle w:val="8"/>
        <w:spacing w:line="360" w:lineRule="auto"/>
        <w:ind w:firstLine="420" w:firstLineChars="200"/>
        <w:rPr>
          <w:rFonts w:asciiTheme="majorEastAsia" w:hAnsiTheme="majorEastAsia" w:eastAsiaTheme="majorEastAsia" w:cstheme="majorEastAsia"/>
        </w:rPr>
      </w:pPr>
    </w:p>
    <w:tbl>
      <w:tblPr>
        <w:tblStyle w:val="14"/>
        <w:tblW w:w="86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序号</w:t>
            </w:r>
          </w:p>
        </w:tc>
        <w:tc>
          <w:tcPr>
            <w:tcW w:w="7232"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384" w:type="dxa"/>
            <w:vAlign w:val="center"/>
          </w:tcPr>
          <w:p>
            <w:pPr>
              <w:pStyle w:val="8"/>
              <w:spacing w:line="360" w:lineRule="auto"/>
              <w:jc w:val="center"/>
              <w:rPr>
                <w:rFonts w:asciiTheme="majorEastAsia" w:hAnsiTheme="majorEastAsia" w:eastAsiaTheme="majorEastAsia" w:cstheme="majorEastAsia"/>
              </w:rPr>
            </w:pPr>
            <w:r>
              <w:rPr>
                <w:rFonts w:asciiTheme="majorEastAsia" w:hAnsiTheme="majorEastAsia" w:eastAsiaTheme="majorEastAsia" w:cstheme="majorEastAsia"/>
              </w:rPr>
              <w:t>1</w:t>
            </w:r>
          </w:p>
        </w:tc>
        <w:tc>
          <w:tcPr>
            <w:tcW w:w="723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合同名称：</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restart"/>
            <w:vAlign w:val="center"/>
          </w:tcPr>
          <w:p>
            <w:pPr>
              <w:pStyle w:val="8"/>
              <w:spacing w:line="360" w:lineRule="auto"/>
              <w:jc w:val="center"/>
              <w:rPr>
                <w:rFonts w:asciiTheme="majorEastAsia" w:hAnsiTheme="majorEastAsia" w:eastAsiaTheme="majorEastAsia" w:cstheme="majorEastAsia"/>
              </w:rPr>
            </w:pPr>
            <w:r>
              <w:rPr>
                <w:rFonts w:asciiTheme="majorEastAsia" w:hAnsiTheme="majorEastAsia" w:eastAsiaTheme="majorEastAsia" w:cstheme="majorEastAsia"/>
              </w:rPr>
              <w:t>2</w:t>
            </w:r>
          </w:p>
        </w:tc>
        <w:tc>
          <w:tcPr>
            <w:tcW w:w="723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甲方名称：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vAlign w:val="center"/>
          </w:tcPr>
          <w:p>
            <w:pPr>
              <w:pStyle w:val="8"/>
              <w:spacing w:line="360" w:lineRule="auto"/>
              <w:jc w:val="center"/>
              <w:rPr>
                <w:rFonts w:asciiTheme="majorEastAsia" w:hAnsiTheme="majorEastAsia" w:eastAsiaTheme="majorEastAsia" w:cstheme="majorEastAsia"/>
              </w:rPr>
            </w:pPr>
          </w:p>
        </w:tc>
        <w:tc>
          <w:tcPr>
            <w:tcW w:w="723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甲方地址：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vAlign w:val="center"/>
          </w:tcPr>
          <w:p>
            <w:pPr>
              <w:pStyle w:val="8"/>
              <w:spacing w:line="360" w:lineRule="auto"/>
              <w:jc w:val="center"/>
              <w:rPr>
                <w:rFonts w:asciiTheme="majorEastAsia" w:hAnsiTheme="majorEastAsia" w:eastAsiaTheme="majorEastAsia" w:cstheme="majorEastAsia"/>
              </w:rPr>
            </w:pPr>
          </w:p>
        </w:tc>
        <w:tc>
          <w:tcPr>
            <w:tcW w:w="723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甲方联系人：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vAlign w:val="center"/>
          </w:tcPr>
          <w:p>
            <w:pPr>
              <w:pStyle w:val="8"/>
              <w:spacing w:line="360" w:lineRule="auto"/>
              <w:jc w:val="center"/>
              <w:rPr>
                <w:rFonts w:asciiTheme="majorEastAsia" w:hAnsiTheme="majorEastAsia" w:eastAsiaTheme="majorEastAsia" w:cstheme="majorEastAsia"/>
              </w:rPr>
            </w:pPr>
          </w:p>
        </w:tc>
        <w:tc>
          <w:tcPr>
            <w:tcW w:w="7232" w:type="dxa"/>
            <w:vAlign w:val="center"/>
          </w:tcPr>
          <w:p>
            <w:pPr>
              <w:pStyle w:val="8"/>
              <w:spacing w:line="360" w:lineRule="auto"/>
              <w:jc w:val="left"/>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restart"/>
            <w:vAlign w:val="center"/>
          </w:tcPr>
          <w:p>
            <w:pPr>
              <w:pStyle w:val="8"/>
              <w:spacing w:line="360" w:lineRule="auto"/>
              <w:jc w:val="center"/>
              <w:rPr>
                <w:rFonts w:asciiTheme="majorEastAsia" w:hAnsiTheme="majorEastAsia" w:eastAsiaTheme="majorEastAsia" w:cstheme="majorEastAsia"/>
              </w:rPr>
            </w:pPr>
            <w:r>
              <w:rPr>
                <w:rFonts w:asciiTheme="majorEastAsia" w:hAnsiTheme="majorEastAsia" w:eastAsiaTheme="majorEastAsia" w:cstheme="majorEastAsia"/>
              </w:rPr>
              <w:t>3</w:t>
            </w:r>
          </w:p>
        </w:tc>
        <w:tc>
          <w:tcPr>
            <w:tcW w:w="723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乙方名称：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vAlign w:val="center"/>
          </w:tcPr>
          <w:p>
            <w:pPr>
              <w:pStyle w:val="8"/>
              <w:spacing w:line="360" w:lineRule="auto"/>
              <w:jc w:val="center"/>
              <w:rPr>
                <w:rFonts w:asciiTheme="majorEastAsia" w:hAnsiTheme="majorEastAsia" w:eastAsiaTheme="majorEastAsia" w:cstheme="majorEastAsia"/>
              </w:rPr>
            </w:pPr>
          </w:p>
        </w:tc>
        <w:tc>
          <w:tcPr>
            <w:tcW w:w="723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乙方地址：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vAlign w:val="center"/>
          </w:tcPr>
          <w:p>
            <w:pPr>
              <w:pStyle w:val="8"/>
              <w:spacing w:line="360" w:lineRule="auto"/>
              <w:jc w:val="center"/>
              <w:rPr>
                <w:rFonts w:asciiTheme="majorEastAsia" w:hAnsiTheme="majorEastAsia" w:eastAsiaTheme="majorEastAsia" w:cstheme="majorEastAsia"/>
              </w:rPr>
            </w:pPr>
          </w:p>
        </w:tc>
        <w:tc>
          <w:tcPr>
            <w:tcW w:w="723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乙方联系人：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384" w:type="dxa"/>
            <w:vMerge w:val="continue"/>
            <w:vAlign w:val="center"/>
          </w:tcPr>
          <w:p>
            <w:pPr>
              <w:pStyle w:val="8"/>
              <w:spacing w:line="360" w:lineRule="auto"/>
              <w:jc w:val="center"/>
              <w:rPr>
                <w:rFonts w:asciiTheme="majorEastAsia" w:hAnsiTheme="majorEastAsia" w:eastAsiaTheme="majorEastAsia" w:cstheme="majorEastAsia"/>
              </w:rPr>
            </w:pPr>
          </w:p>
        </w:tc>
        <w:tc>
          <w:tcPr>
            <w:tcW w:w="723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乙方开户银行名称：</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pStyle w:val="8"/>
              <w:spacing w:line="360" w:lineRule="auto"/>
              <w:jc w:val="center"/>
              <w:rPr>
                <w:rFonts w:asciiTheme="majorEastAsia" w:hAnsiTheme="majorEastAsia" w:eastAsiaTheme="majorEastAsia" w:cstheme="majorEastAsia"/>
              </w:rPr>
            </w:pPr>
            <w:r>
              <w:rPr>
                <w:rFonts w:asciiTheme="majorEastAsia" w:hAnsiTheme="majorEastAsia" w:eastAsiaTheme="majorEastAsia" w:cstheme="majorEastAsia"/>
              </w:rPr>
              <w:t>4</w:t>
            </w:r>
          </w:p>
        </w:tc>
        <w:tc>
          <w:tcPr>
            <w:tcW w:w="723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pStyle w:val="8"/>
              <w:spacing w:line="360" w:lineRule="auto"/>
              <w:jc w:val="center"/>
              <w:rPr>
                <w:rFonts w:asciiTheme="majorEastAsia" w:hAnsiTheme="majorEastAsia" w:eastAsiaTheme="majorEastAsia" w:cstheme="majorEastAsia"/>
              </w:rPr>
            </w:pPr>
            <w:r>
              <w:rPr>
                <w:rFonts w:asciiTheme="majorEastAsia" w:hAnsiTheme="majorEastAsia" w:eastAsiaTheme="majorEastAsia" w:cstheme="majorEastAsia"/>
              </w:rPr>
              <w:t>5</w:t>
            </w:r>
          </w:p>
        </w:tc>
        <w:tc>
          <w:tcPr>
            <w:tcW w:w="723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pStyle w:val="8"/>
              <w:spacing w:line="360" w:lineRule="auto"/>
              <w:jc w:val="center"/>
              <w:rPr>
                <w:rFonts w:asciiTheme="majorEastAsia" w:hAnsiTheme="majorEastAsia" w:eastAsiaTheme="majorEastAsia" w:cstheme="majorEastAsia"/>
              </w:rPr>
            </w:pPr>
            <w:r>
              <w:rPr>
                <w:rFonts w:asciiTheme="majorEastAsia" w:hAnsiTheme="majorEastAsia" w:eastAsiaTheme="majorEastAsia" w:cstheme="majorEastAsia"/>
              </w:rPr>
              <w:t>6</w:t>
            </w:r>
          </w:p>
        </w:tc>
        <w:tc>
          <w:tcPr>
            <w:tcW w:w="723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履约保证金及其返还：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pStyle w:val="8"/>
              <w:spacing w:line="360" w:lineRule="auto"/>
              <w:jc w:val="center"/>
              <w:rPr>
                <w:rFonts w:asciiTheme="majorEastAsia" w:hAnsiTheme="majorEastAsia" w:eastAsiaTheme="majorEastAsia" w:cstheme="majorEastAsia"/>
              </w:rPr>
            </w:pPr>
            <w:r>
              <w:rPr>
                <w:rFonts w:asciiTheme="majorEastAsia" w:hAnsiTheme="majorEastAsia" w:eastAsiaTheme="majorEastAsia" w:cstheme="majorEastAsia"/>
              </w:rPr>
              <w:t>7</w:t>
            </w:r>
          </w:p>
        </w:tc>
        <w:tc>
          <w:tcPr>
            <w:tcW w:w="7232" w:type="dxa"/>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合同期限：</w:t>
            </w:r>
          </w:p>
        </w:tc>
      </w:tr>
    </w:tbl>
    <w:p>
      <w:pPr>
        <w:pStyle w:val="8"/>
        <w:spacing w:line="360" w:lineRule="auto"/>
        <w:ind w:firstLine="420" w:firstLineChars="200"/>
        <w:rPr>
          <w:rFonts w:asciiTheme="majorEastAsia" w:hAnsiTheme="majorEastAsia" w:eastAsiaTheme="majorEastAsia" w:cstheme="majorEastAsia"/>
        </w:rPr>
      </w:pPr>
    </w:p>
    <w:p>
      <w:pPr>
        <w:pStyle w:val="3"/>
        <w:spacing w:line="360" w:lineRule="auto"/>
        <w:ind w:firstLine="562"/>
        <w:jc w:val="center"/>
        <w:rPr>
          <w:rFonts w:asciiTheme="majorEastAsia" w:hAnsiTheme="majorEastAsia" w:eastAsiaTheme="majorEastAsia" w:cstheme="majorEastAsia"/>
        </w:rPr>
      </w:pPr>
      <w:r>
        <w:rPr>
          <w:rFonts w:asciiTheme="majorEastAsia" w:hAnsiTheme="majorEastAsia" w:eastAsiaTheme="majorEastAsia" w:cstheme="majorEastAsia"/>
        </w:rPr>
        <w:br w:type="page"/>
      </w:r>
      <w:r>
        <w:rPr>
          <w:rFonts w:hint="eastAsia" w:asciiTheme="majorEastAsia" w:hAnsiTheme="majorEastAsia" w:eastAsiaTheme="majorEastAsia" w:cstheme="majorEastAsia"/>
        </w:rPr>
        <w:t>合</w:t>
      </w:r>
      <w:r>
        <w:rPr>
          <w:rFonts w:asciiTheme="majorEastAsia" w:hAnsiTheme="majorEastAsia" w:eastAsiaTheme="majorEastAsia" w:cstheme="majorEastAsia"/>
        </w:rPr>
        <w:t xml:space="preserve"> </w:t>
      </w:r>
      <w:r>
        <w:rPr>
          <w:rFonts w:hint="eastAsia" w:asciiTheme="majorEastAsia" w:hAnsiTheme="majorEastAsia" w:eastAsiaTheme="majorEastAsia" w:cstheme="majorEastAsia"/>
        </w:rPr>
        <w:t>同</w:t>
      </w:r>
      <w:r>
        <w:rPr>
          <w:rFonts w:asciiTheme="majorEastAsia" w:hAnsiTheme="majorEastAsia" w:eastAsiaTheme="majorEastAsia" w:cstheme="majorEastAsia"/>
        </w:rPr>
        <w:t xml:space="preserve"> </w:t>
      </w:r>
      <w:r>
        <w:rPr>
          <w:rFonts w:hint="eastAsia" w:asciiTheme="majorEastAsia" w:hAnsiTheme="majorEastAsia" w:eastAsiaTheme="majorEastAsia" w:cstheme="majorEastAsia"/>
        </w:rPr>
        <w:t>条</w:t>
      </w:r>
      <w:r>
        <w:rPr>
          <w:rFonts w:asciiTheme="majorEastAsia" w:hAnsiTheme="majorEastAsia" w:eastAsiaTheme="majorEastAsia" w:cstheme="majorEastAsia"/>
        </w:rPr>
        <w:t xml:space="preserve"> </w:t>
      </w:r>
      <w:r>
        <w:rPr>
          <w:rFonts w:hint="eastAsia" w:asciiTheme="majorEastAsia" w:hAnsiTheme="majorEastAsia" w:eastAsiaTheme="majorEastAsia" w:cstheme="majorEastAsia"/>
        </w:rPr>
        <w:t>款</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1.定义</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本合同下列术语应解释为：</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1.1　“甲方”是指采购人。</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1.2　“乙方”是指中标供应商。</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1.3　“合同”系指甲乙双方签署的、合同中载明的甲乙双方所达成的协议，包括所有的附件、附录和上述文件所提到的构成合同的所有文件。</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1.4　“货物”是指根据本合同规定，乙方须向甲方提供的全部产品。</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1.5　“服务”是指根据本合同规定，乙方承担与货物有关的相关服务，包括但不限于运输、保险、安装、调试、技术支持、售后服务、培训和合同中规定乙方应承担的其他义务。</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1.6　除非特别指出，“天”均为自然天。</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2.标准和质量保证</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2.1　标准</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2.1.1　乙方为甲方交付的货物及服务应符合招标文件所述的内容，如果没有提及适用标准，则应符合相应的国家标准。这些标准必须是有关机构发布的最新版本的标准。</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2.1.2　除非技术要求中另有规定，计量单位均采用中华人民共和国法定计量单位。</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2.1.3　货物还应符合国家有关安全、环保、卫生的相关规定。</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2.2　质量保证</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乙方应保证所供货物是全新的、未使用过的，并完全符合合同规定的质量、规格和性能的要求。乙方应保证其货物在正确安装、正常使用和保养条件下，在其使用寿命期内具有满意的性能，或者没有因乙方的行为或疏忽而产生的缺陷。在货物最终交付验收后不少于合同规定或乙方承诺(两者以较长的为准)的质量保证期内，本保证保持有效。</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(2)在质量保证期内所发现的缺陷，甲方应尽快以书面形式通知乙方。</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(3)乙方收到通知后应在合同规定的响应时间内以合理的速度免费维修或更换有缺陷的货物或部件。</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(4)在质量保证期内，如果货物的质量或规格与合同不符，或证实货物是有缺陷的，包括潜在的缺陷或使用不符合要求的材料等，甲方可以根据本合同第15.1条规定以书面形式向乙方提出补救措施或索赔。</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(5)乙方在约定的时间内未能弥补缺陷，甲方可采取必要的补救措施，但其风险和费用将由乙方承担，甲方根据合同规定对乙方行使的其他权利不受影响。</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3.包装要求</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3.1　乙方应提供本项目所需备品备件运至项目现场所需要的包装，这类包装应适应于远距离运输、防潮、防震、防锈和防野蛮装卸，以确保备品备件安全无损运抵指定现场。</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3.2　乙方应承担由于其包装或防护措施不当而引起的货物损坏和丢失的任何损失责任和费用。</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4.知识产权</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4.1　如果各采购人在使用乙方货物或货物的任何一部分过程中，第三方提出货物生产过程侵犯其专利权、工业设计权、使用权等知识产权，乙方应当修正以避免侵权。</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4.2　如果各采购人在使用乙方货物或货物的任何一部分过程中，第三方指控货物生产过侵犯其专利权、工业设计权、使用权等知识产权，乙方将自费为甲方、各采购人答辩，并支付法院最终判决的甲方应支付第三方的一切费用。</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4.3　甲方委托乙方开发的产品，甲方享有知识产权，未经甲方许可不得转让任何第三人。</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5.权利瑕疵担保</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5.1　乙方保证对其出售的货物享有合法的权利。</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5.2　乙方保证在其出售的货物上不存在任何未曾向甲方透露的担保物权，如抵押权、质押权、留置权等。</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5.3　如甲方使用该货物构成上述侵权的，则由乙方承担全部责任。</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6.保密义务</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6.1　甲乙双方在采购和履行合同过程中所获悉的对方属于保密的内容，双方均有保密义务。</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7.履约保证金</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7.1　乙方应在签署合同的同时，以银行保函、银行电汇或履约担保函形式向甲方提供。</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7.2　履约保证金具体金额及返还要求见合同附表。</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7.3　如乙方未能履行合同规定的其他义务，甲方有权按照本合同的约定从履约保证金中进行相应扣除。乙方应在甲方扣除履约保证金后15天内，及时补充扣除部分金额。</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7.4　乙方不履行合同、或者履行合同义务不符合约定使得合同目的不能实现，履约保证金不予退还，给甲方造成的损失超过履约保证金数额的，还应当对超过部分予以赔偿。</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8.货物的验收</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8.1　甲方在收到乙方交付的货物后应当及时组织验收。</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8.2　货物的表面瑕疵，甲方应在验收时当面提出；对质量问题有异议的应在安装调试时进行记录。</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8.3　在验收过程中发现数量不足或有质量、技术等问题，乙方应按照合同要求采取补足、更换或退货等处理措施，并承担由此发生的一切费用和损失。</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8.4　甲方对货物进行检查验收合格后，应当及时履行验收手续。</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8.5　大型或者复杂的货物采购项目，甲方可以邀请国家认可的质量检测机构参加验收工作，并由其出具验收报告。</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9.合同修改或变更</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9.1　除了双方签署书面修改或变更协议，并成为本合同不可分割的一部分的情况之外，本合同的条款不得有任何变化或修改。</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9.2　在不改变合同其他条款的前提下，甲方有权在合同价款10%的范围内追加与合同标的相同的货物或服务，并就此与乙方签订补充合同，乙方不得拒绝。</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10.违约责任</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10.1　质量缺陷的补救措施和索赔</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如果乙方提供的产品不符合质量标准或存在产品质量缺陷，而甲方在合同条款规定的检验、安装、调试、验收和质量保证期内，根据法定质量检测部门出具的检验证书向乙方提出了索赔，乙方应按照甲方同意的下列一种或几种方式结合起来解决索赔事宜：</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①乙方同意退货并将货款退还给甲方，由此发生的一切费用和损失由乙方承担。</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②根据货物的质量状况以及甲方所遭受的损失，经过甲乙双方商定降低货物的价格。</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③乙方应在接到甲方通知后</w:t>
      </w:r>
      <w:r>
        <w:rPr>
          <w:rFonts w:asciiTheme="majorEastAsia" w:hAnsiTheme="majorEastAsia" w:eastAsiaTheme="majorEastAsia" w:cstheme="majorEastAsia"/>
        </w:rPr>
        <w:t>7日内负责采用符合合同规定的规格、质量和性能要求的新零件、部件和设备来更换有缺陷的部分或修补缺陷部分，其费用由乙方负担。同时，乙方应在约定的质量保证期基础上相应延长修补和更换件的质量保证期。</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(2)如果在甲方发出索赔通知后10日内乙方未作答复，上述索赔应视为已被乙方接受。如果乙方未能在甲方发出索赔通知后10日内或甲方同意延长的期限内，按照上述规定的任何一种方法采取补救措施，甲方有权从应付货款中扣除索赔金额或者没收质量保证金，如不足以弥补甲方损失的，甲方有权进一步要求乙方赔偿。</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10.2　迟延交货的违约责任</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(2)除本合同规定情况外，如果乙方没有按照合同规定的时间交货和提供服务，甲方有权从货款中扣除误期赔偿费而不影响合同项下的其他补救方法，赔偿费按每周(一周按7天计算，不足7日按一周计算)赔偿迟交货物的交货价或延期服务的服务费用的百分之零点五(0.5%)(根据实际情况设定)计收，直至交货或提供服务为止。但误期赔偿费的最高限额不超过合同价的百分之五(5%)(根据实际情况设定)。一旦达到误期赔偿的最高限额，甲方可以终止合同。</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(3)如果乙方迟延交货，甲方有权终止全部或部分合同，并依其认为适当的条件和方法购买与未交货物类似的货物，乙方应对购买类似货物所超出的那部分费用负责。但是，乙方应继续执行合同中未终止的部分。</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11.不可抗力</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11.1　如果合同双方因不可抗力而导致合同实施延误或合同无法实施，不应该承担误期赔偿或不能履行合同义务的责任。</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11.2　本条所述的“不可抗力”系指那些双方不可预见、不可避免、不可克服的客观情况，但不包括双方的违约或疏忽。这些事件包括但不限于：战争、严重火灾、洪水、台风、地震等。</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11.3　在不可抗力事件发生后，当事方应及时将不可抗力情况通知合同对方，在不可抗力事件结束后3日内以书面形式将不可抗力的情况和原因通知合同对方，并提供相应的证明文件。合同各方应尽可能继续履行合同义务，并积极寻求采取合理的措施履行不受不可抗力影响的其他事项。合同各方应通过友好协商在合理的时间内达成进一步履行的协议。</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12.合同纠纷的解决方式</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12.1　合同各方应通过友好协商，解决在执行合同过程中所发生的或与合同有关的一切争端。如协商30日内(根据实际情况设定)不能解决，可以按合同规定的方式提起仲裁或诉讼。</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12.2　仲裁裁决应为最终裁决，对双方均具有约束力。</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12.3　仲裁费除仲裁机关另有裁决外应由败诉方负担。</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12.4　如仲裁或诉讼事项不影响合同其他部分的履行，则在仲裁或诉讼期间，除正在进行仲裁或诉讼的部分外，合同的其他部分应继续执行。</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13.合同中止与终止</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13.1　合同的中止</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合同在履行过程中，因采购计划调整，甲方可以要求中止履行，待计划确定后继续履行；合同履行过程中因供应商就采购过程或结果提起投诉的，甲方认为有必要或财政部责令中止的，应当中止合同的履行。</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13.2　合同的终止</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13.2.1　若出现如下情形，在甲方对乙方违约行为而采取的任何补救措施不受影响的情况下，甲方可向乙方发出书面通知书，提出终止部分或全部合同：</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(1)如果乙方未能在合同规定的期限或甲方同意延长的期限内提供货物或服务；</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(2)如果乙方未能履行合同规定的其他任何义务；</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(3)如果甲方认为乙方在本合同的竞争或实施中有腐败和欺诈行为。</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13.2.2　如果甲方根据上述第13.2.1条第一款的规定，终止了全部或部分合同，甲方可以适当的条件和方法购买乙方未能提供的货物或服务，乙方应对甲方购买类似货物或服务所超出的费用负责。同时，乙方应继续执行合同中未终止的部分。</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13.2.3　如果乙方破产或无清偿能力，甲方可在任何时候以书面形式通知乙方终止合同而不给乙方补偿。</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13.2.4　该终止协议将不损害或影响甲方已经采取或将要采取的任何行动或补救措施的权利。</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14.合同转让和分包</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14.1　乙方不得以任何形式将合同转包。</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14.2　除经甲方事先书面同意外，乙方不得以任何形式将合同分包。</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15.适用法律</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15.1　本合同适用中华人民共和国现行法律、行政法规和规章，如合同条款与法律、行政法规和规章不一致的，按照法律、行政法规和规章修改本合同。</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16.合同语言</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16.1　本合同语言为中文。</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16.2　双方交换的与合同有关的信件和其他文件应用合同语言书写。</w:t>
      </w:r>
      <w:r>
        <w:rPr>
          <w:rFonts w:asciiTheme="majorEastAsia" w:hAnsiTheme="majorEastAsia" w:eastAsiaTheme="majorEastAsia" w:cstheme="majorEastAsia"/>
        </w:rPr>
        <w:br w:type="page"/>
      </w:r>
    </w:p>
    <w:p>
      <w:pPr>
        <w:pStyle w:val="2"/>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第五章　投标文件格式</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2"/>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政府采购</w:t>
      </w:r>
    </w:p>
    <w:p>
      <w:pPr>
        <w:pStyle w:val="2"/>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投</w:t>
      </w:r>
      <w:r>
        <w:rPr>
          <w:rFonts w:asciiTheme="majorEastAsia" w:hAnsiTheme="majorEastAsia" w:eastAsiaTheme="majorEastAsia" w:cstheme="majorEastAsia"/>
        </w:rPr>
        <w:t xml:space="preserve"> </w:t>
      </w:r>
      <w:r>
        <w:rPr>
          <w:rFonts w:hint="eastAsia" w:asciiTheme="majorEastAsia" w:hAnsiTheme="majorEastAsia" w:eastAsiaTheme="majorEastAsia" w:cstheme="majorEastAsia"/>
        </w:rPr>
        <w:t>标</w:t>
      </w:r>
      <w:r>
        <w:rPr>
          <w:rFonts w:asciiTheme="majorEastAsia" w:hAnsiTheme="majorEastAsia" w:eastAsiaTheme="majorEastAsia" w:cstheme="majorEastAsia"/>
        </w:rPr>
        <w:t xml:space="preserve"> </w:t>
      </w:r>
      <w:r>
        <w:rPr>
          <w:rFonts w:hint="eastAsia" w:asciiTheme="majorEastAsia" w:hAnsiTheme="majorEastAsia" w:eastAsiaTheme="majorEastAsia" w:cstheme="majorEastAsia"/>
        </w:rPr>
        <w:t>文</w:t>
      </w:r>
      <w:r>
        <w:rPr>
          <w:rFonts w:asciiTheme="majorEastAsia" w:hAnsiTheme="majorEastAsia" w:eastAsiaTheme="majorEastAsia" w:cstheme="majorEastAsia"/>
        </w:rPr>
        <w:t xml:space="preserve"> </w:t>
      </w:r>
      <w:r>
        <w:rPr>
          <w:rFonts w:hint="eastAsia" w:asciiTheme="majorEastAsia" w:hAnsiTheme="majorEastAsia" w:eastAsiaTheme="majorEastAsia" w:cstheme="majorEastAsia"/>
        </w:rPr>
        <w:t>件</w:t>
      </w:r>
    </w:p>
    <w:p>
      <w:pPr>
        <w:pStyle w:val="8"/>
        <w:spacing w:line="360" w:lineRule="auto"/>
        <w:ind w:firstLine="600" w:firstLineChars="200"/>
        <w:jc w:val="center"/>
        <w:rPr>
          <w:rFonts w:asciiTheme="majorEastAsia" w:hAnsiTheme="majorEastAsia" w:eastAsiaTheme="majorEastAsia" w:cstheme="majorEastAsia"/>
          <w:sz w:val="30"/>
          <w:szCs w:val="30"/>
        </w:rPr>
      </w:pPr>
      <w:r>
        <w:rPr>
          <w:rFonts w:asciiTheme="majorEastAsia" w:hAnsiTheme="majorEastAsia" w:eastAsiaTheme="majorEastAsia" w:cstheme="majorEastAsia"/>
          <w:sz w:val="30"/>
          <w:szCs w:val="30"/>
        </w:rPr>
        <w:t>(商务文件)</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2692" w:firstLineChars="1282"/>
        <w:rPr>
          <w:rFonts w:asciiTheme="majorEastAsia" w:hAnsiTheme="majorEastAsia" w:eastAsiaTheme="majorEastAsia" w:cstheme="majorEastAsia"/>
        </w:rPr>
      </w:pPr>
      <w:r>
        <w:rPr>
          <w:rFonts w:hint="eastAsia" w:asciiTheme="majorEastAsia" w:hAnsiTheme="majorEastAsia" w:eastAsiaTheme="majorEastAsia" w:cstheme="majorEastAsia"/>
        </w:rPr>
        <w:t>项目名称：</w:t>
      </w:r>
      <w:r>
        <w:rPr>
          <w:rFonts w:asciiTheme="majorEastAsia" w:hAnsiTheme="majorEastAsia" w:eastAsiaTheme="majorEastAsia" w:cstheme="majorEastAsia"/>
        </w:rPr>
        <w:t>________________</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2692" w:firstLineChars="1282"/>
        <w:rPr>
          <w:rFonts w:asciiTheme="majorEastAsia" w:hAnsiTheme="majorEastAsia" w:eastAsiaTheme="majorEastAsia" w:cstheme="majorEastAsia"/>
        </w:rPr>
      </w:pPr>
      <w:r>
        <w:rPr>
          <w:rFonts w:hint="eastAsia" w:asciiTheme="majorEastAsia" w:hAnsiTheme="majorEastAsia" w:eastAsiaTheme="majorEastAsia" w:cstheme="majorEastAsia"/>
        </w:rPr>
        <w:t>项目编号：</w:t>
      </w:r>
      <w:r>
        <w:rPr>
          <w:rFonts w:asciiTheme="majorEastAsia" w:hAnsiTheme="majorEastAsia" w:eastAsiaTheme="majorEastAsia" w:cstheme="majorEastAsia"/>
        </w:rPr>
        <w:t>________________</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2692" w:firstLineChars="1282"/>
        <w:rPr>
          <w:rFonts w:asciiTheme="majorEastAsia" w:hAnsiTheme="majorEastAsia" w:eastAsiaTheme="majorEastAsia" w:cstheme="majorEastAsia"/>
        </w:rPr>
      </w:pPr>
      <w:r>
        <w:rPr>
          <w:rFonts w:hint="eastAsia" w:asciiTheme="majorEastAsia" w:hAnsiTheme="majorEastAsia" w:eastAsiaTheme="majorEastAsia" w:cstheme="majorEastAsia"/>
        </w:rPr>
        <w:t>投</w:t>
      </w:r>
      <w:r>
        <w:rPr>
          <w:rFonts w:asciiTheme="majorEastAsia" w:hAnsiTheme="majorEastAsia" w:eastAsiaTheme="majorEastAsia" w:cstheme="majorEastAsia"/>
        </w:rPr>
        <w:t xml:space="preserve"> 标 人：________________　</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jc w:val="center"/>
        <w:rPr>
          <w:rFonts w:asciiTheme="majorEastAsia" w:hAnsiTheme="majorEastAsia" w:eastAsiaTheme="majorEastAsia" w:cstheme="majorEastAsia"/>
        </w:rPr>
      </w:pPr>
      <w:r>
        <w:rPr>
          <w:rFonts w:asciiTheme="majorEastAsia" w:hAnsiTheme="majorEastAsia" w:eastAsiaTheme="majorEastAsia" w:cstheme="majorEastAsia"/>
        </w:rPr>
        <w:t>____年____月____日</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br w:type="page"/>
      </w:r>
    </w:p>
    <w:p>
      <w:pPr>
        <w:pStyle w:val="4"/>
        <w:spacing w:line="360" w:lineRule="auto"/>
        <w:ind w:firstLine="482"/>
        <w:rPr>
          <w:rFonts w:asciiTheme="majorEastAsia" w:hAnsiTheme="majorEastAsia" w:eastAsiaTheme="majorEastAsia" w:cstheme="majorEastAsia"/>
        </w:rPr>
      </w:pPr>
      <w:r>
        <w:rPr>
          <w:rFonts w:hint="eastAsia" w:asciiTheme="majorEastAsia" w:hAnsiTheme="majorEastAsia" w:eastAsiaTheme="majorEastAsia" w:cstheme="majorEastAsia"/>
        </w:rPr>
        <w:t>一、投标函</w:t>
      </w:r>
    </w:p>
    <w:p>
      <w:pPr>
        <w:pStyle w:val="2"/>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投　标　函</w:t>
      </w:r>
    </w:p>
    <w:p>
      <w:pPr>
        <w:pStyle w:val="8"/>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致</w:t>
      </w:r>
      <w:r>
        <w:rPr>
          <w:rFonts w:asciiTheme="majorEastAsia" w:hAnsiTheme="majorEastAsia" w:eastAsiaTheme="majorEastAsia" w:cstheme="majorEastAsia"/>
        </w:rPr>
        <w:t>__________(采购人或采购代理机构)：</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根据</w:t>
      </w:r>
      <w:r>
        <w:rPr>
          <w:rFonts w:asciiTheme="majorEastAsia" w:hAnsiTheme="majorEastAsia" w:eastAsiaTheme="majorEastAsia" w:cstheme="majorEastAsia"/>
        </w:rPr>
        <w:t>______(项目名称)(项目编号：______)的投标邀请，______(姓名、职务)代表投标人______(投标人名称、地址)参加本项目招标的有关活动。据此函，作如下承诺：</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1.同意在本项目招标文件中规定的开标日起______天遵守本投标文件中的承诺，且在期满之前均具有约束力。</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2.具备政府采购相关法律法规规定的参加政府采购活动的供应商应当具备的条件：</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(1)具有独立承担民事责任的能力；</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(2)具有良好的商业信誉和健全的财务会计制度；</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(3)具有履行合同所必需的设备和专业技术能力；</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(4)有依法缴纳税收和社会保障资金的良好记录；</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(5)参加此项采购活动前3年内，在经营活动中没有重大违法记录。</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3.具备本项目招标文件中规定的其他资格条件。</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4.提供投标人须知规定的全部投标文件，包括投标文件正本____份，副本____份，电子文档____份，开标一览表(投标报价表、投标保证金)____份。</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5.已详细审阅全部招标文件(包括招标文件澄清函)，理解投标人须知的所有条款。</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6.完全理解贵方“最低报价不能作为中标的保证”的规定。</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7.接受招标文件中全部合同条款，且无任何异议；保证忠实地执行双方所签订的合同，并承担合同规定的责任和义务。</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8.完全满足和响应招标文件中的各项商务和技术要求，若有偏差，已在投标文件中明确说明。</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9.如果在开标后规定的投标有效期内撤回投标，贵方可不予退还我方的投标保证金。</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10.愿意提供任何与投标有关的数据、情况和技术资料等。</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11.我方已详细审核全部投标文件、参考资料及有关附件，确认无误。</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12.对本次招标内容及与本项目有关的知识产权、技术资料、商业秘密及相关信息保密。</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13.与采购人和采购代理机构无任何的隶属关系或者其他利害关系。</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投标人名称：</w:t>
      </w:r>
      <w:r>
        <w:rPr>
          <w:rFonts w:asciiTheme="majorEastAsia" w:hAnsiTheme="majorEastAsia" w:eastAsiaTheme="majorEastAsia" w:cstheme="majorEastAsia"/>
        </w:rPr>
        <w:t>____________投标人公章：____________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投标人地址：</w:t>
      </w:r>
      <w:r>
        <w:rPr>
          <w:rFonts w:asciiTheme="majorEastAsia" w:hAnsiTheme="majorEastAsia" w:eastAsiaTheme="majorEastAsia" w:cstheme="majorEastAsia"/>
        </w:rPr>
        <w:t>____________邮编：____________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电话：</w:t>
      </w:r>
      <w:r>
        <w:rPr>
          <w:rFonts w:asciiTheme="majorEastAsia" w:hAnsiTheme="majorEastAsia" w:eastAsiaTheme="majorEastAsia" w:cstheme="majorEastAsia"/>
        </w:rPr>
        <w:t>____________传真：____________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法定代表人或投标人代表</w:t>
      </w:r>
      <w:r>
        <w:rPr>
          <w:rFonts w:asciiTheme="majorEastAsia" w:hAnsiTheme="majorEastAsia" w:eastAsiaTheme="majorEastAsia" w:cstheme="majorEastAsia"/>
        </w:rPr>
        <w:t>(签字或盖章)：____________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联系电话：</w:t>
      </w:r>
      <w:r>
        <w:rPr>
          <w:rFonts w:asciiTheme="majorEastAsia" w:hAnsiTheme="majorEastAsia" w:eastAsiaTheme="majorEastAsia" w:cstheme="majorEastAsia"/>
        </w:rPr>
        <w:t>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日期：</w:t>
      </w:r>
      <w:r>
        <w:rPr>
          <w:rFonts w:asciiTheme="majorEastAsia" w:hAnsiTheme="majorEastAsia" w:eastAsiaTheme="majorEastAsia" w:cstheme="majorEastAsia"/>
        </w:rPr>
        <w:t>________________</w:t>
      </w:r>
    </w:p>
    <w:p>
      <w:pPr>
        <w:pStyle w:val="4"/>
        <w:spacing w:line="360" w:lineRule="auto"/>
        <w:ind w:firstLine="482"/>
        <w:rPr>
          <w:rFonts w:asciiTheme="majorEastAsia" w:hAnsiTheme="majorEastAsia" w:eastAsiaTheme="majorEastAsia" w:cstheme="majorEastAsia"/>
        </w:rPr>
      </w:pPr>
      <w:r>
        <w:rPr>
          <w:rFonts w:hint="eastAsia" w:asciiTheme="majorEastAsia" w:hAnsiTheme="majorEastAsia" w:eastAsiaTheme="majorEastAsia" w:cstheme="majorEastAsia"/>
        </w:rPr>
        <w:t>二、开标一览表</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2" w:firstLineChars="200"/>
        <w:jc w:val="center"/>
        <w:rPr>
          <w:rFonts w:asciiTheme="majorEastAsia" w:hAnsiTheme="majorEastAsia" w:eastAsiaTheme="majorEastAsia" w:cstheme="majorEastAsia"/>
          <w:b/>
          <w:bCs/>
        </w:rPr>
      </w:pPr>
      <w:r>
        <w:rPr>
          <w:rFonts w:hint="eastAsia" w:asciiTheme="majorEastAsia" w:hAnsiTheme="majorEastAsia" w:eastAsiaTheme="majorEastAsia" w:cstheme="majorEastAsia"/>
          <w:b/>
          <w:bCs/>
        </w:rPr>
        <w:t>开标一览表</w:t>
      </w:r>
    </w:p>
    <w:p>
      <w:pPr>
        <w:pStyle w:val="8"/>
        <w:spacing w:line="360" w:lineRule="auto"/>
        <w:ind w:firstLine="422" w:firstLineChars="200"/>
        <w:jc w:val="center"/>
        <w:rPr>
          <w:rFonts w:asciiTheme="majorEastAsia" w:hAnsiTheme="majorEastAsia" w:eastAsiaTheme="majorEastAsia" w:cstheme="majorEastAsia"/>
          <w:b/>
          <w:bCs/>
        </w:rPr>
      </w:pPr>
    </w:p>
    <w:tbl>
      <w:tblPr>
        <w:tblStyle w:val="14"/>
        <w:tblW w:w="86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9"/>
        <w:gridCol w:w="3541"/>
        <w:gridCol w:w="1276"/>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1899"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项目名称</w:t>
            </w:r>
          </w:p>
        </w:tc>
        <w:tc>
          <w:tcPr>
            <w:tcW w:w="3541" w:type="dxa"/>
            <w:vAlign w:val="center"/>
          </w:tcPr>
          <w:p>
            <w:pPr>
              <w:pStyle w:val="8"/>
              <w:spacing w:line="360" w:lineRule="auto"/>
              <w:jc w:val="left"/>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颜春岭垃圾填埋场地块土壤和地下水环境调查（二次招标）</w:t>
            </w:r>
          </w:p>
        </w:tc>
        <w:tc>
          <w:tcPr>
            <w:tcW w:w="1276"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项目编号</w:t>
            </w:r>
          </w:p>
        </w:tc>
        <w:tc>
          <w:tcPr>
            <w:tcW w:w="1900"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9"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服务期限</w:t>
            </w:r>
          </w:p>
        </w:tc>
        <w:tc>
          <w:tcPr>
            <w:tcW w:w="3541" w:type="dxa"/>
            <w:vAlign w:val="center"/>
          </w:tcPr>
          <w:p>
            <w:pPr>
              <w:pStyle w:val="8"/>
              <w:spacing w:line="360" w:lineRule="auto"/>
              <w:jc w:val="center"/>
              <w:rPr>
                <w:rFonts w:asciiTheme="majorEastAsia" w:hAnsiTheme="majorEastAsia" w:eastAsiaTheme="majorEastAsia" w:cstheme="majorEastAsia"/>
              </w:rPr>
            </w:pPr>
          </w:p>
        </w:tc>
        <w:tc>
          <w:tcPr>
            <w:tcW w:w="1276"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服务地点</w:t>
            </w:r>
          </w:p>
        </w:tc>
        <w:tc>
          <w:tcPr>
            <w:tcW w:w="1900"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899"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报价</w:t>
            </w:r>
          </w:p>
        </w:tc>
        <w:tc>
          <w:tcPr>
            <w:tcW w:w="6717" w:type="dxa"/>
            <w:gridSpan w:val="3"/>
            <w:vAlign w:val="center"/>
          </w:tcPr>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大写：人民币　　　　　元整</w:t>
            </w:r>
          </w:p>
          <w:p>
            <w:pPr>
              <w:pStyle w:val="8"/>
              <w:spacing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小写：￥　　　　　　　元</w:t>
            </w:r>
          </w:p>
        </w:tc>
      </w:tr>
    </w:tbl>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投标人名称</w:t>
      </w:r>
      <w:r>
        <w:rPr>
          <w:rFonts w:asciiTheme="majorEastAsia" w:hAnsiTheme="majorEastAsia" w:eastAsiaTheme="majorEastAsia" w:cstheme="majorEastAsia"/>
        </w:rPr>
        <w:t>(公章)：________________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法定代表人或其授权代表签字：</w:t>
      </w:r>
      <w:r>
        <w:rPr>
          <w:rFonts w:asciiTheme="majorEastAsia" w:hAnsiTheme="majorEastAsia" w:eastAsiaTheme="majorEastAsia" w:cstheme="majorEastAsia"/>
        </w:rPr>
        <w:t>________________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日期：</w:t>
      </w:r>
      <w:r>
        <w:rPr>
          <w:rFonts w:asciiTheme="majorEastAsia" w:hAnsiTheme="majorEastAsia" w:eastAsiaTheme="majorEastAsia" w:cstheme="majorEastAsia"/>
        </w:rPr>
        <w:t>______年____月____日</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说明：授权用招标专用章的，与公章具有相同法律效力。</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br w:type="page"/>
      </w:r>
    </w:p>
    <w:p>
      <w:pPr>
        <w:pStyle w:val="4"/>
        <w:spacing w:line="360" w:lineRule="auto"/>
        <w:ind w:firstLine="482"/>
        <w:rPr>
          <w:rFonts w:asciiTheme="majorEastAsia" w:hAnsiTheme="majorEastAsia" w:eastAsiaTheme="majorEastAsia" w:cstheme="majorEastAsia"/>
        </w:rPr>
      </w:pPr>
      <w:r>
        <w:rPr>
          <w:rFonts w:hint="eastAsia" w:asciiTheme="majorEastAsia" w:hAnsiTheme="majorEastAsia" w:eastAsiaTheme="majorEastAsia" w:cstheme="majorEastAsia"/>
        </w:rPr>
        <w:t>三、分项价格表</w:t>
      </w:r>
    </w:p>
    <w:p>
      <w:pPr>
        <w:pStyle w:val="8"/>
        <w:spacing w:line="360" w:lineRule="auto"/>
        <w:ind w:firstLine="420" w:firstLineChars="200"/>
        <w:jc w:val="center"/>
        <w:rPr>
          <w:rFonts w:asciiTheme="majorEastAsia" w:hAnsiTheme="majorEastAsia" w:eastAsiaTheme="majorEastAsia" w:cstheme="majorEastAsia"/>
          <w:b/>
        </w:rPr>
      </w:pPr>
      <w:r>
        <w:rPr>
          <w:rFonts w:hint="eastAsia" w:asciiTheme="majorEastAsia" w:hAnsiTheme="majorEastAsia" w:eastAsiaTheme="majorEastAsia" w:cstheme="majorEastAsia"/>
        </w:rPr>
        <w:t>分项价格表</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项目名称：</w:t>
      </w:r>
      <w:r>
        <w:rPr>
          <w:rFonts w:asciiTheme="majorEastAsia" w:hAnsiTheme="majorEastAsia" w:eastAsiaTheme="majorEastAsia" w:cstheme="majorEastAsia"/>
        </w:rPr>
        <w:t>____________________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项目编号：</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金额单位：元</w:t>
      </w:r>
    </w:p>
    <w:tbl>
      <w:tblPr>
        <w:tblStyle w:val="14"/>
        <w:tblW w:w="84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36"/>
        <w:gridCol w:w="1236"/>
        <w:gridCol w:w="1096"/>
        <w:gridCol w:w="1112"/>
        <w:gridCol w:w="1929"/>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序号</w:t>
            </w:r>
          </w:p>
        </w:tc>
        <w:tc>
          <w:tcPr>
            <w:tcW w:w="1236"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服务名称</w:t>
            </w:r>
          </w:p>
        </w:tc>
        <w:tc>
          <w:tcPr>
            <w:tcW w:w="1236"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计量单位</w:t>
            </w:r>
          </w:p>
        </w:tc>
        <w:tc>
          <w:tcPr>
            <w:tcW w:w="1096"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单价</w:t>
            </w:r>
          </w:p>
        </w:tc>
        <w:tc>
          <w:tcPr>
            <w:tcW w:w="1112"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数量</w:t>
            </w:r>
          </w:p>
        </w:tc>
        <w:tc>
          <w:tcPr>
            <w:tcW w:w="1929"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合计</w:t>
            </w:r>
          </w:p>
        </w:tc>
        <w:tc>
          <w:tcPr>
            <w:tcW w:w="983"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16" w:type="dxa"/>
            <w:vAlign w:val="center"/>
          </w:tcPr>
          <w:p>
            <w:pPr>
              <w:pStyle w:val="8"/>
              <w:spacing w:line="360" w:lineRule="auto"/>
              <w:jc w:val="center"/>
              <w:rPr>
                <w:rFonts w:asciiTheme="majorEastAsia" w:hAnsiTheme="majorEastAsia" w:eastAsiaTheme="majorEastAsia" w:cstheme="majorEastAsia"/>
              </w:rPr>
            </w:pPr>
          </w:p>
        </w:tc>
        <w:tc>
          <w:tcPr>
            <w:tcW w:w="1236" w:type="dxa"/>
            <w:vAlign w:val="center"/>
          </w:tcPr>
          <w:p>
            <w:pPr>
              <w:pStyle w:val="8"/>
              <w:spacing w:line="360" w:lineRule="auto"/>
              <w:jc w:val="center"/>
              <w:rPr>
                <w:rFonts w:asciiTheme="majorEastAsia" w:hAnsiTheme="majorEastAsia" w:eastAsiaTheme="majorEastAsia" w:cstheme="majorEastAsia"/>
              </w:rPr>
            </w:pPr>
          </w:p>
        </w:tc>
        <w:tc>
          <w:tcPr>
            <w:tcW w:w="1236" w:type="dxa"/>
            <w:vAlign w:val="center"/>
          </w:tcPr>
          <w:p>
            <w:pPr>
              <w:pStyle w:val="8"/>
              <w:spacing w:line="360" w:lineRule="auto"/>
              <w:jc w:val="center"/>
              <w:rPr>
                <w:rFonts w:asciiTheme="majorEastAsia" w:hAnsiTheme="majorEastAsia" w:eastAsiaTheme="majorEastAsia" w:cstheme="majorEastAsia"/>
              </w:rPr>
            </w:pPr>
          </w:p>
        </w:tc>
        <w:tc>
          <w:tcPr>
            <w:tcW w:w="1096" w:type="dxa"/>
            <w:vAlign w:val="center"/>
          </w:tcPr>
          <w:p>
            <w:pPr>
              <w:pStyle w:val="8"/>
              <w:spacing w:line="360" w:lineRule="auto"/>
              <w:jc w:val="center"/>
              <w:rPr>
                <w:rFonts w:asciiTheme="majorEastAsia" w:hAnsiTheme="majorEastAsia" w:eastAsiaTheme="majorEastAsia" w:cstheme="majorEastAsia"/>
              </w:rPr>
            </w:pPr>
          </w:p>
        </w:tc>
        <w:tc>
          <w:tcPr>
            <w:tcW w:w="1112" w:type="dxa"/>
            <w:vAlign w:val="center"/>
          </w:tcPr>
          <w:p>
            <w:pPr>
              <w:pStyle w:val="8"/>
              <w:spacing w:line="360" w:lineRule="auto"/>
              <w:jc w:val="center"/>
              <w:rPr>
                <w:rFonts w:asciiTheme="majorEastAsia" w:hAnsiTheme="majorEastAsia" w:eastAsiaTheme="majorEastAsia" w:cstheme="majorEastAsia"/>
              </w:rPr>
            </w:pPr>
          </w:p>
        </w:tc>
        <w:tc>
          <w:tcPr>
            <w:tcW w:w="1929" w:type="dxa"/>
            <w:vAlign w:val="center"/>
          </w:tcPr>
          <w:p>
            <w:pPr>
              <w:pStyle w:val="8"/>
              <w:spacing w:line="360" w:lineRule="auto"/>
              <w:jc w:val="center"/>
              <w:rPr>
                <w:rFonts w:asciiTheme="majorEastAsia" w:hAnsiTheme="majorEastAsia" w:eastAsiaTheme="majorEastAsia" w:cstheme="majorEastAsia"/>
              </w:rPr>
            </w:pPr>
          </w:p>
        </w:tc>
        <w:tc>
          <w:tcPr>
            <w:tcW w:w="983"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pStyle w:val="8"/>
              <w:spacing w:line="360" w:lineRule="auto"/>
              <w:jc w:val="center"/>
              <w:rPr>
                <w:rFonts w:asciiTheme="majorEastAsia" w:hAnsiTheme="majorEastAsia" w:eastAsiaTheme="majorEastAsia" w:cstheme="majorEastAsia"/>
              </w:rPr>
            </w:pPr>
          </w:p>
        </w:tc>
        <w:tc>
          <w:tcPr>
            <w:tcW w:w="1236" w:type="dxa"/>
            <w:vAlign w:val="center"/>
          </w:tcPr>
          <w:p>
            <w:pPr>
              <w:pStyle w:val="8"/>
              <w:spacing w:line="360" w:lineRule="auto"/>
              <w:jc w:val="center"/>
              <w:rPr>
                <w:rFonts w:asciiTheme="majorEastAsia" w:hAnsiTheme="majorEastAsia" w:eastAsiaTheme="majorEastAsia" w:cstheme="majorEastAsia"/>
              </w:rPr>
            </w:pPr>
          </w:p>
        </w:tc>
        <w:tc>
          <w:tcPr>
            <w:tcW w:w="1236" w:type="dxa"/>
            <w:vAlign w:val="center"/>
          </w:tcPr>
          <w:p>
            <w:pPr>
              <w:pStyle w:val="8"/>
              <w:spacing w:line="360" w:lineRule="auto"/>
              <w:jc w:val="center"/>
              <w:rPr>
                <w:rFonts w:asciiTheme="majorEastAsia" w:hAnsiTheme="majorEastAsia" w:eastAsiaTheme="majorEastAsia" w:cstheme="majorEastAsia"/>
              </w:rPr>
            </w:pPr>
          </w:p>
        </w:tc>
        <w:tc>
          <w:tcPr>
            <w:tcW w:w="1096" w:type="dxa"/>
            <w:vAlign w:val="center"/>
          </w:tcPr>
          <w:p>
            <w:pPr>
              <w:pStyle w:val="8"/>
              <w:spacing w:line="360" w:lineRule="auto"/>
              <w:jc w:val="center"/>
              <w:rPr>
                <w:rFonts w:asciiTheme="majorEastAsia" w:hAnsiTheme="majorEastAsia" w:eastAsiaTheme="majorEastAsia" w:cstheme="majorEastAsia"/>
              </w:rPr>
            </w:pPr>
          </w:p>
        </w:tc>
        <w:tc>
          <w:tcPr>
            <w:tcW w:w="1112" w:type="dxa"/>
            <w:vAlign w:val="center"/>
          </w:tcPr>
          <w:p>
            <w:pPr>
              <w:pStyle w:val="8"/>
              <w:spacing w:line="360" w:lineRule="auto"/>
              <w:jc w:val="center"/>
              <w:rPr>
                <w:rFonts w:asciiTheme="majorEastAsia" w:hAnsiTheme="majorEastAsia" w:eastAsiaTheme="majorEastAsia" w:cstheme="majorEastAsia"/>
              </w:rPr>
            </w:pPr>
          </w:p>
        </w:tc>
        <w:tc>
          <w:tcPr>
            <w:tcW w:w="1929" w:type="dxa"/>
            <w:vAlign w:val="center"/>
          </w:tcPr>
          <w:p>
            <w:pPr>
              <w:pStyle w:val="8"/>
              <w:spacing w:line="360" w:lineRule="auto"/>
              <w:jc w:val="center"/>
              <w:rPr>
                <w:rFonts w:asciiTheme="majorEastAsia" w:hAnsiTheme="majorEastAsia" w:eastAsiaTheme="majorEastAsia" w:cstheme="majorEastAsia"/>
              </w:rPr>
            </w:pPr>
          </w:p>
        </w:tc>
        <w:tc>
          <w:tcPr>
            <w:tcW w:w="983"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pStyle w:val="8"/>
              <w:spacing w:line="360" w:lineRule="auto"/>
              <w:jc w:val="center"/>
              <w:rPr>
                <w:rFonts w:asciiTheme="majorEastAsia" w:hAnsiTheme="majorEastAsia" w:eastAsiaTheme="majorEastAsia" w:cstheme="majorEastAsia"/>
              </w:rPr>
            </w:pPr>
          </w:p>
        </w:tc>
        <w:tc>
          <w:tcPr>
            <w:tcW w:w="1236" w:type="dxa"/>
            <w:vAlign w:val="center"/>
          </w:tcPr>
          <w:p>
            <w:pPr>
              <w:pStyle w:val="8"/>
              <w:spacing w:line="360" w:lineRule="auto"/>
              <w:jc w:val="center"/>
              <w:rPr>
                <w:rFonts w:asciiTheme="majorEastAsia" w:hAnsiTheme="majorEastAsia" w:eastAsiaTheme="majorEastAsia" w:cstheme="majorEastAsia"/>
              </w:rPr>
            </w:pPr>
          </w:p>
        </w:tc>
        <w:tc>
          <w:tcPr>
            <w:tcW w:w="1236" w:type="dxa"/>
            <w:vAlign w:val="center"/>
          </w:tcPr>
          <w:p>
            <w:pPr>
              <w:pStyle w:val="8"/>
              <w:spacing w:line="360" w:lineRule="auto"/>
              <w:jc w:val="center"/>
              <w:rPr>
                <w:rFonts w:asciiTheme="majorEastAsia" w:hAnsiTheme="majorEastAsia" w:eastAsiaTheme="majorEastAsia" w:cstheme="majorEastAsia"/>
              </w:rPr>
            </w:pPr>
          </w:p>
        </w:tc>
        <w:tc>
          <w:tcPr>
            <w:tcW w:w="1096" w:type="dxa"/>
            <w:vAlign w:val="center"/>
          </w:tcPr>
          <w:p>
            <w:pPr>
              <w:pStyle w:val="8"/>
              <w:spacing w:line="360" w:lineRule="auto"/>
              <w:jc w:val="center"/>
              <w:rPr>
                <w:rFonts w:asciiTheme="majorEastAsia" w:hAnsiTheme="majorEastAsia" w:eastAsiaTheme="majorEastAsia" w:cstheme="majorEastAsia"/>
              </w:rPr>
            </w:pPr>
          </w:p>
        </w:tc>
        <w:tc>
          <w:tcPr>
            <w:tcW w:w="1112" w:type="dxa"/>
            <w:vAlign w:val="center"/>
          </w:tcPr>
          <w:p>
            <w:pPr>
              <w:pStyle w:val="8"/>
              <w:spacing w:line="360" w:lineRule="auto"/>
              <w:jc w:val="center"/>
              <w:rPr>
                <w:rFonts w:asciiTheme="majorEastAsia" w:hAnsiTheme="majorEastAsia" w:eastAsiaTheme="majorEastAsia" w:cstheme="majorEastAsia"/>
              </w:rPr>
            </w:pPr>
          </w:p>
        </w:tc>
        <w:tc>
          <w:tcPr>
            <w:tcW w:w="1929" w:type="dxa"/>
            <w:vAlign w:val="center"/>
          </w:tcPr>
          <w:p>
            <w:pPr>
              <w:pStyle w:val="8"/>
              <w:spacing w:line="360" w:lineRule="auto"/>
              <w:jc w:val="center"/>
              <w:rPr>
                <w:rFonts w:asciiTheme="majorEastAsia" w:hAnsiTheme="majorEastAsia" w:eastAsiaTheme="majorEastAsia" w:cstheme="majorEastAsia"/>
              </w:rPr>
            </w:pPr>
          </w:p>
        </w:tc>
        <w:tc>
          <w:tcPr>
            <w:tcW w:w="983"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pStyle w:val="8"/>
              <w:spacing w:line="360" w:lineRule="auto"/>
              <w:jc w:val="center"/>
              <w:rPr>
                <w:rFonts w:asciiTheme="majorEastAsia" w:hAnsiTheme="majorEastAsia" w:eastAsiaTheme="majorEastAsia" w:cstheme="majorEastAsia"/>
              </w:rPr>
            </w:pPr>
          </w:p>
        </w:tc>
        <w:tc>
          <w:tcPr>
            <w:tcW w:w="1236" w:type="dxa"/>
            <w:vAlign w:val="center"/>
          </w:tcPr>
          <w:p>
            <w:pPr>
              <w:pStyle w:val="8"/>
              <w:spacing w:line="360" w:lineRule="auto"/>
              <w:jc w:val="center"/>
              <w:rPr>
                <w:rFonts w:asciiTheme="majorEastAsia" w:hAnsiTheme="majorEastAsia" w:eastAsiaTheme="majorEastAsia" w:cstheme="majorEastAsia"/>
              </w:rPr>
            </w:pPr>
          </w:p>
        </w:tc>
        <w:tc>
          <w:tcPr>
            <w:tcW w:w="1236" w:type="dxa"/>
            <w:vAlign w:val="center"/>
          </w:tcPr>
          <w:p>
            <w:pPr>
              <w:pStyle w:val="8"/>
              <w:spacing w:line="360" w:lineRule="auto"/>
              <w:jc w:val="center"/>
              <w:rPr>
                <w:rFonts w:asciiTheme="majorEastAsia" w:hAnsiTheme="majorEastAsia" w:eastAsiaTheme="majorEastAsia" w:cstheme="majorEastAsia"/>
              </w:rPr>
            </w:pPr>
          </w:p>
        </w:tc>
        <w:tc>
          <w:tcPr>
            <w:tcW w:w="1096" w:type="dxa"/>
            <w:vAlign w:val="center"/>
          </w:tcPr>
          <w:p>
            <w:pPr>
              <w:pStyle w:val="8"/>
              <w:spacing w:line="360" w:lineRule="auto"/>
              <w:jc w:val="center"/>
              <w:rPr>
                <w:rFonts w:asciiTheme="majorEastAsia" w:hAnsiTheme="majorEastAsia" w:eastAsiaTheme="majorEastAsia" w:cstheme="majorEastAsia"/>
              </w:rPr>
            </w:pPr>
          </w:p>
        </w:tc>
        <w:tc>
          <w:tcPr>
            <w:tcW w:w="1112" w:type="dxa"/>
            <w:vAlign w:val="center"/>
          </w:tcPr>
          <w:p>
            <w:pPr>
              <w:pStyle w:val="8"/>
              <w:spacing w:line="360" w:lineRule="auto"/>
              <w:jc w:val="center"/>
              <w:rPr>
                <w:rFonts w:asciiTheme="majorEastAsia" w:hAnsiTheme="majorEastAsia" w:eastAsiaTheme="majorEastAsia" w:cstheme="majorEastAsia"/>
              </w:rPr>
            </w:pPr>
          </w:p>
        </w:tc>
        <w:tc>
          <w:tcPr>
            <w:tcW w:w="1929" w:type="dxa"/>
            <w:vAlign w:val="center"/>
          </w:tcPr>
          <w:p>
            <w:pPr>
              <w:pStyle w:val="8"/>
              <w:spacing w:line="360" w:lineRule="auto"/>
              <w:jc w:val="center"/>
              <w:rPr>
                <w:rFonts w:asciiTheme="majorEastAsia" w:hAnsiTheme="majorEastAsia" w:eastAsiaTheme="majorEastAsia" w:cstheme="majorEastAsia"/>
              </w:rPr>
            </w:pPr>
          </w:p>
        </w:tc>
        <w:tc>
          <w:tcPr>
            <w:tcW w:w="983"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pStyle w:val="8"/>
              <w:spacing w:line="360" w:lineRule="auto"/>
              <w:jc w:val="center"/>
              <w:rPr>
                <w:rFonts w:asciiTheme="majorEastAsia" w:hAnsiTheme="majorEastAsia" w:eastAsiaTheme="majorEastAsia" w:cstheme="majorEastAsia"/>
              </w:rPr>
            </w:pPr>
          </w:p>
        </w:tc>
        <w:tc>
          <w:tcPr>
            <w:tcW w:w="1236" w:type="dxa"/>
            <w:vAlign w:val="center"/>
          </w:tcPr>
          <w:p>
            <w:pPr>
              <w:pStyle w:val="8"/>
              <w:spacing w:line="360" w:lineRule="auto"/>
              <w:jc w:val="center"/>
              <w:rPr>
                <w:rFonts w:asciiTheme="majorEastAsia" w:hAnsiTheme="majorEastAsia" w:eastAsiaTheme="majorEastAsia" w:cstheme="majorEastAsia"/>
              </w:rPr>
            </w:pPr>
          </w:p>
        </w:tc>
        <w:tc>
          <w:tcPr>
            <w:tcW w:w="1236" w:type="dxa"/>
            <w:vAlign w:val="center"/>
          </w:tcPr>
          <w:p>
            <w:pPr>
              <w:pStyle w:val="8"/>
              <w:spacing w:line="360" w:lineRule="auto"/>
              <w:jc w:val="center"/>
              <w:rPr>
                <w:rFonts w:asciiTheme="majorEastAsia" w:hAnsiTheme="majorEastAsia" w:eastAsiaTheme="majorEastAsia" w:cstheme="majorEastAsia"/>
              </w:rPr>
            </w:pPr>
          </w:p>
        </w:tc>
        <w:tc>
          <w:tcPr>
            <w:tcW w:w="1096" w:type="dxa"/>
            <w:vAlign w:val="center"/>
          </w:tcPr>
          <w:p>
            <w:pPr>
              <w:pStyle w:val="8"/>
              <w:spacing w:line="360" w:lineRule="auto"/>
              <w:jc w:val="center"/>
              <w:rPr>
                <w:rFonts w:asciiTheme="majorEastAsia" w:hAnsiTheme="majorEastAsia" w:eastAsiaTheme="majorEastAsia" w:cstheme="majorEastAsia"/>
              </w:rPr>
            </w:pPr>
          </w:p>
        </w:tc>
        <w:tc>
          <w:tcPr>
            <w:tcW w:w="1112" w:type="dxa"/>
            <w:vAlign w:val="center"/>
          </w:tcPr>
          <w:p>
            <w:pPr>
              <w:pStyle w:val="8"/>
              <w:spacing w:line="360" w:lineRule="auto"/>
              <w:jc w:val="center"/>
              <w:rPr>
                <w:rFonts w:asciiTheme="majorEastAsia" w:hAnsiTheme="majorEastAsia" w:eastAsiaTheme="majorEastAsia" w:cstheme="majorEastAsia"/>
              </w:rPr>
            </w:pPr>
          </w:p>
        </w:tc>
        <w:tc>
          <w:tcPr>
            <w:tcW w:w="1929" w:type="dxa"/>
            <w:vAlign w:val="center"/>
          </w:tcPr>
          <w:p>
            <w:pPr>
              <w:pStyle w:val="8"/>
              <w:spacing w:line="360" w:lineRule="auto"/>
              <w:jc w:val="center"/>
              <w:rPr>
                <w:rFonts w:asciiTheme="majorEastAsia" w:hAnsiTheme="majorEastAsia" w:eastAsiaTheme="majorEastAsia" w:cstheme="majorEastAsia"/>
              </w:rPr>
            </w:pPr>
          </w:p>
        </w:tc>
        <w:tc>
          <w:tcPr>
            <w:tcW w:w="983"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pStyle w:val="8"/>
              <w:spacing w:line="360" w:lineRule="auto"/>
              <w:jc w:val="center"/>
              <w:rPr>
                <w:rFonts w:asciiTheme="majorEastAsia" w:hAnsiTheme="majorEastAsia" w:eastAsiaTheme="majorEastAsia" w:cstheme="majorEastAsia"/>
              </w:rPr>
            </w:pPr>
          </w:p>
        </w:tc>
        <w:tc>
          <w:tcPr>
            <w:tcW w:w="1236" w:type="dxa"/>
            <w:vAlign w:val="center"/>
          </w:tcPr>
          <w:p>
            <w:pPr>
              <w:pStyle w:val="8"/>
              <w:spacing w:line="360" w:lineRule="auto"/>
              <w:jc w:val="center"/>
              <w:rPr>
                <w:rFonts w:asciiTheme="majorEastAsia" w:hAnsiTheme="majorEastAsia" w:eastAsiaTheme="majorEastAsia" w:cstheme="majorEastAsia"/>
              </w:rPr>
            </w:pPr>
          </w:p>
        </w:tc>
        <w:tc>
          <w:tcPr>
            <w:tcW w:w="1236" w:type="dxa"/>
            <w:vAlign w:val="center"/>
          </w:tcPr>
          <w:p>
            <w:pPr>
              <w:pStyle w:val="8"/>
              <w:spacing w:line="360" w:lineRule="auto"/>
              <w:jc w:val="center"/>
              <w:rPr>
                <w:rFonts w:asciiTheme="majorEastAsia" w:hAnsiTheme="majorEastAsia" w:eastAsiaTheme="majorEastAsia" w:cstheme="majorEastAsia"/>
              </w:rPr>
            </w:pPr>
          </w:p>
        </w:tc>
        <w:tc>
          <w:tcPr>
            <w:tcW w:w="1096" w:type="dxa"/>
            <w:vAlign w:val="center"/>
          </w:tcPr>
          <w:p>
            <w:pPr>
              <w:pStyle w:val="8"/>
              <w:spacing w:line="360" w:lineRule="auto"/>
              <w:jc w:val="center"/>
              <w:rPr>
                <w:rFonts w:asciiTheme="majorEastAsia" w:hAnsiTheme="majorEastAsia" w:eastAsiaTheme="majorEastAsia" w:cstheme="majorEastAsia"/>
              </w:rPr>
            </w:pPr>
          </w:p>
        </w:tc>
        <w:tc>
          <w:tcPr>
            <w:tcW w:w="1112" w:type="dxa"/>
            <w:vAlign w:val="center"/>
          </w:tcPr>
          <w:p>
            <w:pPr>
              <w:pStyle w:val="8"/>
              <w:spacing w:line="360" w:lineRule="auto"/>
              <w:jc w:val="center"/>
              <w:rPr>
                <w:rFonts w:asciiTheme="majorEastAsia" w:hAnsiTheme="majorEastAsia" w:eastAsiaTheme="majorEastAsia" w:cstheme="majorEastAsia"/>
              </w:rPr>
            </w:pPr>
          </w:p>
        </w:tc>
        <w:tc>
          <w:tcPr>
            <w:tcW w:w="1929" w:type="dxa"/>
            <w:vAlign w:val="center"/>
          </w:tcPr>
          <w:p>
            <w:pPr>
              <w:pStyle w:val="8"/>
              <w:spacing w:line="360" w:lineRule="auto"/>
              <w:jc w:val="center"/>
              <w:rPr>
                <w:rFonts w:asciiTheme="majorEastAsia" w:hAnsiTheme="majorEastAsia" w:eastAsiaTheme="majorEastAsia" w:cstheme="majorEastAsia"/>
              </w:rPr>
            </w:pPr>
          </w:p>
        </w:tc>
        <w:tc>
          <w:tcPr>
            <w:tcW w:w="983"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pStyle w:val="8"/>
              <w:spacing w:line="360" w:lineRule="auto"/>
              <w:jc w:val="center"/>
              <w:rPr>
                <w:rFonts w:asciiTheme="majorEastAsia" w:hAnsiTheme="majorEastAsia" w:eastAsiaTheme="majorEastAsia" w:cstheme="majorEastAsia"/>
              </w:rPr>
            </w:pPr>
          </w:p>
        </w:tc>
        <w:tc>
          <w:tcPr>
            <w:tcW w:w="1236"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合计</w:t>
            </w:r>
          </w:p>
        </w:tc>
        <w:tc>
          <w:tcPr>
            <w:tcW w:w="1236" w:type="dxa"/>
            <w:vAlign w:val="center"/>
          </w:tcPr>
          <w:p>
            <w:pPr>
              <w:pStyle w:val="8"/>
              <w:spacing w:line="360" w:lineRule="auto"/>
              <w:jc w:val="center"/>
              <w:rPr>
                <w:rFonts w:asciiTheme="majorEastAsia" w:hAnsiTheme="majorEastAsia" w:eastAsiaTheme="majorEastAsia" w:cstheme="majorEastAsia"/>
              </w:rPr>
            </w:pPr>
          </w:p>
        </w:tc>
        <w:tc>
          <w:tcPr>
            <w:tcW w:w="1096" w:type="dxa"/>
            <w:vAlign w:val="center"/>
          </w:tcPr>
          <w:p>
            <w:pPr>
              <w:pStyle w:val="8"/>
              <w:spacing w:line="360" w:lineRule="auto"/>
              <w:jc w:val="center"/>
              <w:rPr>
                <w:rFonts w:asciiTheme="majorEastAsia" w:hAnsiTheme="majorEastAsia" w:eastAsiaTheme="majorEastAsia" w:cstheme="majorEastAsia"/>
              </w:rPr>
            </w:pPr>
          </w:p>
        </w:tc>
        <w:tc>
          <w:tcPr>
            <w:tcW w:w="1112" w:type="dxa"/>
            <w:vAlign w:val="center"/>
          </w:tcPr>
          <w:p>
            <w:pPr>
              <w:pStyle w:val="8"/>
              <w:spacing w:line="360" w:lineRule="auto"/>
              <w:jc w:val="center"/>
              <w:rPr>
                <w:rFonts w:asciiTheme="majorEastAsia" w:hAnsiTheme="majorEastAsia" w:eastAsiaTheme="majorEastAsia" w:cstheme="majorEastAsia"/>
              </w:rPr>
            </w:pPr>
          </w:p>
        </w:tc>
        <w:tc>
          <w:tcPr>
            <w:tcW w:w="1929" w:type="dxa"/>
            <w:vAlign w:val="center"/>
          </w:tcPr>
          <w:p>
            <w:pPr>
              <w:pStyle w:val="8"/>
              <w:spacing w:line="360" w:lineRule="auto"/>
              <w:jc w:val="center"/>
              <w:rPr>
                <w:rFonts w:asciiTheme="majorEastAsia" w:hAnsiTheme="majorEastAsia" w:eastAsiaTheme="majorEastAsia" w:cstheme="majorEastAsia"/>
              </w:rPr>
            </w:pPr>
          </w:p>
        </w:tc>
        <w:tc>
          <w:tcPr>
            <w:tcW w:w="983" w:type="dxa"/>
            <w:vAlign w:val="center"/>
          </w:tcPr>
          <w:p>
            <w:pPr>
              <w:pStyle w:val="8"/>
              <w:spacing w:line="360" w:lineRule="auto"/>
              <w:jc w:val="center"/>
              <w:rPr>
                <w:rFonts w:asciiTheme="majorEastAsia" w:hAnsiTheme="majorEastAsia" w:eastAsiaTheme="majorEastAsia" w:cstheme="majorEastAsia"/>
              </w:rPr>
            </w:pPr>
          </w:p>
        </w:tc>
      </w:tr>
    </w:tbl>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报价金额合计：小写：￥</w:t>
      </w:r>
      <w:r>
        <w:rPr>
          <w:rFonts w:asciiTheme="majorEastAsia" w:hAnsiTheme="majorEastAsia" w:eastAsiaTheme="majorEastAsia" w:cstheme="majorEastAsia"/>
        </w:rPr>
        <w:t>____________大写：人民币____________</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说明：</w:t>
      </w:r>
    </w:p>
    <w:p>
      <w:pPr>
        <w:pStyle w:val="8"/>
        <w:numPr>
          <w:ilvl w:val="0"/>
          <w:numId w:val="3"/>
        </w:numPr>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请供应商完整填写本表；</w:t>
      </w:r>
    </w:p>
    <w:p>
      <w:pPr>
        <w:pStyle w:val="8"/>
        <w:numPr>
          <w:ilvl w:val="0"/>
          <w:numId w:val="3"/>
        </w:numPr>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该表可扩展；</w:t>
      </w:r>
    </w:p>
    <w:p>
      <w:pPr>
        <w:pStyle w:val="8"/>
        <w:numPr>
          <w:ilvl w:val="0"/>
          <w:numId w:val="3"/>
        </w:numPr>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填写不全或超过投标最高限价或未按规定填写签字或盖章的，视为无效投标。</w:t>
      </w: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r>
        <w:rPr>
          <w:rFonts w:asciiTheme="majorEastAsia" w:hAnsiTheme="majorEastAsia" w:eastAsiaTheme="majorEastAsia" w:cstheme="majorEastAsia"/>
        </w:rPr>
        <w:t xml:space="preserve">                                                    供应商名称：（公章）</w:t>
      </w:r>
    </w:p>
    <w:p>
      <w:pPr>
        <w:pStyle w:val="8"/>
        <w:spacing w:line="360" w:lineRule="auto"/>
        <w:ind w:firstLine="4620" w:firstLineChars="2200"/>
        <w:rPr>
          <w:rFonts w:asciiTheme="majorEastAsia" w:hAnsiTheme="majorEastAsia" w:eastAsiaTheme="majorEastAsia" w:cstheme="majorEastAsia"/>
        </w:rPr>
      </w:pPr>
      <w:r>
        <w:rPr>
          <w:rFonts w:hint="eastAsia" w:asciiTheme="majorEastAsia" w:hAnsiTheme="majorEastAsia" w:eastAsiaTheme="majorEastAsia" w:cstheme="majorEastAsia"/>
        </w:rPr>
        <w:t>法人或授权代表签字：</w:t>
      </w:r>
    </w:p>
    <w:p>
      <w:pPr>
        <w:pStyle w:val="8"/>
        <w:spacing w:line="360" w:lineRule="auto"/>
        <w:ind w:firstLine="6090" w:firstLineChars="2900"/>
        <w:rPr>
          <w:rFonts w:asciiTheme="majorEastAsia" w:hAnsiTheme="majorEastAsia" w:eastAsiaTheme="majorEastAsia" w:cstheme="majorEastAsia"/>
        </w:rPr>
      </w:pPr>
      <w:r>
        <w:rPr>
          <w:rFonts w:hint="eastAsia" w:asciiTheme="majorEastAsia" w:hAnsiTheme="majorEastAsia" w:eastAsiaTheme="majorEastAsia" w:cstheme="majorEastAsia"/>
        </w:rPr>
        <w:t>日期：</w:t>
      </w:r>
    </w:p>
    <w:p>
      <w:pPr>
        <w:pStyle w:val="8"/>
        <w:spacing w:line="360" w:lineRule="auto"/>
        <w:ind w:firstLine="6090" w:firstLineChars="2900"/>
        <w:rPr>
          <w:rFonts w:asciiTheme="majorEastAsia" w:hAnsiTheme="majorEastAsia" w:eastAsiaTheme="majorEastAsia" w:cstheme="majorEastAsia"/>
        </w:rPr>
      </w:pPr>
    </w:p>
    <w:p>
      <w:pPr>
        <w:pStyle w:val="8"/>
        <w:spacing w:line="360" w:lineRule="auto"/>
        <w:ind w:firstLine="6090" w:firstLineChars="2900"/>
        <w:rPr>
          <w:rFonts w:asciiTheme="majorEastAsia" w:hAnsiTheme="majorEastAsia" w:eastAsiaTheme="majorEastAsia" w:cstheme="majorEastAsia"/>
        </w:rPr>
      </w:pPr>
    </w:p>
    <w:p>
      <w:pPr>
        <w:pStyle w:val="8"/>
        <w:spacing w:line="360" w:lineRule="auto"/>
        <w:ind w:firstLine="6090" w:firstLineChars="2900"/>
        <w:rPr>
          <w:rFonts w:asciiTheme="majorEastAsia" w:hAnsiTheme="majorEastAsia" w:eastAsiaTheme="majorEastAsia" w:cstheme="majorEastAsia"/>
        </w:rPr>
      </w:pPr>
    </w:p>
    <w:p>
      <w:pPr>
        <w:pStyle w:val="8"/>
        <w:spacing w:line="360" w:lineRule="auto"/>
        <w:ind w:firstLine="6090" w:firstLineChars="2900"/>
        <w:rPr>
          <w:rFonts w:asciiTheme="majorEastAsia" w:hAnsiTheme="majorEastAsia" w:eastAsiaTheme="majorEastAsia" w:cstheme="majorEastAsia"/>
        </w:rPr>
      </w:pPr>
    </w:p>
    <w:p>
      <w:pPr>
        <w:pStyle w:val="8"/>
        <w:spacing w:line="360" w:lineRule="auto"/>
        <w:ind w:firstLine="6090" w:firstLineChars="2900"/>
        <w:rPr>
          <w:rFonts w:asciiTheme="majorEastAsia" w:hAnsiTheme="majorEastAsia" w:eastAsiaTheme="majorEastAsia" w:cstheme="majorEastAsia"/>
        </w:rPr>
      </w:pPr>
    </w:p>
    <w:p>
      <w:pPr>
        <w:pStyle w:val="8"/>
        <w:spacing w:line="360" w:lineRule="auto"/>
        <w:ind w:firstLine="6090" w:firstLineChars="2900"/>
        <w:rPr>
          <w:rFonts w:asciiTheme="majorEastAsia" w:hAnsiTheme="majorEastAsia" w:eastAsiaTheme="majorEastAsia" w:cstheme="majorEastAsia"/>
        </w:rPr>
      </w:pPr>
    </w:p>
    <w:p>
      <w:pPr>
        <w:pStyle w:val="8"/>
        <w:spacing w:line="360" w:lineRule="auto"/>
        <w:ind w:firstLine="6090" w:firstLineChars="2900"/>
        <w:rPr>
          <w:rFonts w:asciiTheme="majorEastAsia" w:hAnsiTheme="majorEastAsia" w:eastAsiaTheme="majorEastAsia" w:cstheme="majorEastAsia"/>
        </w:rPr>
      </w:pPr>
    </w:p>
    <w:p>
      <w:pPr>
        <w:pStyle w:val="8"/>
        <w:spacing w:line="360" w:lineRule="auto"/>
        <w:ind w:firstLine="6090" w:firstLineChars="2900"/>
        <w:rPr>
          <w:rFonts w:asciiTheme="majorEastAsia" w:hAnsiTheme="majorEastAsia" w:eastAsiaTheme="majorEastAsia" w:cstheme="majorEastAsia"/>
        </w:rPr>
      </w:pPr>
    </w:p>
    <w:p>
      <w:pPr>
        <w:pStyle w:val="8"/>
        <w:spacing w:line="360" w:lineRule="auto"/>
        <w:ind w:firstLine="6090" w:firstLineChars="2900"/>
        <w:rPr>
          <w:rFonts w:asciiTheme="majorEastAsia" w:hAnsiTheme="majorEastAsia" w:eastAsiaTheme="majorEastAsia" w:cstheme="majorEastAsia"/>
        </w:rPr>
      </w:pPr>
    </w:p>
    <w:p>
      <w:pPr>
        <w:pStyle w:val="8"/>
        <w:spacing w:line="360" w:lineRule="auto"/>
        <w:ind w:firstLine="6090" w:firstLineChars="2900"/>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4"/>
        <w:spacing w:line="360" w:lineRule="auto"/>
        <w:ind w:firstLine="482"/>
        <w:rPr>
          <w:rFonts w:asciiTheme="majorEastAsia" w:hAnsiTheme="majorEastAsia" w:eastAsiaTheme="majorEastAsia" w:cstheme="majorEastAsia"/>
        </w:rPr>
      </w:pPr>
      <w:r>
        <w:rPr>
          <w:rFonts w:hint="eastAsia" w:asciiTheme="majorEastAsia" w:hAnsiTheme="majorEastAsia" w:eastAsiaTheme="majorEastAsia" w:cstheme="majorEastAsia"/>
        </w:rPr>
        <w:t>四、商务条款偏离表</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jc w:val="center"/>
        <w:rPr>
          <w:rFonts w:asciiTheme="majorEastAsia" w:hAnsiTheme="majorEastAsia" w:eastAsiaTheme="majorEastAsia" w:cstheme="majorEastAsia"/>
          <w:b/>
        </w:rPr>
      </w:pPr>
      <w:r>
        <w:rPr>
          <w:rFonts w:hint="eastAsia" w:asciiTheme="majorEastAsia" w:hAnsiTheme="majorEastAsia" w:eastAsiaTheme="majorEastAsia" w:cstheme="majorEastAsia"/>
        </w:rPr>
        <w:t>商务条款偏离表</w:t>
      </w:r>
    </w:p>
    <w:p>
      <w:pPr>
        <w:pStyle w:val="8"/>
        <w:spacing w:line="360" w:lineRule="auto"/>
        <w:rPr>
          <w:rFonts w:asciiTheme="majorEastAsia" w:hAnsiTheme="majorEastAsia" w:eastAsiaTheme="majorEastAsia" w:cstheme="majorEastAsia"/>
          <w:u w:val="single"/>
        </w:rPr>
      </w:pPr>
      <w:r>
        <w:rPr>
          <w:rFonts w:asciiTheme="majorEastAsia" w:hAnsiTheme="majorEastAsia" w:eastAsiaTheme="majorEastAsia" w:cstheme="majorEastAsia"/>
        </w:rPr>
        <w:t xml:space="preserve">  项目名称：</w:t>
      </w:r>
    </w:p>
    <w:p>
      <w:pPr>
        <w:pStyle w:val="8"/>
        <w:spacing w:line="360" w:lineRule="auto"/>
        <w:ind w:firstLine="210" w:firstLineChars="100"/>
        <w:rPr>
          <w:rFonts w:asciiTheme="majorEastAsia" w:hAnsiTheme="majorEastAsia" w:eastAsiaTheme="majorEastAsia" w:cstheme="majorEastAsia"/>
        </w:rPr>
      </w:pPr>
      <w:r>
        <w:rPr>
          <w:rFonts w:hint="eastAsia" w:asciiTheme="majorEastAsia" w:hAnsiTheme="majorEastAsia" w:eastAsiaTheme="majorEastAsia" w:cstheme="majorEastAsia"/>
        </w:rPr>
        <w:t>项目编号：</w:t>
      </w:r>
      <w:r>
        <w:rPr>
          <w:rFonts w:asciiTheme="majorEastAsia" w:hAnsiTheme="majorEastAsia" w:eastAsiaTheme="majorEastAsia" w:cstheme="majorEastAsia"/>
        </w:rPr>
        <w:t>____________________</w:t>
      </w:r>
    </w:p>
    <w:tbl>
      <w:tblPr>
        <w:tblStyle w:val="14"/>
        <w:tblW w:w="86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866"/>
        <w:gridCol w:w="1964"/>
        <w:gridCol w:w="1964"/>
        <w:gridCol w:w="816"/>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序号</w:t>
            </w:r>
          </w:p>
        </w:tc>
        <w:tc>
          <w:tcPr>
            <w:tcW w:w="1866"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招标文件条目号</w:t>
            </w:r>
          </w:p>
        </w:tc>
        <w:tc>
          <w:tcPr>
            <w:tcW w:w="1964"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招标文件的商务条款</w:t>
            </w:r>
          </w:p>
        </w:tc>
        <w:tc>
          <w:tcPr>
            <w:tcW w:w="1964"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投标文件的商务条款</w:t>
            </w:r>
          </w:p>
        </w:tc>
        <w:tc>
          <w:tcPr>
            <w:tcW w:w="816"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偏离</w:t>
            </w:r>
          </w:p>
        </w:tc>
        <w:tc>
          <w:tcPr>
            <w:tcW w:w="1190"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pStyle w:val="8"/>
              <w:spacing w:line="360" w:lineRule="auto"/>
              <w:jc w:val="center"/>
              <w:rPr>
                <w:rFonts w:asciiTheme="majorEastAsia" w:hAnsiTheme="majorEastAsia" w:eastAsiaTheme="majorEastAsia" w:cstheme="majorEastAsia"/>
              </w:rPr>
            </w:pPr>
          </w:p>
        </w:tc>
        <w:tc>
          <w:tcPr>
            <w:tcW w:w="1866" w:type="dxa"/>
            <w:vAlign w:val="center"/>
          </w:tcPr>
          <w:p>
            <w:pPr>
              <w:pStyle w:val="8"/>
              <w:spacing w:line="360" w:lineRule="auto"/>
              <w:jc w:val="center"/>
              <w:rPr>
                <w:rFonts w:asciiTheme="majorEastAsia" w:hAnsiTheme="majorEastAsia" w:eastAsiaTheme="majorEastAsia" w:cstheme="majorEastAsia"/>
              </w:rPr>
            </w:pPr>
          </w:p>
        </w:tc>
        <w:tc>
          <w:tcPr>
            <w:tcW w:w="1964" w:type="dxa"/>
            <w:vAlign w:val="center"/>
          </w:tcPr>
          <w:p>
            <w:pPr>
              <w:pStyle w:val="8"/>
              <w:spacing w:line="360" w:lineRule="auto"/>
              <w:jc w:val="center"/>
              <w:rPr>
                <w:rFonts w:asciiTheme="majorEastAsia" w:hAnsiTheme="majorEastAsia" w:eastAsiaTheme="majorEastAsia" w:cstheme="majorEastAsia"/>
              </w:rPr>
            </w:pPr>
          </w:p>
        </w:tc>
        <w:tc>
          <w:tcPr>
            <w:tcW w:w="1964" w:type="dxa"/>
            <w:vAlign w:val="center"/>
          </w:tcPr>
          <w:p>
            <w:pPr>
              <w:pStyle w:val="8"/>
              <w:spacing w:line="360" w:lineRule="auto"/>
              <w:jc w:val="center"/>
              <w:rPr>
                <w:rFonts w:asciiTheme="majorEastAsia" w:hAnsiTheme="majorEastAsia" w:eastAsiaTheme="majorEastAsia" w:cstheme="majorEastAsia"/>
              </w:rPr>
            </w:pPr>
          </w:p>
        </w:tc>
        <w:tc>
          <w:tcPr>
            <w:tcW w:w="816" w:type="dxa"/>
            <w:vAlign w:val="center"/>
          </w:tcPr>
          <w:p>
            <w:pPr>
              <w:pStyle w:val="8"/>
              <w:spacing w:line="360" w:lineRule="auto"/>
              <w:jc w:val="center"/>
              <w:rPr>
                <w:rFonts w:asciiTheme="majorEastAsia" w:hAnsiTheme="majorEastAsia" w:eastAsiaTheme="majorEastAsia" w:cstheme="majorEastAsia"/>
              </w:rPr>
            </w:pPr>
          </w:p>
        </w:tc>
        <w:tc>
          <w:tcPr>
            <w:tcW w:w="1190"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pStyle w:val="8"/>
              <w:spacing w:line="360" w:lineRule="auto"/>
              <w:jc w:val="center"/>
              <w:rPr>
                <w:rFonts w:asciiTheme="majorEastAsia" w:hAnsiTheme="majorEastAsia" w:eastAsiaTheme="majorEastAsia" w:cstheme="majorEastAsia"/>
              </w:rPr>
            </w:pPr>
          </w:p>
        </w:tc>
        <w:tc>
          <w:tcPr>
            <w:tcW w:w="1866" w:type="dxa"/>
            <w:vAlign w:val="center"/>
          </w:tcPr>
          <w:p>
            <w:pPr>
              <w:pStyle w:val="8"/>
              <w:spacing w:line="360" w:lineRule="auto"/>
              <w:jc w:val="center"/>
              <w:rPr>
                <w:rFonts w:asciiTheme="majorEastAsia" w:hAnsiTheme="majorEastAsia" w:eastAsiaTheme="majorEastAsia" w:cstheme="majorEastAsia"/>
              </w:rPr>
            </w:pPr>
          </w:p>
        </w:tc>
        <w:tc>
          <w:tcPr>
            <w:tcW w:w="1964" w:type="dxa"/>
            <w:vAlign w:val="center"/>
          </w:tcPr>
          <w:p>
            <w:pPr>
              <w:pStyle w:val="8"/>
              <w:spacing w:line="360" w:lineRule="auto"/>
              <w:jc w:val="center"/>
              <w:rPr>
                <w:rFonts w:asciiTheme="majorEastAsia" w:hAnsiTheme="majorEastAsia" w:eastAsiaTheme="majorEastAsia" w:cstheme="majorEastAsia"/>
              </w:rPr>
            </w:pPr>
          </w:p>
        </w:tc>
        <w:tc>
          <w:tcPr>
            <w:tcW w:w="1964" w:type="dxa"/>
            <w:vAlign w:val="center"/>
          </w:tcPr>
          <w:p>
            <w:pPr>
              <w:pStyle w:val="8"/>
              <w:spacing w:line="360" w:lineRule="auto"/>
              <w:jc w:val="center"/>
              <w:rPr>
                <w:rFonts w:asciiTheme="majorEastAsia" w:hAnsiTheme="majorEastAsia" w:eastAsiaTheme="majorEastAsia" w:cstheme="majorEastAsia"/>
              </w:rPr>
            </w:pPr>
          </w:p>
        </w:tc>
        <w:tc>
          <w:tcPr>
            <w:tcW w:w="816" w:type="dxa"/>
            <w:vAlign w:val="center"/>
          </w:tcPr>
          <w:p>
            <w:pPr>
              <w:pStyle w:val="8"/>
              <w:spacing w:line="360" w:lineRule="auto"/>
              <w:jc w:val="center"/>
              <w:rPr>
                <w:rFonts w:asciiTheme="majorEastAsia" w:hAnsiTheme="majorEastAsia" w:eastAsiaTheme="majorEastAsia" w:cstheme="majorEastAsia"/>
              </w:rPr>
            </w:pPr>
          </w:p>
        </w:tc>
        <w:tc>
          <w:tcPr>
            <w:tcW w:w="1190"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pStyle w:val="8"/>
              <w:spacing w:line="360" w:lineRule="auto"/>
              <w:jc w:val="center"/>
              <w:rPr>
                <w:rFonts w:asciiTheme="majorEastAsia" w:hAnsiTheme="majorEastAsia" w:eastAsiaTheme="majorEastAsia" w:cstheme="majorEastAsia"/>
              </w:rPr>
            </w:pPr>
          </w:p>
        </w:tc>
        <w:tc>
          <w:tcPr>
            <w:tcW w:w="1866" w:type="dxa"/>
            <w:vAlign w:val="center"/>
          </w:tcPr>
          <w:p>
            <w:pPr>
              <w:pStyle w:val="8"/>
              <w:spacing w:line="360" w:lineRule="auto"/>
              <w:jc w:val="center"/>
              <w:rPr>
                <w:rFonts w:asciiTheme="majorEastAsia" w:hAnsiTheme="majorEastAsia" w:eastAsiaTheme="majorEastAsia" w:cstheme="majorEastAsia"/>
              </w:rPr>
            </w:pPr>
          </w:p>
        </w:tc>
        <w:tc>
          <w:tcPr>
            <w:tcW w:w="1964" w:type="dxa"/>
            <w:vAlign w:val="center"/>
          </w:tcPr>
          <w:p>
            <w:pPr>
              <w:pStyle w:val="8"/>
              <w:spacing w:line="360" w:lineRule="auto"/>
              <w:jc w:val="center"/>
              <w:rPr>
                <w:rFonts w:asciiTheme="majorEastAsia" w:hAnsiTheme="majorEastAsia" w:eastAsiaTheme="majorEastAsia" w:cstheme="majorEastAsia"/>
              </w:rPr>
            </w:pPr>
          </w:p>
        </w:tc>
        <w:tc>
          <w:tcPr>
            <w:tcW w:w="1964" w:type="dxa"/>
            <w:vAlign w:val="center"/>
          </w:tcPr>
          <w:p>
            <w:pPr>
              <w:pStyle w:val="8"/>
              <w:spacing w:line="360" w:lineRule="auto"/>
              <w:jc w:val="center"/>
              <w:rPr>
                <w:rFonts w:asciiTheme="majorEastAsia" w:hAnsiTheme="majorEastAsia" w:eastAsiaTheme="majorEastAsia" w:cstheme="majorEastAsia"/>
              </w:rPr>
            </w:pPr>
          </w:p>
        </w:tc>
        <w:tc>
          <w:tcPr>
            <w:tcW w:w="816" w:type="dxa"/>
            <w:vAlign w:val="center"/>
          </w:tcPr>
          <w:p>
            <w:pPr>
              <w:pStyle w:val="8"/>
              <w:spacing w:line="360" w:lineRule="auto"/>
              <w:jc w:val="center"/>
              <w:rPr>
                <w:rFonts w:asciiTheme="majorEastAsia" w:hAnsiTheme="majorEastAsia" w:eastAsiaTheme="majorEastAsia" w:cstheme="majorEastAsia"/>
              </w:rPr>
            </w:pPr>
          </w:p>
        </w:tc>
        <w:tc>
          <w:tcPr>
            <w:tcW w:w="1190"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pStyle w:val="8"/>
              <w:spacing w:line="360" w:lineRule="auto"/>
              <w:jc w:val="center"/>
              <w:rPr>
                <w:rFonts w:asciiTheme="majorEastAsia" w:hAnsiTheme="majorEastAsia" w:eastAsiaTheme="majorEastAsia" w:cstheme="majorEastAsia"/>
              </w:rPr>
            </w:pPr>
          </w:p>
        </w:tc>
        <w:tc>
          <w:tcPr>
            <w:tcW w:w="1866" w:type="dxa"/>
            <w:vAlign w:val="center"/>
          </w:tcPr>
          <w:p>
            <w:pPr>
              <w:pStyle w:val="8"/>
              <w:spacing w:line="360" w:lineRule="auto"/>
              <w:jc w:val="center"/>
              <w:rPr>
                <w:rFonts w:asciiTheme="majorEastAsia" w:hAnsiTheme="majorEastAsia" w:eastAsiaTheme="majorEastAsia" w:cstheme="majorEastAsia"/>
              </w:rPr>
            </w:pPr>
          </w:p>
        </w:tc>
        <w:tc>
          <w:tcPr>
            <w:tcW w:w="1964" w:type="dxa"/>
            <w:vAlign w:val="center"/>
          </w:tcPr>
          <w:p>
            <w:pPr>
              <w:pStyle w:val="8"/>
              <w:spacing w:line="360" w:lineRule="auto"/>
              <w:jc w:val="center"/>
              <w:rPr>
                <w:rFonts w:asciiTheme="majorEastAsia" w:hAnsiTheme="majorEastAsia" w:eastAsiaTheme="majorEastAsia" w:cstheme="majorEastAsia"/>
              </w:rPr>
            </w:pPr>
          </w:p>
        </w:tc>
        <w:tc>
          <w:tcPr>
            <w:tcW w:w="1964" w:type="dxa"/>
            <w:vAlign w:val="center"/>
          </w:tcPr>
          <w:p>
            <w:pPr>
              <w:pStyle w:val="8"/>
              <w:spacing w:line="360" w:lineRule="auto"/>
              <w:jc w:val="center"/>
              <w:rPr>
                <w:rFonts w:asciiTheme="majorEastAsia" w:hAnsiTheme="majorEastAsia" w:eastAsiaTheme="majorEastAsia" w:cstheme="majorEastAsia"/>
              </w:rPr>
            </w:pPr>
          </w:p>
        </w:tc>
        <w:tc>
          <w:tcPr>
            <w:tcW w:w="816" w:type="dxa"/>
            <w:vAlign w:val="center"/>
          </w:tcPr>
          <w:p>
            <w:pPr>
              <w:pStyle w:val="8"/>
              <w:spacing w:line="360" w:lineRule="auto"/>
              <w:jc w:val="center"/>
              <w:rPr>
                <w:rFonts w:asciiTheme="majorEastAsia" w:hAnsiTheme="majorEastAsia" w:eastAsiaTheme="majorEastAsia" w:cstheme="majorEastAsia"/>
              </w:rPr>
            </w:pPr>
          </w:p>
        </w:tc>
        <w:tc>
          <w:tcPr>
            <w:tcW w:w="1190"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pStyle w:val="8"/>
              <w:spacing w:line="360" w:lineRule="auto"/>
              <w:jc w:val="center"/>
              <w:rPr>
                <w:rFonts w:asciiTheme="majorEastAsia" w:hAnsiTheme="majorEastAsia" w:eastAsiaTheme="majorEastAsia" w:cstheme="majorEastAsia"/>
              </w:rPr>
            </w:pPr>
          </w:p>
        </w:tc>
        <w:tc>
          <w:tcPr>
            <w:tcW w:w="1866" w:type="dxa"/>
            <w:vAlign w:val="center"/>
          </w:tcPr>
          <w:p>
            <w:pPr>
              <w:pStyle w:val="8"/>
              <w:spacing w:line="360" w:lineRule="auto"/>
              <w:jc w:val="center"/>
              <w:rPr>
                <w:rFonts w:asciiTheme="majorEastAsia" w:hAnsiTheme="majorEastAsia" w:eastAsiaTheme="majorEastAsia" w:cstheme="majorEastAsia"/>
              </w:rPr>
            </w:pPr>
          </w:p>
        </w:tc>
        <w:tc>
          <w:tcPr>
            <w:tcW w:w="1964" w:type="dxa"/>
            <w:vAlign w:val="center"/>
          </w:tcPr>
          <w:p>
            <w:pPr>
              <w:pStyle w:val="8"/>
              <w:spacing w:line="360" w:lineRule="auto"/>
              <w:jc w:val="center"/>
              <w:rPr>
                <w:rFonts w:asciiTheme="majorEastAsia" w:hAnsiTheme="majorEastAsia" w:eastAsiaTheme="majorEastAsia" w:cstheme="majorEastAsia"/>
              </w:rPr>
            </w:pPr>
          </w:p>
        </w:tc>
        <w:tc>
          <w:tcPr>
            <w:tcW w:w="1964" w:type="dxa"/>
            <w:vAlign w:val="center"/>
          </w:tcPr>
          <w:p>
            <w:pPr>
              <w:pStyle w:val="8"/>
              <w:spacing w:line="360" w:lineRule="auto"/>
              <w:jc w:val="center"/>
              <w:rPr>
                <w:rFonts w:asciiTheme="majorEastAsia" w:hAnsiTheme="majorEastAsia" w:eastAsiaTheme="majorEastAsia" w:cstheme="majorEastAsia"/>
              </w:rPr>
            </w:pPr>
          </w:p>
        </w:tc>
        <w:tc>
          <w:tcPr>
            <w:tcW w:w="816" w:type="dxa"/>
            <w:vAlign w:val="center"/>
          </w:tcPr>
          <w:p>
            <w:pPr>
              <w:pStyle w:val="8"/>
              <w:spacing w:line="360" w:lineRule="auto"/>
              <w:jc w:val="center"/>
              <w:rPr>
                <w:rFonts w:asciiTheme="majorEastAsia" w:hAnsiTheme="majorEastAsia" w:eastAsiaTheme="majorEastAsia" w:cstheme="majorEastAsia"/>
              </w:rPr>
            </w:pPr>
          </w:p>
        </w:tc>
        <w:tc>
          <w:tcPr>
            <w:tcW w:w="1190"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pStyle w:val="8"/>
              <w:spacing w:line="360" w:lineRule="auto"/>
              <w:jc w:val="center"/>
              <w:rPr>
                <w:rFonts w:asciiTheme="majorEastAsia" w:hAnsiTheme="majorEastAsia" w:eastAsiaTheme="majorEastAsia" w:cstheme="majorEastAsia"/>
              </w:rPr>
            </w:pPr>
          </w:p>
        </w:tc>
        <w:tc>
          <w:tcPr>
            <w:tcW w:w="1866" w:type="dxa"/>
            <w:vAlign w:val="center"/>
          </w:tcPr>
          <w:p>
            <w:pPr>
              <w:pStyle w:val="8"/>
              <w:spacing w:line="360" w:lineRule="auto"/>
              <w:jc w:val="center"/>
              <w:rPr>
                <w:rFonts w:asciiTheme="majorEastAsia" w:hAnsiTheme="majorEastAsia" w:eastAsiaTheme="majorEastAsia" w:cstheme="majorEastAsia"/>
              </w:rPr>
            </w:pPr>
          </w:p>
        </w:tc>
        <w:tc>
          <w:tcPr>
            <w:tcW w:w="1964" w:type="dxa"/>
            <w:vAlign w:val="center"/>
          </w:tcPr>
          <w:p>
            <w:pPr>
              <w:pStyle w:val="8"/>
              <w:spacing w:line="360" w:lineRule="auto"/>
              <w:jc w:val="center"/>
              <w:rPr>
                <w:rFonts w:asciiTheme="majorEastAsia" w:hAnsiTheme="majorEastAsia" w:eastAsiaTheme="majorEastAsia" w:cstheme="majorEastAsia"/>
              </w:rPr>
            </w:pPr>
          </w:p>
        </w:tc>
        <w:tc>
          <w:tcPr>
            <w:tcW w:w="1964" w:type="dxa"/>
            <w:vAlign w:val="center"/>
          </w:tcPr>
          <w:p>
            <w:pPr>
              <w:pStyle w:val="8"/>
              <w:spacing w:line="360" w:lineRule="auto"/>
              <w:jc w:val="center"/>
              <w:rPr>
                <w:rFonts w:asciiTheme="majorEastAsia" w:hAnsiTheme="majorEastAsia" w:eastAsiaTheme="majorEastAsia" w:cstheme="majorEastAsia"/>
              </w:rPr>
            </w:pPr>
          </w:p>
        </w:tc>
        <w:tc>
          <w:tcPr>
            <w:tcW w:w="816" w:type="dxa"/>
            <w:vAlign w:val="center"/>
          </w:tcPr>
          <w:p>
            <w:pPr>
              <w:pStyle w:val="8"/>
              <w:spacing w:line="360" w:lineRule="auto"/>
              <w:jc w:val="center"/>
              <w:rPr>
                <w:rFonts w:asciiTheme="majorEastAsia" w:hAnsiTheme="majorEastAsia" w:eastAsiaTheme="majorEastAsia" w:cstheme="majorEastAsia"/>
              </w:rPr>
            </w:pPr>
          </w:p>
        </w:tc>
        <w:tc>
          <w:tcPr>
            <w:tcW w:w="1190" w:type="dxa"/>
            <w:vAlign w:val="center"/>
          </w:tcPr>
          <w:p>
            <w:pPr>
              <w:pStyle w:val="8"/>
              <w:spacing w:line="360" w:lineRule="auto"/>
              <w:jc w:val="center"/>
              <w:rPr>
                <w:rFonts w:asciiTheme="majorEastAsia" w:hAnsiTheme="majorEastAsia" w:eastAsiaTheme="majorEastAsia" w:cstheme="majorEastAsia"/>
              </w:rPr>
            </w:pPr>
          </w:p>
        </w:tc>
      </w:tr>
    </w:tbl>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说明：如有偏离，则必须注明“偏离”；未注明偏离的，视为完全响应。</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投标人名称</w:t>
      </w:r>
      <w:r>
        <w:rPr>
          <w:rFonts w:asciiTheme="majorEastAsia" w:hAnsiTheme="majorEastAsia" w:eastAsiaTheme="majorEastAsia" w:cstheme="majorEastAsia"/>
        </w:rPr>
        <w:t>(公章)：________________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法定代表人或其授权代表</w:t>
      </w:r>
      <w:r>
        <w:rPr>
          <w:rFonts w:asciiTheme="majorEastAsia" w:hAnsiTheme="majorEastAsia" w:eastAsiaTheme="majorEastAsia" w:cstheme="majorEastAsia"/>
        </w:rPr>
        <w:t>(签字或盖章)：________________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日期：</w:t>
      </w:r>
      <w:r>
        <w:rPr>
          <w:rFonts w:asciiTheme="majorEastAsia" w:hAnsiTheme="majorEastAsia" w:eastAsiaTheme="majorEastAsia" w:cstheme="majorEastAsia"/>
        </w:rPr>
        <w:t>______年____月____日</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说明：授权用招标专用章的，与公章具有相同法律效力。</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br w:type="page"/>
      </w:r>
    </w:p>
    <w:p>
      <w:pPr>
        <w:pStyle w:val="4"/>
        <w:spacing w:line="360" w:lineRule="auto"/>
        <w:ind w:firstLine="482"/>
        <w:rPr>
          <w:rFonts w:asciiTheme="majorEastAsia" w:hAnsiTheme="majorEastAsia" w:eastAsiaTheme="majorEastAsia" w:cstheme="majorEastAsia"/>
        </w:rPr>
      </w:pPr>
      <w:r>
        <w:rPr>
          <w:rFonts w:hint="eastAsia" w:asciiTheme="majorEastAsia" w:hAnsiTheme="majorEastAsia" w:eastAsiaTheme="majorEastAsia" w:cstheme="majorEastAsia"/>
        </w:rPr>
        <w:t>五、投标保证金</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br w:type="page"/>
      </w:r>
    </w:p>
    <w:p>
      <w:pPr>
        <w:pStyle w:val="4"/>
        <w:spacing w:line="360" w:lineRule="auto"/>
        <w:ind w:firstLine="482"/>
        <w:rPr>
          <w:rFonts w:asciiTheme="majorEastAsia" w:hAnsiTheme="majorEastAsia" w:eastAsiaTheme="majorEastAsia" w:cstheme="majorEastAsia"/>
        </w:rPr>
      </w:pPr>
      <w:r>
        <w:rPr>
          <w:rFonts w:hint="eastAsia" w:asciiTheme="majorEastAsia" w:hAnsiTheme="majorEastAsia" w:eastAsiaTheme="majorEastAsia" w:cstheme="majorEastAsia"/>
        </w:rPr>
        <w:t>六、投标人具备投标资格的证明文件</w:t>
      </w:r>
    </w:p>
    <w:p>
      <w:pPr>
        <w:pStyle w:val="8"/>
        <w:spacing w:line="360" w:lineRule="auto"/>
        <w:ind w:firstLine="420" w:firstLineChars="200"/>
        <w:jc w:val="center"/>
        <w:rPr>
          <w:rFonts w:asciiTheme="majorEastAsia" w:hAnsiTheme="majorEastAsia" w:eastAsiaTheme="majorEastAsia" w:cstheme="majorEastAsia"/>
        </w:rPr>
      </w:pPr>
      <w:r>
        <w:rPr>
          <w:rFonts w:hint="eastAsia" w:asciiTheme="majorEastAsia" w:hAnsiTheme="majorEastAsia" w:eastAsiaTheme="majorEastAsia" w:cstheme="majorEastAsia"/>
        </w:rPr>
        <w:t>填写须知</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(一)投标人有下列情形之一的，视为无效投标：</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1.未按招标文件要求提交资格证明文件的；</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2.提供的资格证明文件不符合招标文件要求或提供虚假资格证明文件的；</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3.资格证明文件未按招标文件要求加盖供应商单位章、签字的；</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4.资格证明文件过了有效期的或未按有关规定年审合格的。</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(二)投标人应提供的证明材料</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附</w:t>
      </w:r>
      <w:r>
        <w:rPr>
          <w:rFonts w:asciiTheme="majorEastAsia" w:hAnsiTheme="majorEastAsia" w:eastAsiaTheme="majorEastAsia" w:cstheme="majorEastAsia"/>
        </w:rPr>
        <w:t>1.法定代表人身份证明或附有法定代表人身份证明的授权委托书(包括附件1－1、附件1－2)</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附</w:t>
      </w:r>
      <w:r>
        <w:rPr>
          <w:rFonts w:asciiTheme="majorEastAsia" w:hAnsiTheme="majorEastAsia" w:eastAsiaTheme="majorEastAsia" w:cstheme="majorEastAsia"/>
        </w:rPr>
        <w:t>2.法人或者其他组织的营业执照等主体资格证明文件，自然人的身份证明</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附</w:t>
      </w:r>
      <w:r>
        <w:rPr>
          <w:rFonts w:asciiTheme="majorEastAsia" w:hAnsiTheme="majorEastAsia" w:eastAsiaTheme="majorEastAsia" w:cstheme="majorEastAsia"/>
        </w:rPr>
        <w:t>3.依法缴纳税收和社会保险费的相关证明</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附</w:t>
      </w:r>
      <w:r>
        <w:rPr>
          <w:rFonts w:asciiTheme="majorEastAsia" w:hAnsiTheme="majorEastAsia" w:eastAsiaTheme="majorEastAsia" w:cstheme="majorEastAsia"/>
        </w:rPr>
        <w:t>4.参加采购活动前三年内在经营活动中没有重大违法记录的书面声明</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附</w:t>
      </w:r>
      <w:r>
        <w:rPr>
          <w:rFonts w:asciiTheme="majorEastAsia" w:hAnsiTheme="majorEastAsia" w:eastAsiaTheme="majorEastAsia" w:cstheme="majorEastAsia"/>
        </w:rPr>
        <w:t>5.政府采购法律法规规定的其他资格条件证明文件</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附</w:t>
      </w:r>
      <w:r>
        <w:rPr>
          <w:rFonts w:asciiTheme="majorEastAsia" w:hAnsiTheme="majorEastAsia" w:eastAsiaTheme="majorEastAsia" w:cstheme="majorEastAsia"/>
        </w:rPr>
        <w:t>6.中小企业声明函</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附</w:t>
      </w:r>
      <w:r>
        <w:rPr>
          <w:rFonts w:asciiTheme="majorEastAsia" w:hAnsiTheme="majorEastAsia" w:eastAsiaTheme="majorEastAsia" w:cstheme="majorEastAsia"/>
        </w:rPr>
        <w:t>7.招标文件规定的其他资格条件证明文件</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(三)其他</w:t>
      </w:r>
    </w:p>
    <w:p>
      <w:pPr>
        <w:pStyle w:val="8"/>
        <w:spacing w:line="360" w:lineRule="auto"/>
        <w:ind w:firstLine="420" w:firstLineChars="200"/>
        <w:rPr>
          <w:rFonts w:asciiTheme="majorEastAsia" w:hAnsiTheme="majorEastAsia" w:eastAsiaTheme="majorEastAsia" w:cstheme="majorEastAsia"/>
        </w:rPr>
      </w:pPr>
    </w:p>
    <w:p>
      <w:pPr>
        <w:pStyle w:val="5"/>
        <w:spacing w:line="360" w:lineRule="auto"/>
        <w:rPr>
          <w:rFonts w:asciiTheme="majorEastAsia" w:hAnsiTheme="majorEastAsia" w:eastAsiaTheme="majorEastAsia" w:cstheme="majorEastAsia"/>
        </w:rPr>
      </w:pPr>
    </w:p>
    <w:p>
      <w:pPr>
        <w:pStyle w:val="5"/>
        <w:spacing w:line="360" w:lineRule="auto"/>
        <w:rPr>
          <w:rFonts w:asciiTheme="majorEastAsia" w:hAnsiTheme="majorEastAsia" w:eastAsiaTheme="majorEastAsia" w:cstheme="majorEastAsia"/>
        </w:rPr>
      </w:pPr>
    </w:p>
    <w:p>
      <w:pPr>
        <w:pStyle w:val="5"/>
        <w:spacing w:line="360" w:lineRule="auto"/>
        <w:rPr>
          <w:rFonts w:asciiTheme="majorEastAsia" w:hAnsiTheme="majorEastAsia" w:eastAsiaTheme="majorEastAsia" w:cstheme="majorEastAsia"/>
        </w:rPr>
      </w:pPr>
    </w:p>
    <w:p>
      <w:pPr>
        <w:pStyle w:val="5"/>
        <w:spacing w:line="360" w:lineRule="auto"/>
        <w:rPr>
          <w:rFonts w:asciiTheme="majorEastAsia" w:hAnsiTheme="majorEastAsia" w:eastAsiaTheme="majorEastAsia" w:cstheme="majorEastAsia"/>
        </w:rPr>
      </w:pPr>
      <w:r>
        <w:rPr>
          <w:rFonts w:asciiTheme="majorEastAsia" w:hAnsiTheme="majorEastAsia" w:eastAsiaTheme="majorEastAsia" w:cstheme="majorEastAsia"/>
        </w:rPr>
        <w:br w:type="page"/>
      </w:r>
    </w:p>
    <w:p>
      <w:pPr>
        <w:pStyle w:val="5"/>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附件</w:t>
      </w:r>
      <w:r>
        <w:rPr>
          <w:rFonts w:asciiTheme="majorEastAsia" w:hAnsiTheme="majorEastAsia" w:eastAsiaTheme="majorEastAsia" w:cstheme="majorEastAsia"/>
        </w:rPr>
        <w:t>1</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附件</w:t>
      </w:r>
      <w:r>
        <w:rPr>
          <w:rFonts w:asciiTheme="majorEastAsia" w:hAnsiTheme="majorEastAsia" w:eastAsiaTheme="majorEastAsia" w:cstheme="majorEastAsia"/>
        </w:rPr>
        <w:t>1－1　法定代表人身份证明复印件(法定代表人参加投标的)</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附件</w:t>
      </w:r>
      <w:r>
        <w:rPr>
          <w:rFonts w:asciiTheme="majorEastAsia" w:hAnsiTheme="majorEastAsia" w:eastAsiaTheme="majorEastAsia" w:cstheme="majorEastAsia"/>
        </w:rPr>
        <w:t>1－2</w:t>
      </w:r>
    </w:p>
    <w:p>
      <w:pPr>
        <w:pStyle w:val="8"/>
        <w:spacing w:line="360" w:lineRule="auto"/>
        <w:ind w:firstLine="420" w:firstLineChars="200"/>
        <w:jc w:val="center"/>
        <w:rPr>
          <w:rFonts w:asciiTheme="majorEastAsia" w:hAnsiTheme="majorEastAsia" w:eastAsiaTheme="majorEastAsia" w:cstheme="majorEastAsia"/>
        </w:rPr>
      </w:pPr>
      <w:r>
        <w:rPr>
          <w:rFonts w:hint="eastAsia" w:asciiTheme="majorEastAsia" w:hAnsiTheme="majorEastAsia" w:eastAsiaTheme="majorEastAsia" w:cstheme="majorEastAsia"/>
        </w:rPr>
        <w:t>法定代表人授权委托书</w:t>
      </w:r>
      <w:r>
        <w:rPr>
          <w:rFonts w:asciiTheme="majorEastAsia" w:hAnsiTheme="majorEastAsia" w:eastAsiaTheme="majorEastAsia" w:cstheme="majorEastAsia"/>
        </w:rPr>
        <w:t>(授权代表参加投标的)</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________(投标人名称)的法定代表人________(姓名、职务)授权________(投标人代表姓名、职务)为本公司的投标人代表，就______(项目名称)投标及相关事务代表本公司处理与之有关的一切事务。</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委托期限：</w:t>
      </w:r>
      <w:r>
        <w:rPr>
          <w:rFonts w:asciiTheme="majorEastAsia" w:hAnsiTheme="majorEastAsia" w:eastAsiaTheme="majorEastAsia" w:cstheme="majorEastAsia"/>
        </w:rPr>
        <w:t>____________________。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代理人无转委托权。</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本授权书于</w:t>
      </w:r>
      <w:r>
        <w:rPr>
          <w:rFonts w:asciiTheme="majorEastAsia" w:hAnsiTheme="majorEastAsia" w:eastAsiaTheme="majorEastAsia" w:cstheme="majorEastAsia"/>
        </w:rPr>
        <w:t>______年____月____日签字生效，特此声明。</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tbl>
      <w:tblPr>
        <w:tblStyle w:val="14"/>
        <w:tblW w:w="738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7389" w:type="dxa"/>
            <w:vAlign w:val="center"/>
          </w:tcPr>
          <w:p>
            <w:pPr>
              <w:pStyle w:val="8"/>
              <w:spacing w:line="360" w:lineRule="auto"/>
              <w:jc w:val="center"/>
              <w:rPr>
                <w:rFonts w:asciiTheme="majorEastAsia" w:hAnsiTheme="majorEastAsia" w:eastAsiaTheme="majorEastAsia" w:cstheme="majorEastAsia"/>
              </w:rPr>
            </w:pPr>
          </w:p>
          <w:p>
            <w:pPr>
              <w:pStyle w:val="8"/>
              <w:spacing w:line="360" w:lineRule="auto"/>
              <w:jc w:val="center"/>
              <w:rPr>
                <w:rFonts w:asciiTheme="majorEastAsia" w:hAnsiTheme="majorEastAsia" w:eastAsiaTheme="majorEastAsia" w:cstheme="majorEastAsia"/>
              </w:rPr>
            </w:pPr>
          </w:p>
          <w:p>
            <w:pPr>
              <w:pStyle w:val="8"/>
              <w:spacing w:line="360" w:lineRule="auto"/>
              <w:jc w:val="center"/>
              <w:rPr>
                <w:rFonts w:asciiTheme="majorEastAsia" w:hAnsiTheme="majorEastAsia" w:eastAsiaTheme="majorEastAsia" w:cstheme="majorEastAsia"/>
              </w:rPr>
            </w:pPr>
          </w:p>
          <w:p>
            <w:pPr>
              <w:pStyle w:val="8"/>
              <w:spacing w:line="360" w:lineRule="auto"/>
              <w:jc w:val="center"/>
              <w:rPr>
                <w:rFonts w:asciiTheme="majorEastAsia" w:hAnsiTheme="majorEastAsia" w:eastAsiaTheme="majorEastAsia" w:cstheme="majorEastAsia"/>
              </w:rPr>
            </w:pPr>
          </w:p>
          <w:p>
            <w:pPr>
              <w:pStyle w:val="8"/>
              <w:spacing w:line="360" w:lineRule="auto"/>
              <w:jc w:val="center"/>
              <w:rPr>
                <w:rFonts w:asciiTheme="majorEastAsia" w:hAnsiTheme="majorEastAsia" w:eastAsiaTheme="majorEastAsia" w:cstheme="majorEastAsia"/>
              </w:rPr>
            </w:pPr>
          </w:p>
          <w:p>
            <w:pPr>
              <w:pStyle w:val="8"/>
              <w:spacing w:line="360" w:lineRule="auto"/>
              <w:jc w:val="center"/>
              <w:rPr>
                <w:rFonts w:asciiTheme="majorEastAsia" w:hAnsiTheme="majorEastAsia" w:eastAsiaTheme="majorEastAsia" w:cstheme="majorEastAsia"/>
              </w:rPr>
            </w:pPr>
          </w:p>
          <w:p>
            <w:pPr>
              <w:pStyle w:val="8"/>
              <w:spacing w:line="360" w:lineRule="auto"/>
              <w:jc w:val="center"/>
              <w:rPr>
                <w:rFonts w:asciiTheme="majorEastAsia" w:hAnsiTheme="majorEastAsia" w:eastAsiaTheme="majorEastAsia" w:cstheme="majorEastAsia"/>
              </w:rPr>
            </w:pPr>
          </w:p>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授权代表身份证复印件</w:t>
            </w:r>
          </w:p>
          <w:p>
            <w:pPr>
              <w:pStyle w:val="8"/>
              <w:spacing w:line="360" w:lineRule="auto"/>
              <w:jc w:val="center"/>
              <w:rPr>
                <w:rFonts w:asciiTheme="majorEastAsia" w:hAnsiTheme="majorEastAsia" w:eastAsiaTheme="majorEastAsia" w:cstheme="majorEastAsia"/>
              </w:rPr>
            </w:pPr>
          </w:p>
          <w:p>
            <w:pPr>
              <w:pStyle w:val="8"/>
              <w:spacing w:line="360" w:lineRule="auto"/>
              <w:jc w:val="center"/>
              <w:rPr>
                <w:rFonts w:asciiTheme="majorEastAsia" w:hAnsiTheme="majorEastAsia" w:eastAsiaTheme="majorEastAsia" w:cstheme="majorEastAsia"/>
              </w:rPr>
            </w:pPr>
          </w:p>
          <w:p>
            <w:pPr>
              <w:pStyle w:val="8"/>
              <w:spacing w:line="360" w:lineRule="auto"/>
              <w:jc w:val="center"/>
              <w:rPr>
                <w:rFonts w:asciiTheme="majorEastAsia" w:hAnsiTheme="majorEastAsia" w:eastAsiaTheme="majorEastAsia" w:cstheme="majorEastAsia"/>
              </w:rPr>
            </w:pPr>
          </w:p>
          <w:p>
            <w:pPr>
              <w:pStyle w:val="8"/>
              <w:spacing w:line="360" w:lineRule="auto"/>
              <w:jc w:val="center"/>
              <w:rPr>
                <w:rFonts w:asciiTheme="majorEastAsia" w:hAnsiTheme="majorEastAsia" w:eastAsiaTheme="majorEastAsia" w:cstheme="majorEastAsia"/>
              </w:rPr>
            </w:pPr>
          </w:p>
          <w:p>
            <w:pPr>
              <w:pStyle w:val="8"/>
              <w:spacing w:line="360" w:lineRule="auto"/>
              <w:jc w:val="center"/>
              <w:rPr>
                <w:rFonts w:asciiTheme="majorEastAsia" w:hAnsiTheme="majorEastAsia" w:eastAsiaTheme="majorEastAsia" w:cstheme="majorEastAsia"/>
              </w:rPr>
            </w:pPr>
          </w:p>
          <w:p>
            <w:pPr>
              <w:pStyle w:val="8"/>
              <w:spacing w:line="360" w:lineRule="auto"/>
              <w:jc w:val="center"/>
              <w:rPr>
                <w:rFonts w:asciiTheme="majorEastAsia" w:hAnsiTheme="majorEastAsia" w:eastAsiaTheme="majorEastAsia" w:cstheme="majorEastAsia"/>
              </w:rPr>
            </w:pPr>
          </w:p>
          <w:p>
            <w:pPr>
              <w:pStyle w:val="8"/>
              <w:spacing w:line="360" w:lineRule="auto"/>
              <w:jc w:val="center"/>
              <w:rPr>
                <w:rFonts w:asciiTheme="majorEastAsia" w:hAnsiTheme="majorEastAsia" w:eastAsiaTheme="majorEastAsia" w:cstheme="majorEastAsia"/>
              </w:rPr>
            </w:pPr>
          </w:p>
        </w:tc>
      </w:tr>
    </w:tbl>
    <w:p>
      <w:pPr>
        <w:pStyle w:val="8"/>
        <w:spacing w:line="360" w:lineRule="auto"/>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投标人名称</w:t>
      </w:r>
      <w:r>
        <w:rPr>
          <w:rFonts w:asciiTheme="majorEastAsia" w:hAnsiTheme="majorEastAsia" w:eastAsiaTheme="majorEastAsia" w:cstheme="majorEastAsia"/>
        </w:rPr>
        <w:t>(公章)：________________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法定代表人</w:t>
      </w:r>
      <w:r>
        <w:rPr>
          <w:rFonts w:asciiTheme="majorEastAsia" w:hAnsiTheme="majorEastAsia" w:eastAsiaTheme="majorEastAsia" w:cstheme="majorEastAsia"/>
        </w:rPr>
        <w:t>(签字或盖章)：________________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授权代表</w:t>
      </w:r>
      <w:r>
        <w:rPr>
          <w:rFonts w:asciiTheme="majorEastAsia" w:hAnsiTheme="majorEastAsia" w:eastAsiaTheme="majorEastAsia" w:cstheme="majorEastAsia"/>
        </w:rPr>
        <w:t>(签字或盖章)：________________</w:t>
      </w:r>
    </w:p>
    <w:p>
      <w:pPr>
        <w:pStyle w:val="8"/>
        <w:spacing w:line="360" w:lineRule="auto"/>
        <w:ind w:firstLine="420" w:firstLineChars="200"/>
        <w:jc w:val="right"/>
        <w:rPr>
          <w:rFonts w:asciiTheme="majorEastAsia" w:hAnsiTheme="majorEastAsia" w:eastAsiaTheme="majorEastAsia" w:cstheme="majorEastAsia"/>
        </w:rPr>
      </w:pPr>
      <w:r>
        <w:rPr>
          <w:rFonts w:asciiTheme="majorEastAsia" w:hAnsiTheme="majorEastAsia" w:eastAsiaTheme="majorEastAsia" w:cstheme="majorEastAsia"/>
        </w:rPr>
        <w:t>______年____月____日</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说明：授权用招标专用章的，与公章具有相同法律效力。</w:t>
      </w:r>
      <w:r>
        <w:rPr>
          <w:rFonts w:asciiTheme="majorEastAsia" w:hAnsiTheme="majorEastAsia" w:eastAsiaTheme="majorEastAsia" w:cstheme="majorEastAsia"/>
        </w:rPr>
        <w:br w:type="page"/>
      </w:r>
      <w:r>
        <w:rPr>
          <w:rFonts w:hint="eastAsia" w:asciiTheme="majorEastAsia" w:hAnsiTheme="majorEastAsia" w:eastAsiaTheme="majorEastAsia" w:cstheme="majorEastAsia"/>
        </w:rPr>
        <w:t>　　</w:t>
      </w:r>
      <w:r>
        <w:rPr>
          <w:rFonts w:hint="eastAsia" w:asciiTheme="majorEastAsia" w:hAnsiTheme="majorEastAsia" w:eastAsiaTheme="majorEastAsia" w:cstheme="majorEastAsia"/>
          <w:b/>
          <w:bCs/>
          <w:sz w:val="24"/>
          <w:szCs w:val="24"/>
        </w:rPr>
        <w:t>附件</w:t>
      </w:r>
      <w:r>
        <w:rPr>
          <w:rFonts w:asciiTheme="majorEastAsia" w:hAnsiTheme="majorEastAsia" w:eastAsiaTheme="majorEastAsia" w:cstheme="majorEastAsia"/>
          <w:b/>
          <w:bCs/>
          <w:sz w:val="24"/>
          <w:szCs w:val="24"/>
        </w:rPr>
        <w:t>2　</w:t>
      </w:r>
    </w:p>
    <w:p>
      <w:pPr>
        <w:pStyle w:val="8"/>
        <w:spacing w:line="360" w:lineRule="auto"/>
        <w:ind w:firstLine="420" w:firstLineChars="200"/>
        <w:jc w:val="center"/>
        <w:rPr>
          <w:rFonts w:asciiTheme="majorEastAsia" w:hAnsiTheme="majorEastAsia" w:eastAsiaTheme="majorEastAsia" w:cstheme="majorEastAsia"/>
        </w:rPr>
      </w:pPr>
      <w:r>
        <w:rPr>
          <w:rFonts w:hint="eastAsia" w:asciiTheme="majorEastAsia" w:hAnsiTheme="majorEastAsia" w:eastAsiaTheme="majorEastAsia" w:cstheme="majorEastAsia"/>
        </w:rPr>
        <w:t>供应商基本情况表</w:t>
      </w:r>
    </w:p>
    <w:p>
      <w:pPr>
        <w:pStyle w:val="8"/>
        <w:spacing w:line="360" w:lineRule="auto"/>
        <w:ind w:firstLine="210" w:firstLineChars="100"/>
        <w:rPr>
          <w:rFonts w:asciiTheme="majorEastAsia" w:hAnsiTheme="majorEastAsia" w:eastAsiaTheme="majorEastAsia" w:cstheme="majorEastAsia"/>
        </w:rPr>
      </w:pPr>
      <w:r>
        <w:rPr>
          <w:rFonts w:hint="eastAsia" w:asciiTheme="majorEastAsia" w:hAnsiTheme="majorEastAsia" w:eastAsiaTheme="majorEastAsia" w:cstheme="majorEastAsia"/>
        </w:rPr>
        <w:t>供应商：</w:t>
      </w:r>
      <w:r>
        <w:rPr>
          <w:rFonts w:asciiTheme="majorEastAsia" w:hAnsiTheme="majorEastAsia" w:eastAsiaTheme="majorEastAsia" w:cstheme="majorEastAsia"/>
        </w:rPr>
        <w:t>(公章)</w:t>
      </w:r>
    </w:p>
    <w:tbl>
      <w:tblPr>
        <w:tblStyle w:val="14"/>
        <w:tblW w:w="86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828"/>
        <w:gridCol w:w="585"/>
        <w:gridCol w:w="1422"/>
        <w:gridCol w:w="141"/>
        <w:gridCol w:w="1418"/>
        <w:gridCol w:w="1559"/>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6" w:type="dxa"/>
            <w:gridSpan w:val="2"/>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供应商名称</w:t>
            </w:r>
          </w:p>
        </w:tc>
        <w:tc>
          <w:tcPr>
            <w:tcW w:w="2148" w:type="dxa"/>
            <w:gridSpan w:val="3"/>
            <w:vAlign w:val="center"/>
          </w:tcPr>
          <w:p>
            <w:pPr>
              <w:pStyle w:val="8"/>
              <w:spacing w:line="360" w:lineRule="auto"/>
              <w:jc w:val="center"/>
              <w:rPr>
                <w:rFonts w:asciiTheme="majorEastAsia" w:hAnsiTheme="majorEastAsia" w:eastAsiaTheme="majorEastAsia" w:cstheme="majorEastAsia"/>
              </w:rPr>
            </w:pPr>
          </w:p>
        </w:tc>
        <w:tc>
          <w:tcPr>
            <w:tcW w:w="2977" w:type="dxa"/>
            <w:gridSpan w:val="2"/>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法定代表人</w:t>
            </w:r>
          </w:p>
        </w:tc>
        <w:tc>
          <w:tcPr>
            <w:tcW w:w="995"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6" w:type="dxa"/>
            <w:gridSpan w:val="2"/>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组织机构代码</w:t>
            </w:r>
          </w:p>
        </w:tc>
        <w:tc>
          <w:tcPr>
            <w:tcW w:w="2148" w:type="dxa"/>
            <w:gridSpan w:val="3"/>
            <w:vAlign w:val="center"/>
          </w:tcPr>
          <w:p>
            <w:pPr>
              <w:pStyle w:val="8"/>
              <w:spacing w:line="360" w:lineRule="auto"/>
              <w:jc w:val="center"/>
              <w:rPr>
                <w:rFonts w:asciiTheme="majorEastAsia" w:hAnsiTheme="majorEastAsia" w:eastAsiaTheme="majorEastAsia" w:cstheme="majorEastAsia"/>
              </w:rPr>
            </w:pPr>
          </w:p>
        </w:tc>
        <w:tc>
          <w:tcPr>
            <w:tcW w:w="2977" w:type="dxa"/>
            <w:gridSpan w:val="2"/>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邮政编码</w:t>
            </w:r>
          </w:p>
        </w:tc>
        <w:tc>
          <w:tcPr>
            <w:tcW w:w="995"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6" w:type="dxa"/>
            <w:gridSpan w:val="2"/>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授权代表</w:t>
            </w:r>
          </w:p>
        </w:tc>
        <w:tc>
          <w:tcPr>
            <w:tcW w:w="2148" w:type="dxa"/>
            <w:gridSpan w:val="3"/>
            <w:vAlign w:val="center"/>
          </w:tcPr>
          <w:p>
            <w:pPr>
              <w:pStyle w:val="8"/>
              <w:spacing w:line="360" w:lineRule="auto"/>
              <w:jc w:val="center"/>
              <w:rPr>
                <w:rFonts w:asciiTheme="majorEastAsia" w:hAnsiTheme="majorEastAsia" w:eastAsiaTheme="majorEastAsia" w:cstheme="majorEastAsia"/>
              </w:rPr>
            </w:pPr>
          </w:p>
        </w:tc>
        <w:tc>
          <w:tcPr>
            <w:tcW w:w="2977" w:type="dxa"/>
            <w:gridSpan w:val="2"/>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联系电话</w:t>
            </w:r>
          </w:p>
        </w:tc>
        <w:tc>
          <w:tcPr>
            <w:tcW w:w="995"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6" w:type="dxa"/>
            <w:gridSpan w:val="2"/>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电子邮箱</w:t>
            </w:r>
          </w:p>
        </w:tc>
        <w:tc>
          <w:tcPr>
            <w:tcW w:w="2148" w:type="dxa"/>
            <w:gridSpan w:val="3"/>
            <w:vAlign w:val="center"/>
          </w:tcPr>
          <w:p>
            <w:pPr>
              <w:pStyle w:val="8"/>
              <w:spacing w:line="360" w:lineRule="auto"/>
              <w:jc w:val="center"/>
              <w:rPr>
                <w:rFonts w:asciiTheme="majorEastAsia" w:hAnsiTheme="majorEastAsia" w:eastAsiaTheme="majorEastAsia" w:cstheme="majorEastAsia"/>
              </w:rPr>
            </w:pPr>
          </w:p>
        </w:tc>
        <w:tc>
          <w:tcPr>
            <w:tcW w:w="2977" w:type="dxa"/>
            <w:gridSpan w:val="2"/>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传真</w:t>
            </w:r>
          </w:p>
        </w:tc>
        <w:tc>
          <w:tcPr>
            <w:tcW w:w="995"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6" w:type="dxa"/>
            <w:gridSpan w:val="2"/>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上年营业收入</w:t>
            </w:r>
          </w:p>
        </w:tc>
        <w:tc>
          <w:tcPr>
            <w:tcW w:w="2148" w:type="dxa"/>
            <w:gridSpan w:val="3"/>
            <w:vAlign w:val="center"/>
          </w:tcPr>
          <w:p>
            <w:pPr>
              <w:pStyle w:val="8"/>
              <w:spacing w:line="360" w:lineRule="auto"/>
              <w:jc w:val="center"/>
              <w:rPr>
                <w:rFonts w:asciiTheme="majorEastAsia" w:hAnsiTheme="majorEastAsia" w:eastAsiaTheme="majorEastAsia" w:cstheme="majorEastAsia"/>
              </w:rPr>
            </w:pPr>
          </w:p>
        </w:tc>
        <w:tc>
          <w:tcPr>
            <w:tcW w:w="2977" w:type="dxa"/>
            <w:gridSpan w:val="2"/>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员工总人数</w:t>
            </w:r>
          </w:p>
        </w:tc>
        <w:tc>
          <w:tcPr>
            <w:tcW w:w="995"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81" w:type="dxa"/>
            <w:gridSpan w:val="3"/>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基本账户开户行及账号</w:t>
            </w:r>
          </w:p>
        </w:tc>
        <w:tc>
          <w:tcPr>
            <w:tcW w:w="5535" w:type="dxa"/>
            <w:gridSpan w:val="5"/>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81" w:type="dxa"/>
            <w:gridSpan w:val="3"/>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税务登记机关</w:t>
            </w:r>
          </w:p>
        </w:tc>
        <w:tc>
          <w:tcPr>
            <w:tcW w:w="5535" w:type="dxa"/>
            <w:gridSpan w:val="5"/>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81" w:type="dxa"/>
            <w:gridSpan w:val="3"/>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资质名称</w:t>
            </w:r>
          </w:p>
        </w:tc>
        <w:tc>
          <w:tcPr>
            <w:tcW w:w="1422"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等级</w:t>
            </w:r>
          </w:p>
        </w:tc>
        <w:tc>
          <w:tcPr>
            <w:tcW w:w="1559" w:type="dxa"/>
            <w:gridSpan w:val="2"/>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发证机关</w:t>
            </w:r>
          </w:p>
        </w:tc>
        <w:tc>
          <w:tcPr>
            <w:tcW w:w="2554" w:type="dxa"/>
            <w:gridSpan w:val="2"/>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81" w:type="dxa"/>
            <w:gridSpan w:val="3"/>
            <w:vAlign w:val="center"/>
          </w:tcPr>
          <w:p>
            <w:pPr>
              <w:pStyle w:val="8"/>
              <w:spacing w:line="360" w:lineRule="auto"/>
              <w:jc w:val="center"/>
              <w:rPr>
                <w:rFonts w:asciiTheme="majorEastAsia" w:hAnsiTheme="majorEastAsia" w:eastAsiaTheme="majorEastAsia" w:cstheme="majorEastAsia"/>
              </w:rPr>
            </w:pPr>
          </w:p>
        </w:tc>
        <w:tc>
          <w:tcPr>
            <w:tcW w:w="1422" w:type="dxa"/>
            <w:vAlign w:val="center"/>
          </w:tcPr>
          <w:p>
            <w:pPr>
              <w:pStyle w:val="8"/>
              <w:spacing w:line="360" w:lineRule="auto"/>
              <w:jc w:val="center"/>
              <w:rPr>
                <w:rFonts w:asciiTheme="majorEastAsia" w:hAnsiTheme="majorEastAsia" w:eastAsiaTheme="majorEastAsia" w:cstheme="majorEastAsia"/>
              </w:rPr>
            </w:pPr>
          </w:p>
        </w:tc>
        <w:tc>
          <w:tcPr>
            <w:tcW w:w="1559" w:type="dxa"/>
            <w:gridSpan w:val="2"/>
            <w:vAlign w:val="center"/>
          </w:tcPr>
          <w:p>
            <w:pPr>
              <w:pStyle w:val="8"/>
              <w:spacing w:line="360" w:lineRule="auto"/>
              <w:jc w:val="center"/>
              <w:rPr>
                <w:rFonts w:asciiTheme="majorEastAsia" w:hAnsiTheme="majorEastAsia" w:eastAsiaTheme="majorEastAsia" w:cstheme="majorEastAsia"/>
              </w:rPr>
            </w:pPr>
          </w:p>
        </w:tc>
        <w:tc>
          <w:tcPr>
            <w:tcW w:w="2554" w:type="dxa"/>
            <w:gridSpan w:val="2"/>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81" w:type="dxa"/>
            <w:gridSpan w:val="3"/>
            <w:vAlign w:val="center"/>
          </w:tcPr>
          <w:p>
            <w:pPr>
              <w:pStyle w:val="8"/>
              <w:spacing w:line="360" w:lineRule="auto"/>
              <w:jc w:val="center"/>
              <w:rPr>
                <w:rFonts w:asciiTheme="majorEastAsia" w:hAnsiTheme="majorEastAsia" w:eastAsiaTheme="majorEastAsia" w:cstheme="majorEastAsia"/>
              </w:rPr>
            </w:pPr>
          </w:p>
        </w:tc>
        <w:tc>
          <w:tcPr>
            <w:tcW w:w="1422" w:type="dxa"/>
            <w:vAlign w:val="center"/>
          </w:tcPr>
          <w:p>
            <w:pPr>
              <w:pStyle w:val="8"/>
              <w:spacing w:line="360" w:lineRule="auto"/>
              <w:jc w:val="center"/>
              <w:rPr>
                <w:rFonts w:asciiTheme="majorEastAsia" w:hAnsiTheme="majorEastAsia" w:eastAsiaTheme="majorEastAsia" w:cstheme="majorEastAsia"/>
              </w:rPr>
            </w:pPr>
          </w:p>
        </w:tc>
        <w:tc>
          <w:tcPr>
            <w:tcW w:w="1559" w:type="dxa"/>
            <w:gridSpan w:val="2"/>
            <w:vAlign w:val="center"/>
          </w:tcPr>
          <w:p>
            <w:pPr>
              <w:pStyle w:val="8"/>
              <w:spacing w:line="360" w:lineRule="auto"/>
              <w:jc w:val="center"/>
              <w:rPr>
                <w:rFonts w:asciiTheme="majorEastAsia" w:hAnsiTheme="majorEastAsia" w:eastAsiaTheme="majorEastAsia" w:cstheme="majorEastAsia"/>
              </w:rPr>
            </w:pPr>
          </w:p>
        </w:tc>
        <w:tc>
          <w:tcPr>
            <w:tcW w:w="2554" w:type="dxa"/>
            <w:gridSpan w:val="2"/>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备注</w:t>
            </w:r>
          </w:p>
        </w:tc>
        <w:tc>
          <w:tcPr>
            <w:tcW w:w="6948" w:type="dxa"/>
            <w:gridSpan w:val="7"/>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提供营业执照复印件，无营业执照的提供组织机构代码证复印件。</w:t>
            </w:r>
          </w:p>
        </w:tc>
      </w:tr>
    </w:tbl>
    <w:p>
      <w:pPr>
        <w:pStyle w:val="8"/>
        <w:spacing w:line="360" w:lineRule="auto"/>
        <w:ind w:firstLine="420" w:firstLineChars="200"/>
        <w:rPr>
          <w:rFonts w:asciiTheme="majorEastAsia" w:hAnsiTheme="majorEastAsia" w:eastAsiaTheme="majorEastAsia" w:cstheme="majorEastAsia"/>
        </w:rPr>
      </w:pPr>
    </w:p>
    <w:p>
      <w:pPr>
        <w:pStyle w:val="5"/>
        <w:spacing w:line="360" w:lineRule="auto"/>
        <w:rPr>
          <w:rFonts w:asciiTheme="majorEastAsia" w:hAnsiTheme="majorEastAsia" w:eastAsiaTheme="majorEastAsia" w:cstheme="majorEastAsia"/>
        </w:rPr>
      </w:pPr>
      <w:r>
        <w:rPr>
          <w:rFonts w:asciiTheme="majorEastAsia" w:hAnsiTheme="majorEastAsia" w:eastAsiaTheme="majorEastAsia" w:cstheme="majorEastAsia"/>
        </w:rPr>
        <w:br w:type="page"/>
      </w:r>
      <w:r>
        <w:rPr>
          <w:rFonts w:hint="eastAsia" w:asciiTheme="majorEastAsia" w:hAnsiTheme="majorEastAsia" w:eastAsiaTheme="majorEastAsia" w:cstheme="majorEastAsia"/>
        </w:rPr>
        <w:t>　　附件</w:t>
      </w:r>
      <w:r>
        <w:rPr>
          <w:rFonts w:asciiTheme="majorEastAsia" w:hAnsiTheme="majorEastAsia" w:eastAsiaTheme="majorEastAsia" w:cstheme="majorEastAsia"/>
        </w:rPr>
        <w:t>3　依法缴纳税收和社会保险费的相关证明</w:t>
      </w:r>
    </w:p>
    <w:p>
      <w:pPr>
        <w:pStyle w:val="8"/>
        <w:spacing w:line="360" w:lineRule="auto"/>
        <w:ind w:left="420" w:leftChars="200"/>
        <w:rPr>
          <w:rFonts w:asciiTheme="majorEastAsia" w:hAnsiTheme="majorEastAsia" w:eastAsiaTheme="majorEastAsia" w:cstheme="majorEastAsia"/>
        </w:rPr>
      </w:pPr>
      <w:r>
        <w:rPr>
          <w:rFonts w:hint="eastAsia" w:asciiTheme="majorEastAsia" w:hAnsiTheme="majorEastAsia" w:eastAsiaTheme="majorEastAsia" w:cstheme="majorEastAsia"/>
        </w:rPr>
        <w:t>备注：提供依法缴纳税收和社会保险费证明材料的复印件。</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br w:type="page"/>
      </w:r>
    </w:p>
    <w:p>
      <w:pPr>
        <w:pStyle w:val="5"/>
        <w:spacing w:line="360" w:lineRule="auto"/>
        <w:ind w:firstLine="424" w:firstLineChars="176"/>
        <w:rPr>
          <w:rFonts w:asciiTheme="majorEastAsia" w:hAnsiTheme="majorEastAsia" w:eastAsiaTheme="majorEastAsia" w:cstheme="majorEastAsia"/>
        </w:rPr>
      </w:pPr>
      <w:r>
        <w:rPr>
          <w:rFonts w:hint="eastAsia" w:asciiTheme="majorEastAsia" w:hAnsiTheme="majorEastAsia" w:eastAsiaTheme="majorEastAsia" w:cstheme="majorEastAsia"/>
        </w:rPr>
        <w:t>附件</w:t>
      </w:r>
      <w:r>
        <w:rPr>
          <w:rFonts w:asciiTheme="majorEastAsia" w:hAnsiTheme="majorEastAsia" w:eastAsiaTheme="majorEastAsia" w:cstheme="majorEastAsia"/>
        </w:rPr>
        <w:t>4</w:t>
      </w:r>
    </w:p>
    <w:p>
      <w:pPr>
        <w:pStyle w:val="8"/>
        <w:spacing w:line="360" w:lineRule="auto"/>
        <w:ind w:firstLine="480" w:firstLineChars="20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参加政府采购活动前三年内在经营活动中没有重大违法记录的书面声明</w:t>
      </w:r>
    </w:p>
    <w:p>
      <w:pPr>
        <w:pStyle w:val="8"/>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致</w:t>
      </w:r>
      <w:r>
        <w:rPr>
          <w:rFonts w:asciiTheme="majorEastAsia" w:hAnsiTheme="majorEastAsia" w:eastAsiaTheme="majorEastAsia" w:cstheme="majorEastAsia"/>
        </w:rPr>
        <w:t>________(采购人或采购代理机构)：</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我单位在参加采购活动前三年内在经营活动中没有《政府采购法》第二十二条第一款第</w:t>
      </w:r>
      <w:r>
        <w:rPr>
          <w:rFonts w:asciiTheme="majorEastAsia" w:hAnsiTheme="majorEastAsia" w:eastAsiaTheme="majorEastAsia" w:cstheme="majorEastAsia"/>
        </w:rPr>
        <w:t>(五)项所称重大违法记录，包括：</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我单位或者其法定代表人、董事、监事、高级管理人员未因经营活动中的违法行为受到刑事处罚或者责令停产停业、吊销许可证或者执照、较大数额罚款等行政处罚。</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特此声明！</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投标人名称</w:t>
      </w:r>
      <w:r>
        <w:rPr>
          <w:rFonts w:asciiTheme="majorEastAsia" w:hAnsiTheme="majorEastAsia" w:eastAsiaTheme="majorEastAsia" w:cstheme="majorEastAsia"/>
        </w:rPr>
        <w:t>(公章)：______________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法定代表人</w:t>
      </w:r>
      <w:r>
        <w:rPr>
          <w:rFonts w:asciiTheme="majorEastAsia" w:hAnsiTheme="majorEastAsia" w:eastAsiaTheme="majorEastAsia" w:cstheme="majorEastAsia"/>
        </w:rPr>
        <w:t>(签字或盖章)：______________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日期：</w:t>
      </w:r>
      <w:r>
        <w:rPr>
          <w:rFonts w:asciiTheme="majorEastAsia" w:hAnsiTheme="majorEastAsia" w:eastAsiaTheme="majorEastAsia" w:cstheme="majorEastAsia"/>
        </w:rPr>
        <w:t>______年____月____日</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说明：授权用招标专用章的，与公章具有相同法律效力。</w:t>
      </w:r>
    </w:p>
    <w:p>
      <w:pPr>
        <w:pStyle w:val="8"/>
        <w:spacing w:line="360" w:lineRule="auto"/>
        <w:rPr>
          <w:rFonts w:asciiTheme="majorEastAsia" w:hAnsiTheme="majorEastAsia" w:eastAsiaTheme="majorEastAsia" w:cstheme="majorEastAsia"/>
        </w:rPr>
      </w:pPr>
      <w:r>
        <w:rPr>
          <w:rFonts w:asciiTheme="majorEastAsia" w:hAnsiTheme="majorEastAsia" w:eastAsiaTheme="majorEastAsia" w:cstheme="majorEastAsia"/>
        </w:rPr>
        <w:br w:type="page"/>
      </w:r>
    </w:p>
    <w:p>
      <w:pPr>
        <w:pStyle w:val="5"/>
        <w:spacing w:line="360" w:lineRule="auto"/>
        <w:rPr>
          <w:rFonts w:asciiTheme="majorEastAsia" w:hAnsiTheme="majorEastAsia" w:eastAsiaTheme="majorEastAsia" w:cstheme="majorEastAsia"/>
          <w:b w:val="0"/>
          <w:bCs w:val="0"/>
        </w:rPr>
      </w:pPr>
      <w:r>
        <w:rPr>
          <w:rFonts w:hint="eastAsia" w:asciiTheme="majorEastAsia" w:hAnsiTheme="majorEastAsia" w:eastAsiaTheme="majorEastAsia" w:cstheme="majorEastAsia"/>
        </w:rPr>
        <w:t>　</w:t>
      </w:r>
      <w:r>
        <w:rPr>
          <w:rFonts w:hint="eastAsia" w:asciiTheme="majorEastAsia" w:hAnsiTheme="majorEastAsia" w:eastAsiaTheme="majorEastAsia" w:cstheme="majorEastAsia"/>
          <w:b w:val="0"/>
          <w:bCs w:val="0"/>
        </w:rPr>
        <w:t>　</w:t>
      </w:r>
      <w:r>
        <w:rPr>
          <w:rFonts w:hint="eastAsia" w:asciiTheme="majorEastAsia" w:hAnsiTheme="majorEastAsia" w:eastAsiaTheme="majorEastAsia" w:cstheme="majorEastAsia"/>
        </w:rPr>
        <w:t>附件</w:t>
      </w:r>
      <w:r>
        <w:rPr>
          <w:rFonts w:asciiTheme="majorEastAsia" w:hAnsiTheme="majorEastAsia" w:eastAsiaTheme="majorEastAsia" w:cstheme="majorEastAsia"/>
        </w:rPr>
        <w:t>5　</w:t>
      </w:r>
      <w:r>
        <w:rPr>
          <w:rFonts w:hint="eastAsia" w:asciiTheme="majorEastAsia" w:hAnsiTheme="majorEastAsia" w:eastAsiaTheme="majorEastAsia" w:cstheme="majorEastAsia"/>
          <w:b w:val="0"/>
          <w:bCs w:val="0"/>
        </w:rPr>
        <w:t>政府采购法律法规规定的其他资格条件证明文件</w:t>
      </w:r>
    </w:p>
    <w:p>
      <w:pPr>
        <w:pStyle w:val="5"/>
        <w:spacing w:line="360" w:lineRule="auto"/>
        <w:ind w:firstLine="420" w:firstLineChars="200"/>
        <w:rPr>
          <w:rFonts w:asciiTheme="majorEastAsia" w:hAnsiTheme="majorEastAsia" w:eastAsiaTheme="majorEastAsia" w:cstheme="majorEastAsia"/>
          <w:b w:val="0"/>
          <w:bCs w:val="0"/>
          <w:kern w:val="0"/>
          <w:sz w:val="21"/>
          <w:szCs w:val="21"/>
        </w:rPr>
      </w:pPr>
      <w:r>
        <w:rPr>
          <w:rFonts w:hint="eastAsia" w:asciiTheme="majorEastAsia" w:hAnsiTheme="majorEastAsia" w:eastAsiaTheme="majorEastAsia" w:cstheme="majorEastAsia"/>
          <w:b w:val="0"/>
          <w:bCs w:val="0"/>
          <w:kern w:val="0"/>
          <w:sz w:val="21"/>
          <w:szCs w:val="21"/>
        </w:rPr>
        <w:t>不接受被列入失信被执行人、重大税收违法案件当事人名单、政府采购严重违法失信行为记录名单的投标人（查询渠道：“中国执行信息公开网”网站（http://zxgk.court.gov.cn/shixin/）失信被执行人名单、未被列入“国家税务总局”网站（http://hd.chinatax.gov.cn/nszx/InitMajor.html）重大税收违法案件当事人名单</w:t>
      </w:r>
      <w:r>
        <w:rPr>
          <w:rFonts w:asciiTheme="majorEastAsia" w:hAnsiTheme="majorEastAsia" w:eastAsiaTheme="majorEastAsia" w:cstheme="majorEastAsia"/>
          <w:b w:val="0"/>
          <w:bCs w:val="0"/>
          <w:kern w:val="0"/>
          <w:sz w:val="21"/>
          <w:szCs w:val="21"/>
        </w:rPr>
        <w:t>,查询截止时间：同投标截止时间。）；</w:t>
      </w:r>
    </w:p>
    <w:p>
      <w:pPr>
        <w:spacing w:line="360" w:lineRule="auto"/>
        <w:rPr>
          <w:rFonts w:asciiTheme="majorEastAsia" w:hAnsiTheme="majorEastAsia" w:eastAsiaTheme="majorEastAsia" w:cstheme="majorEastAsia"/>
          <w:szCs w:val="21"/>
        </w:rPr>
      </w:pPr>
      <w:r>
        <w:rPr>
          <w:rFonts w:asciiTheme="majorEastAsia" w:hAnsiTheme="majorEastAsia" w:eastAsiaTheme="majorEastAsia" w:cstheme="majorEastAsia"/>
          <w:kern w:val="0"/>
          <w:szCs w:val="21"/>
        </w:rPr>
        <w:t xml:space="preserve"> 中国政府采购网（www.ccgp.gov.vn),查询“政府采购严重违法失信行为记录名单”。（提供查询结果网页打印件并加盖供应商公章）</w:t>
      </w:r>
    </w:p>
    <w:p>
      <w:pPr>
        <w:pStyle w:val="5"/>
        <w:spacing w:before="0" w:after="0" w:line="240" w:lineRule="auto"/>
        <w:rPr>
          <w:rFonts w:asciiTheme="majorEastAsia" w:hAnsiTheme="majorEastAsia" w:eastAsiaTheme="majorEastAsia" w:cstheme="majorEastAsia"/>
        </w:rPr>
      </w:pPr>
    </w:p>
    <w:p>
      <w:pPr>
        <w:pStyle w:val="5"/>
        <w:spacing w:line="360" w:lineRule="auto"/>
        <w:ind w:firstLine="482" w:firstLineChars="200"/>
        <w:rPr>
          <w:rFonts w:asciiTheme="majorEastAsia" w:hAnsiTheme="majorEastAsia" w:eastAsiaTheme="majorEastAsia" w:cstheme="majorEastAsia"/>
        </w:rPr>
      </w:pPr>
    </w:p>
    <w:p>
      <w:pPr>
        <w:pStyle w:val="5"/>
        <w:spacing w:line="360" w:lineRule="auto"/>
        <w:ind w:firstLine="482" w:firstLineChars="200"/>
        <w:rPr>
          <w:rFonts w:asciiTheme="majorEastAsia" w:hAnsiTheme="majorEastAsia" w:eastAsiaTheme="majorEastAsia" w:cstheme="majorEastAsia"/>
        </w:rPr>
      </w:pPr>
    </w:p>
    <w:p>
      <w:pPr>
        <w:pStyle w:val="5"/>
        <w:spacing w:line="360" w:lineRule="auto"/>
        <w:ind w:firstLine="482" w:firstLineChars="200"/>
        <w:rPr>
          <w:rFonts w:asciiTheme="majorEastAsia" w:hAnsiTheme="majorEastAsia" w:eastAsiaTheme="majorEastAsia" w:cstheme="majorEastAsia"/>
        </w:rPr>
      </w:pPr>
    </w:p>
    <w:p>
      <w:pPr>
        <w:pStyle w:val="5"/>
        <w:spacing w:line="360" w:lineRule="auto"/>
        <w:ind w:firstLine="482" w:firstLineChars="200"/>
        <w:rPr>
          <w:rFonts w:asciiTheme="majorEastAsia" w:hAnsiTheme="majorEastAsia" w:eastAsiaTheme="majorEastAsia" w:cstheme="majorEastAsia"/>
        </w:rPr>
      </w:pPr>
    </w:p>
    <w:p>
      <w:pPr>
        <w:pStyle w:val="5"/>
        <w:spacing w:line="360" w:lineRule="auto"/>
        <w:ind w:firstLine="482" w:firstLineChars="200"/>
        <w:rPr>
          <w:rFonts w:asciiTheme="majorEastAsia" w:hAnsiTheme="majorEastAsia" w:eastAsiaTheme="majorEastAsia" w:cstheme="majorEastAsia"/>
        </w:rPr>
      </w:pPr>
    </w:p>
    <w:p>
      <w:pPr>
        <w:pStyle w:val="5"/>
        <w:spacing w:line="360" w:lineRule="auto"/>
        <w:ind w:firstLine="482" w:firstLineChars="200"/>
        <w:rPr>
          <w:rFonts w:asciiTheme="majorEastAsia" w:hAnsiTheme="majorEastAsia" w:eastAsiaTheme="majorEastAsia" w:cstheme="majorEastAsia"/>
        </w:rPr>
      </w:pPr>
    </w:p>
    <w:p>
      <w:pPr>
        <w:pStyle w:val="5"/>
        <w:spacing w:line="360" w:lineRule="auto"/>
        <w:ind w:firstLine="482" w:firstLineChars="200"/>
        <w:rPr>
          <w:rFonts w:asciiTheme="majorEastAsia" w:hAnsiTheme="majorEastAsia" w:eastAsiaTheme="majorEastAsia" w:cstheme="majorEastAsia"/>
        </w:rPr>
      </w:pPr>
    </w:p>
    <w:p>
      <w:pPr>
        <w:pStyle w:val="5"/>
        <w:spacing w:line="360" w:lineRule="auto"/>
        <w:ind w:firstLine="482" w:firstLineChars="200"/>
        <w:rPr>
          <w:rFonts w:asciiTheme="majorEastAsia" w:hAnsiTheme="majorEastAsia" w:eastAsiaTheme="majorEastAsia" w:cstheme="majorEastAsia"/>
        </w:rPr>
      </w:pPr>
    </w:p>
    <w:p>
      <w:pPr>
        <w:pStyle w:val="5"/>
        <w:spacing w:line="360" w:lineRule="auto"/>
        <w:ind w:firstLine="482" w:firstLineChars="200"/>
        <w:rPr>
          <w:rFonts w:asciiTheme="majorEastAsia" w:hAnsiTheme="majorEastAsia" w:eastAsiaTheme="majorEastAsia" w:cstheme="majorEastAsia"/>
        </w:rPr>
      </w:pPr>
    </w:p>
    <w:p>
      <w:pPr>
        <w:pStyle w:val="5"/>
        <w:spacing w:line="360" w:lineRule="auto"/>
        <w:rPr>
          <w:rFonts w:asciiTheme="majorEastAsia" w:hAnsiTheme="majorEastAsia" w:eastAsiaTheme="majorEastAsia" w:cstheme="majorEastAsia"/>
        </w:rPr>
      </w:pPr>
    </w:p>
    <w:p>
      <w:pPr>
        <w:pStyle w:val="5"/>
        <w:spacing w:line="360" w:lineRule="auto"/>
        <w:rPr>
          <w:rFonts w:asciiTheme="majorEastAsia" w:hAnsiTheme="majorEastAsia" w:eastAsiaTheme="majorEastAsia" w:cstheme="majorEastAsia"/>
        </w:rPr>
      </w:pPr>
    </w:p>
    <w:p>
      <w:pPr>
        <w:pStyle w:val="5"/>
        <w:spacing w:line="360" w:lineRule="auto"/>
        <w:rPr>
          <w:rFonts w:asciiTheme="majorEastAsia" w:hAnsiTheme="majorEastAsia" w:eastAsiaTheme="majorEastAsia" w:cstheme="majorEastAsia"/>
        </w:rPr>
      </w:pPr>
    </w:p>
    <w:p>
      <w:pPr>
        <w:pStyle w:val="5"/>
        <w:spacing w:line="360" w:lineRule="auto"/>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pStyle w:val="5"/>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附件</w:t>
      </w:r>
      <w:r>
        <w:rPr>
          <w:rFonts w:asciiTheme="majorEastAsia" w:hAnsiTheme="majorEastAsia" w:eastAsiaTheme="majorEastAsia" w:cstheme="majorEastAsia"/>
        </w:rPr>
        <w:t>6</w:t>
      </w:r>
    </w:p>
    <w:p>
      <w:pPr>
        <w:pStyle w:val="8"/>
        <w:spacing w:line="360" w:lineRule="auto"/>
        <w:ind w:firstLine="480" w:firstLineChars="20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中小企业声明函</w:t>
      </w:r>
    </w:p>
    <w:p>
      <w:pPr>
        <w:pStyle w:val="8"/>
        <w:spacing w:line="360" w:lineRule="auto"/>
        <w:ind w:firstLine="480" w:firstLineChars="20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如不是中小微企业则不需要提供此项</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本公司郑重声明，根据《政府采购促进中小企业发展暂行办法》</w:t>
      </w:r>
      <w:r>
        <w:rPr>
          <w:rFonts w:asciiTheme="majorEastAsia" w:hAnsiTheme="majorEastAsia" w:eastAsiaTheme="majorEastAsia" w:cstheme="majorEastAsia"/>
        </w:rPr>
        <w:t>(财库〔2011〕181号)的规定，本公司为____(请填写：中型、小型、微型)企业。即，本公司同时满足以下条件：</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1.根据《工业和信息化部、国家统计局、国家发展和改革委员会、财政部关于印发中小企业划型标准规定的通知》(工信部联企业〔2011〕300号)规定的划分标准，本公司为____(请填写：中型、小型、微型)企业。</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t>2.本公司参加________单位的________项目采购活动提供本企业制造的货物，由本企业提供服务，或者提供其他____(请填写：中型、小型、微型)企业制造的货物。本条所称货物不包括使用大型企业注册商标的货物。</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本公司对上述声明的真实性负责。如有虚假，将依法承担相应责任。</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jc w:val="right"/>
        <w:rPr>
          <w:rFonts w:asciiTheme="majorEastAsia" w:hAnsiTheme="majorEastAsia" w:eastAsiaTheme="majorEastAsia" w:cstheme="majorEastAsia"/>
        </w:rPr>
      </w:pPr>
      <w:r>
        <w:rPr>
          <w:rFonts w:hint="eastAsia" w:asciiTheme="majorEastAsia" w:hAnsiTheme="majorEastAsia" w:eastAsiaTheme="majorEastAsia" w:cstheme="majorEastAsia"/>
        </w:rPr>
        <w:t>企业名称</w:t>
      </w:r>
      <w:r>
        <w:rPr>
          <w:rFonts w:asciiTheme="majorEastAsia" w:hAnsiTheme="majorEastAsia" w:eastAsiaTheme="majorEastAsia" w:cstheme="majorEastAsia"/>
        </w:rPr>
        <w:t>(公章)：________</w:t>
      </w:r>
    </w:p>
    <w:p>
      <w:pPr>
        <w:pStyle w:val="8"/>
        <w:spacing w:line="360" w:lineRule="auto"/>
        <w:ind w:firstLine="420" w:firstLineChars="200"/>
        <w:jc w:val="right"/>
        <w:rPr>
          <w:rFonts w:asciiTheme="majorEastAsia" w:hAnsiTheme="majorEastAsia" w:eastAsiaTheme="majorEastAsia" w:cstheme="majorEastAsia"/>
        </w:rPr>
      </w:pPr>
      <w:r>
        <w:rPr>
          <w:rFonts w:hint="eastAsia" w:asciiTheme="majorEastAsia" w:hAnsiTheme="majorEastAsia" w:eastAsiaTheme="majorEastAsia" w:cstheme="majorEastAsia"/>
        </w:rPr>
        <w:t>日期：</w:t>
      </w:r>
      <w:r>
        <w:rPr>
          <w:rFonts w:asciiTheme="majorEastAsia" w:hAnsiTheme="majorEastAsia" w:eastAsiaTheme="majorEastAsia" w:cstheme="majorEastAsia"/>
        </w:rPr>
        <w:t>________________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备注：填写前请认真阅读《工业和信息化部、国家统计局、国家发展和改革委员会、财政部关于印发中小企业划型标准规定的通知》</w:t>
      </w:r>
      <w:r>
        <w:rPr>
          <w:rFonts w:asciiTheme="majorEastAsia" w:hAnsiTheme="majorEastAsia" w:eastAsiaTheme="majorEastAsia" w:cstheme="majorEastAsia"/>
        </w:rPr>
        <w:t>(工信部联企业〔2011〕300号)和《财政部　工业和信息化部关于印发政府采购促进中小企业发展暂行办法的通知》(财库〔2011〕181号)相关规定。(是否细化自行确定)</w:t>
      </w:r>
    </w:p>
    <w:p>
      <w:pPr>
        <w:pStyle w:val="7"/>
        <w:spacing w:before="111" w:line="360" w:lineRule="auto"/>
        <w:jc w:val="center"/>
      </w:pPr>
    </w:p>
    <w:p>
      <w:pPr>
        <w:pStyle w:val="7"/>
        <w:spacing w:before="111" w:line="360" w:lineRule="auto"/>
        <w:jc w:val="center"/>
      </w:pPr>
    </w:p>
    <w:p>
      <w:pPr>
        <w:pStyle w:val="7"/>
        <w:spacing w:before="111" w:line="360" w:lineRule="auto"/>
        <w:jc w:val="center"/>
      </w:pPr>
    </w:p>
    <w:p>
      <w:pPr>
        <w:pStyle w:val="7"/>
        <w:spacing w:before="111" w:line="360" w:lineRule="auto"/>
        <w:jc w:val="center"/>
      </w:pPr>
    </w:p>
    <w:p>
      <w:pPr>
        <w:pStyle w:val="7"/>
        <w:spacing w:before="111" w:line="360" w:lineRule="auto"/>
        <w:jc w:val="center"/>
      </w:pPr>
    </w:p>
    <w:p>
      <w:pPr>
        <w:pStyle w:val="7"/>
        <w:spacing w:before="111" w:line="360" w:lineRule="auto"/>
        <w:jc w:val="center"/>
      </w:pPr>
    </w:p>
    <w:p>
      <w:pPr>
        <w:pStyle w:val="7"/>
        <w:spacing w:before="111" w:line="360" w:lineRule="auto"/>
        <w:jc w:val="center"/>
      </w:pPr>
    </w:p>
    <w:p>
      <w:pPr>
        <w:pStyle w:val="7"/>
        <w:spacing w:before="111" w:line="360" w:lineRule="auto"/>
        <w:jc w:val="center"/>
      </w:pPr>
    </w:p>
    <w:p>
      <w:pPr>
        <w:pStyle w:val="7"/>
        <w:spacing w:before="111" w:line="360" w:lineRule="auto"/>
        <w:jc w:val="center"/>
      </w:pPr>
    </w:p>
    <w:p>
      <w:pPr>
        <w:pStyle w:val="7"/>
        <w:spacing w:before="111" w:line="360" w:lineRule="auto"/>
        <w:jc w:val="center"/>
      </w:pPr>
    </w:p>
    <w:p>
      <w:pPr>
        <w:pStyle w:val="8"/>
        <w:spacing w:line="360" w:lineRule="auto"/>
        <w:ind w:firstLine="480" w:firstLineChars="20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监狱企业证明文件</w:t>
      </w:r>
    </w:p>
    <w:p>
      <w:pPr>
        <w:pStyle w:val="8"/>
        <w:spacing w:line="360" w:lineRule="auto"/>
        <w:ind w:firstLine="480" w:firstLineChars="20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如不是监狱企业则不需提供此项</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以省级以上监狱管理局、戒毒管理局（含新疆生产建设兵团）出具的属于监狱企业的证明文件为准。</w:t>
      </w:r>
    </w:p>
    <w:p>
      <w:pPr>
        <w:pStyle w:val="5"/>
        <w:spacing w:line="360" w:lineRule="auto"/>
        <w:rPr>
          <w:rFonts w:asciiTheme="majorEastAsia" w:hAnsiTheme="majorEastAsia" w:eastAsiaTheme="majorEastAsia" w:cstheme="majorEastAsia"/>
        </w:rPr>
      </w:pPr>
    </w:p>
    <w:p>
      <w:pPr>
        <w:spacing w:line="360" w:lineRule="auto"/>
        <w:rPr>
          <w:rFonts w:asciiTheme="majorEastAsia" w:hAnsiTheme="majorEastAsia" w:eastAsiaTheme="majorEastAsia" w:cstheme="majorEastAsia"/>
        </w:rPr>
      </w:pPr>
    </w:p>
    <w:p>
      <w:pPr>
        <w:spacing w:line="360" w:lineRule="auto"/>
        <w:rPr>
          <w:rFonts w:asciiTheme="majorEastAsia" w:hAnsiTheme="majorEastAsia" w:eastAsiaTheme="majorEastAsia" w:cstheme="majorEastAsia"/>
        </w:rPr>
      </w:pPr>
    </w:p>
    <w:p>
      <w:pPr>
        <w:spacing w:line="360" w:lineRule="auto"/>
        <w:rPr>
          <w:rFonts w:asciiTheme="majorEastAsia" w:hAnsiTheme="majorEastAsia" w:eastAsiaTheme="majorEastAsia" w:cstheme="majorEastAsia"/>
        </w:rPr>
      </w:pPr>
    </w:p>
    <w:p>
      <w:pPr>
        <w:pStyle w:val="8"/>
        <w:spacing w:line="360" w:lineRule="auto"/>
        <w:ind w:firstLine="480" w:firstLineChars="20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残疾人福利性单位声明函</w:t>
      </w:r>
    </w:p>
    <w:p>
      <w:pPr>
        <w:pStyle w:val="8"/>
        <w:spacing w:line="360" w:lineRule="auto"/>
        <w:ind w:firstLine="480" w:firstLineChars="20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如不是残疾人福利性单位则不需提供此项</w:t>
      </w:r>
    </w:p>
    <w:p>
      <w:pPr>
        <w:pStyle w:val="7"/>
        <w:tabs>
          <w:tab w:val="left" w:pos="2180"/>
          <w:tab w:val="left" w:pos="8872"/>
        </w:tabs>
        <w:spacing w:before="152" w:line="360" w:lineRule="auto"/>
        <w:ind w:left="500" w:right="36" w:firstLine="559"/>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lang w:val="en-US" w:bidi="ar-SA"/>
        </w:rPr>
        <w:t>本单位郑重声明，根据《财政部</w:t>
      </w:r>
      <w:r>
        <w:rPr>
          <w:rFonts w:asciiTheme="majorEastAsia" w:hAnsiTheme="majorEastAsia" w:eastAsiaTheme="majorEastAsia" w:cstheme="majorEastAsia"/>
          <w:sz w:val="21"/>
          <w:szCs w:val="21"/>
          <w:lang w:val="en-US" w:bidi="ar-SA"/>
        </w:rPr>
        <w:t xml:space="preserve"> </w:t>
      </w:r>
      <w:r>
        <w:rPr>
          <w:rFonts w:hint="eastAsia" w:asciiTheme="majorEastAsia" w:hAnsiTheme="majorEastAsia" w:eastAsiaTheme="majorEastAsia" w:cstheme="majorEastAsia"/>
          <w:sz w:val="21"/>
          <w:szCs w:val="21"/>
          <w:lang w:val="en-US" w:bidi="ar-SA"/>
        </w:rPr>
        <w:t>民政部</w:t>
      </w:r>
      <w:r>
        <w:rPr>
          <w:rFonts w:asciiTheme="majorEastAsia" w:hAnsiTheme="majorEastAsia" w:eastAsiaTheme="majorEastAsia" w:cstheme="majorEastAsia"/>
          <w:sz w:val="21"/>
          <w:szCs w:val="21"/>
          <w:lang w:val="en-US" w:bidi="ar-SA"/>
        </w:rPr>
        <w:t xml:space="preserve"> </w:t>
      </w:r>
      <w:r>
        <w:rPr>
          <w:rFonts w:hint="eastAsia" w:asciiTheme="majorEastAsia" w:hAnsiTheme="majorEastAsia" w:eastAsiaTheme="majorEastAsia" w:cstheme="majorEastAsia"/>
          <w:sz w:val="21"/>
          <w:szCs w:val="21"/>
          <w:lang w:val="en-US" w:bidi="ar-SA"/>
        </w:rPr>
        <w:t>中国残疾人联合会关于促进残疾人就业政府采购政策的通知》（财库〔</w:t>
      </w:r>
      <w:r>
        <w:rPr>
          <w:rFonts w:asciiTheme="majorEastAsia" w:hAnsiTheme="majorEastAsia" w:eastAsiaTheme="majorEastAsia" w:cstheme="majorEastAsia"/>
          <w:sz w:val="21"/>
          <w:szCs w:val="21"/>
          <w:lang w:val="en-US" w:bidi="ar-SA"/>
        </w:rPr>
        <w:t xml:space="preserve">2017〕 141 </w:t>
      </w:r>
      <w:r>
        <w:rPr>
          <w:rFonts w:hint="eastAsia" w:asciiTheme="majorEastAsia" w:hAnsiTheme="majorEastAsia" w:eastAsiaTheme="majorEastAsia" w:cstheme="majorEastAsia"/>
          <w:sz w:val="21"/>
          <w:szCs w:val="21"/>
          <w:lang w:val="en-US" w:bidi="ar-SA"/>
        </w:rPr>
        <w:t>号）的规定，本单位为符合条件的残疾人福利性单位，且本单位参加单位的项目采购活动提供本单位制造的货物（由本单位承担工程</w:t>
      </w:r>
      <w:r>
        <w:rPr>
          <w:rFonts w:asciiTheme="majorEastAsia" w:hAnsiTheme="majorEastAsia" w:eastAsiaTheme="majorEastAsia" w:cstheme="majorEastAsia"/>
          <w:sz w:val="21"/>
          <w:szCs w:val="21"/>
          <w:lang w:val="en-US" w:bidi="ar-SA"/>
        </w:rPr>
        <w:t>/提供服务），或者提供其他残疾人福利性单位制造的货物（不包括使用非残疾人福利性单位注册商标的货物）。</w:t>
      </w:r>
    </w:p>
    <w:p>
      <w:pPr>
        <w:pStyle w:val="7"/>
        <w:spacing w:before="8" w:line="360" w:lineRule="auto"/>
        <w:ind w:left="500" w:right="896" w:firstLine="559"/>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lang w:val="en-US" w:bidi="ar-SA"/>
        </w:rPr>
        <w:t>本单位对上述声明的真实性负责。如有虚假，将依法承担相应责任。</w:t>
      </w:r>
    </w:p>
    <w:p>
      <w:pPr>
        <w:pStyle w:val="7"/>
        <w:spacing w:line="360" w:lineRule="auto"/>
      </w:pPr>
    </w:p>
    <w:p>
      <w:pPr>
        <w:pStyle w:val="7"/>
        <w:spacing w:line="360" w:lineRule="auto"/>
      </w:pPr>
    </w:p>
    <w:p>
      <w:pPr>
        <w:pStyle w:val="7"/>
        <w:spacing w:before="8" w:line="360" w:lineRule="auto"/>
        <w:ind w:right="896" w:firstLine="5670" w:firstLineChars="2700"/>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lang w:val="en-US" w:bidi="ar-SA"/>
        </w:rPr>
        <w:t>投标人名称（盖章）：</w:t>
      </w:r>
    </w:p>
    <w:p>
      <w:pPr>
        <w:pStyle w:val="7"/>
        <w:spacing w:before="8" w:line="360" w:lineRule="auto"/>
        <w:ind w:left="500" w:right="896" w:firstLine="5170" w:firstLineChars="2462"/>
        <w:rPr>
          <w:rFonts w:asciiTheme="majorEastAsia" w:hAnsiTheme="majorEastAsia" w:eastAsiaTheme="majorEastAsia" w:cstheme="majorEastAsia"/>
          <w:sz w:val="21"/>
          <w:szCs w:val="21"/>
          <w:lang w:val="en-US" w:bidi="ar-SA"/>
        </w:rPr>
      </w:pPr>
      <w:r>
        <w:rPr>
          <w:rFonts w:hint="eastAsia" w:asciiTheme="majorEastAsia" w:hAnsiTheme="majorEastAsia" w:eastAsiaTheme="majorEastAsia" w:cstheme="majorEastAsia"/>
          <w:sz w:val="21"/>
          <w:szCs w:val="21"/>
          <w:lang w:val="en-US" w:bidi="ar-SA"/>
        </w:rPr>
        <w:t>日</w:t>
      </w:r>
      <w:r>
        <w:rPr>
          <w:rFonts w:asciiTheme="majorEastAsia" w:hAnsiTheme="majorEastAsia" w:eastAsiaTheme="majorEastAsia" w:cstheme="majorEastAsia"/>
          <w:sz w:val="21"/>
          <w:szCs w:val="21"/>
          <w:lang w:val="en-US" w:bidi="ar-SA"/>
        </w:rPr>
        <w:tab/>
      </w:r>
      <w:r>
        <w:rPr>
          <w:rFonts w:hint="eastAsia" w:asciiTheme="majorEastAsia" w:hAnsiTheme="majorEastAsia" w:eastAsiaTheme="majorEastAsia" w:cstheme="majorEastAsia"/>
          <w:sz w:val="21"/>
          <w:szCs w:val="21"/>
          <w:lang w:val="en-US" w:bidi="ar-SA"/>
        </w:rPr>
        <w:t>期：</w:t>
      </w:r>
    </w:p>
    <w:p>
      <w:pPr>
        <w:pStyle w:val="7"/>
        <w:spacing w:before="8" w:line="360" w:lineRule="auto"/>
        <w:ind w:left="500" w:right="896" w:firstLine="559"/>
        <w:rPr>
          <w:rFonts w:asciiTheme="majorEastAsia" w:hAnsiTheme="majorEastAsia" w:eastAsiaTheme="majorEastAsia" w:cstheme="majorEastAsia"/>
          <w:sz w:val="21"/>
          <w:szCs w:val="21"/>
          <w:lang w:val="en-US" w:bidi="ar-SA"/>
        </w:rPr>
        <w:sectPr>
          <w:footerReference r:id="rId7" w:type="default"/>
          <w:pgSz w:w="11910" w:h="16840"/>
          <w:pgMar w:top="1440" w:right="1417" w:bottom="1179" w:left="1417" w:header="888" w:footer="986" w:gutter="0"/>
          <w:cols w:equalWidth="0" w:num="1">
            <w:col w:w="9710"/>
          </w:cols>
        </w:sectPr>
      </w:pPr>
    </w:p>
    <w:p>
      <w:pPr>
        <w:pStyle w:val="5"/>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附件</w:t>
      </w:r>
      <w:r>
        <w:rPr>
          <w:rFonts w:asciiTheme="majorEastAsia" w:hAnsiTheme="majorEastAsia" w:eastAsiaTheme="majorEastAsia" w:cstheme="majorEastAsia"/>
        </w:rPr>
        <w:t>7招标文件规定的其他资格条件证明文件</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numPr>
          <w:ilvl w:val="0"/>
          <w:numId w:val="4"/>
        </w:numPr>
        <w:tabs>
          <w:tab w:val="left" w:pos="1379"/>
        </w:tabs>
        <w:spacing w:line="360" w:lineRule="auto"/>
        <w:jc w:val="left"/>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其他</w:t>
      </w:r>
    </w:p>
    <w:p>
      <w:pPr>
        <w:numPr>
          <w:ilvl w:val="0"/>
          <w:numId w:val="5"/>
        </w:numPr>
        <w:tabs>
          <w:tab w:val="left" w:pos="1379"/>
        </w:tabs>
        <w:spacing w:line="360" w:lineRule="auto"/>
        <w:jc w:val="left"/>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投标简介</w:t>
      </w:r>
    </w:p>
    <w:p>
      <w:pPr>
        <w:numPr>
          <w:ilvl w:val="0"/>
          <w:numId w:val="5"/>
        </w:numPr>
        <w:tabs>
          <w:tab w:val="left" w:pos="1379"/>
        </w:tabs>
        <w:spacing w:line="360" w:lineRule="auto"/>
        <w:jc w:val="left"/>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其他有利于项目的有关资料，比如人员、业绩等（格式自拟）</w:t>
      </w: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tabs>
          <w:tab w:val="left" w:pos="1379"/>
        </w:tabs>
        <w:spacing w:line="360" w:lineRule="auto"/>
        <w:jc w:val="left"/>
        <w:rPr>
          <w:rFonts w:asciiTheme="majorEastAsia" w:hAnsiTheme="majorEastAsia" w:eastAsiaTheme="majorEastAsia" w:cstheme="majorEastAsia"/>
          <w:b/>
          <w:bCs/>
          <w:sz w:val="24"/>
          <w:szCs w:val="24"/>
        </w:rPr>
      </w:pPr>
    </w:p>
    <w:p>
      <w:pPr>
        <w:pStyle w:val="2"/>
        <w:spacing w:line="360" w:lineRule="auto"/>
        <w:jc w:val="both"/>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pStyle w:val="2"/>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政府采购</w:t>
      </w:r>
    </w:p>
    <w:p>
      <w:pPr>
        <w:pStyle w:val="2"/>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投</w:t>
      </w:r>
      <w:r>
        <w:rPr>
          <w:rFonts w:asciiTheme="majorEastAsia" w:hAnsiTheme="majorEastAsia" w:eastAsiaTheme="majorEastAsia" w:cstheme="majorEastAsia"/>
        </w:rPr>
        <w:t xml:space="preserve"> </w:t>
      </w:r>
      <w:r>
        <w:rPr>
          <w:rFonts w:hint="eastAsia" w:asciiTheme="majorEastAsia" w:hAnsiTheme="majorEastAsia" w:eastAsiaTheme="majorEastAsia" w:cstheme="majorEastAsia"/>
        </w:rPr>
        <w:t>标</w:t>
      </w:r>
      <w:r>
        <w:rPr>
          <w:rFonts w:asciiTheme="majorEastAsia" w:hAnsiTheme="majorEastAsia" w:eastAsiaTheme="majorEastAsia" w:cstheme="majorEastAsia"/>
        </w:rPr>
        <w:t xml:space="preserve"> </w:t>
      </w:r>
      <w:r>
        <w:rPr>
          <w:rFonts w:hint="eastAsia" w:asciiTheme="majorEastAsia" w:hAnsiTheme="majorEastAsia" w:eastAsiaTheme="majorEastAsia" w:cstheme="majorEastAsia"/>
        </w:rPr>
        <w:t>文</w:t>
      </w:r>
      <w:r>
        <w:rPr>
          <w:rFonts w:asciiTheme="majorEastAsia" w:hAnsiTheme="majorEastAsia" w:eastAsiaTheme="majorEastAsia" w:cstheme="majorEastAsia"/>
        </w:rPr>
        <w:t xml:space="preserve"> </w:t>
      </w:r>
      <w:r>
        <w:rPr>
          <w:rFonts w:hint="eastAsia" w:asciiTheme="majorEastAsia" w:hAnsiTheme="majorEastAsia" w:eastAsiaTheme="majorEastAsia" w:cstheme="majorEastAsia"/>
        </w:rPr>
        <w:t>件</w:t>
      </w:r>
    </w:p>
    <w:p>
      <w:pPr>
        <w:pStyle w:val="8"/>
        <w:spacing w:line="360" w:lineRule="auto"/>
        <w:ind w:firstLine="560" w:firstLineChars="200"/>
        <w:jc w:val="center"/>
        <w:rPr>
          <w:rFonts w:asciiTheme="majorEastAsia" w:hAnsiTheme="majorEastAsia" w:eastAsiaTheme="majorEastAsia" w:cstheme="majorEastAsia"/>
          <w:sz w:val="28"/>
          <w:szCs w:val="28"/>
        </w:rPr>
      </w:pPr>
      <w:r>
        <w:rPr>
          <w:rFonts w:asciiTheme="majorEastAsia" w:hAnsiTheme="majorEastAsia" w:eastAsiaTheme="majorEastAsia" w:cstheme="majorEastAsia"/>
          <w:sz w:val="28"/>
          <w:szCs w:val="28"/>
        </w:rPr>
        <w:t>(技术文件)</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2940" w:firstLineChars="1400"/>
        <w:rPr>
          <w:rFonts w:asciiTheme="majorEastAsia" w:hAnsiTheme="majorEastAsia" w:eastAsiaTheme="majorEastAsia" w:cstheme="majorEastAsia"/>
        </w:rPr>
      </w:pPr>
      <w:r>
        <w:rPr>
          <w:rFonts w:hint="eastAsia" w:asciiTheme="majorEastAsia" w:hAnsiTheme="majorEastAsia" w:eastAsiaTheme="majorEastAsia" w:cstheme="majorEastAsia"/>
        </w:rPr>
        <w:t>项目名称：</w:t>
      </w:r>
      <w:r>
        <w:rPr>
          <w:rFonts w:asciiTheme="majorEastAsia" w:hAnsiTheme="majorEastAsia" w:eastAsiaTheme="majorEastAsia" w:cstheme="majorEastAsia"/>
        </w:rPr>
        <w:t>________________</w:t>
      </w:r>
    </w:p>
    <w:p>
      <w:pPr>
        <w:pStyle w:val="8"/>
        <w:spacing w:line="360" w:lineRule="auto"/>
        <w:ind w:firstLine="420" w:firstLineChars="200"/>
        <w:jc w:val="center"/>
        <w:rPr>
          <w:rFonts w:asciiTheme="majorEastAsia" w:hAnsiTheme="majorEastAsia" w:eastAsiaTheme="majorEastAsia" w:cstheme="majorEastAsia"/>
        </w:rPr>
      </w:pPr>
    </w:p>
    <w:p>
      <w:pPr>
        <w:pStyle w:val="8"/>
        <w:spacing w:line="360" w:lineRule="auto"/>
        <w:ind w:firstLine="2940" w:firstLineChars="1400"/>
        <w:rPr>
          <w:rFonts w:asciiTheme="majorEastAsia" w:hAnsiTheme="majorEastAsia" w:eastAsiaTheme="majorEastAsia" w:cstheme="majorEastAsia"/>
        </w:rPr>
      </w:pPr>
      <w:r>
        <w:rPr>
          <w:rFonts w:hint="eastAsia" w:asciiTheme="majorEastAsia" w:hAnsiTheme="majorEastAsia" w:eastAsiaTheme="majorEastAsia" w:cstheme="majorEastAsia"/>
        </w:rPr>
        <w:t>项目编号：</w:t>
      </w:r>
      <w:r>
        <w:rPr>
          <w:rFonts w:asciiTheme="majorEastAsia" w:hAnsiTheme="majorEastAsia" w:eastAsiaTheme="majorEastAsia" w:cstheme="majorEastAsia"/>
        </w:rPr>
        <w:t>________________</w:t>
      </w:r>
    </w:p>
    <w:p>
      <w:pPr>
        <w:pStyle w:val="8"/>
        <w:spacing w:line="360" w:lineRule="auto"/>
        <w:ind w:firstLine="420" w:firstLineChars="200"/>
        <w:jc w:val="center"/>
        <w:rPr>
          <w:rFonts w:asciiTheme="majorEastAsia" w:hAnsiTheme="majorEastAsia" w:eastAsiaTheme="majorEastAsia" w:cstheme="majorEastAsia"/>
        </w:rPr>
      </w:pPr>
    </w:p>
    <w:p>
      <w:pPr>
        <w:pStyle w:val="8"/>
        <w:spacing w:line="360" w:lineRule="auto"/>
        <w:ind w:firstLine="2730" w:firstLineChars="1300"/>
        <w:rPr>
          <w:rFonts w:asciiTheme="majorEastAsia" w:hAnsiTheme="majorEastAsia" w:eastAsiaTheme="majorEastAsia" w:cstheme="majorEastAsia"/>
        </w:rPr>
      </w:pPr>
      <w:r>
        <w:rPr>
          <w:rFonts w:hint="eastAsia" w:asciiTheme="majorEastAsia" w:hAnsiTheme="majorEastAsia" w:eastAsiaTheme="majorEastAsia" w:cstheme="majorEastAsia"/>
        </w:rPr>
        <w:t>投标人名称：</w:t>
      </w:r>
      <w:r>
        <w:rPr>
          <w:rFonts w:asciiTheme="majorEastAsia" w:hAnsiTheme="majorEastAsia" w:eastAsiaTheme="majorEastAsia" w:cstheme="majorEastAsia"/>
        </w:rPr>
        <w:t>________________</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jc w:val="center"/>
        <w:rPr>
          <w:rFonts w:asciiTheme="majorEastAsia" w:hAnsiTheme="majorEastAsia" w:eastAsiaTheme="majorEastAsia" w:cstheme="majorEastAsia"/>
        </w:rPr>
      </w:pPr>
      <w:r>
        <w:rPr>
          <w:rFonts w:hint="eastAsia" w:asciiTheme="majorEastAsia" w:hAnsiTheme="majorEastAsia" w:eastAsiaTheme="majorEastAsia" w:cstheme="majorEastAsia"/>
        </w:rPr>
        <w:t>　　</w:t>
      </w:r>
      <w:r>
        <w:rPr>
          <w:rFonts w:asciiTheme="majorEastAsia" w:hAnsiTheme="majorEastAsia" w:eastAsiaTheme="majorEastAsia" w:cstheme="majorEastAsia"/>
        </w:rPr>
        <w:t>______年______月______日</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br w:type="page"/>
      </w:r>
    </w:p>
    <w:p>
      <w:pPr>
        <w:pStyle w:val="8"/>
        <w:spacing w:line="360" w:lineRule="auto"/>
        <w:ind w:firstLine="482" w:firstLineChars="200"/>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八、服务条款偏离表</w:t>
      </w:r>
    </w:p>
    <w:p>
      <w:pPr>
        <w:pStyle w:val="8"/>
        <w:spacing w:line="360" w:lineRule="auto"/>
        <w:ind w:firstLine="420" w:firstLineChars="200"/>
        <w:jc w:val="center"/>
        <w:rPr>
          <w:rFonts w:asciiTheme="majorEastAsia" w:hAnsiTheme="majorEastAsia" w:eastAsiaTheme="majorEastAsia" w:cstheme="majorEastAsia"/>
        </w:rPr>
      </w:pPr>
      <w:r>
        <w:rPr>
          <w:rFonts w:hint="eastAsia" w:asciiTheme="majorEastAsia" w:hAnsiTheme="majorEastAsia" w:eastAsiaTheme="majorEastAsia" w:cstheme="majorEastAsia"/>
        </w:rPr>
        <w:t>服务条款偏离表</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项目名称：</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项目编号：</w:t>
      </w:r>
      <w:r>
        <w:rPr>
          <w:rFonts w:asciiTheme="majorEastAsia" w:hAnsiTheme="majorEastAsia" w:eastAsiaTheme="majorEastAsia" w:cstheme="majorEastAsia"/>
        </w:rPr>
        <w:t>____________________</w:t>
      </w:r>
    </w:p>
    <w:tbl>
      <w:tblPr>
        <w:tblStyle w:val="14"/>
        <w:tblW w:w="82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2295"/>
        <w:gridCol w:w="2480"/>
        <w:gridCol w:w="1270"/>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序号</w:t>
            </w:r>
          </w:p>
        </w:tc>
        <w:tc>
          <w:tcPr>
            <w:tcW w:w="2295"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服务指标要求</w:t>
            </w:r>
          </w:p>
        </w:tc>
        <w:tc>
          <w:tcPr>
            <w:tcW w:w="2480"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投标响应情况</w:t>
            </w:r>
          </w:p>
        </w:tc>
        <w:tc>
          <w:tcPr>
            <w:tcW w:w="1270"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偏离</w:t>
            </w:r>
          </w:p>
        </w:tc>
        <w:tc>
          <w:tcPr>
            <w:tcW w:w="1235" w:type="dxa"/>
            <w:vAlign w:val="center"/>
          </w:tcPr>
          <w:p>
            <w:pPr>
              <w:pStyle w:val="8"/>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vAlign w:val="center"/>
          </w:tcPr>
          <w:p>
            <w:pPr>
              <w:pStyle w:val="8"/>
              <w:spacing w:line="360" w:lineRule="auto"/>
              <w:jc w:val="center"/>
              <w:rPr>
                <w:rFonts w:asciiTheme="majorEastAsia" w:hAnsiTheme="majorEastAsia" w:eastAsiaTheme="majorEastAsia" w:cstheme="majorEastAsia"/>
              </w:rPr>
            </w:pPr>
          </w:p>
        </w:tc>
        <w:tc>
          <w:tcPr>
            <w:tcW w:w="2295" w:type="dxa"/>
            <w:vAlign w:val="center"/>
          </w:tcPr>
          <w:p>
            <w:pPr>
              <w:pStyle w:val="8"/>
              <w:spacing w:line="360" w:lineRule="auto"/>
              <w:jc w:val="center"/>
              <w:rPr>
                <w:rFonts w:asciiTheme="majorEastAsia" w:hAnsiTheme="majorEastAsia" w:eastAsiaTheme="majorEastAsia" w:cstheme="majorEastAsia"/>
              </w:rPr>
            </w:pPr>
          </w:p>
        </w:tc>
        <w:tc>
          <w:tcPr>
            <w:tcW w:w="2480" w:type="dxa"/>
            <w:vAlign w:val="center"/>
          </w:tcPr>
          <w:p>
            <w:pPr>
              <w:pStyle w:val="8"/>
              <w:spacing w:line="360" w:lineRule="auto"/>
              <w:jc w:val="center"/>
              <w:rPr>
                <w:rFonts w:asciiTheme="majorEastAsia" w:hAnsiTheme="majorEastAsia" w:eastAsiaTheme="majorEastAsia" w:cstheme="majorEastAsia"/>
              </w:rPr>
            </w:pPr>
          </w:p>
        </w:tc>
        <w:tc>
          <w:tcPr>
            <w:tcW w:w="1270" w:type="dxa"/>
            <w:vAlign w:val="center"/>
          </w:tcPr>
          <w:p>
            <w:pPr>
              <w:pStyle w:val="8"/>
              <w:spacing w:line="360" w:lineRule="auto"/>
              <w:jc w:val="center"/>
              <w:rPr>
                <w:rFonts w:asciiTheme="majorEastAsia" w:hAnsiTheme="majorEastAsia" w:eastAsiaTheme="majorEastAsia" w:cstheme="majorEastAsia"/>
              </w:rPr>
            </w:pPr>
          </w:p>
        </w:tc>
        <w:tc>
          <w:tcPr>
            <w:tcW w:w="1235"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vAlign w:val="center"/>
          </w:tcPr>
          <w:p>
            <w:pPr>
              <w:pStyle w:val="8"/>
              <w:spacing w:line="360" w:lineRule="auto"/>
              <w:jc w:val="center"/>
              <w:rPr>
                <w:rFonts w:asciiTheme="majorEastAsia" w:hAnsiTheme="majorEastAsia" w:eastAsiaTheme="majorEastAsia" w:cstheme="majorEastAsia"/>
              </w:rPr>
            </w:pPr>
          </w:p>
        </w:tc>
        <w:tc>
          <w:tcPr>
            <w:tcW w:w="2295" w:type="dxa"/>
            <w:vAlign w:val="center"/>
          </w:tcPr>
          <w:p>
            <w:pPr>
              <w:pStyle w:val="8"/>
              <w:spacing w:line="360" w:lineRule="auto"/>
              <w:jc w:val="center"/>
              <w:rPr>
                <w:rFonts w:asciiTheme="majorEastAsia" w:hAnsiTheme="majorEastAsia" w:eastAsiaTheme="majorEastAsia" w:cstheme="majorEastAsia"/>
              </w:rPr>
            </w:pPr>
          </w:p>
        </w:tc>
        <w:tc>
          <w:tcPr>
            <w:tcW w:w="2480" w:type="dxa"/>
            <w:vAlign w:val="center"/>
          </w:tcPr>
          <w:p>
            <w:pPr>
              <w:pStyle w:val="8"/>
              <w:spacing w:line="360" w:lineRule="auto"/>
              <w:jc w:val="center"/>
              <w:rPr>
                <w:rFonts w:asciiTheme="majorEastAsia" w:hAnsiTheme="majorEastAsia" w:eastAsiaTheme="majorEastAsia" w:cstheme="majorEastAsia"/>
              </w:rPr>
            </w:pPr>
          </w:p>
        </w:tc>
        <w:tc>
          <w:tcPr>
            <w:tcW w:w="1270" w:type="dxa"/>
            <w:vAlign w:val="center"/>
          </w:tcPr>
          <w:p>
            <w:pPr>
              <w:pStyle w:val="8"/>
              <w:spacing w:line="360" w:lineRule="auto"/>
              <w:jc w:val="center"/>
              <w:rPr>
                <w:rFonts w:asciiTheme="majorEastAsia" w:hAnsiTheme="majorEastAsia" w:eastAsiaTheme="majorEastAsia" w:cstheme="majorEastAsia"/>
              </w:rPr>
            </w:pPr>
          </w:p>
        </w:tc>
        <w:tc>
          <w:tcPr>
            <w:tcW w:w="1235"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vAlign w:val="center"/>
          </w:tcPr>
          <w:p>
            <w:pPr>
              <w:pStyle w:val="8"/>
              <w:spacing w:line="360" w:lineRule="auto"/>
              <w:jc w:val="center"/>
              <w:rPr>
                <w:rFonts w:asciiTheme="majorEastAsia" w:hAnsiTheme="majorEastAsia" w:eastAsiaTheme="majorEastAsia" w:cstheme="majorEastAsia"/>
              </w:rPr>
            </w:pPr>
          </w:p>
        </w:tc>
        <w:tc>
          <w:tcPr>
            <w:tcW w:w="2295" w:type="dxa"/>
            <w:vAlign w:val="center"/>
          </w:tcPr>
          <w:p>
            <w:pPr>
              <w:pStyle w:val="8"/>
              <w:spacing w:line="360" w:lineRule="auto"/>
              <w:jc w:val="center"/>
              <w:rPr>
                <w:rFonts w:asciiTheme="majorEastAsia" w:hAnsiTheme="majorEastAsia" w:eastAsiaTheme="majorEastAsia" w:cstheme="majorEastAsia"/>
              </w:rPr>
            </w:pPr>
          </w:p>
        </w:tc>
        <w:tc>
          <w:tcPr>
            <w:tcW w:w="2480" w:type="dxa"/>
            <w:vAlign w:val="center"/>
          </w:tcPr>
          <w:p>
            <w:pPr>
              <w:pStyle w:val="8"/>
              <w:spacing w:line="360" w:lineRule="auto"/>
              <w:jc w:val="center"/>
              <w:rPr>
                <w:rFonts w:asciiTheme="majorEastAsia" w:hAnsiTheme="majorEastAsia" w:eastAsiaTheme="majorEastAsia" w:cstheme="majorEastAsia"/>
              </w:rPr>
            </w:pPr>
          </w:p>
        </w:tc>
        <w:tc>
          <w:tcPr>
            <w:tcW w:w="1270" w:type="dxa"/>
            <w:vAlign w:val="center"/>
          </w:tcPr>
          <w:p>
            <w:pPr>
              <w:pStyle w:val="8"/>
              <w:spacing w:line="360" w:lineRule="auto"/>
              <w:jc w:val="center"/>
              <w:rPr>
                <w:rFonts w:asciiTheme="majorEastAsia" w:hAnsiTheme="majorEastAsia" w:eastAsiaTheme="majorEastAsia" w:cstheme="majorEastAsia"/>
              </w:rPr>
            </w:pPr>
          </w:p>
        </w:tc>
        <w:tc>
          <w:tcPr>
            <w:tcW w:w="1235"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vAlign w:val="center"/>
          </w:tcPr>
          <w:p>
            <w:pPr>
              <w:pStyle w:val="8"/>
              <w:spacing w:line="360" w:lineRule="auto"/>
              <w:jc w:val="center"/>
              <w:rPr>
                <w:rFonts w:asciiTheme="majorEastAsia" w:hAnsiTheme="majorEastAsia" w:eastAsiaTheme="majorEastAsia" w:cstheme="majorEastAsia"/>
              </w:rPr>
            </w:pPr>
          </w:p>
        </w:tc>
        <w:tc>
          <w:tcPr>
            <w:tcW w:w="2295" w:type="dxa"/>
            <w:vAlign w:val="center"/>
          </w:tcPr>
          <w:p>
            <w:pPr>
              <w:pStyle w:val="8"/>
              <w:spacing w:line="360" w:lineRule="auto"/>
              <w:jc w:val="center"/>
              <w:rPr>
                <w:rFonts w:asciiTheme="majorEastAsia" w:hAnsiTheme="majorEastAsia" w:eastAsiaTheme="majorEastAsia" w:cstheme="majorEastAsia"/>
              </w:rPr>
            </w:pPr>
          </w:p>
        </w:tc>
        <w:tc>
          <w:tcPr>
            <w:tcW w:w="2480" w:type="dxa"/>
            <w:vAlign w:val="center"/>
          </w:tcPr>
          <w:p>
            <w:pPr>
              <w:pStyle w:val="8"/>
              <w:spacing w:line="360" w:lineRule="auto"/>
              <w:jc w:val="center"/>
              <w:rPr>
                <w:rFonts w:asciiTheme="majorEastAsia" w:hAnsiTheme="majorEastAsia" w:eastAsiaTheme="majorEastAsia" w:cstheme="majorEastAsia"/>
              </w:rPr>
            </w:pPr>
          </w:p>
        </w:tc>
        <w:tc>
          <w:tcPr>
            <w:tcW w:w="1270" w:type="dxa"/>
            <w:vAlign w:val="center"/>
          </w:tcPr>
          <w:p>
            <w:pPr>
              <w:pStyle w:val="8"/>
              <w:spacing w:line="360" w:lineRule="auto"/>
              <w:jc w:val="center"/>
              <w:rPr>
                <w:rFonts w:asciiTheme="majorEastAsia" w:hAnsiTheme="majorEastAsia" w:eastAsiaTheme="majorEastAsia" w:cstheme="majorEastAsia"/>
              </w:rPr>
            </w:pPr>
          </w:p>
        </w:tc>
        <w:tc>
          <w:tcPr>
            <w:tcW w:w="1235"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vAlign w:val="center"/>
          </w:tcPr>
          <w:p>
            <w:pPr>
              <w:pStyle w:val="8"/>
              <w:spacing w:line="360" w:lineRule="auto"/>
              <w:jc w:val="center"/>
              <w:rPr>
                <w:rFonts w:asciiTheme="majorEastAsia" w:hAnsiTheme="majorEastAsia" w:eastAsiaTheme="majorEastAsia" w:cstheme="majorEastAsia"/>
              </w:rPr>
            </w:pPr>
          </w:p>
        </w:tc>
        <w:tc>
          <w:tcPr>
            <w:tcW w:w="2295" w:type="dxa"/>
            <w:vAlign w:val="center"/>
          </w:tcPr>
          <w:p>
            <w:pPr>
              <w:pStyle w:val="8"/>
              <w:spacing w:line="360" w:lineRule="auto"/>
              <w:jc w:val="center"/>
              <w:rPr>
                <w:rFonts w:asciiTheme="majorEastAsia" w:hAnsiTheme="majorEastAsia" w:eastAsiaTheme="majorEastAsia" w:cstheme="majorEastAsia"/>
              </w:rPr>
            </w:pPr>
          </w:p>
        </w:tc>
        <w:tc>
          <w:tcPr>
            <w:tcW w:w="2480" w:type="dxa"/>
            <w:vAlign w:val="center"/>
          </w:tcPr>
          <w:p>
            <w:pPr>
              <w:pStyle w:val="8"/>
              <w:spacing w:line="360" w:lineRule="auto"/>
              <w:jc w:val="center"/>
              <w:rPr>
                <w:rFonts w:asciiTheme="majorEastAsia" w:hAnsiTheme="majorEastAsia" w:eastAsiaTheme="majorEastAsia" w:cstheme="majorEastAsia"/>
              </w:rPr>
            </w:pPr>
          </w:p>
        </w:tc>
        <w:tc>
          <w:tcPr>
            <w:tcW w:w="1270" w:type="dxa"/>
            <w:vAlign w:val="center"/>
          </w:tcPr>
          <w:p>
            <w:pPr>
              <w:pStyle w:val="8"/>
              <w:spacing w:line="360" w:lineRule="auto"/>
              <w:jc w:val="center"/>
              <w:rPr>
                <w:rFonts w:asciiTheme="majorEastAsia" w:hAnsiTheme="majorEastAsia" w:eastAsiaTheme="majorEastAsia" w:cstheme="majorEastAsia"/>
              </w:rPr>
            </w:pPr>
          </w:p>
        </w:tc>
        <w:tc>
          <w:tcPr>
            <w:tcW w:w="1235" w:type="dxa"/>
            <w:vAlign w:val="center"/>
          </w:tcPr>
          <w:p>
            <w:pPr>
              <w:pStyle w:val="8"/>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vAlign w:val="center"/>
          </w:tcPr>
          <w:p>
            <w:pPr>
              <w:pStyle w:val="8"/>
              <w:spacing w:line="360" w:lineRule="auto"/>
              <w:jc w:val="center"/>
              <w:rPr>
                <w:rFonts w:asciiTheme="majorEastAsia" w:hAnsiTheme="majorEastAsia" w:eastAsiaTheme="majorEastAsia" w:cstheme="majorEastAsia"/>
              </w:rPr>
            </w:pPr>
          </w:p>
        </w:tc>
        <w:tc>
          <w:tcPr>
            <w:tcW w:w="2295" w:type="dxa"/>
            <w:vAlign w:val="center"/>
          </w:tcPr>
          <w:p>
            <w:pPr>
              <w:pStyle w:val="8"/>
              <w:spacing w:line="360" w:lineRule="auto"/>
              <w:jc w:val="center"/>
              <w:rPr>
                <w:rFonts w:asciiTheme="majorEastAsia" w:hAnsiTheme="majorEastAsia" w:eastAsiaTheme="majorEastAsia" w:cstheme="majorEastAsia"/>
              </w:rPr>
            </w:pPr>
          </w:p>
        </w:tc>
        <w:tc>
          <w:tcPr>
            <w:tcW w:w="2480" w:type="dxa"/>
            <w:vAlign w:val="center"/>
          </w:tcPr>
          <w:p>
            <w:pPr>
              <w:pStyle w:val="8"/>
              <w:spacing w:line="360" w:lineRule="auto"/>
              <w:jc w:val="center"/>
              <w:rPr>
                <w:rFonts w:asciiTheme="majorEastAsia" w:hAnsiTheme="majorEastAsia" w:eastAsiaTheme="majorEastAsia" w:cstheme="majorEastAsia"/>
              </w:rPr>
            </w:pPr>
          </w:p>
        </w:tc>
        <w:tc>
          <w:tcPr>
            <w:tcW w:w="1270" w:type="dxa"/>
            <w:vAlign w:val="center"/>
          </w:tcPr>
          <w:p>
            <w:pPr>
              <w:pStyle w:val="8"/>
              <w:spacing w:line="360" w:lineRule="auto"/>
              <w:jc w:val="center"/>
              <w:rPr>
                <w:rFonts w:asciiTheme="majorEastAsia" w:hAnsiTheme="majorEastAsia" w:eastAsiaTheme="majorEastAsia" w:cstheme="majorEastAsia"/>
              </w:rPr>
            </w:pPr>
          </w:p>
        </w:tc>
        <w:tc>
          <w:tcPr>
            <w:tcW w:w="1235" w:type="dxa"/>
            <w:vAlign w:val="center"/>
          </w:tcPr>
          <w:p>
            <w:pPr>
              <w:pStyle w:val="8"/>
              <w:spacing w:line="360" w:lineRule="auto"/>
              <w:jc w:val="center"/>
              <w:rPr>
                <w:rFonts w:asciiTheme="majorEastAsia" w:hAnsiTheme="majorEastAsia" w:eastAsiaTheme="majorEastAsia" w:cstheme="majorEastAsia"/>
              </w:rPr>
            </w:pPr>
          </w:p>
        </w:tc>
      </w:tr>
    </w:tbl>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说明：在偏离项必须注明正偏离、负偏离或无偏离。</w:t>
      </w:r>
    </w:p>
    <w:p>
      <w:pPr>
        <w:pStyle w:val="8"/>
        <w:spacing w:line="360" w:lineRule="auto"/>
        <w:ind w:firstLine="420" w:firstLineChars="200"/>
        <w:rPr>
          <w:rFonts w:asciiTheme="majorEastAsia" w:hAnsiTheme="majorEastAsia" w:eastAsiaTheme="majorEastAsia" w:cstheme="majorEastAsia"/>
        </w:rPr>
      </w:pP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投标人名称</w:t>
      </w:r>
      <w:r>
        <w:rPr>
          <w:rFonts w:asciiTheme="majorEastAsia" w:hAnsiTheme="majorEastAsia" w:eastAsiaTheme="majorEastAsia" w:cstheme="majorEastAsia"/>
        </w:rPr>
        <w:t>(公章)：________________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法定代表人或其授权代表</w:t>
      </w:r>
      <w:r>
        <w:rPr>
          <w:rFonts w:asciiTheme="majorEastAsia" w:hAnsiTheme="majorEastAsia" w:eastAsiaTheme="majorEastAsia" w:cstheme="majorEastAsia"/>
        </w:rPr>
        <w:t>(签字或盖章)：________________</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日期：</w:t>
      </w:r>
      <w:r>
        <w:rPr>
          <w:rFonts w:asciiTheme="majorEastAsia" w:hAnsiTheme="majorEastAsia" w:eastAsiaTheme="majorEastAsia" w:cstheme="majorEastAsia"/>
        </w:rPr>
        <w:t>______年____月____日</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说明：授权用招标专用章的，与公章具有相同法律效力。</w:t>
      </w:r>
    </w:p>
    <w:p>
      <w:pPr>
        <w:pStyle w:val="8"/>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技术指标表</w:t>
      </w:r>
      <w:r>
        <w:rPr>
          <w:rFonts w:asciiTheme="majorEastAsia" w:hAnsiTheme="majorEastAsia" w:eastAsiaTheme="majorEastAsia" w:cstheme="majorEastAsia"/>
        </w:rPr>
        <w:t>(采购人或采购机构根据项目实际编制)</w:t>
      </w:r>
    </w:p>
    <w:p>
      <w:pPr>
        <w:pStyle w:val="8"/>
        <w:spacing w:line="360" w:lineRule="auto"/>
        <w:ind w:firstLine="420" w:firstLineChars="200"/>
        <w:rPr>
          <w:rFonts w:asciiTheme="majorEastAsia" w:hAnsiTheme="majorEastAsia" w:eastAsiaTheme="majorEastAsia" w:cstheme="majorEastAsia"/>
        </w:rPr>
      </w:pPr>
      <w:r>
        <w:rPr>
          <w:rFonts w:asciiTheme="majorEastAsia" w:hAnsiTheme="majorEastAsia" w:eastAsiaTheme="majorEastAsia" w:cstheme="majorEastAsia"/>
        </w:rPr>
        <w:br w:type="page"/>
      </w:r>
    </w:p>
    <w:p>
      <w:pPr>
        <w:pStyle w:val="4"/>
        <w:spacing w:line="360" w:lineRule="auto"/>
        <w:ind w:firstLine="482"/>
        <w:rPr>
          <w:rFonts w:asciiTheme="majorEastAsia" w:hAnsiTheme="majorEastAsia" w:eastAsiaTheme="majorEastAsia" w:cstheme="majorEastAsia"/>
        </w:rPr>
      </w:pPr>
      <w:r>
        <w:rPr>
          <w:rFonts w:hint="eastAsia" w:asciiTheme="majorEastAsia" w:hAnsiTheme="majorEastAsia" w:eastAsiaTheme="majorEastAsia" w:cstheme="majorEastAsia"/>
        </w:rPr>
        <w:t>九、服务方案（格式自拟）</w:t>
      </w: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360" w:lineRule="auto"/>
        <w:ind w:firstLine="640" w:firstLineChars="200"/>
        <w:jc w:val="center"/>
        <w:rPr>
          <w:rFonts w:asciiTheme="majorEastAsia" w:hAnsiTheme="majorEastAsia" w:eastAsiaTheme="majorEastAsia" w:cstheme="majorEastAsia"/>
          <w:sz w:val="32"/>
          <w:szCs w:val="32"/>
        </w:rPr>
      </w:pPr>
    </w:p>
    <w:p>
      <w:pPr>
        <w:pStyle w:val="8"/>
        <w:spacing w:line="240" w:lineRule="atLeast"/>
        <w:jc w:val="center"/>
        <w:rPr>
          <w:rFonts w:asciiTheme="majorEastAsia" w:hAnsiTheme="majorEastAsia" w:eastAsiaTheme="majorEastAsia" w:cstheme="majorEastAsia"/>
          <w:sz w:val="32"/>
          <w:szCs w:val="32"/>
        </w:rPr>
      </w:pPr>
      <w:r>
        <w:rPr>
          <w:rFonts w:asciiTheme="majorEastAsia" w:hAnsiTheme="majorEastAsia" w:eastAsiaTheme="majorEastAsia" w:cstheme="majorEastAsia"/>
          <w:sz w:val="32"/>
          <w:szCs w:val="32"/>
        </w:rPr>
        <w:br w:type="page"/>
      </w:r>
      <w:r>
        <w:rPr>
          <w:rFonts w:hint="eastAsia" w:asciiTheme="majorEastAsia" w:hAnsiTheme="majorEastAsia" w:eastAsiaTheme="majorEastAsia" w:cstheme="majorEastAsia"/>
          <w:sz w:val="32"/>
          <w:szCs w:val="32"/>
        </w:rPr>
        <w:t>第二部分　技</w:t>
      </w:r>
      <w:r>
        <w:rPr>
          <w:rFonts w:asciiTheme="majorEastAsia" w:hAnsiTheme="majorEastAsia" w:eastAsiaTheme="majorEastAsia" w:cstheme="majorEastAsia"/>
          <w:sz w:val="32"/>
          <w:szCs w:val="32"/>
        </w:rPr>
        <w:t xml:space="preserve"> </w:t>
      </w:r>
      <w:r>
        <w:rPr>
          <w:rFonts w:hint="eastAsia" w:asciiTheme="majorEastAsia" w:hAnsiTheme="majorEastAsia" w:eastAsiaTheme="majorEastAsia" w:cstheme="majorEastAsia"/>
          <w:sz w:val="32"/>
          <w:szCs w:val="32"/>
        </w:rPr>
        <w:t>术</w:t>
      </w:r>
      <w:r>
        <w:rPr>
          <w:rFonts w:asciiTheme="majorEastAsia" w:hAnsiTheme="majorEastAsia" w:eastAsiaTheme="majorEastAsia" w:cstheme="majorEastAsia"/>
          <w:sz w:val="32"/>
          <w:szCs w:val="32"/>
        </w:rPr>
        <w:t xml:space="preserve"> </w:t>
      </w:r>
      <w:r>
        <w:rPr>
          <w:rFonts w:hint="eastAsia" w:asciiTheme="majorEastAsia" w:hAnsiTheme="majorEastAsia" w:eastAsiaTheme="majorEastAsia" w:cstheme="majorEastAsia"/>
          <w:sz w:val="32"/>
          <w:szCs w:val="32"/>
        </w:rPr>
        <w:t>部</w:t>
      </w:r>
      <w:r>
        <w:rPr>
          <w:rFonts w:asciiTheme="majorEastAsia" w:hAnsiTheme="majorEastAsia" w:eastAsiaTheme="majorEastAsia" w:cstheme="majorEastAsia"/>
          <w:sz w:val="32"/>
          <w:szCs w:val="32"/>
        </w:rPr>
        <w:t xml:space="preserve"> </w:t>
      </w:r>
      <w:r>
        <w:rPr>
          <w:rFonts w:hint="eastAsia" w:asciiTheme="majorEastAsia" w:hAnsiTheme="majorEastAsia" w:eastAsiaTheme="majorEastAsia" w:cstheme="majorEastAsia"/>
          <w:sz w:val="32"/>
          <w:szCs w:val="32"/>
        </w:rPr>
        <w:t>分</w:t>
      </w:r>
    </w:p>
    <w:p>
      <w:pPr>
        <w:pStyle w:val="2"/>
        <w:spacing w:before="200" w:after="200" w:line="240" w:lineRule="atLeast"/>
        <w:rPr>
          <w:rFonts w:asciiTheme="majorEastAsia" w:hAnsiTheme="majorEastAsia" w:eastAsiaTheme="majorEastAsia" w:cstheme="majorEastAsia"/>
          <w:b/>
          <w:bCs w:val="0"/>
          <w:sz w:val="30"/>
          <w:szCs w:val="30"/>
        </w:rPr>
      </w:pPr>
      <w:bookmarkStart w:id="0" w:name="_Toc101951257"/>
      <w:bookmarkStart w:id="1" w:name="_Toc401575143"/>
      <w:bookmarkStart w:id="2" w:name="_Toc175644388"/>
      <w:bookmarkStart w:id="3" w:name="_Toc101771371"/>
      <w:bookmarkStart w:id="4" w:name="_Toc37245277"/>
      <w:bookmarkStart w:id="5" w:name="_Toc101775124"/>
      <w:bookmarkStart w:id="6" w:name="_Toc101843124"/>
      <w:bookmarkStart w:id="7" w:name="_Toc403491565"/>
      <w:r>
        <w:rPr>
          <w:rFonts w:hint="eastAsia" w:asciiTheme="majorEastAsia" w:hAnsiTheme="majorEastAsia" w:eastAsiaTheme="majorEastAsia" w:cstheme="majorEastAsia"/>
          <w:b/>
          <w:bCs w:val="0"/>
          <w:sz w:val="30"/>
          <w:szCs w:val="30"/>
        </w:rPr>
        <w:t>第六章、采购需求</w:t>
      </w:r>
    </w:p>
    <w:bookmarkEnd w:id="0"/>
    <w:bookmarkEnd w:id="1"/>
    <w:bookmarkEnd w:id="2"/>
    <w:bookmarkEnd w:id="3"/>
    <w:bookmarkEnd w:id="4"/>
    <w:bookmarkEnd w:id="5"/>
    <w:bookmarkEnd w:id="6"/>
    <w:bookmarkEnd w:id="7"/>
    <w:p>
      <w:pPr>
        <w:autoSpaceDE w:val="0"/>
        <w:autoSpaceDN w:val="0"/>
        <w:adjustRightInd w:val="0"/>
        <w:spacing w:line="360" w:lineRule="auto"/>
        <w:outlineLvl w:val="1"/>
        <w:rPr>
          <w:rFonts w:ascii="仿宋" w:hAnsi="仿宋" w:eastAsia="仿宋" w:cs="仿宋"/>
          <w:b/>
          <w:bCs/>
          <w:sz w:val="32"/>
          <w:szCs w:val="32"/>
        </w:rPr>
      </w:pPr>
      <w:bookmarkStart w:id="8" w:name="_Toc26703_WPSOffice_Level1"/>
      <w:r>
        <w:rPr>
          <w:rFonts w:hint="eastAsia" w:ascii="仿宋" w:hAnsi="仿宋" w:eastAsia="仿宋" w:cs="仿宋"/>
          <w:sz w:val="40"/>
          <w:szCs w:val="40"/>
        </w:rPr>
        <w:t>一、</w:t>
      </w:r>
      <w:r>
        <w:rPr>
          <w:rFonts w:hint="eastAsia" w:ascii="仿宋" w:hAnsi="仿宋" w:eastAsia="仿宋" w:cs="仿宋"/>
          <w:b/>
          <w:bCs/>
          <w:sz w:val="32"/>
          <w:szCs w:val="32"/>
        </w:rPr>
        <w:t>项目概况</w:t>
      </w:r>
      <w:bookmarkEnd w:id="8"/>
    </w:p>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本项目为海口市颜春岭垃圾填埋场调查评估项目，根据相关资料，海口市颜春岭垃圾填埋场于</w:t>
      </w:r>
      <w:r>
        <w:rPr>
          <w:rFonts w:ascii="仿宋" w:hAnsi="仿宋" w:eastAsia="仿宋" w:cs="仿宋"/>
          <w:sz w:val="28"/>
          <w:szCs w:val="28"/>
        </w:rPr>
        <w:t>1998年开始建设，2001年5月建成投入使用，是海口市及澄迈县部分生活垃圾的最终处置场所。通过开展场地现场调查，</w:t>
      </w:r>
      <w:r>
        <w:rPr>
          <w:rFonts w:hint="eastAsia" w:ascii="仿宋" w:hAnsi="仿宋" w:eastAsia="仿宋" w:cs="仿宋"/>
          <w:b/>
          <w:bCs/>
          <w:sz w:val="28"/>
          <w:szCs w:val="28"/>
        </w:rPr>
        <w:t>监测场地土壤、地下水质量现状</w:t>
      </w:r>
      <w:r>
        <w:rPr>
          <w:rFonts w:hint="eastAsia" w:ascii="仿宋" w:hAnsi="仿宋" w:eastAsia="仿宋" w:cs="仿宋"/>
          <w:sz w:val="28"/>
          <w:szCs w:val="28"/>
        </w:rPr>
        <w:t>，对环境质量状况进行评估，识别污染影响范围和影响程度，进一步提出整治建议。</w:t>
      </w:r>
    </w:p>
    <w:p>
      <w:pPr>
        <w:autoSpaceDE w:val="0"/>
        <w:autoSpaceDN w:val="0"/>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调查项目主要目的在于对填埋场现状进行环境调查，分析其对周边环境敏感点的影响，是否存在风险，对进一步管理及治理提出建议。本调查项目需严格参照国家相关场地调查技术导则进行场开展场地调查工作。</w:t>
      </w:r>
    </w:p>
    <w:p>
      <w:pPr>
        <w:autoSpaceDE w:val="0"/>
        <w:autoSpaceDN w:val="0"/>
        <w:adjustRightInd w:val="0"/>
        <w:spacing w:line="360" w:lineRule="auto"/>
        <w:outlineLvl w:val="1"/>
        <w:rPr>
          <w:rFonts w:ascii="仿宋" w:hAnsi="仿宋" w:eastAsia="仿宋" w:cs="仿宋"/>
          <w:b/>
          <w:bCs/>
          <w:sz w:val="32"/>
          <w:szCs w:val="32"/>
        </w:rPr>
      </w:pPr>
      <w:bookmarkStart w:id="9" w:name="_Toc27260_WPSOffice_Level1"/>
      <w:r>
        <w:rPr>
          <w:rFonts w:hint="eastAsia" w:ascii="仿宋" w:hAnsi="仿宋" w:eastAsia="仿宋" w:cs="仿宋"/>
          <w:b/>
          <w:bCs/>
          <w:sz w:val="32"/>
          <w:szCs w:val="32"/>
        </w:rPr>
        <w:t>二、调查依据</w:t>
      </w:r>
      <w:bookmarkEnd w:id="9"/>
    </w:p>
    <w:p>
      <w:pPr>
        <w:autoSpaceDE w:val="0"/>
        <w:autoSpaceDN w:val="0"/>
        <w:adjustRightInd w:val="0"/>
        <w:spacing w:line="360" w:lineRule="auto"/>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《中华人民共和国环境保护法》</w:t>
      </w:r>
      <w:r>
        <w:rPr>
          <w:rFonts w:ascii="仿宋" w:hAnsi="仿宋" w:eastAsia="仿宋" w:cs="仿宋"/>
          <w:sz w:val="28"/>
          <w:szCs w:val="28"/>
        </w:rPr>
        <w:t xml:space="preserve">(2015 </w:t>
      </w:r>
      <w:r>
        <w:rPr>
          <w:rFonts w:hint="eastAsia" w:ascii="仿宋" w:hAnsi="仿宋" w:eastAsia="仿宋" w:cs="仿宋"/>
          <w:sz w:val="28"/>
          <w:szCs w:val="28"/>
        </w:rPr>
        <w:t>年</w:t>
      </w:r>
      <w:r>
        <w:rPr>
          <w:rFonts w:ascii="仿宋" w:hAnsi="仿宋" w:eastAsia="仿宋" w:cs="仿宋"/>
          <w:sz w:val="28"/>
          <w:szCs w:val="28"/>
        </w:rPr>
        <w:t xml:space="preserve"> 1 </w:t>
      </w:r>
      <w:r>
        <w:rPr>
          <w:rFonts w:hint="eastAsia" w:ascii="仿宋" w:hAnsi="仿宋" w:eastAsia="仿宋" w:cs="仿宋"/>
          <w:sz w:val="28"/>
          <w:szCs w:val="28"/>
        </w:rPr>
        <w:t>月</w:t>
      </w:r>
      <w:r>
        <w:rPr>
          <w:rFonts w:ascii="仿宋" w:hAnsi="仿宋" w:eastAsia="仿宋" w:cs="仿宋"/>
          <w:sz w:val="28"/>
          <w:szCs w:val="28"/>
        </w:rPr>
        <w:t xml:space="preserve"> 1 </w:t>
      </w:r>
      <w:r>
        <w:rPr>
          <w:rFonts w:hint="eastAsia" w:ascii="仿宋" w:hAnsi="仿宋" w:eastAsia="仿宋" w:cs="仿宋"/>
          <w:sz w:val="28"/>
          <w:szCs w:val="28"/>
        </w:rPr>
        <w:t>日起实施</w:t>
      </w:r>
      <w:r>
        <w:rPr>
          <w:rFonts w:ascii="仿宋" w:hAnsi="仿宋" w:eastAsia="仿宋" w:cs="仿宋"/>
          <w:sz w:val="28"/>
          <w:szCs w:val="28"/>
        </w:rPr>
        <w:t xml:space="preserve">) </w:t>
      </w:r>
      <w:r>
        <w:rPr>
          <w:rFonts w:hint="eastAsia" w:ascii="仿宋" w:hAnsi="仿宋" w:eastAsia="仿宋" w:cs="仿宋"/>
          <w:sz w:val="28"/>
          <w:szCs w:val="28"/>
        </w:rPr>
        <w:t>；</w:t>
      </w:r>
    </w:p>
    <w:p>
      <w:pPr>
        <w:autoSpaceDE w:val="0"/>
        <w:autoSpaceDN w:val="0"/>
        <w:adjustRightInd w:val="0"/>
        <w:spacing w:line="360" w:lineRule="auto"/>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《中华人民共和国固体废物污染环境防治法》（</w:t>
      </w:r>
      <w:r>
        <w:rPr>
          <w:rFonts w:ascii="仿宋" w:hAnsi="仿宋" w:eastAsia="仿宋" w:cs="仿宋"/>
          <w:sz w:val="28"/>
          <w:szCs w:val="28"/>
        </w:rPr>
        <w:t xml:space="preserve">2015 </w:t>
      </w:r>
      <w:r>
        <w:rPr>
          <w:rFonts w:hint="eastAsia" w:ascii="仿宋" w:hAnsi="仿宋" w:eastAsia="仿宋" w:cs="仿宋"/>
          <w:sz w:val="28"/>
          <w:szCs w:val="28"/>
        </w:rPr>
        <w:t>年</w:t>
      </w:r>
      <w:r>
        <w:rPr>
          <w:rFonts w:ascii="仿宋" w:hAnsi="仿宋" w:eastAsia="仿宋" w:cs="仿宋"/>
          <w:sz w:val="28"/>
          <w:szCs w:val="28"/>
        </w:rPr>
        <w:t xml:space="preserve"> 4 </w:t>
      </w:r>
      <w:r>
        <w:rPr>
          <w:rFonts w:hint="eastAsia" w:ascii="仿宋" w:hAnsi="仿宋" w:eastAsia="仿宋" w:cs="仿宋"/>
          <w:sz w:val="28"/>
          <w:szCs w:val="28"/>
        </w:rPr>
        <w:t>月</w:t>
      </w:r>
      <w:r>
        <w:rPr>
          <w:rFonts w:ascii="仿宋" w:hAnsi="仿宋" w:eastAsia="仿宋" w:cs="仿宋"/>
          <w:sz w:val="28"/>
          <w:szCs w:val="28"/>
        </w:rPr>
        <w:t xml:space="preserve"> 24 </w:t>
      </w:r>
      <w:r>
        <w:rPr>
          <w:rFonts w:hint="eastAsia" w:ascii="仿宋" w:hAnsi="仿宋" w:eastAsia="仿宋" w:cs="仿宋"/>
          <w:sz w:val="28"/>
          <w:szCs w:val="28"/>
        </w:rPr>
        <w:t>日修订）；</w:t>
      </w:r>
    </w:p>
    <w:p>
      <w:pPr>
        <w:autoSpaceDE w:val="0"/>
        <w:autoSpaceDN w:val="0"/>
        <w:adjustRightInd w:val="0"/>
        <w:spacing w:line="360" w:lineRule="auto"/>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《中华人民共和国水污染防治法》（</w:t>
      </w:r>
      <w:r>
        <w:rPr>
          <w:rFonts w:ascii="仿宋" w:hAnsi="仿宋" w:eastAsia="仿宋" w:cs="仿宋"/>
          <w:sz w:val="28"/>
          <w:szCs w:val="28"/>
        </w:rPr>
        <w:t xml:space="preserve">2008 </w:t>
      </w:r>
      <w:r>
        <w:rPr>
          <w:rFonts w:hint="eastAsia" w:ascii="仿宋" w:hAnsi="仿宋" w:eastAsia="仿宋" w:cs="仿宋"/>
          <w:sz w:val="28"/>
          <w:szCs w:val="28"/>
        </w:rPr>
        <w:t>年</w:t>
      </w:r>
      <w:r>
        <w:rPr>
          <w:rFonts w:ascii="仿宋" w:hAnsi="仿宋" w:eastAsia="仿宋" w:cs="仿宋"/>
          <w:sz w:val="28"/>
          <w:szCs w:val="28"/>
        </w:rPr>
        <w:t xml:space="preserve"> 6 </w:t>
      </w:r>
      <w:r>
        <w:rPr>
          <w:rFonts w:hint="eastAsia" w:ascii="仿宋" w:hAnsi="仿宋" w:eastAsia="仿宋" w:cs="仿宋"/>
          <w:sz w:val="28"/>
          <w:szCs w:val="28"/>
        </w:rPr>
        <w:t>月</w:t>
      </w:r>
      <w:r>
        <w:rPr>
          <w:rFonts w:ascii="仿宋" w:hAnsi="仿宋" w:eastAsia="仿宋" w:cs="仿宋"/>
          <w:sz w:val="28"/>
          <w:szCs w:val="28"/>
        </w:rPr>
        <w:t xml:space="preserve"> 1 </w:t>
      </w:r>
      <w:r>
        <w:rPr>
          <w:rFonts w:hint="eastAsia" w:ascii="仿宋" w:hAnsi="仿宋" w:eastAsia="仿宋" w:cs="仿宋"/>
          <w:sz w:val="28"/>
          <w:szCs w:val="28"/>
        </w:rPr>
        <w:t>日起实施）；</w:t>
      </w:r>
    </w:p>
    <w:p>
      <w:pPr>
        <w:autoSpaceDE w:val="0"/>
        <w:autoSpaceDN w:val="0"/>
        <w:adjustRightInd w:val="0"/>
        <w:spacing w:line="360" w:lineRule="auto"/>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《中华人民共和国大气污染防治法》（</w:t>
      </w:r>
      <w:r>
        <w:rPr>
          <w:rFonts w:ascii="仿宋" w:hAnsi="仿宋" w:eastAsia="仿宋" w:cs="仿宋"/>
          <w:sz w:val="28"/>
          <w:szCs w:val="28"/>
        </w:rPr>
        <w:t xml:space="preserve">2016 </w:t>
      </w:r>
      <w:r>
        <w:rPr>
          <w:rFonts w:hint="eastAsia" w:ascii="仿宋" w:hAnsi="仿宋" w:eastAsia="仿宋" w:cs="仿宋"/>
          <w:sz w:val="28"/>
          <w:szCs w:val="28"/>
        </w:rPr>
        <w:t>年</w:t>
      </w:r>
      <w:r>
        <w:rPr>
          <w:rFonts w:ascii="仿宋" w:hAnsi="仿宋" w:eastAsia="仿宋" w:cs="仿宋"/>
          <w:sz w:val="28"/>
          <w:szCs w:val="28"/>
        </w:rPr>
        <w:t xml:space="preserve"> 1 </w:t>
      </w:r>
      <w:r>
        <w:rPr>
          <w:rFonts w:hint="eastAsia" w:ascii="仿宋" w:hAnsi="仿宋" w:eastAsia="仿宋" w:cs="仿宋"/>
          <w:sz w:val="28"/>
          <w:szCs w:val="28"/>
        </w:rPr>
        <w:t>月</w:t>
      </w:r>
      <w:r>
        <w:rPr>
          <w:rFonts w:ascii="仿宋" w:hAnsi="仿宋" w:eastAsia="仿宋" w:cs="仿宋"/>
          <w:sz w:val="28"/>
          <w:szCs w:val="28"/>
        </w:rPr>
        <w:t xml:space="preserve"> 1 </w:t>
      </w:r>
      <w:r>
        <w:rPr>
          <w:rFonts w:hint="eastAsia" w:ascii="仿宋" w:hAnsi="仿宋" w:eastAsia="仿宋" w:cs="仿宋"/>
          <w:sz w:val="28"/>
          <w:szCs w:val="28"/>
        </w:rPr>
        <w:t>日起施行）；</w:t>
      </w:r>
    </w:p>
    <w:p>
      <w:pPr>
        <w:autoSpaceDE w:val="0"/>
        <w:autoSpaceDN w:val="0"/>
        <w:adjustRightInd w:val="0"/>
        <w:spacing w:line="360" w:lineRule="auto"/>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《国务院关于印发大气污染防治行动计划的通知》（国发</w:t>
      </w:r>
      <w:r>
        <w:rPr>
          <w:rFonts w:ascii="仿宋" w:hAnsi="仿宋" w:eastAsia="仿宋" w:cs="仿宋"/>
          <w:sz w:val="28"/>
          <w:szCs w:val="28"/>
        </w:rPr>
        <w:t xml:space="preserve">[2013]37 </w:t>
      </w:r>
      <w:r>
        <w:rPr>
          <w:rFonts w:hint="eastAsia" w:ascii="仿宋" w:hAnsi="仿宋" w:eastAsia="仿宋" w:cs="仿宋"/>
          <w:sz w:val="28"/>
          <w:szCs w:val="28"/>
        </w:rPr>
        <w:t>号）；</w:t>
      </w:r>
    </w:p>
    <w:p>
      <w:pPr>
        <w:autoSpaceDE w:val="0"/>
        <w:autoSpaceDN w:val="0"/>
        <w:adjustRightInd w:val="0"/>
        <w:spacing w:line="360" w:lineRule="auto"/>
        <w:ind w:left="559" w:leftChars="266"/>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《国务院关于印发水污染防治行动计划的通知》（国发〔</w:t>
      </w:r>
      <w:r>
        <w:rPr>
          <w:rFonts w:ascii="仿宋" w:hAnsi="仿宋" w:eastAsia="仿宋" w:cs="仿宋"/>
          <w:sz w:val="28"/>
          <w:szCs w:val="28"/>
        </w:rPr>
        <w:t>2015</w:t>
      </w:r>
      <w:r>
        <w:rPr>
          <w:rFonts w:hint="eastAsia" w:ascii="仿宋" w:hAnsi="仿宋" w:eastAsia="仿宋" w:cs="仿宋"/>
          <w:sz w:val="28"/>
          <w:szCs w:val="28"/>
        </w:rPr>
        <w:t>〕</w:t>
      </w:r>
      <w:r>
        <w:rPr>
          <w:rFonts w:ascii="仿宋" w:hAnsi="仿宋" w:eastAsia="仿宋" w:cs="仿宋"/>
          <w:sz w:val="28"/>
          <w:szCs w:val="28"/>
        </w:rPr>
        <w:t xml:space="preserve">17 </w:t>
      </w:r>
      <w:r>
        <w:rPr>
          <w:rFonts w:hint="eastAsia" w:ascii="仿宋" w:hAnsi="仿宋" w:eastAsia="仿宋" w:cs="仿宋"/>
          <w:sz w:val="28"/>
          <w:szCs w:val="28"/>
        </w:rPr>
        <w:t>号）；</w:t>
      </w:r>
    </w:p>
    <w:p>
      <w:pPr>
        <w:autoSpaceDE w:val="0"/>
        <w:autoSpaceDN w:val="0"/>
        <w:adjustRightInd w:val="0"/>
        <w:spacing w:line="360" w:lineRule="auto"/>
        <w:ind w:left="279" w:leftChars="133" w:firstLine="280" w:firstLineChars="100"/>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《国务院关于印发土壤污染防治行动计划的通知》（国发〔</w:t>
      </w:r>
      <w:r>
        <w:rPr>
          <w:rFonts w:ascii="仿宋" w:hAnsi="仿宋" w:eastAsia="仿宋" w:cs="仿宋"/>
          <w:sz w:val="28"/>
          <w:szCs w:val="28"/>
        </w:rPr>
        <w:t>2016</w:t>
      </w:r>
      <w:r>
        <w:rPr>
          <w:rFonts w:hint="eastAsia" w:ascii="仿宋" w:hAnsi="仿宋" w:eastAsia="仿宋" w:cs="仿宋"/>
          <w:sz w:val="28"/>
          <w:szCs w:val="28"/>
        </w:rPr>
        <w:t>〕</w:t>
      </w:r>
      <w:r>
        <w:rPr>
          <w:rFonts w:ascii="仿宋" w:hAnsi="仿宋" w:eastAsia="仿宋" w:cs="仿宋"/>
          <w:sz w:val="28"/>
          <w:szCs w:val="28"/>
        </w:rPr>
        <w:t xml:space="preserve">31 </w:t>
      </w:r>
      <w:r>
        <w:rPr>
          <w:rFonts w:hint="eastAsia" w:ascii="仿宋" w:hAnsi="仿宋" w:eastAsia="仿宋" w:cs="仿宋"/>
          <w:sz w:val="28"/>
          <w:szCs w:val="28"/>
        </w:rPr>
        <w:t>号）；</w:t>
      </w:r>
    </w:p>
    <w:p>
      <w:pPr>
        <w:autoSpaceDE w:val="0"/>
        <w:autoSpaceDN w:val="0"/>
        <w:adjustRightInd w:val="0"/>
        <w:spacing w:line="360" w:lineRule="auto"/>
        <w:ind w:firstLine="560" w:firstLineChars="200"/>
        <w:rPr>
          <w:rFonts w:ascii="仿宋" w:hAnsi="仿宋" w:eastAsia="仿宋" w:cs="仿宋"/>
          <w:sz w:val="30"/>
          <w:szCs w:val="30"/>
        </w:rPr>
      </w:pPr>
      <w:r>
        <w:rPr>
          <w:rFonts w:ascii="仿宋" w:hAnsi="仿宋" w:eastAsia="仿宋" w:cs="仿宋"/>
          <w:sz w:val="28"/>
          <w:szCs w:val="28"/>
        </w:rPr>
        <w:t>8.</w:t>
      </w:r>
      <w:r>
        <w:rPr>
          <w:rFonts w:hint="eastAsia" w:ascii="仿宋" w:hAnsi="仿宋" w:eastAsia="仿宋" w:cs="仿宋"/>
          <w:sz w:val="28"/>
          <w:szCs w:val="28"/>
        </w:rPr>
        <w:t>《海南省人民政府关于印发海南省土壤污染防治行动计划实施方案的通知》（琼府〔</w:t>
      </w:r>
      <w:r>
        <w:rPr>
          <w:rFonts w:ascii="仿宋" w:hAnsi="仿宋" w:eastAsia="仿宋" w:cs="仿宋"/>
          <w:sz w:val="28"/>
          <w:szCs w:val="28"/>
        </w:rPr>
        <w:t>2017</w:t>
      </w:r>
      <w:r>
        <w:rPr>
          <w:rFonts w:hint="eastAsia" w:ascii="仿宋" w:hAnsi="仿宋" w:eastAsia="仿宋" w:cs="仿宋"/>
          <w:sz w:val="28"/>
          <w:szCs w:val="28"/>
        </w:rPr>
        <w:t>〕</w:t>
      </w:r>
      <w:r>
        <w:rPr>
          <w:rFonts w:ascii="仿宋" w:hAnsi="仿宋" w:eastAsia="仿宋" w:cs="仿宋"/>
          <w:sz w:val="28"/>
          <w:szCs w:val="28"/>
        </w:rPr>
        <w:t>27</w:t>
      </w:r>
      <w:r>
        <w:rPr>
          <w:rFonts w:hint="eastAsia" w:ascii="仿宋" w:hAnsi="仿宋" w:eastAsia="仿宋" w:cs="仿宋"/>
          <w:sz w:val="28"/>
          <w:szCs w:val="28"/>
        </w:rPr>
        <w:t>号）。</w:t>
      </w:r>
    </w:p>
    <w:p>
      <w:pPr>
        <w:autoSpaceDE w:val="0"/>
        <w:autoSpaceDN w:val="0"/>
        <w:adjustRightInd w:val="0"/>
        <w:spacing w:line="360" w:lineRule="auto"/>
        <w:outlineLvl w:val="1"/>
        <w:rPr>
          <w:rFonts w:ascii="仿宋" w:hAnsi="仿宋" w:eastAsia="仿宋" w:cs="仿宋"/>
          <w:b/>
          <w:bCs/>
          <w:sz w:val="32"/>
          <w:szCs w:val="32"/>
        </w:rPr>
      </w:pPr>
      <w:bookmarkStart w:id="10" w:name="_Toc20774_WPSOffice_Level1"/>
      <w:r>
        <w:rPr>
          <w:rFonts w:hint="eastAsia" w:ascii="仿宋" w:hAnsi="仿宋" w:eastAsia="仿宋" w:cs="仿宋"/>
          <w:b/>
          <w:bCs/>
          <w:sz w:val="32"/>
          <w:szCs w:val="32"/>
        </w:rPr>
        <w:t>三、规章及规范性文件</w:t>
      </w:r>
      <w:bookmarkEnd w:id="10"/>
    </w:p>
    <w:p>
      <w:pPr>
        <w:autoSpaceDE w:val="0"/>
        <w:autoSpaceDN w:val="0"/>
        <w:adjustRightInd w:val="0"/>
        <w:spacing w:line="360" w:lineRule="auto"/>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《污染地块土壤环境管理办法（试行）》（环保部令第</w:t>
      </w:r>
      <w:r>
        <w:rPr>
          <w:rFonts w:ascii="仿宋" w:hAnsi="仿宋" w:eastAsia="仿宋" w:cs="仿宋"/>
          <w:sz w:val="28"/>
          <w:szCs w:val="28"/>
        </w:rPr>
        <w:t xml:space="preserve"> 42 </w:t>
      </w:r>
      <w:r>
        <w:rPr>
          <w:rFonts w:hint="eastAsia" w:ascii="仿宋" w:hAnsi="仿宋" w:eastAsia="仿宋" w:cs="仿宋"/>
          <w:sz w:val="28"/>
          <w:szCs w:val="28"/>
        </w:rPr>
        <w:t>号，</w:t>
      </w:r>
      <w:r>
        <w:rPr>
          <w:rFonts w:ascii="仿宋" w:hAnsi="仿宋" w:eastAsia="仿宋" w:cs="仿宋"/>
          <w:sz w:val="28"/>
          <w:szCs w:val="28"/>
        </w:rPr>
        <w:t xml:space="preserve">2017 </w:t>
      </w:r>
      <w:r>
        <w:rPr>
          <w:rFonts w:hint="eastAsia" w:ascii="仿宋" w:hAnsi="仿宋" w:eastAsia="仿宋" w:cs="仿宋"/>
          <w:sz w:val="28"/>
          <w:szCs w:val="28"/>
        </w:rPr>
        <w:t>年</w:t>
      </w:r>
      <w:r>
        <w:rPr>
          <w:rFonts w:ascii="仿宋" w:hAnsi="仿宋" w:eastAsia="仿宋" w:cs="仿宋"/>
          <w:sz w:val="28"/>
          <w:szCs w:val="28"/>
        </w:rPr>
        <w:t xml:space="preserve"> 7</w:t>
      </w:r>
      <w:r>
        <w:rPr>
          <w:rFonts w:hint="eastAsia" w:ascii="仿宋" w:hAnsi="仿宋" w:eastAsia="仿宋" w:cs="仿宋"/>
          <w:sz w:val="28"/>
          <w:szCs w:val="28"/>
        </w:rPr>
        <w:t>月</w:t>
      </w:r>
      <w:r>
        <w:rPr>
          <w:rFonts w:ascii="仿宋" w:hAnsi="仿宋" w:eastAsia="仿宋" w:cs="仿宋"/>
          <w:sz w:val="28"/>
          <w:szCs w:val="28"/>
        </w:rPr>
        <w:t xml:space="preserve"> 1 </w:t>
      </w:r>
      <w:r>
        <w:rPr>
          <w:rFonts w:hint="eastAsia" w:ascii="仿宋" w:hAnsi="仿宋" w:eastAsia="仿宋" w:cs="仿宋"/>
          <w:sz w:val="28"/>
          <w:szCs w:val="28"/>
        </w:rPr>
        <w:t>日施行）；</w:t>
      </w:r>
    </w:p>
    <w:p>
      <w:pPr>
        <w:autoSpaceDE w:val="0"/>
        <w:autoSpaceDN w:val="0"/>
        <w:adjustRightInd w:val="0"/>
        <w:spacing w:line="360" w:lineRule="auto"/>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《国务院办公厅关于推进城区老工业区搬迁改造的指导意见》（国办发</w:t>
      </w:r>
      <w:r>
        <w:rPr>
          <w:rFonts w:ascii="仿宋" w:hAnsi="仿宋" w:eastAsia="仿宋" w:cs="仿宋"/>
          <w:sz w:val="28"/>
          <w:szCs w:val="28"/>
        </w:rPr>
        <w:t xml:space="preserve">[2014]9 </w:t>
      </w:r>
      <w:r>
        <w:rPr>
          <w:rFonts w:hint="eastAsia" w:ascii="仿宋" w:hAnsi="仿宋" w:eastAsia="仿宋" w:cs="仿宋"/>
          <w:sz w:val="28"/>
          <w:szCs w:val="28"/>
        </w:rPr>
        <w:t>号）；</w:t>
      </w:r>
    </w:p>
    <w:p>
      <w:pPr>
        <w:autoSpaceDE w:val="0"/>
        <w:autoSpaceDN w:val="0"/>
        <w:adjustRightInd w:val="0"/>
        <w:spacing w:line="360" w:lineRule="auto"/>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《关于加强工业企业关停、搬迁及原址场地再开发利用过程中污染防治工作的通知》（环发</w:t>
      </w:r>
      <w:r>
        <w:rPr>
          <w:rFonts w:ascii="仿宋" w:hAnsi="仿宋" w:eastAsia="仿宋" w:cs="仿宋"/>
          <w:sz w:val="28"/>
          <w:szCs w:val="28"/>
        </w:rPr>
        <w:t xml:space="preserve">[2014]66 </w:t>
      </w:r>
      <w:r>
        <w:rPr>
          <w:rFonts w:hint="eastAsia" w:ascii="仿宋" w:hAnsi="仿宋" w:eastAsia="仿宋" w:cs="仿宋"/>
          <w:sz w:val="28"/>
          <w:szCs w:val="28"/>
        </w:rPr>
        <w:t>号）；</w:t>
      </w:r>
    </w:p>
    <w:p>
      <w:pPr>
        <w:autoSpaceDE w:val="0"/>
        <w:autoSpaceDN w:val="0"/>
        <w:adjustRightInd w:val="0"/>
        <w:spacing w:line="360" w:lineRule="auto"/>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《国务院办公厅关于印发近期土壤环境保护和综合治理工作安排的通知》调查评估方法。</w:t>
      </w:r>
    </w:p>
    <w:p>
      <w:pPr>
        <w:autoSpaceDE w:val="0"/>
        <w:autoSpaceDN w:val="0"/>
        <w:adjustRightInd w:val="0"/>
        <w:spacing w:line="360" w:lineRule="auto"/>
        <w:outlineLvl w:val="1"/>
        <w:rPr>
          <w:rFonts w:ascii="仿宋" w:hAnsi="仿宋" w:eastAsia="仿宋" w:cs="仿宋"/>
          <w:b/>
          <w:bCs/>
          <w:sz w:val="32"/>
          <w:szCs w:val="32"/>
        </w:rPr>
      </w:pPr>
      <w:bookmarkStart w:id="11" w:name="_Toc4226_WPSOffice_Level1"/>
      <w:r>
        <w:rPr>
          <w:rFonts w:hint="eastAsia" w:ascii="仿宋" w:hAnsi="仿宋" w:eastAsia="仿宋" w:cs="仿宋"/>
          <w:b/>
          <w:bCs/>
          <w:sz w:val="32"/>
          <w:szCs w:val="32"/>
        </w:rPr>
        <w:t>四、参考技术导则方法</w:t>
      </w:r>
      <w:bookmarkEnd w:id="11"/>
    </w:p>
    <w:p>
      <w:pPr>
        <w:autoSpaceDE w:val="0"/>
        <w:autoSpaceDN w:val="0"/>
        <w:adjustRightInd w:val="0"/>
        <w:snapToGrid w:val="0"/>
        <w:spacing w:line="360" w:lineRule="auto"/>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《场地环境调查技术导则》（</w:t>
      </w:r>
      <w:r>
        <w:rPr>
          <w:rFonts w:ascii="仿宋" w:hAnsi="仿宋" w:eastAsia="仿宋" w:cs="仿宋"/>
          <w:sz w:val="28"/>
          <w:szCs w:val="28"/>
        </w:rPr>
        <w:t>HJ 25.1-2014</w:t>
      </w:r>
      <w:r>
        <w:rPr>
          <w:rFonts w:hint="eastAsia" w:ascii="仿宋" w:hAnsi="仿宋" w:eastAsia="仿宋" w:cs="仿宋"/>
          <w:sz w:val="28"/>
          <w:szCs w:val="28"/>
        </w:rPr>
        <w:t>）；</w:t>
      </w:r>
    </w:p>
    <w:p>
      <w:pPr>
        <w:autoSpaceDE w:val="0"/>
        <w:autoSpaceDN w:val="0"/>
        <w:adjustRightInd w:val="0"/>
        <w:snapToGrid w:val="0"/>
        <w:spacing w:line="360" w:lineRule="auto"/>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《污染场地风险评估技术导则》（</w:t>
      </w:r>
      <w:r>
        <w:rPr>
          <w:rFonts w:ascii="仿宋" w:hAnsi="仿宋" w:eastAsia="仿宋" w:cs="仿宋"/>
          <w:sz w:val="28"/>
          <w:szCs w:val="28"/>
        </w:rPr>
        <w:t>HJ 25.3-2014</w:t>
      </w:r>
      <w:r>
        <w:rPr>
          <w:rFonts w:hint="eastAsia" w:ascii="仿宋" w:hAnsi="仿宋" w:eastAsia="仿宋" w:cs="仿宋"/>
          <w:sz w:val="28"/>
          <w:szCs w:val="28"/>
        </w:rPr>
        <w:t>）；</w:t>
      </w:r>
    </w:p>
    <w:p>
      <w:pPr>
        <w:autoSpaceDE w:val="0"/>
        <w:autoSpaceDN w:val="0"/>
        <w:adjustRightInd w:val="0"/>
        <w:snapToGrid w:val="0"/>
        <w:spacing w:line="360" w:lineRule="auto"/>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《地下水污染健康风险评估指南（试行）》（</w:t>
      </w:r>
      <w:r>
        <w:rPr>
          <w:rFonts w:ascii="仿宋" w:hAnsi="仿宋" w:eastAsia="仿宋" w:cs="仿宋"/>
          <w:sz w:val="28"/>
          <w:szCs w:val="28"/>
        </w:rPr>
        <w:t xml:space="preserve">2014 </w:t>
      </w:r>
      <w:r>
        <w:rPr>
          <w:rFonts w:hint="eastAsia" w:ascii="仿宋" w:hAnsi="仿宋" w:eastAsia="仿宋" w:cs="仿宋"/>
          <w:sz w:val="28"/>
          <w:szCs w:val="28"/>
        </w:rPr>
        <w:t>年</w:t>
      </w:r>
      <w:r>
        <w:rPr>
          <w:rFonts w:ascii="仿宋" w:hAnsi="仿宋" w:eastAsia="仿宋" w:cs="仿宋"/>
          <w:sz w:val="28"/>
          <w:szCs w:val="28"/>
        </w:rPr>
        <w:t xml:space="preserve"> 10 </w:t>
      </w:r>
      <w:r>
        <w:rPr>
          <w:rFonts w:hint="eastAsia" w:ascii="仿宋" w:hAnsi="仿宋" w:eastAsia="仿宋" w:cs="仿宋"/>
          <w:sz w:val="28"/>
          <w:szCs w:val="28"/>
        </w:rPr>
        <w:t>月）；</w:t>
      </w:r>
    </w:p>
    <w:p>
      <w:pPr>
        <w:autoSpaceDE w:val="0"/>
        <w:autoSpaceDN w:val="0"/>
        <w:adjustRightInd w:val="0"/>
        <w:snapToGrid w:val="0"/>
        <w:spacing w:line="360" w:lineRule="auto"/>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《建设项目环境风险评估技术导则》（</w:t>
      </w:r>
      <w:r>
        <w:rPr>
          <w:rFonts w:ascii="仿宋" w:hAnsi="仿宋" w:eastAsia="仿宋" w:cs="仿宋"/>
          <w:sz w:val="28"/>
          <w:szCs w:val="28"/>
        </w:rPr>
        <w:t>HJ/T 169-2004</w:t>
      </w:r>
      <w:r>
        <w:rPr>
          <w:rFonts w:hint="eastAsia" w:ascii="仿宋" w:hAnsi="仿宋" w:eastAsia="仿宋" w:cs="仿宋"/>
          <w:sz w:val="28"/>
          <w:szCs w:val="28"/>
        </w:rPr>
        <w:t>）；</w:t>
      </w:r>
    </w:p>
    <w:p>
      <w:pPr>
        <w:autoSpaceDE w:val="0"/>
        <w:autoSpaceDN w:val="0"/>
        <w:adjustRightInd w:val="0"/>
        <w:snapToGrid w:val="0"/>
        <w:spacing w:line="360" w:lineRule="auto"/>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《工业企业场地环境调查评估与修复工作指南（试行）》（</w:t>
      </w:r>
      <w:r>
        <w:rPr>
          <w:rFonts w:ascii="仿宋" w:hAnsi="仿宋" w:eastAsia="仿宋" w:cs="仿宋"/>
          <w:sz w:val="28"/>
          <w:szCs w:val="28"/>
        </w:rPr>
        <w:t>2014.11</w:t>
      </w:r>
      <w:r>
        <w:rPr>
          <w:rFonts w:hint="eastAsia" w:ascii="仿宋" w:hAnsi="仿宋" w:eastAsia="仿宋" w:cs="仿宋"/>
          <w:sz w:val="28"/>
          <w:szCs w:val="28"/>
        </w:rPr>
        <w:t>）；</w:t>
      </w:r>
    </w:p>
    <w:p>
      <w:pPr>
        <w:autoSpaceDE w:val="0"/>
        <w:autoSpaceDN w:val="0"/>
        <w:adjustRightInd w:val="0"/>
        <w:snapToGrid w:val="0"/>
        <w:spacing w:line="360" w:lineRule="auto"/>
        <w:ind w:firstLine="560" w:firstLineChars="200"/>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《场地环境监测技术导则》（</w:t>
      </w:r>
      <w:r>
        <w:rPr>
          <w:rFonts w:ascii="仿宋" w:hAnsi="仿宋" w:eastAsia="仿宋" w:cs="仿宋"/>
          <w:sz w:val="28"/>
          <w:szCs w:val="28"/>
        </w:rPr>
        <w:t>HJ 25.2-2014</w:t>
      </w:r>
      <w:r>
        <w:rPr>
          <w:rFonts w:hint="eastAsia" w:ascii="仿宋" w:hAnsi="仿宋" w:eastAsia="仿宋" w:cs="仿宋"/>
          <w:sz w:val="28"/>
          <w:szCs w:val="28"/>
        </w:rPr>
        <w:t>）；</w:t>
      </w:r>
    </w:p>
    <w:p>
      <w:pPr>
        <w:autoSpaceDE w:val="0"/>
        <w:autoSpaceDN w:val="0"/>
        <w:adjustRightInd w:val="0"/>
        <w:snapToGrid w:val="0"/>
        <w:spacing w:line="360" w:lineRule="auto"/>
        <w:ind w:firstLine="560" w:firstLineChars="200"/>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《土壤环境监测技术规范》（</w:t>
      </w:r>
      <w:r>
        <w:rPr>
          <w:rFonts w:ascii="仿宋" w:hAnsi="仿宋" w:eastAsia="仿宋" w:cs="仿宋"/>
          <w:sz w:val="28"/>
          <w:szCs w:val="28"/>
        </w:rPr>
        <w:t>HJ/T 166-2004</w:t>
      </w:r>
      <w:r>
        <w:rPr>
          <w:rFonts w:hint="eastAsia" w:ascii="仿宋" w:hAnsi="仿宋" w:eastAsia="仿宋" w:cs="仿宋"/>
          <w:sz w:val="28"/>
          <w:szCs w:val="28"/>
        </w:rPr>
        <w:t>）；</w:t>
      </w:r>
    </w:p>
    <w:p>
      <w:pPr>
        <w:autoSpaceDE w:val="0"/>
        <w:autoSpaceDN w:val="0"/>
        <w:adjustRightInd w:val="0"/>
        <w:snapToGrid w:val="0"/>
        <w:spacing w:line="360" w:lineRule="auto"/>
        <w:ind w:firstLine="560" w:firstLineChars="200"/>
        <w:rPr>
          <w:rFonts w:ascii="仿宋" w:hAnsi="仿宋" w:eastAsia="仿宋" w:cs="仿宋"/>
          <w:sz w:val="28"/>
          <w:szCs w:val="28"/>
        </w:rPr>
      </w:pPr>
      <w:r>
        <w:rPr>
          <w:rFonts w:ascii="仿宋" w:hAnsi="仿宋" w:eastAsia="仿宋" w:cs="仿宋"/>
          <w:sz w:val="28"/>
          <w:szCs w:val="28"/>
        </w:rPr>
        <w:t>8.</w:t>
      </w:r>
      <w:r>
        <w:rPr>
          <w:rFonts w:hint="eastAsia" w:ascii="仿宋" w:hAnsi="仿宋" w:eastAsia="仿宋" w:cs="仿宋"/>
          <w:sz w:val="28"/>
          <w:szCs w:val="28"/>
        </w:rPr>
        <w:t>《地下水环境监测技术规范》（</w:t>
      </w:r>
      <w:r>
        <w:rPr>
          <w:rFonts w:ascii="仿宋" w:hAnsi="仿宋" w:eastAsia="仿宋" w:cs="仿宋"/>
          <w:sz w:val="28"/>
          <w:szCs w:val="28"/>
        </w:rPr>
        <w:t>HJ/T 164-2004</w:t>
      </w:r>
      <w:r>
        <w:rPr>
          <w:rFonts w:hint="eastAsia" w:ascii="仿宋" w:hAnsi="仿宋" w:eastAsia="仿宋" w:cs="仿宋"/>
          <w:sz w:val="28"/>
          <w:szCs w:val="28"/>
        </w:rPr>
        <w:t>）；</w:t>
      </w:r>
    </w:p>
    <w:p>
      <w:pPr>
        <w:autoSpaceDE w:val="0"/>
        <w:autoSpaceDN w:val="0"/>
        <w:adjustRightInd w:val="0"/>
        <w:snapToGrid w:val="0"/>
        <w:spacing w:line="360" w:lineRule="auto"/>
        <w:ind w:firstLine="560" w:firstLineChars="200"/>
        <w:rPr>
          <w:rFonts w:ascii="仿宋" w:hAnsi="仿宋" w:eastAsia="仿宋" w:cs="仿宋"/>
          <w:sz w:val="28"/>
          <w:szCs w:val="28"/>
        </w:rPr>
      </w:pPr>
      <w:r>
        <w:rPr>
          <w:rFonts w:ascii="仿宋" w:hAnsi="仿宋" w:eastAsia="仿宋" w:cs="仿宋"/>
          <w:sz w:val="28"/>
          <w:szCs w:val="28"/>
        </w:rPr>
        <w:t>9.</w:t>
      </w:r>
      <w:r>
        <w:rPr>
          <w:rFonts w:hint="eastAsia" w:ascii="仿宋" w:hAnsi="仿宋" w:eastAsia="仿宋" w:cs="仿宋"/>
          <w:sz w:val="28"/>
          <w:szCs w:val="28"/>
        </w:rPr>
        <w:t>《污染场地术语》（</w:t>
      </w:r>
      <w:r>
        <w:rPr>
          <w:rFonts w:ascii="仿宋" w:hAnsi="仿宋" w:eastAsia="仿宋" w:cs="仿宋"/>
          <w:sz w:val="28"/>
          <w:szCs w:val="28"/>
        </w:rPr>
        <w:t>HJ682-2014</w:t>
      </w:r>
      <w:r>
        <w:rPr>
          <w:rFonts w:hint="eastAsia" w:ascii="仿宋" w:hAnsi="仿宋" w:eastAsia="仿宋" w:cs="仿宋"/>
          <w:sz w:val="28"/>
          <w:szCs w:val="28"/>
        </w:rPr>
        <w:t>）；</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10、《土地环境质量建设用地土壤污染风险管控标准（试行）》</w:t>
      </w:r>
      <w:r>
        <w:rPr>
          <w:rFonts w:hint="eastAsia" w:ascii="仿宋" w:hAnsi="仿宋" w:eastAsia="仿宋" w:cs="仿宋"/>
          <w:sz w:val="28"/>
          <w:szCs w:val="28"/>
        </w:rPr>
        <w:t>（</w:t>
      </w:r>
      <w:r>
        <w:rPr>
          <w:rFonts w:ascii="仿宋" w:hAnsi="仿宋" w:eastAsia="仿宋" w:cs="仿宋"/>
          <w:sz w:val="28"/>
          <w:szCs w:val="28"/>
        </w:rPr>
        <w:t>GB36600-2018）；</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11、《地下水质量标准》（GB T 14848-2017）；</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12、《地表水环境质量标准》（GB 3838-2002)；</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13、《生活垃圾填埋污染控制标准》（GB 16889-2008）；</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14、《生活垃圾填埋场渗滤液处理工程技术规范》（HJ 564-2010）。</w:t>
      </w:r>
    </w:p>
    <w:p>
      <w:pPr>
        <w:autoSpaceDE w:val="0"/>
        <w:autoSpaceDN w:val="0"/>
        <w:adjustRightInd w:val="0"/>
        <w:snapToGrid w:val="0"/>
        <w:spacing w:line="360" w:lineRule="auto"/>
        <w:ind w:firstLine="560" w:firstLineChars="200"/>
        <w:rPr>
          <w:rFonts w:ascii="仿宋" w:hAnsi="仿宋" w:eastAsia="仿宋" w:cs="仿宋"/>
          <w:sz w:val="28"/>
          <w:szCs w:val="28"/>
        </w:rPr>
      </w:pPr>
      <w:r>
        <w:rPr>
          <w:rFonts w:ascii="仿宋" w:hAnsi="仿宋" w:eastAsia="仿宋" w:cs="仿宋"/>
          <w:sz w:val="28"/>
          <w:szCs w:val="28"/>
        </w:rPr>
        <w:t>15、《生活垃圾卫生填埋处理技术规范》（GB 50869-2013）；</w:t>
      </w:r>
    </w:p>
    <w:p>
      <w:pPr>
        <w:autoSpaceDE w:val="0"/>
        <w:autoSpaceDN w:val="0"/>
        <w:adjustRightInd w:val="0"/>
        <w:snapToGrid w:val="0"/>
        <w:spacing w:line="360" w:lineRule="auto"/>
        <w:ind w:firstLine="560" w:firstLineChars="200"/>
        <w:rPr>
          <w:rFonts w:ascii="仿宋" w:hAnsi="仿宋" w:eastAsia="仿宋" w:cs="仿宋"/>
          <w:sz w:val="28"/>
          <w:szCs w:val="28"/>
        </w:rPr>
      </w:pPr>
      <w:r>
        <w:rPr>
          <w:rFonts w:ascii="仿宋" w:hAnsi="仿宋" w:eastAsia="仿宋" w:cs="仿宋"/>
          <w:sz w:val="28"/>
          <w:szCs w:val="28"/>
        </w:rPr>
        <w:t>16、《生活垃圾填埋场无害化评价标准》（CJJ/T 107-2005）；</w:t>
      </w:r>
    </w:p>
    <w:p>
      <w:pPr>
        <w:autoSpaceDE w:val="0"/>
        <w:autoSpaceDN w:val="0"/>
        <w:adjustRightInd w:val="0"/>
        <w:snapToGrid w:val="0"/>
        <w:spacing w:line="360" w:lineRule="auto"/>
        <w:ind w:firstLine="560" w:firstLineChars="200"/>
        <w:rPr>
          <w:rFonts w:ascii="仿宋" w:hAnsi="仿宋" w:eastAsia="仿宋" w:cs="仿宋"/>
          <w:sz w:val="28"/>
          <w:szCs w:val="28"/>
        </w:rPr>
      </w:pPr>
      <w:r>
        <w:rPr>
          <w:rFonts w:ascii="仿宋" w:hAnsi="仿宋" w:eastAsia="仿宋" w:cs="仿宋"/>
          <w:sz w:val="28"/>
          <w:szCs w:val="28"/>
        </w:rPr>
        <w:t>17、《生活垃圾卫生填埋场封场技术规范》（GB51220-2017）；</w:t>
      </w:r>
    </w:p>
    <w:p>
      <w:pPr>
        <w:autoSpaceDE w:val="0"/>
        <w:autoSpaceDN w:val="0"/>
        <w:adjustRightInd w:val="0"/>
        <w:snapToGrid w:val="0"/>
        <w:spacing w:line="360" w:lineRule="auto"/>
        <w:ind w:firstLine="560" w:firstLineChars="200"/>
        <w:rPr>
          <w:rFonts w:ascii="仿宋" w:hAnsi="仿宋" w:eastAsia="仿宋" w:cs="仿宋"/>
          <w:sz w:val="28"/>
          <w:szCs w:val="28"/>
        </w:rPr>
      </w:pPr>
      <w:r>
        <w:rPr>
          <w:rFonts w:ascii="仿宋" w:hAnsi="仿宋" w:eastAsia="仿宋" w:cs="仿宋"/>
          <w:sz w:val="28"/>
          <w:szCs w:val="28"/>
        </w:rPr>
        <w:t>18、《生活垃圾填埋场填埋气体收集处理及利用工程技术规范》（CJJ 133-2009）；</w:t>
      </w:r>
    </w:p>
    <w:p>
      <w:pPr>
        <w:autoSpaceDE w:val="0"/>
        <w:autoSpaceDN w:val="0"/>
        <w:adjustRightInd w:val="0"/>
        <w:snapToGrid w:val="0"/>
        <w:spacing w:line="360" w:lineRule="auto"/>
        <w:ind w:firstLine="560" w:firstLineChars="200"/>
        <w:rPr>
          <w:rFonts w:ascii="仿宋" w:hAnsi="仿宋" w:eastAsia="仿宋" w:cs="仿宋"/>
          <w:sz w:val="28"/>
          <w:szCs w:val="28"/>
        </w:rPr>
      </w:pPr>
      <w:r>
        <w:rPr>
          <w:rFonts w:ascii="仿宋" w:hAnsi="仿宋" w:eastAsia="仿宋" w:cs="仿宋"/>
          <w:sz w:val="28"/>
          <w:szCs w:val="28"/>
        </w:rPr>
        <w:t>19、《生活垃圾填埋场稳定化场地利用技术要求》（GB/T 25179-2010）；</w:t>
      </w:r>
    </w:p>
    <w:p>
      <w:pPr>
        <w:autoSpaceDE w:val="0"/>
        <w:autoSpaceDN w:val="0"/>
        <w:adjustRightInd w:val="0"/>
        <w:snapToGrid w:val="0"/>
        <w:spacing w:line="360" w:lineRule="auto"/>
        <w:ind w:firstLine="560" w:firstLineChars="200"/>
        <w:rPr>
          <w:rFonts w:ascii="仿宋" w:hAnsi="仿宋" w:eastAsia="仿宋" w:cs="仿宋"/>
          <w:sz w:val="28"/>
          <w:szCs w:val="28"/>
        </w:rPr>
      </w:pPr>
      <w:r>
        <w:rPr>
          <w:rFonts w:ascii="仿宋" w:hAnsi="仿宋" w:eastAsia="仿宋" w:cs="仿宋"/>
          <w:sz w:val="28"/>
          <w:szCs w:val="28"/>
        </w:rPr>
        <w:t>20、《城市生活垃圾卫生填埋场运行维护技术规程》（CJJ 93-2011）；</w:t>
      </w:r>
    </w:p>
    <w:p>
      <w:pPr>
        <w:autoSpaceDE w:val="0"/>
        <w:autoSpaceDN w:val="0"/>
        <w:adjustRightInd w:val="0"/>
        <w:snapToGrid w:val="0"/>
        <w:spacing w:line="360" w:lineRule="auto"/>
        <w:ind w:firstLine="560" w:firstLineChars="200"/>
        <w:rPr>
          <w:rFonts w:ascii="仿宋" w:hAnsi="仿宋" w:eastAsia="仿宋" w:cs="仿宋"/>
          <w:sz w:val="28"/>
          <w:szCs w:val="28"/>
        </w:rPr>
      </w:pPr>
      <w:r>
        <w:rPr>
          <w:rFonts w:ascii="仿宋" w:hAnsi="仿宋" w:eastAsia="仿宋" w:cs="仿宋"/>
          <w:sz w:val="28"/>
          <w:szCs w:val="28"/>
        </w:rPr>
        <w:t>21、《生活垃圾填埋场环境监测技术要求》（GB/T 18772-2008）；</w:t>
      </w:r>
    </w:p>
    <w:p>
      <w:pPr>
        <w:autoSpaceDE w:val="0"/>
        <w:autoSpaceDN w:val="0"/>
        <w:adjustRightInd w:val="0"/>
        <w:snapToGrid w:val="0"/>
        <w:spacing w:line="360" w:lineRule="auto"/>
        <w:ind w:firstLine="560" w:firstLineChars="200"/>
        <w:rPr>
          <w:rFonts w:ascii="仿宋" w:hAnsi="仿宋" w:eastAsia="仿宋" w:cs="仿宋"/>
          <w:sz w:val="28"/>
          <w:szCs w:val="28"/>
        </w:rPr>
      </w:pPr>
      <w:r>
        <w:rPr>
          <w:rFonts w:ascii="仿宋" w:hAnsi="仿宋" w:eastAsia="仿宋" w:cs="仿宋"/>
          <w:sz w:val="28"/>
          <w:szCs w:val="28"/>
        </w:rPr>
        <w:t>22、《生活垃圾卫生填埋场岩土工程技术规范》（CJJ 176-2012）；</w:t>
      </w:r>
    </w:p>
    <w:p>
      <w:pPr>
        <w:autoSpaceDE w:val="0"/>
        <w:autoSpaceDN w:val="0"/>
        <w:adjustRightInd w:val="0"/>
        <w:spacing w:line="360" w:lineRule="auto"/>
        <w:rPr>
          <w:rFonts w:ascii="仿宋" w:hAnsi="仿宋" w:eastAsia="仿宋" w:cs="仿宋"/>
          <w:sz w:val="28"/>
          <w:szCs w:val="28"/>
        </w:rPr>
      </w:pPr>
      <w:r>
        <w:rPr>
          <w:rFonts w:hint="eastAsia" w:ascii="仿宋" w:hAnsi="仿宋" w:eastAsia="仿宋" w:cs="仿宋"/>
          <w:sz w:val="28"/>
          <w:szCs w:val="28"/>
        </w:rPr>
        <w:t>五、完成时间：签订任务委托合同后四个月内；</w:t>
      </w:r>
    </w:p>
    <w:p>
      <w:pPr>
        <w:autoSpaceDE w:val="0"/>
        <w:autoSpaceDN w:val="0"/>
        <w:adjustRightInd w:val="0"/>
        <w:spacing w:line="360" w:lineRule="auto"/>
        <w:ind w:firstLine="560" w:firstLineChars="200"/>
      </w:pPr>
      <w:r>
        <w:rPr>
          <w:rFonts w:hint="eastAsia" w:ascii="仿宋" w:hAnsi="仿宋" w:eastAsia="仿宋" w:cs="仿宋"/>
          <w:sz w:val="28"/>
          <w:szCs w:val="28"/>
        </w:rPr>
        <w:t>服务地点：用户指定地点。</w:t>
      </w:r>
    </w:p>
    <w:p>
      <w:pPr>
        <w:pStyle w:val="31"/>
        <w:ind w:firstLine="0" w:firstLineChars="0"/>
        <w:rPr>
          <w:rFonts w:ascii="仿宋" w:hAnsi="仿宋" w:eastAsia="仿宋" w:cs="仿宋"/>
          <w:sz w:val="28"/>
          <w:szCs w:val="28"/>
        </w:rPr>
      </w:pPr>
      <w:r>
        <w:rPr>
          <w:rFonts w:hint="eastAsia" w:ascii="仿宋" w:hAnsi="仿宋" w:eastAsia="仿宋" w:cs="仿宋"/>
          <w:sz w:val="28"/>
          <w:szCs w:val="28"/>
        </w:rPr>
        <w:t>六、本项目预算总价</w:t>
      </w:r>
      <w:r>
        <w:rPr>
          <w:rFonts w:ascii="仿宋" w:hAnsi="仿宋" w:eastAsia="仿宋" w:cs="仿宋"/>
          <w:sz w:val="28"/>
          <w:szCs w:val="28"/>
        </w:rPr>
        <w:t>7</w:t>
      </w:r>
      <w:r>
        <w:rPr>
          <w:rFonts w:hint="eastAsia" w:ascii="仿宋" w:hAnsi="仿宋" w:eastAsia="仿宋" w:cs="仿宋"/>
          <w:sz w:val="28"/>
          <w:szCs w:val="28"/>
        </w:rPr>
        <w:t>59.2992</w:t>
      </w:r>
      <w:r>
        <w:rPr>
          <w:rFonts w:ascii="仿宋" w:hAnsi="仿宋" w:eastAsia="仿宋" w:cs="仿宋"/>
          <w:sz w:val="28"/>
          <w:szCs w:val="28"/>
        </w:rPr>
        <w:t>万元。</w:t>
      </w:r>
    </w:p>
    <w:p>
      <w:pPr>
        <w:spacing w:line="360" w:lineRule="auto"/>
        <w:rPr>
          <w:rFonts w:asciiTheme="majorEastAsia" w:hAnsiTheme="majorEastAsia" w:eastAsiaTheme="majorEastAsia" w:cstheme="majorEastAsia"/>
          <w:sz w:val="28"/>
          <w:szCs w:val="28"/>
        </w:rPr>
      </w:pPr>
    </w:p>
    <w:sectPr>
      <w:pgSz w:w="11911"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lang w:val="en-US"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9" name="文本框 9"/>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61312;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2xka9EAAAACAQAADwAAAAAA&#10;AAABACAAAAAiAAAAZHJzL2Rvd25yZXYueG1sUEsBAhQAFAAAAAgAh07iQPj8aZgaAgAAEgQAAA4A&#10;AAAAAAAAAQAgAAAAIAEAAGRycy9lMm9Eb2MueG1sUEsFBgAAAAAGAAYAWQEAAKw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10795" b="6350"/>
              <wp:wrapNone/>
              <wp:docPr id="7" name="文本框 7"/>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2xka9EAAAACAQAADwAAAAAA&#10;AAABACAAAAAiAAAAZHJzL2Rvd25yZXYueG1sUEsBAhQAFAAAAAgAh07iQPeaaoAaAgAAEgQAAA4A&#10;AAAAAAAAAQAgAAAAIAEAAGRycy9lMm9Eb2MueG1sUEsFBgAAAAAGAAYAWQEAAKw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0" t="0" r="10795" b="6350"/>
              <wp:wrapNone/>
              <wp:docPr id="8" name="文本框 8"/>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60288;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gF4ko0gAAAAMBAAAPAAAAAAAA&#10;AAEAIAAAACIAAABkcnMvZG93bnJldi54bWxQSwECFAAUAAAACACHTuJAiN5ZuxgCAAATBAAADgAA&#10;AAAAAAABACAAAAAhAQAAZHJzL2Uyb0RvYy54bWxQSwUGAAAAAAYABgBZAQAAq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490B8B"/>
    <w:multiLevelType w:val="singleLevel"/>
    <w:tmpl w:val="F3490B8B"/>
    <w:lvl w:ilvl="0" w:tentative="0">
      <w:start w:val="2"/>
      <w:numFmt w:val="chineseCounting"/>
      <w:suff w:val="nothing"/>
      <w:lvlText w:val="%1、"/>
      <w:lvlJc w:val="left"/>
      <w:rPr>
        <w:rFonts w:hint="eastAsia"/>
      </w:rPr>
    </w:lvl>
  </w:abstractNum>
  <w:abstractNum w:abstractNumId="1">
    <w:nsid w:val="0B440F47"/>
    <w:multiLevelType w:val="singleLevel"/>
    <w:tmpl w:val="0B440F47"/>
    <w:lvl w:ilvl="0" w:tentative="0">
      <w:start w:val="1"/>
      <w:numFmt w:val="decimal"/>
      <w:suff w:val="nothing"/>
      <w:lvlText w:val="%1、"/>
      <w:lvlJc w:val="left"/>
    </w:lvl>
  </w:abstractNum>
  <w:abstractNum w:abstractNumId="2">
    <w:nsid w:val="26DE2729"/>
    <w:multiLevelType w:val="singleLevel"/>
    <w:tmpl w:val="26DE2729"/>
    <w:lvl w:ilvl="0" w:tentative="0">
      <w:start w:val="1"/>
      <w:numFmt w:val="decimal"/>
      <w:suff w:val="nothing"/>
      <w:lvlText w:val="%1、"/>
      <w:lvlJc w:val="left"/>
    </w:lvl>
  </w:abstractNum>
  <w:abstractNum w:abstractNumId="3">
    <w:nsid w:val="4DC95624"/>
    <w:multiLevelType w:val="singleLevel"/>
    <w:tmpl w:val="4DC95624"/>
    <w:lvl w:ilvl="0" w:tentative="0">
      <w:start w:val="1"/>
      <w:numFmt w:val="decimal"/>
      <w:lvlText w:val="%1."/>
      <w:lvlJc w:val="left"/>
      <w:pPr>
        <w:tabs>
          <w:tab w:val="left" w:pos="312"/>
        </w:tabs>
      </w:pPr>
    </w:lvl>
  </w:abstractNum>
  <w:abstractNum w:abstractNumId="4">
    <w:nsid w:val="685F2FAC"/>
    <w:multiLevelType w:val="singleLevel"/>
    <w:tmpl w:val="685F2FAC"/>
    <w:lvl w:ilvl="0" w:tentative="0">
      <w:start w:val="7"/>
      <w:numFmt w:val="chineseCounting"/>
      <w:suff w:val="nothing"/>
      <w:lvlText w:val="%1、"/>
      <w:lvlJc w:val="left"/>
      <w:rPr>
        <w:rFonts w:hint="eastAsia"/>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D0248D"/>
    <w:rsid w:val="000335CE"/>
    <w:rsid w:val="00060579"/>
    <w:rsid w:val="00082FDB"/>
    <w:rsid w:val="00090F62"/>
    <w:rsid w:val="000C0A00"/>
    <w:rsid w:val="000F5B8B"/>
    <w:rsid w:val="00134C62"/>
    <w:rsid w:val="00166B2A"/>
    <w:rsid w:val="0017668D"/>
    <w:rsid w:val="001A059D"/>
    <w:rsid w:val="001B1D9E"/>
    <w:rsid w:val="001C56EB"/>
    <w:rsid w:val="001E13B5"/>
    <w:rsid w:val="001E1400"/>
    <w:rsid w:val="00263E39"/>
    <w:rsid w:val="002E17D0"/>
    <w:rsid w:val="00325396"/>
    <w:rsid w:val="00327D99"/>
    <w:rsid w:val="00376EA2"/>
    <w:rsid w:val="00381643"/>
    <w:rsid w:val="00386E2E"/>
    <w:rsid w:val="003C7267"/>
    <w:rsid w:val="003D2418"/>
    <w:rsid w:val="003F5FBE"/>
    <w:rsid w:val="00416066"/>
    <w:rsid w:val="004B01A7"/>
    <w:rsid w:val="004C1114"/>
    <w:rsid w:val="004F6D4C"/>
    <w:rsid w:val="004F7BDC"/>
    <w:rsid w:val="005153B1"/>
    <w:rsid w:val="00524354"/>
    <w:rsid w:val="00525A36"/>
    <w:rsid w:val="00565B3D"/>
    <w:rsid w:val="0057540C"/>
    <w:rsid w:val="005854A5"/>
    <w:rsid w:val="005B1359"/>
    <w:rsid w:val="005B5520"/>
    <w:rsid w:val="005F0C56"/>
    <w:rsid w:val="00605065"/>
    <w:rsid w:val="00621C2C"/>
    <w:rsid w:val="00653D4C"/>
    <w:rsid w:val="006606CB"/>
    <w:rsid w:val="00661DE0"/>
    <w:rsid w:val="00667E6A"/>
    <w:rsid w:val="00682A5E"/>
    <w:rsid w:val="006B5E4F"/>
    <w:rsid w:val="006E697D"/>
    <w:rsid w:val="00740C3F"/>
    <w:rsid w:val="00757577"/>
    <w:rsid w:val="007D7AFE"/>
    <w:rsid w:val="007F7639"/>
    <w:rsid w:val="008033D6"/>
    <w:rsid w:val="0083338C"/>
    <w:rsid w:val="00846410"/>
    <w:rsid w:val="00895245"/>
    <w:rsid w:val="00914A75"/>
    <w:rsid w:val="00935E42"/>
    <w:rsid w:val="00966226"/>
    <w:rsid w:val="00976577"/>
    <w:rsid w:val="009A25C4"/>
    <w:rsid w:val="00A018D9"/>
    <w:rsid w:val="00A204F7"/>
    <w:rsid w:val="00A24CDF"/>
    <w:rsid w:val="00A27883"/>
    <w:rsid w:val="00A33A06"/>
    <w:rsid w:val="00A37AF8"/>
    <w:rsid w:val="00A504F0"/>
    <w:rsid w:val="00A83385"/>
    <w:rsid w:val="00A92CF6"/>
    <w:rsid w:val="00AB60BE"/>
    <w:rsid w:val="00AD0BB0"/>
    <w:rsid w:val="00B2603B"/>
    <w:rsid w:val="00B55120"/>
    <w:rsid w:val="00B939EC"/>
    <w:rsid w:val="00BB0741"/>
    <w:rsid w:val="00BC3A5B"/>
    <w:rsid w:val="00BD2C9A"/>
    <w:rsid w:val="00BE4378"/>
    <w:rsid w:val="00C2090C"/>
    <w:rsid w:val="00C26A57"/>
    <w:rsid w:val="00C7287C"/>
    <w:rsid w:val="00CC22A9"/>
    <w:rsid w:val="00CF240B"/>
    <w:rsid w:val="00CF58AF"/>
    <w:rsid w:val="00D56BB6"/>
    <w:rsid w:val="00DA29C6"/>
    <w:rsid w:val="00DA33F3"/>
    <w:rsid w:val="00DC2A27"/>
    <w:rsid w:val="00DD69E7"/>
    <w:rsid w:val="00DF6437"/>
    <w:rsid w:val="00E012AA"/>
    <w:rsid w:val="00E311DB"/>
    <w:rsid w:val="00E3455D"/>
    <w:rsid w:val="00E40D19"/>
    <w:rsid w:val="00E60032"/>
    <w:rsid w:val="00E621CB"/>
    <w:rsid w:val="00EA34C1"/>
    <w:rsid w:val="00EA6178"/>
    <w:rsid w:val="00EB377C"/>
    <w:rsid w:val="00EC2FE9"/>
    <w:rsid w:val="00ED09EC"/>
    <w:rsid w:val="00F02C4A"/>
    <w:rsid w:val="00F070FA"/>
    <w:rsid w:val="00F13454"/>
    <w:rsid w:val="00F27B38"/>
    <w:rsid w:val="00F30128"/>
    <w:rsid w:val="00F52134"/>
    <w:rsid w:val="00F841FA"/>
    <w:rsid w:val="00FB1E48"/>
    <w:rsid w:val="00FD2BB2"/>
    <w:rsid w:val="03CB5E9A"/>
    <w:rsid w:val="05CF0153"/>
    <w:rsid w:val="05D73B46"/>
    <w:rsid w:val="09EE7DA8"/>
    <w:rsid w:val="0A324692"/>
    <w:rsid w:val="0E0C23B4"/>
    <w:rsid w:val="0E63617B"/>
    <w:rsid w:val="10D0248D"/>
    <w:rsid w:val="13250268"/>
    <w:rsid w:val="14D6121C"/>
    <w:rsid w:val="16CE228B"/>
    <w:rsid w:val="16D01EDE"/>
    <w:rsid w:val="18E11139"/>
    <w:rsid w:val="19422A22"/>
    <w:rsid w:val="1A5A32A5"/>
    <w:rsid w:val="1D0F001B"/>
    <w:rsid w:val="1DD54DC5"/>
    <w:rsid w:val="1FF947EB"/>
    <w:rsid w:val="20371FB4"/>
    <w:rsid w:val="20397F41"/>
    <w:rsid w:val="23E779C8"/>
    <w:rsid w:val="24C73D6D"/>
    <w:rsid w:val="25C91357"/>
    <w:rsid w:val="272F3372"/>
    <w:rsid w:val="29E02BBE"/>
    <w:rsid w:val="2A537AE9"/>
    <w:rsid w:val="2D424C91"/>
    <w:rsid w:val="31A92BF9"/>
    <w:rsid w:val="32564F90"/>
    <w:rsid w:val="32A41E23"/>
    <w:rsid w:val="3411218E"/>
    <w:rsid w:val="39345E40"/>
    <w:rsid w:val="3A091B04"/>
    <w:rsid w:val="3C0A78FD"/>
    <w:rsid w:val="40C439D0"/>
    <w:rsid w:val="40C96325"/>
    <w:rsid w:val="4154348E"/>
    <w:rsid w:val="41733E8C"/>
    <w:rsid w:val="458729D1"/>
    <w:rsid w:val="46B26B9E"/>
    <w:rsid w:val="47CB074C"/>
    <w:rsid w:val="4B892CE4"/>
    <w:rsid w:val="4D670430"/>
    <w:rsid w:val="4F2C3487"/>
    <w:rsid w:val="4F3B0F97"/>
    <w:rsid w:val="511C2EDD"/>
    <w:rsid w:val="556C0B8B"/>
    <w:rsid w:val="5DD40E47"/>
    <w:rsid w:val="5FA4774B"/>
    <w:rsid w:val="61D61213"/>
    <w:rsid w:val="6269516A"/>
    <w:rsid w:val="66A0423F"/>
    <w:rsid w:val="67722A8C"/>
    <w:rsid w:val="6AC624EF"/>
    <w:rsid w:val="6B84192E"/>
    <w:rsid w:val="6D535020"/>
    <w:rsid w:val="71730614"/>
    <w:rsid w:val="72AA0EB4"/>
    <w:rsid w:val="74F06F0D"/>
    <w:rsid w:val="76371466"/>
    <w:rsid w:val="768374BA"/>
    <w:rsid w:val="76FD55D0"/>
    <w:rsid w:val="7B8A7A7D"/>
    <w:rsid w:val="7EAA7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9"/>
    <w:pPr>
      <w:keepNext/>
      <w:keepLines/>
      <w:spacing w:before="340" w:after="330" w:line="578" w:lineRule="auto"/>
      <w:jc w:val="center"/>
      <w:outlineLvl w:val="0"/>
    </w:pPr>
    <w:rPr>
      <w:rFonts w:eastAsia="方正小标宋_GBK"/>
      <w:bCs/>
      <w:kern w:val="44"/>
      <w:sz w:val="36"/>
      <w:szCs w:val="44"/>
    </w:rPr>
  </w:style>
  <w:style w:type="paragraph" w:styleId="3">
    <w:name w:val="heading 4"/>
    <w:basedOn w:val="1"/>
    <w:next w:val="1"/>
    <w:qFormat/>
    <w:uiPriority w:val="99"/>
    <w:pPr>
      <w:keepNext/>
      <w:keepLines/>
      <w:spacing w:before="280" w:after="290" w:line="377" w:lineRule="auto"/>
      <w:ind w:firstLine="200" w:firstLineChars="200"/>
      <w:outlineLvl w:val="3"/>
    </w:pPr>
    <w:rPr>
      <w:rFonts w:ascii="Cambria" w:hAnsi="Cambria"/>
      <w:b/>
      <w:bCs/>
      <w:sz w:val="28"/>
      <w:szCs w:val="28"/>
    </w:rPr>
  </w:style>
  <w:style w:type="paragraph" w:styleId="4">
    <w:name w:val="heading 5"/>
    <w:basedOn w:val="1"/>
    <w:next w:val="1"/>
    <w:qFormat/>
    <w:uiPriority w:val="99"/>
    <w:pPr>
      <w:keepNext/>
      <w:keepLines/>
      <w:spacing w:before="280" w:after="290" w:line="377" w:lineRule="auto"/>
      <w:ind w:firstLine="200" w:firstLineChars="200"/>
      <w:outlineLvl w:val="4"/>
    </w:pPr>
    <w:rPr>
      <w:b/>
      <w:bCs/>
      <w:sz w:val="24"/>
      <w:szCs w:val="28"/>
    </w:rPr>
  </w:style>
  <w:style w:type="paragraph" w:styleId="5">
    <w:name w:val="heading 6"/>
    <w:basedOn w:val="1"/>
    <w:next w:val="1"/>
    <w:qFormat/>
    <w:uiPriority w:val="99"/>
    <w:pPr>
      <w:keepNext/>
      <w:keepLines/>
      <w:spacing w:before="240" w:after="64" w:line="320" w:lineRule="auto"/>
      <w:outlineLvl w:val="5"/>
    </w:pPr>
    <w:rPr>
      <w:rFonts w:ascii="Cambria" w:hAnsi="Cambria"/>
      <w:b/>
      <w:bCs/>
      <w:sz w:val="24"/>
      <w:szCs w:val="2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text"/>
    <w:basedOn w:val="1"/>
    <w:link w:val="34"/>
    <w:qFormat/>
    <w:uiPriority w:val="0"/>
    <w:pPr>
      <w:jc w:val="left"/>
    </w:pPr>
  </w:style>
  <w:style w:type="paragraph" w:styleId="7">
    <w:name w:val="Body Text"/>
    <w:basedOn w:val="1"/>
    <w:qFormat/>
    <w:uiPriority w:val="1"/>
    <w:rPr>
      <w:rFonts w:ascii="仿宋" w:hAnsi="仿宋" w:eastAsia="仿宋" w:cs="仿宋"/>
      <w:sz w:val="28"/>
      <w:szCs w:val="28"/>
      <w:lang w:val="zh-CN" w:bidi="zh-CN"/>
    </w:rPr>
  </w:style>
  <w:style w:type="paragraph" w:styleId="8">
    <w:name w:val="Plain Text"/>
    <w:basedOn w:val="1"/>
    <w:link w:val="30"/>
    <w:qFormat/>
    <w:uiPriority w:val="99"/>
    <w:rPr>
      <w:rFonts w:ascii="宋体" w:hAnsi="Courier New" w:cs="Courier New"/>
      <w:szCs w:val="21"/>
    </w:rPr>
  </w:style>
  <w:style w:type="paragraph" w:styleId="9">
    <w:name w:val="Balloon Text"/>
    <w:basedOn w:val="1"/>
    <w:link w:val="33"/>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Autospacing="1" w:afterAutospacing="1"/>
      <w:jc w:val="left"/>
    </w:pPr>
    <w:rPr>
      <w:kern w:val="0"/>
      <w:sz w:val="24"/>
    </w:rPr>
  </w:style>
  <w:style w:type="paragraph" w:styleId="13">
    <w:name w:val="annotation subject"/>
    <w:basedOn w:val="6"/>
    <w:next w:val="6"/>
    <w:link w:val="35"/>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7">
    <w:name w:val="Hyperlink"/>
    <w:basedOn w:val="16"/>
    <w:qFormat/>
    <w:uiPriority w:val="99"/>
    <w:rPr>
      <w:color w:val="0000FF"/>
      <w:u w:val="single"/>
    </w:rPr>
  </w:style>
  <w:style w:type="character" w:styleId="18">
    <w:name w:val="annotation reference"/>
    <w:basedOn w:val="16"/>
    <w:qFormat/>
    <w:uiPriority w:val="0"/>
    <w:rPr>
      <w:sz w:val="21"/>
      <w:szCs w:val="21"/>
    </w:rPr>
  </w:style>
  <w:style w:type="character" w:customStyle="1" w:styleId="19">
    <w:name w:val="bord3"/>
    <w:basedOn w:val="16"/>
    <w:qFormat/>
    <w:uiPriority w:val="99"/>
  </w:style>
  <w:style w:type="paragraph" w:customStyle="1" w:styleId="20">
    <w:name w:val="Table Paragraph"/>
    <w:basedOn w:val="1"/>
    <w:qFormat/>
    <w:uiPriority w:val="1"/>
    <w:rPr>
      <w:rFonts w:ascii="仿宋" w:hAnsi="仿宋" w:eastAsia="仿宋" w:cs="仿宋"/>
      <w:lang w:val="zh-CN" w:bidi="zh-CN"/>
    </w:rPr>
  </w:style>
  <w:style w:type="paragraph" w:styleId="21">
    <w:name w:val="List Paragraph"/>
    <w:basedOn w:val="22"/>
    <w:qFormat/>
    <w:uiPriority w:val="1"/>
    <w:pPr>
      <w:spacing w:before="4"/>
      <w:ind w:left="500" w:firstLine="559"/>
    </w:pPr>
    <w:rPr>
      <w:rFonts w:ascii="仿宋" w:hAnsi="仿宋" w:eastAsia="仿宋" w:cs="仿宋"/>
      <w:lang w:val="zh-CN" w:bidi="zh-CN"/>
    </w:rPr>
  </w:style>
  <w:style w:type="paragraph" w:customStyle="1" w:styleId="22">
    <w:name w:val="正文_0"/>
    <w:qFormat/>
    <w:uiPriority w:val="0"/>
    <w:rPr>
      <w:rFonts w:ascii="Times New Roman" w:hAnsi="Times New Roman" w:eastAsia="宋体" w:cs="Times New Roman"/>
      <w:sz w:val="21"/>
      <w:lang w:val="en-US" w:eastAsia="zh-CN" w:bidi="ar-SA"/>
    </w:rPr>
  </w:style>
  <w:style w:type="paragraph" w:customStyle="1" w:styleId="23">
    <w:name w:val="标题 3_0"/>
    <w:basedOn w:val="22"/>
    <w:next w:val="24"/>
    <w:qFormat/>
    <w:uiPriority w:val="0"/>
    <w:pPr>
      <w:widowControl w:val="0"/>
      <w:tabs>
        <w:tab w:val="left" w:pos="851"/>
      </w:tabs>
      <w:autoSpaceDE w:val="0"/>
      <w:autoSpaceDN w:val="0"/>
      <w:adjustRightInd w:val="0"/>
      <w:snapToGrid w:val="0"/>
      <w:spacing w:line="360" w:lineRule="auto"/>
      <w:jc w:val="both"/>
      <w:outlineLvl w:val="2"/>
    </w:pPr>
    <w:rPr>
      <w:rFonts w:ascii="宋体" w:hAnsi="Calibri"/>
      <w:sz w:val="20"/>
    </w:rPr>
  </w:style>
  <w:style w:type="paragraph" w:customStyle="1" w:styleId="24">
    <w:name w:val="正文缩进_0"/>
    <w:basedOn w:val="22"/>
    <w:qFormat/>
    <w:uiPriority w:val="0"/>
    <w:pPr>
      <w:ind w:firstLine="420"/>
    </w:pPr>
    <w:rPr>
      <w:rFonts w:ascii="Calibri" w:hAnsi="Calibri"/>
      <w:sz w:val="20"/>
    </w:rPr>
  </w:style>
  <w:style w:type="paragraph" w:customStyle="1" w:styleId="25">
    <w:name w:val="正文_0_0"/>
    <w:qFormat/>
    <w:uiPriority w:val="0"/>
    <w:rPr>
      <w:rFonts w:ascii="Times New Roman" w:hAnsi="Times New Roman" w:eastAsia="宋体" w:cs="Times New Roman"/>
      <w:sz w:val="21"/>
      <w:szCs w:val="22"/>
      <w:lang w:val="en-US" w:eastAsia="zh-CN" w:bidi="ar-SA"/>
    </w:rPr>
  </w:style>
  <w:style w:type="paragraph" w:customStyle="1" w:styleId="26">
    <w:name w:val="标题 3_0_0"/>
    <w:basedOn w:val="25"/>
    <w:next w:val="22"/>
    <w:qFormat/>
    <w:uiPriority w:val="0"/>
    <w:pPr>
      <w:widowControl w:val="0"/>
      <w:tabs>
        <w:tab w:val="left" w:pos="851"/>
      </w:tabs>
      <w:autoSpaceDE w:val="0"/>
      <w:autoSpaceDN w:val="0"/>
      <w:adjustRightInd w:val="0"/>
      <w:snapToGrid w:val="0"/>
      <w:spacing w:line="360" w:lineRule="auto"/>
      <w:jc w:val="both"/>
      <w:outlineLvl w:val="2"/>
    </w:pPr>
    <w:rPr>
      <w:rFonts w:ascii="宋体" w:hAnsi="Calibri" w:cs="宋体"/>
    </w:rPr>
  </w:style>
  <w:style w:type="paragraph" w:customStyle="1" w:styleId="27">
    <w:name w:val="纯文本_0"/>
    <w:basedOn w:val="25"/>
    <w:qFormat/>
    <w:uiPriority w:val="0"/>
    <w:rPr>
      <w:rFonts w:ascii="宋体" w:hAnsi="Courier New" w:cs="Courier New"/>
      <w:szCs w:val="21"/>
    </w:rPr>
  </w:style>
  <w:style w:type="character" w:customStyle="1" w:styleId="28">
    <w:name w:val="bord"/>
    <w:basedOn w:val="16"/>
    <w:qFormat/>
    <w:uiPriority w:val="0"/>
  </w:style>
  <w:style w:type="paragraph" w:customStyle="1" w:styleId="29">
    <w:name w:val="newstyle16"/>
    <w:basedOn w:val="1"/>
    <w:qFormat/>
    <w:uiPriority w:val="0"/>
    <w:pPr>
      <w:widowControl/>
      <w:jc w:val="left"/>
    </w:pPr>
    <w:rPr>
      <w:rFonts w:ascii="宋体" w:hAnsi="宋体" w:cs="宋体"/>
      <w:kern w:val="0"/>
      <w:sz w:val="24"/>
      <w:szCs w:val="24"/>
    </w:rPr>
  </w:style>
  <w:style w:type="character" w:customStyle="1" w:styleId="30">
    <w:name w:val="纯文本 Char"/>
    <w:basedOn w:val="16"/>
    <w:link w:val="8"/>
    <w:qFormat/>
    <w:uiPriority w:val="99"/>
    <w:rPr>
      <w:rFonts w:ascii="宋体" w:hAnsi="Courier New" w:eastAsia="宋体" w:cs="Courier New"/>
      <w:kern w:val="2"/>
      <w:sz w:val="21"/>
      <w:szCs w:val="21"/>
    </w:rPr>
  </w:style>
  <w:style w:type="paragraph" w:customStyle="1" w:styleId="31">
    <w:name w:val="海南化工城正文"/>
    <w:basedOn w:val="1"/>
    <w:qFormat/>
    <w:uiPriority w:val="99"/>
    <w:pPr>
      <w:spacing w:line="324" w:lineRule="auto"/>
      <w:ind w:firstLine="480" w:firstLineChars="200"/>
    </w:pPr>
    <w:rPr>
      <w:rFonts w:ascii="宋体" w:hAnsi="宋体" w:cs="宋体"/>
      <w:kern w:val="0"/>
      <w:sz w:val="24"/>
      <w:szCs w:val="20"/>
    </w:rPr>
  </w:style>
  <w:style w:type="character" w:customStyle="1" w:styleId="32">
    <w:name w:val="页眉 Char"/>
    <w:basedOn w:val="16"/>
    <w:link w:val="11"/>
    <w:qFormat/>
    <w:uiPriority w:val="0"/>
    <w:rPr>
      <w:rFonts w:ascii="Calibri" w:hAnsi="Calibri" w:eastAsia="宋体" w:cs="Times New Roman"/>
      <w:kern w:val="2"/>
      <w:sz w:val="18"/>
      <w:szCs w:val="18"/>
    </w:rPr>
  </w:style>
  <w:style w:type="character" w:customStyle="1" w:styleId="33">
    <w:name w:val="批注框文本 Char"/>
    <w:basedOn w:val="16"/>
    <w:link w:val="9"/>
    <w:qFormat/>
    <w:uiPriority w:val="0"/>
    <w:rPr>
      <w:rFonts w:ascii="Calibri" w:hAnsi="Calibri" w:eastAsia="宋体" w:cs="Times New Roman"/>
      <w:kern w:val="2"/>
      <w:sz w:val="18"/>
      <w:szCs w:val="18"/>
    </w:rPr>
  </w:style>
  <w:style w:type="character" w:customStyle="1" w:styleId="34">
    <w:name w:val="批注文字 Char"/>
    <w:basedOn w:val="16"/>
    <w:link w:val="6"/>
    <w:qFormat/>
    <w:uiPriority w:val="0"/>
    <w:rPr>
      <w:rFonts w:ascii="Calibri" w:hAnsi="Calibri" w:eastAsia="宋体" w:cs="Times New Roman"/>
      <w:kern w:val="2"/>
      <w:sz w:val="21"/>
      <w:szCs w:val="22"/>
    </w:rPr>
  </w:style>
  <w:style w:type="character" w:customStyle="1" w:styleId="35">
    <w:name w:val="批注主题 Char"/>
    <w:basedOn w:val="34"/>
    <w:link w:val="13"/>
    <w:qFormat/>
    <w:uiPriority w:val="0"/>
    <w:rPr>
      <w:rFonts w:ascii="Calibri" w:hAnsi="Calibri" w:eastAsia="宋体" w:cs="Times New Roman"/>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8423\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9441DC-C98E-494E-A9C2-CF8D05397DD5}">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52</Pages>
  <Words>4282</Words>
  <Characters>24409</Characters>
  <Lines>203</Lines>
  <Paragraphs>57</Paragraphs>
  <TotalTime>4</TotalTime>
  <ScaleCrop>false</ScaleCrop>
  <LinksUpToDate>false</LinksUpToDate>
  <CharactersWithSpaces>28634</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2019-11-19T08:10:00Z</dcterms:created>
  <dc:creator>Amy</dc:creator>
  <cp:lastModifiedBy>大口哥</cp:lastModifiedBy>
  <dcterms:modified xsi:type="dcterms:W3CDTF">2019-12-16T08:59:49Z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