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2278"/>
        <w:jc w:val="center"/>
        <w:outlineLvl w:val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二、开标一览表</w:t>
      </w:r>
    </w:p>
    <w:p>
      <w:pPr>
        <w:spacing w:line="360" w:lineRule="exact"/>
        <w:outlineLvl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项目名称：海南医学院热带病重点实验室设备项目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投标人名称：（盖章）广州吉源生物科技有限公司 </w:t>
      </w:r>
      <w:r>
        <w:rPr>
          <w:rFonts w:hint="eastAsia" w:ascii="宋体" w:hAnsi="宋体"/>
          <w:sz w:val="24"/>
        </w:rPr>
        <w:t xml:space="preserve">                          </w:t>
      </w:r>
    </w:p>
    <w:p>
      <w:pPr>
        <w:spacing w:line="360" w:lineRule="exact"/>
        <w:rPr>
          <w:rFonts w:ascii="宋体" w:hAnsi="宋体"/>
          <w:sz w:val="24"/>
        </w:rPr>
      </w:pPr>
    </w:p>
    <w:tbl>
      <w:tblPr>
        <w:tblStyle w:val="2"/>
        <w:tblW w:w="14047" w:type="dxa"/>
        <w:jc w:val="center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418"/>
        <w:gridCol w:w="1559"/>
        <w:gridCol w:w="5386"/>
        <w:gridCol w:w="567"/>
        <w:gridCol w:w="536"/>
        <w:gridCol w:w="1549"/>
        <w:gridCol w:w="1434"/>
        <w:gridCol w:w="1327"/>
        <w:gridCol w:w="1271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0" w:hRule="atLeast"/>
          <w:jc w:val="center"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0" w:hRule="atLeast"/>
          <w:jc w:val="center"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货物名称</w:t>
            </w:r>
          </w:p>
        </w:tc>
        <w:tc>
          <w:tcPr>
            <w:tcW w:w="5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厂家、品牌型号及技术参数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数量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单价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投标单项总价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优惠政策产品扣除2%后单项总价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交货期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32" w:hRule="atLeast"/>
          <w:jc w:val="center"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实时定量PCR</w:t>
            </w:r>
          </w:p>
        </w:tc>
        <w:tc>
          <w:tcPr>
            <w:tcW w:w="53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罗氏实时定量PCR  型号：LightCycler96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进口设备：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配置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1、主机（含银质模块）1台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2、操作软件（含操作手册）1套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3、U盘（内含操作分析软件，仪器操作说明书，演示实验数据） 1套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4、装机试剂盒1个  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主要技术参数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1.加热方式：银质半导体温控模块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2.温度准确性：±0.2℃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3.孔间温度均一性：±0.2℃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4.扩增速度：35个循环反应：96孔检测≤40分钟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5.反应体系：10－50ul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6.光源：高强度白色固态光源（白光LED），使用寿命长达数万小时，终身无需更换，所有样本同步激发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7.通道数：4通道，无需校正通道。具备自动校正与颜色补偿功能，支持多通道实验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8.导光系统：192根独立光纤导光，完全消除光路边缘效应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9.光学检测系统：CCD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10. 光路设计：所有样本同时检测，全固定光路设计，无移动机械部件，无需定期校正光路系统。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11.灵敏度：可检测单拷贝基因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12.动力学范围：100-1010个拷贝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13.样品通量：1-96个样本/次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14.校正：无需ROX染料校正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15.试剂支持：开放平台，可使用国产或进口的各品牌试剂。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16.分析软件：具有定性定量（绝对定量、相对定量）、自动报告熔解温度、自动报告基因分型结果、高分辨率熔解曲线、阴阳性判读等功能，实时动态监测运行，扩增和检测同时进行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17.控制界面：10.4英寸触摸屏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18.支持通过USB控制仪器运行程序和存储数据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台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US$68,390.00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US$68,390.00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进口设备合同签订后</w:t>
            </w:r>
            <w:r>
              <w:rPr>
                <w:rFonts w:ascii="宋体" w:hAnsi="宋体" w:eastAsia="宋体"/>
                <w:sz w:val="24"/>
              </w:rPr>
              <w:t>90天内完成</w:t>
            </w:r>
            <w:r>
              <w:rPr>
                <w:rFonts w:hint="eastAsia" w:ascii="宋体" w:hAnsi="宋体" w:eastAsia="宋体"/>
                <w:sz w:val="24"/>
              </w:rPr>
              <w:t>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CO2培养箱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新加坡ESCO CO2培养箱  型号：CLM-170B-8-NF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进口设备：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1、直热式CO2培养箱，有效容积≥170升；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2、灭菌功能：具有90℃高温湿热循环灭菌；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3、灭菌认证：通过HPA灭菌效果认证（提供相关文件）；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4、温度控制范围（℃）：环境温度+3~59.9℃，温度控制精度（℃）：＜±0.1℃；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5、内腔设计为强制空气对流，8个加热单元，6面加热模式；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6、开门1min后，37℃温度恢复时间（min）：≤6min，5%浓度时CO2恢复时间：≤6min；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7、CO2控制范围：0.1~19.9％，CO2控制精度：±0.1%；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8、二氧化碳检测系统采用NDIR单束双波长红外式二氧化碳浓度传感器，并具有CO2浓度自校准功能，保证CO2浓度的高精确性，非双光源双波长设计，降低故障概率；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9、一体式不锈钢内胆，光滑内壁，大圆弧角设计，清洁无死角；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10、箱体涂层：箱体外部含银离子抗菌涂层，24h抑制不低于99.9%细菌滋生（提供涂层抗菌实验图文资料）；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11、采用气流流经水盘表明设计，湿度可达到环境湿度～97%RH；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12、微电脑控制系统，具有温度、CO2浓度、开门超时等参数的报警及设置；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13、智能化数据和事件监测器记录培养箱使用过程中所有的运行参数，并可以在LCD显示屏上通过程序软件调取记录的数据。16M内置闪存保证运行数据的长期储存；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14、外形尺寸（宽×深×高）mm ：宽≤660mm，深≤660mm，高≤900mm；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15、内部尺寸：宽≥505mm，深≥530mm，高≥635mm；搁板尺寸：470×470mm；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16、标准搁架数：4；最多搁架数：7；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17、37℃稳定能耗功率：≤80W；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18、可选配同品牌远程监控和数据记录软件，设备参数（温度、CO2等）的自动化、连续监控，可以保存并输出不同格式的记录数据。当一个报警条件出现，自动发送邮件警告；可同时连接16台设备；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19、选配跟踪报警系统：CO2钢瓶耗竭报警，系统可自动计算钢瓶内气体余量，保证一周的气体使用量，可给用户提供缓冲时间更换钢瓶；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20、灭菌周期：整个灭菌周期≤20个小时（包括升温，灭菌，降温，干燥整个周期），方便隔夜灭菌，提高使用效率；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21、制造工厂通过ISO 9001、ISO 14001及ISO 13485质量体系认证（提供有效期内的相关证书复印件）；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台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￥49,500.00 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￥49,500.00 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进口设备合同签订后</w:t>
            </w:r>
            <w:r>
              <w:rPr>
                <w:rFonts w:ascii="宋体" w:hAnsi="宋体" w:eastAsia="宋体"/>
                <w:sz w:val="24"/>
              </w:rPr>
              <w:t>90天内完成</w:t>
            </w:r>
            <w:r>
              <w:rPr>
                <w:rFonts w:hint="eastAsia" w:ascii="宋体" w:hAnsi="宋体" w:eastAsia="宋体"/>
                <w:sz w:val="24"/>
              </w:rPr>
              <w:t>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万分之一天平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上海天美万分之一天平 型号：FA1204B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1.标配近乎齐全的应用程序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2.全铝合金铸造基座，有良好的稳定性和抗震性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3.RS232接口（可连接电脑或者打印机）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4.LCD背光显示屏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5.下挂称重功能。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6.单位换算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7.计数功能。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8.独特的电磁平衡称重系统，耐腐蚀，抗冲击，可拆卸维修，降低使用成本。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9.最大称量值：120g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10.可读性：≤0.1mg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11.重复性：≤0.2mg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12.线性误差：≤0.8mg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13.稳定时间：5-8S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14.秤盘尺寸：Ø80mm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15.外型尺寸(mm)：350×210×346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16.净     重：6.2kg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台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￥5,400.00 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￥5,400.00 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国产设备合同签订后30</w:t>
            </w:r>
            <w:r>
              <w:rPr>
                <w:rFonts w:ascii="宋体" w:hAnsi="宋体" w:eastAsia="宋体"/>
                <w:sz w:val="24"/>
              </w:rPr>
              <w:t>天内完成</w:t>
            </w:r>
            <w:r>
              <w:rPr>
                <w:rFonts w:hint="eastAsia" w:ascii="宋体" w:hAnsi="宋体" w:eastAsia="宋体"/>
                <w:sz w:val="24"/>
              </w:rPr>
              <w:t>安装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1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超净工作台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青岛海尔超净工作台 型号：HCB-900V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1、产品类型：单人单面洁净工作台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2、气流模式：垂直层流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3、外形长度：≤1030mm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4、工作区长度：≥900mm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5、工作台面高度：770±10mm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6、工作区洁净度：100级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7、操作台面平均菌落数≤0.5CFU（皿●0.5h）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8、工作区风速：0.2-0.5m/s三挡可调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9、工作区内部照度：≥300LX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10、噪声：≤60分贝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11、采用世界名牌防潮、阻燃玻璃纤维高效过滤器（HEAP）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12、具有初效预过滤器，不使用工具即可更换，有效延长高效过滤器寿命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13、前窗钢化玻璃材质，厚度≥6mm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14、工作台面选用304不锈钢材质，外缘凸起设计，防止液体倾洒时溢出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15、内嵌式照明，眼睛不疲劳：采用内嵌式照明，避免日光灯对眼睛照射，眼睛不疲劳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16、2个电源插座，具有防溅功能，防水防尘等级不低于IP44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17、三位互锁，紫外灯与照明灯、前窗三位互锁功能，屏蔽误操作风险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18、具有联动功能，开门后自动开启荧光灯，方便实验准备工作；关门后风机自动关闭，防止风机空转不对外做功而产生过热现象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19、紫外杀菌延时启动，远离紫外线伤害：紫外灯开关按下后，声光提醒操作者及时离开，延时10秒钟后紫外灯点亮，保护操作者免受紫外照射伤害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20、可预设紫外灯自动点亮时间，方便班前班后自动消毒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21、紫外灯延时启动时间、杀菌时间长短、预约启动时间、风机档位等可按用户使用习惯自行设置；设置完成后，微电脑自动记忆用户使用习惯，方便用户使用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22、电控元件全部布置在正面面板内，与人体视线等高，使用简单的常规工具即可开启，维修保养时无需移动设备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23、底座设有4个万向脚轮和固定底脚，方便移动和定位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台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￥15,100.00 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￥15,100.00 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国产设备合同签订后30</w:t>
            </w:r>
            <w:r>
              <w:rPr>
                <w:rFonts w:ascii="宋体" w:hAnsi="宋体" w:eastAsia="宋体"/>
                <w:sz w:val="24"/>
              </w:rPr>
              <w:t>天内完成</w:t>
            </w:r>
            <w:r>
              <w:rPr>
                <w:rFonts w:hint="eastAsia" w:ascii="宋体" w:hAnsi="宋体" w:eastAsia="宋体"/>
                <w:sz w:val="24"/>
              </w:rPr>
              <w:t>安装</w:t>
            </w:r>
          </w:p>
        </w:tc>
      </w:tr>
    </w:tbl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是否小微型企业产品:是（   ）；否（   ）。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总价：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US$68,390.00+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￥70,000.00</w:t>
      </w:r>
      <w:r>
        <w:rPr>
          <w:rFonts w:hint="eastAsia" w:ascii="宋体" w:hAnsi="宋体" w:eastAsia="宋体" w:cs="宋体"/>
          <w:sz w:val="24"/>
        </w:rPr>
        <w:t xml:space="preserve">                大写：</w:t>
      </w:r>
      <w:r>
        <w:rPr>
          <w:rFonts w:hint="eastAsia" w:ascii="宋体" w:hAnsi="宋体" w:eastAsia="宋体" w:cs="宋体"/>
          <w:sz w:val="24"/>
          <w:lang w:eastAsia="zh-CN"/>
        </w:rPr>
        <w:t>美元</w:t>
      </w:r>
      <w:r>
        <w:rPr>
          <w:rFonts w:hint="eastAsia" w:ascii="宋体" w:hAnsi="宋体" w:eastAsia="宋体" w:cs="宋体"/>
          <w:sz w:val="24"/>
          <w:lang w:val="en-US" w:eastAsia="zh-CN"/>
        </w:rPr>
        <w:t>陆万捌仟叁佰玖拾元整+人民币柒万元整</w:t>
      </w:r>
      <w:bookmarkStart w:id="1" w:name="_GoBack"/>
      <w:bookmarkEnd w:id="1"/>
      <w:r>
        <w:rPr>
          <w:rFonts w:hint="eastAsia" w:ascii="宋体" w:hAnsi="宋体" w:eastAsia="宋体" w:cs="宋体"/>
          <w:sz w:val="24"/>
        </w:rPr>
        <w:t xml:space="preserve">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优惠政策产品扣除后总价：            大写：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投标人代表签名：             职务：销售代表         联系电话：13215725503          日期：2019年12月31日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</w:t>
      </w:r>
      <w:r>
        <w:rPr>
          <w:rFonts w:hint="eastAsia" w:ascii="宋体" w:hAnsi="宋体" w:eastAsia="宋体" w:cs="宋体"/>
          <w:bCs/>
          <w:sz w:val="24"/>
        </w:rPr>
        <w:t>1、国产设备用人民币报价,进口设备用美元免税报价。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2、第6栏的单价应包括全部安装、调试、培训、技术服务、必不可少的部件、标准备件、专用工具等费用。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4、第8栏中的优惠政策产品指</w:t>
      </w:r>
      <w:r>
        <w:rPr>
          <w:rFonts w:hint="eastAsia" w:ascii="宋体" w:hAnsi="宋体" w:eastAsia="宋体" w:cs="宋体"/>
          <w:sz w:val="24"/>
        </w:rPr>
        <w:t>节能产品、信息安全产品、环境标志产品。</w:t>
      </w:r>
    </w:p>
    <w:p>
      <w:pPr>
        <w:snapToGrid w:val="0"/>
        <w:spacing w:line="360" w:lineRule="auto"/>
        <w:ind w:firstLine="472" w:firstLineChars="196"/>
        <w:rPr>
          <w:rFonts w:ascii="宋体" w:hAnsi="宋体"/>
          <w:b/>
          <w:sz w:val="24"/>
        </w:rPr>
      </w:pPr>
    </w:p>
    <w:p>
      <w:pPr>
        <w:snapToGrid w:val="0"/>
        <w:spacing w:line="276" w:lineRule="auto"/>
        <w:ind w:firstLine="843" w:firstLineChars="300"/>
        <w:rPr>
          <w:rFonts w:ascii="宋体" w:hAnsi="宋体" w:eastAsia="宋体"/>
          <w:b/>
          <w:bCs/>
          <w:color w:val="000000"/>
          <w:sz w:val="28"/>
        </w:rPr>
      </w:pPr>
    </w:p>
    <w:p>
      <w:pPr>
        <w:snapToGrid w:val="0"/>
        <w:spacing w:line="276" w:lineRule="auto"/>
        <w:ind w:firstLine="843" w:firstLineChars="300"/>
        <w:rPr>
          <w:rFonts w:ascii="宋体" w:hAnsi="宋体" w:eastAsia="宋体"/>
          <w:b/>
          <w:bCs/>
          <w:color w:val="000000"/>
          <w:sz w:val="28"/>
        </w:rPr>
      </w:pPr>
    </w:p>
    <w:p>
      <w:pPr>
        <w:snapToGrid w:val="0"/>
        <w:spacing w:line="276" w:lineRule="auto"/>
        <w:ind w:firstLine="843" w:firstLineChars="300"/>
        <w:rPr>
          <w:rFonts w:ascii="宋体" w:hAnsi="宋体" w:eastAsia="宋体"/>
          <w:b/>
          <w:bCs/>
          <w:color w:val="000000"/>
          <w:sz w:val="28"/>
        </w:rPr>
      </w:pPr>
    </w:p>
    <w:p>
      <w:pPr>
        <w:snapToGrid w:val="0"/>
        <w:spacing w:line="276" w:lineRule="auto"/>
        <w:ind w:firstLine="843" w:firstLineChars="300"/>
        <w:rPr>
          <w:rFonts w:ascii="宋体" w:hAnsi="宋体" w:eastAsia="宋体"/>
          <w:b/>
          <w:bCs/>
          <w:color w:val="000000"/>
          <w:sz w:val="28"/>
        </w:rPr>
      </w:pPr>
    </w:p>
    <w:p>
      <w:pPr>
        <w:snapToGrid w:val="0"/>
        <w:spacing w:line="276" w:lineRule="auto"/>
        <w:ind w:firstLine="843" w:firstLineChars="300"/>
        <w:rPr>
          <w:rFonts w:ascii="宋体" w:hAnsi="宋体" w:eastAsia="宋体"/>
          <w:b/>
          <w:bCs/>
          <w:color w:val="000000"/>
          <w:sz w:val="28"/>
        </w:rPr>
      </w:pPr>
    </w:p>
    <w:p/>
    <w:p/>
    <w:p/>
    <w:p/>
    <w:p/>
    <w:p>
      <w:pPr>
        <w:spacing w:line="36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spacing w:line="36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三、规格响应表</w:t>
      </w:r>
    </w:p>
    <w:p>
      <w:pPr>
        <w:tabs>
          <w:tab w:val="left" w:pos="9654"/>
        </w:tabs>
        <w:spacing w:line="3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投标人名称</w:t>
      </w:r>
      <w:r>
        <w:rPr>
          <w:rFonts w:ascii="宋体" w:hAnsi="宋体" w:eastAsia="宋体"/>
          <w:sz w:val="24"/>
        </w:rPr>
        <w:t>:</w:t>
      </w:r>
      <w:r>
        <w:rPr>
          <w:rFonts w:hint="eastAsia" w:ascii="宋体" w:hAnsi="宋体" w:eastAsia="宋体"/>
          <w:sz w:val="24"/>
        </w:rPr>
        <w:t xml:space="preserve"> （盖章）广州吉源生物科技有限公司</w:t>
      </w:r>
    </w:p>
    <w:p>
      <w:pPr>
        <w:spacing w:line="320" w:lineRule="exact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line="32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说明：投标人必须仔细阅读招标文件中所有技术规范条款和相关功能要求，并对所有技术规范和功能偏离的条目列入下表，未列入下表的视作投标人不响应。</w:t>
      </w:r>
      <w:r>
        <w:rPr>
          <w:rFonts w:hint="eastAsia" w:ascii="宋体" w:hAnsi="宋体" w:eastAsia="宋体"/>
          <w:sz w:val="24"/>
          <w:u w:val="single"/>
        </w:rPr>
        <w:t>投标人必须根据所投产品的实际情况如实填写，评委会如发现有虚假描述，</w:t>
      </w:r>
      <w:r>
        <w:rPr>
          <w:rFonts w:ascii="宋体" w:hAnsi="宋体" w:eastAsia="宋体"/>
          <w:sz w:val="24"/>
          <w:u w:val="single"/>
        </w:rPr>
        <w:t>提供虚假材料谋取中标、成交的</w:t>
      </w:r>
      <w:r>
        <w:rPr>
          <w:rFonts w:hint="eastAsia" w:ascii="宋体" w:hAnsi="宋体" w:eastAsia="宋体"/>
          <w:sz w:val="24"/>
          <w:u w:val="single"/>
        </w:rPr>
        <w:t>，属违反政府采购法相关规定，该投标文件作废标处理。</w:t>
      </w:r>
      <w:r>
        <w:rPr>
          <w:rFonts w:ascii="宋体" w:hAnsi="宋体" w:eastAsia="宋体"/>
          <w:sz w:val="24"/>
        </w:rPr>
        <w:tab/>
      </w:r>
    </w:p>
    <w:p>
      <w:pPr>
        <w:spacing w:line="320" w:lineRule="exact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tabs>
          <w:tab w:val="left" w:pos="9654"/>
        </w:tabs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 w:eastAsia="宋体"/>
          <w:sz w:val="24"/>
        </w:rPr>
        <w:t>投标人名称: （盖章）广州吉源生物科技有限公司</w:t>
      </w:r>
    </w:p>
    <w:p>
      <w:pPr>
        <w:tabs>
          <w:tab w:val="left" w:pos="635"/>
          <w:tab w:val="left" w:pos="2852"/>
          <w:tab w:val="left" w:pos="5260"/>
          <w:tab w:val="left" w:pos="9654"/>
        </w:tabs>
        <w:spacing w:line="320" w:lineRule="exact"/>
        <w:rPr>
          <w:rFonts w:ascii="宋体" w:hAnsi="宋体"/>
          <w:sz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625"/>
        <w:gridCol w:w="5236"/>
        <w:gridCol w:w="5267"/>
        <w:gridCol w:w="2312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5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招标规格</w:t>
            </w:r>
          </w:p>
        </w:tc>
        <w:tc>
          <w:tcPr>
            <w:tcW w:w="52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投标规格</w:t>
            </w:r>
          </w:p>
        </w:tc>
        <w:tc>
          <w:tcPr>
            <w:tcW w:w="231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偏离情况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（无偏离，正/负偏离）</w:t>
            </w:r>
            <w:r>
              <w:rPr>
                <w:rFonts w:hint="eastAsia" w:ascii="宋体" w:hAnsi="宋体" w:eastAsia="宋体"/>
                <w:sz w:val="24"/>
              </w:rPr>
              <w:t>证明材料页码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</w:rPr>
            </w:pPr>
            <w:bookmarkStart w:id="0" w:name="_Hlk28555964"/>
            <w:r>
              <w:rPr>
                <w:rFonts w:hint="eastAsia" w:ascii="宋体" w:hAnsi="宋体" w:eastAsia="宋体"/>
                <w:b/>
                <w:bCs/>
              </w:rPr>
              <w:t>1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实时定量PCR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罗氏实时定量PCR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型号：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LightCycler96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第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进口设备：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进口设备：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4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配置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配置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1、主机（含银质模块）1台</w:t>
            </w:r>
          </w:p>
        </w:tc>
        <w:tc>
          <w:tcPr>
            <w:tcW w:w="52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1、主机（含银质模块）1台</w:t>
            </w:r>
          </w:p>
        </w:tc>
        <w:tc>
          <w:tcPr>
            <w:tcW w:w="231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2、操作软件（含操作手册）1套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2、操作软件（含操作手册）1套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3、U盘（内含操作分析软件，仪器操作说明书，演示实验数据） 1套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3、U盘（内含操作分析软件，仪器操作说明书，演示实验数据） 1套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4、装机试剂盒1个  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装机试剂盒1个  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主要技术参数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主要技术参数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 ★加热方式：银质半导体温控模块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1.加热方式：银质半导体温控模块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 温度准确性：±0.2℃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2.温度准确性：±0.2℃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 ★孔间温度均一性：±0.2℃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3.孔间温度均一性：±0.2℃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 扩增速度：35个循环反应：96孔检测≤40分钟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4.扩增速度：35个循环反应：96孔检测≤40分钟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 反应体系：10－100ul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5.反应体系：10－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0ul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，也可以到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100UL，但宣传彩页较为保守的数字。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6. ★光源：高强度白色固态光源（白光LED），使用寿命长达数万小时，终身无需更换，所有样本同步激发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6.光源：高强度白色固态光源（白光LED），使用寿命长达数万小时，终身无需更换，所有样本同步激发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7. 通道数：4通道，无需校正通道。具备自动校正与颜色补偿功能，支持多通道实验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7.通道数：4通道，无需校正通道。具备自动校正与颜色补偿功能，支持多通道实验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8. ★导光系统：192根独立光纤导光，完全消除光路边缘效应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8.导光系统：192根独立光纤导光，完全消除光路边缘效应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9. 光学检测系统：CCD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9.光学检测系统：CCD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10. 光路设计：所有样本同时检测，全固定光路设计，无移动机械部件，无需定期校正光路系统。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10. 光路设计：所有样本同时检测，全固定光路设计，无移动机械部件，无需定期校正光路系统。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11. 灵敏度：可检测单拷贝基因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11.灵敏度：可检测单拷贝基因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12. 动力学范围：100-1010个拷贝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12.动力学范围：100-1010个拷贝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13. 样品通量：1-96个样本/次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13.样品通量：1-96个样本/次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14. ★校正：无需ROX染料校正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14.校正：无需ROX染料校正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15. 试剂支持：开放平台，可使用国产或进口的各品牌试剂。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15.试剂支持：开放平台，可使用国产或进口的各品牌试剂。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16. 分析软件：具有定性定量（绝对定量、相对定量）、自动报告熔解温度、自动报告基因分型结果、高分辨率熔解曲线、阴阳性判读等功能，实时动态监测运行，扩增和检测同时进行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16.分析软件：具有定性定量（绝对定量、相对定量）、自动报告熔解温度、自动报告基因分型结果、高分辨率熔解曲线、阴阳性判读等功能，实时动态监测运行，扩增和检测同时进行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17. 控制界面：10.4英寸触摸屏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17.控制界面：10.4英寸触摸屏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 支持通过USB控制仪器运行程序和存储数据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支持通过USB控制仪器运行程序和存储数据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2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CO2培养箱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新加坡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ESCO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CO2培养箱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型号：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CLM-170B-8-NF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第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进口设备：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进口设备：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1、直热式CO2培养箱，有效容积≥170升；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1、直热式CO2培养箱，有效容积≥170升；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2、灭菌功能：具有90℃高温湿热循环灭菌；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2、灭菌功能：具有90℃高温湿热循环灭菌；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3、灭菌认证：通过HPA灭菌效果认证（提供相关文件）；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3、灭菌认证：通过HPA灭菌效果认证（提供相关文件）；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4、温度控制范围（℃）：环境温度+3~59.9℃，温度控制精度（℃）：＜±0.1℃；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4、温度控制范围（℃）：环境温度+3~59.9℃，温度控制精度（℃）：＜±0.1℃；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5、内腔设计为强制空气对流，8个加热单元，6面加热模式；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5、内腔设计为强制空气对流，8个加热单元，6面加热模式；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6、开门1min后，37℃温度恢复时间（min）：≤6min，5%浓度时CO2恢复时间：≤6min；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6、开门1min后，37℃温度恢复时间（min）：≤6min，5%浓度时CO2恢复时间：≤6min；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7、CO2控制范围：0.1~19.9％，CO2控制精度：±0.1%；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7、CO2控制范围：0.1~19.9％，CO2控制精度：±0.1%；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8、二氧化碳检测系统采用NDIR单束双波长红外式二氧化碳浓度传感器，并具有CO2浓度自校准功能，保证CO2浓度的高精确性，非双光源双波长设计，降低故障概率；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8、二氧化碳检测系统采用NDIR单束双波长红外式二氧化碳浓度传感器，并具有CO2浓度自校准功能，保证CO2浓度的高精确性，非双光源双波长设计，降低故障概率；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9、一体式不锈钢内胆，光滑内壁，大圆弧角设计，清洁无死角；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9、一体式不锈钢内胆，光滑内壁，大圆弧角设计，清洁无死角；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10、箱体涂层：箱体外部含银离子抗菌涂层，24h抑制不低于99.9%细菌滋生（提供涂层抗菌实验图文资料）；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10、箱体涂层：箱体外部含银离子抗菌涂层，24h抑制不低于99.9%细菌滋生（提供涂层抗菌实验图文资料）；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11、采用气流流经水盘表明设计，湿度可达到环境湿度～97%RH；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11、采用气流流经水盘表明设计，湿度可达到环境湿度～97%RH；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12、微电脑控制系统，具有温度、CO2浓度、开门超时等参数的报警及设置；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12、微电脑控制系统，具有温度、CO2浓度、开门超时等参数的报警及设置；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13、智能化数据和事件监测器记录培养箱使用过程中所有的运行参数，并可以在LCD显示屏上通过程序软件调取记录的数据。16M内置闪存保证运行数据的长期储存；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13、智能化数据和事件监测器记录培养箱使用过程中所有的运行参数，并可以在LCD显示屏上通过程序软件调取记录的数据。16M内置闪存保证运行数据的长期储存；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14、外形尺寸（宽×深×高）mm ：宽≤660mm，深≤660mm，高≤900mm；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14、外形尺寸（宽×深×高）mm ：宽≤660mm，深≤660mm，高≤900mm；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15、内部尺寸：宽≥505mm，深≥530mm，高≥635mm；搁板尺寸：470×470mm；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15、内部尺寸：宽≥505mm，深≥530mm，高≥635mm；搁板尺寸：470×470mm；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16、标准搁架数：4；最多搁架数：7；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16、标准搁架数：4；最多搁架数：7；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17、37℃稳定能耗功率：≤80W；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17、37℃稳定能耗功率：≤80W；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18、可选配同品牌远程监控和数据记录软件，设备参数（温度、CO2等）的自动化、连续监控，可以保存并输出不同格式的记录数据。当一个报警条件出现，自动发送邮件警告；可同时连接16台设备；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18、可选配同品牌远程监控和数据记录软件，设备参数（温度、CO2等）的自动化、连续监控，可以保存并输出不同格式的记录数据。当一个报警条件出现，自动发送邮件警告；可同时连接16台设备；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19、选配跟踪报警系统：CO2钢瓶耗竭报警，系统可自动计算钢瓶内气体余量，保证一周的气体使用量，可给用户提供缓冲时间更换钢瓶；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19、选配跟踪报警系统：CO2钢瓶耗竭报警，系统可自动计算钢瓶内气体余量，保证一周的气体使用量，可给用户提供缓冲时间更换钢瓶；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20、灭菌周期：整个灭菌周期≤20个小时（包括升温，灭菌，降温，干燥整个周期），方便隔夜灭菌，提高使用效率；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20、灭菌周期：整个灭菌周期≤20个小时（包括升温，灭菌，降温，干燥整个周期），方便隔夜灭菌，提高使用效率；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★</w:t>
            </w:r>
            <w:r>
              <w:rPr>
                <w:rFonts w:ascii="宋体" w:hAnsi="宋体" w:eastAsia="宋体"/>
                <w:sz w:val="24"/>
                <w:szCs w:val="24"/>
              </w:rPr>
              <w:t>21、制造工厂通过ISO 9001、ISO 14001及ISO 13485质量体系认证（提供有效期内的相关证书复印件）；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21、制造工厂通过ISO 9001、ISO 14001及ISO 13485质量体系认证（提供有效期内的相关证书复印件）；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3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万分之一天平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上海天美万分之一天平 型号：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FA1204B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第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1.标配近乎齐全的应用程序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1.标配近乎齐全的应用程序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2.全铝合金铸造基座，有良好的稳定性和抗震性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2.全铝合金铸造基座，有良好的稳定性和抗震性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3.RS232接口（可连接电脑或者打印机）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3.RS232接口（可连接电脑或者打印机）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4.LCD背光显示屏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4.LCD背光显示屏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5.下挂称重功能。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5.下挂称重功能。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6.单位换算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6.单位换算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7.计数功能。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7.计数功能。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8.独特的电磁平衡称重系统，耐腐蚀，抗冲击，可拆卸维修，降低使用成本。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8.独特的电磁平衡称重系统，耐腐蚀，抗冲击，可拆卸维修，降低使用成本。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9.最大称量值：120g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9.最大称量值：120g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10.可读性：≤0.1mg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10.可读性：≤0.1mg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11.重复性：≤0.2mg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11.重复性：≤0.2mg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12.线性误差：≤0.8mg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12.线性误差：≤0.8mg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13.稳定时间：5-8S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13.稳定时间：5-8S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14.秤盘尺寸：Ø80mm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14.秤盘尺寸：Ø80mm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15.外型尺寸(mm)：350×210×346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15.外型尺寸(mm)：350×210×346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16.净     重：6.2kg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16.净     重：6.2kg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4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超净工作台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青岛海尔超净工作台 型号：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HCB-900V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第    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1、产品类型：单人单面洁净工作台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1、产品类型：单人单面洁净工作台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2、气流模式：垂直层流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2、气流模式：垂直层流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3、外形长度：≤1030mm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3、外形长度：≤1030mm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4、工作区长度：≥900mm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4、工作区长度：≥900mm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5、工作台面高度：770±10mm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5、工作台面高度：770±10mm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6、工作区洁净度：100级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6、工作区洁净度：100级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7、操作台面平均菌落数≤0.5CFU（皿●0.5h）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7、操作台面平均菌落数≤0.5CFU（皿●0.5h）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8、工作区风速：0.2-0.5m/s三挡可调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8、工作区风速：0.2-0.5m/s三挡可调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9、工作区内部照度：≥300LX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9、工作区内部照度：≥300LX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10、噪声：≤60分贝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10、噪声：≤60分贝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11、采用世界名牌防潮、阻燃玻璃纤维高效过滤器（HEAP）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11、采用世界名牌防潮、阻燃玻璃纤维高效过滤器（HEAP）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12、具有初效预过滤器，不使用工具即可更换，有效延长高效过滤器寿命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12、具有初效预过滤器，不使用工具即可更换，有效延长高效过滤器寿命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13、前窗钢化玻璃材质，厚度≥6mm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13、前窗钢化玻璃材质，厚度≥6mm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14、工作台面选用304不锈钢材质，外缘凸起设计，防止液体倾洒时溢出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14、工作台面选用304不锈钢材质，外缘凸起设计，防止液体倾洒时溢出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15、内嵌式照明，眼睛不疲劳：采用内嵌式照明，避免日光灯对眼睛照射，眼睛不疲劳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15、内嵌式照明，眼睛不疲劳：采用内嵌式照明，避免日光灯对眼睛照射，眼睛不疲劳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16、2个电源插座，具有防溅功能，防水防尘等级不低于IP44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16、2个电源插座，具有防溅功能，防水防尘等级不低于IP44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★17、三位互锁，紫外灯与照明灯、前窗三位互锁功能，屏蔽误操作风险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17、三位互锁，紫外灯与照明灯、前窗三位互锁功能，屏蔽误操作风险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★18、具有联动功能，开门后自动开启荧光灯，方便实验准备工作；关门后风机自动关闭，防止风机空转不对外做功而产生过热现象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18、具有联动功能，开门后自动开启荧光灯，方便实验准备工作；关门后风机自动关闭，防止风机空转不对外做功而产生过热现象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★19、紫外杀菌延时启动，远离紫外线伤害：紫外灯开关按下后，声光提醒操作者及时离开，延时10秒钟后紫外灯点亮，保护操作者免受紫外照射伤害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19、紫外杀菌延时启动，远离紫外线伤害：紫外灯开关按下后，声光提醒操作者及时离开，延时10秒钟后紫外灯点亮，保护操作者免受紫外照射伤害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★20、可预设紫外灯自动点亮时间，方便班前班后自动消毒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20、可预设紫外灯自动点亮时间，方便班前班后自动消毒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★21、紫外灯延时启动时间、杀菌时间长短、预约启动时间、风机档位等可按用户使用习惯自行设置；设置完成后，微电脑自动记忆用户使用习惯，方便用户使用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21、紫外灯延时启动时间、杀菌时间长短、预约启动时间、风机档位等可按用户使用习惯自行设置；设置完成后，微电脑自动记忆用户使用习惯，方便用户使用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22、电控元件全部布置在正面面板内，与人体视线等高，使用简单的常规工具即可开启，维修保养时无需移动设备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22、电控元件全部布置在正面面板内，与人体视线等高，使用简单的常规工具即可开启，维修保养时无需移动设备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5" w:hRule="atLeast"/>
          <w:jc w:val="center"/>
        </w:trPr>
        <w:tc>
          <w:tcPr>
            <w:tcW w:w="62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23、底座设有4个万向脚轮和固定底脚，方便移动和定位</w:t>
            </w:r>
          </w:p>
        </w:tc>
        <w:tc>
          <w:tcPr>
            <w:tcW w:w="52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23、底座设有4个万向脚轮和固定底脚，方便移动和定位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无偏离</w:t>
            </w:r>
          </w:p>
        </w:tc>
      </w:tr>
      <w:bookmarkEnd w:id="0"/>
    </w:tbl>
    <w:p>
      <w:pPr>
        <w:spacing w:line="320" w:lineRule="exact"/>
        <w:outlineLvl w:val="0"/>
        <w:rPr>
          <w:rFonts w:ascii="宋体" w:hAnsi="宋体"/>
          <w:b/>
          <w:sz w:val="24"/>
        </w:rPr>
      </w:pPr>
    </w:p>
    <w:p>
      <w:pPr>
        <w:spacing w:line="320" w:lineRule="exact"/>
        <w:outlineLvl w:val="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注：1、招标规格按招标文件要求填写。</w:t>
      </w:r>
    </w:p>
    <w:p>
      <w:pPr>
        <w:numPr>
          <w:ilvl w:val="0"/>
          <w:numId w:val="1"/>
        </w:numPr>
        <w:spacing w:line="320" w:lineRule="exact"/>
        <w:ind w:left="562" w:firstLine="482" w:firstLineChars="200"/>
        <w:outlineLvl w:val="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投标规格按所投产品规格填写</w:t>
      </w:r>
      <w:r>
        <w:rPr>
          <w:rFonts w:hint="eastAsia" w:ascii="宋体" w:hAnsi="宋体" w:eastAsia="宋体" w:cs="宋体"/>
          <w:b/>
          <w:sz w:val="24"/>
        </w:rPr>
        <w:t>。不接受有选择性的参数。</w:t>
      </w:r>
    </w:p>
    <w:p>
      <w:pPr>
        <w:spacing w:line="320" w:lineRule="exact"/>
        <w:jc w:val="left"/>
        <w:outlineLvl w:val="0"/>
        <w:rPr>
          <w:rFonts w:hint="eastAsia" w:ascii="宋体" w:hAnsi="宋体" w:eastAsia="宋体" w:cs="宋体"/>
          <w:b/>
          <w:sz w:val="24"/>
        </w:rPr>
      </w:pPr>
    </w:p>
    <w:p>
      <w:pPr>
        <w:spacing w:line="320" w:lineRule="exact"/>
        <w:ind w:left="420" w:leftChars="200"/>
        <w:jc w:val="left"/>
        <w:outlineLvl w:val="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 投标人签名：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54ED97"/>
    <w:multiLevelType w:val="singleLevel"/>
    <w:tmpl w:val="B554ED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7277"/>
    <w:rsid w:val="371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2020-01-07T08:45:00Z</dcterms:created>
  <dc:creator>隽誉</dc:creator>
  <cp:lastModifiedBy>隽誉</cp:lastModifiedBy>
  <dcterms:modified xsi:type="dcterms:W3CDTF">2020-01-07T08:50:30Z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