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3373" w:firstLineChars="700"/>
        <w:jc w:val="both"/>
        <w:rPr>
          <w:rFonts w:hint="eastAsia" w:ascii="仿宋_GB2312" w:hAnsi="仿宋_GB2312" w:eastAsia="仿宋_GB2312" w:cs="仿宋_GB2312"/>
          <w:b/>
          <w:bCs/>
          <w:color w:val="000000"/>
          <w:sz w:val="48"/>
          <w:szCs w:val="48"/>
        </w:rPr>
      </w:pPr>
      <w:bookmarkStart w:id="29" w:name="_GoBack"/>
      <w:bookmarkEnd w:id="29"/>
      <w:r>
        <w:rPr>
          <w:rFonts w:hint="eastAsia" w:ascii="仿宋_GB2312" w:hAnsi="仿宋_GB2312" w:eastAsia="仿宋_GB2312" w:cs="仿宋_GB2312"/>
          <w:b/>
          <w:bCs/>
          <w:color w:val="000000"/>
          <w:sz w:val="48"/>
          <w:szCs w:val="48"/>
        </w:rPr>
        <w:t>用户需求</w:t>
      </w:r>
    </w:p>
    <w:p>
      <w:pPr>
        <w:pStyle w:val="2"/>
        <w:numPr>
          <w:ilvl w:val="0"/>
          <w:numId w:val="0"/>
        </w:numPr>
      </w:pPr>
    </w:p>
    <w:p>
      <w:pPr>
        <w:keepNext w:val="0"/>
        <w:keepLines w:val="0"/>
        <w:widowControl/>
        <w:numPr>
          <w:ilvl w:val="0"/>
          <w:numId w:val="0"/>
        </w:numPr>
        <w:suppressLineNumbers w:val="0"/>
        <w:jc w:val="left"/>
        <w:rPr>
          <w:rFonts w:ascii="黑体" w:hAnsi="宋体" w:eastAsia="黑体" w:cs="黑体"/>
          <w:b/>
          <w:color w:val="000000"/>
          <w:kern w:val="0"/>
          <w:sz w:val="36"/>
          <w:szCs w:val="36"/>
          <w:lang w:val="en-US" w:eastAsia="zh-CN" w:bidi="ar"/>
        </w:rPr>
      </w:pPr>
      <w:r>
        <w:rPr>
          <w:rFonts w:hint="eastAsia" w:ascii="黑体" w:hAnsi="宋体" w:eastAsia="黑体" w:cs="黑体"/>
          <w:b/>
          <w:color w:val="000000"/>
          <w:kern w:val="0"/>
          <w:sz w:val="36"/>
          <w:szCs w:val="36"/>
          <w:lang w:val="en-US" w:eastAsia="zh-CN" w:bidi="ar"/>
        </w:rPr>
        <w:t>一、</w:t>
      </w:r>
      <w:r>
        <w:rPr>
          <w:rFonts w:ascii="黑体" w:hAnsi="宋体" w:eastAsia="黑体" w:cs="黑体"/>
          <w:b/>
          <w:color w:val="000000"/>
          <w:kern w:val="0"/>
          <w:sz w:val="36"/>
          <w:szCs w:val="36"/>
          <w:lang w:val="en-US" w:eastAsia="zh-CN" w:bidi="ar"/>
        </w:rPr>
        <w:t>项</w:t>
      </w:r>
      <w:bookmarkStart w:id="0" w:name="OLE_LINK15"/>
      <w:r>
        <w:rPr>
          <w:rFonts w:ascii="黑体" w:hAnsi="宋体" w:eastAsia="黑体" w:cs="黑体"/>
          <w:b/>
          <w:color w:val="000000"/>
          <w:kern w:val="0"/>
          <w:sz w:val="36"/>
          <w:szCs w:val="36"/>
          <w:lang w:val="en-US" w:eastAsia="zh-CN" w:bidi="ar"/>
        </w:rPr>
        <w:t>目概述</w:t>
      </w:r>
      <w:bookmarkEnd w:id="0"/>
    </w:p>
    <w:p>
      <w:pPr>
        <w:keepNext w:val="0"/>
        <w:keepLines w:val="0"/>
        <w:widowControl/>
        <w:numPr>
          <w:ilvl w:val="0"/>
          <w:numId w:val="0"/>
        </w:numPr>
        <w:suppressLineNumbers w:val="0"/>
        <w:ind w:firstLine="320" w:firstLineChars="100"/>
        <w:jc w:val="left"/>
        <w:rPr>
          <w:rFonts w:ascii="黑体" w:hAnsi="宋体" w:eastAsia="黑体" w:cs="黑体"/>
          <w:color w:val="000000"/>
          <w:kern w:val="0"/>
          <w:sz w:val="36"/>
          <w:szCs w:val="36"/>
          <w:lang w:val="en-US" w:eastAsia="zh-CN" w:bidi="ar"/>
        </w:rPr>
      </w:pPr>
      <w:r>
        <w:rPr>
          <w:rFonts w:hint="eastAsia" w:ascii="黑体" w:hAnsi="宋体" w:eastAsia="黑体" w:cs="黑体"/>
          <w:color w:val="000000"/>
          <w:kern w:val="0"/>
          <w:sz w:val="32"/>
          <w:szCs w:val="32"/>
          <w:lang w:val="en-US" w:eastAsia="zh-CN" w:bidi="ar"/>
        </w:rPr>
        <w:t>1、</w:t>
      </w:r>
      <w:r>
        <w:rPr>
          <w:rFonts w:ascii="黑体" w:hAnsi="宋体" w:eastAsia="黑体" w:cs="黑体"/>
          <w:color w:val="000000"/>
          <w:kern w:val="0"/>
          <w:sz w:val="32"/>
          <w:szCs w:val="32"/>
          <w:lang w:val="en-US" w:eastAsia="zh-CN" w:bidi="ar"/>
        </w:rPr>
        <w:t xml:space="preserve">建设背景 </w:t>
      </w:r>
    </w:p>
    <w:p>
      <w:pPr>
        <w:pStyle w:val="9"/>
        <w:spacing w:line="360" w:lineRule="auto"/>
        <w:rPr>
          <w:rFonts w:ascii="Arial" w:hAnsi="Arial" w:eastAsia="宋体" w:cs="Arial"/>
          <w:i w:val="0"/>
          <w:caps w:val="0"/>
          <w:color w:val="333333"/>
          <w:spacing w:val="0"/>
          <w:kern w:val="2"/>
          <w:sz w:val="24"/>
          <w:szCs w:val="24"/>
          <w:shd w:val="clear" w:color="auto" w:fill="FFFFFF"/>
          <w:lang w:val="en-US" w:eastAsia="zh-CN" w:bidi="ar-SA"/>
        </w:rPr>
      </w:pPr>
      <w:r>
        <w:rPr>
          <w:rFonts w:ascii="Arial" w:hAnsi="Arial" w:eastAsia="宋体" w:cs="Arial"/>
          <w:i w:val="0"/>
          <w:caps w:val="0"/>
          <w:color w:val="333333"/>
          <w:spacing w:val="0"/>
          <w:kern w:val="2"/>
          <w:sz w:val="24"/>
          <w:szCs w:val="24"/>
          <w:shd w:val="clear" w:color="auto" w:fill="FFFFFF"/>
          <w:lang w:val="en-US" w:eastAsia="zh-CN" w:bidi="ar-SA"/>
        </w:rPr>
        <w:t>随着我国经济社会发展水平不断提高，汽车保有量持续攀升。大力发展电动汽车，能够加快燃油替代，减少汽车尾气排放，对保障能源安全、促进节能减排、防治大气污染、 推动我国从汽车大国迈向汽车强国具有重要意义。</w:t>
      </w:r>
    </w:p>
    <w:p>
      <w:pPr>
        <w:pStyle w:val="9"/>
        <w:spacing w:line="360" w:lineRule="auto"/>
        <w:rPr>
          <w:rFonts w:hint="eastAsia" w:ascii="Arial" w:hAnsi="Arial" w:eastAsia="宋体" w:cs="Arial"/>
          <w:i w:val="0"/>
          <w:caps w:val="0"/>
          <w:color w:val="333333"/>
          <w:spacing w:val="0"/>
          <w:kern w:val="2"/>
          <w:sz w:val="24"/>
          <w:szCs w:val="24"/>
          <w:shd w:val="clear" w:color="auto" w:fill="FFFFFF"/>
          <w:lang w:val="en-US" w:eastAsia="zh-CN" w:bidi="ar-SA"/>
        </w:rPr>
      </w:pPr>
      <w:r>
        <w:rPr>
          <w:rFonts w:hint="eastAsia" w:ascii="Arial" w:hAnsi="Arial" w:eastAsia="宋体" w:cs="Arial"/>
          <w:i w:val="0"/>
          <w:caps w:val="0"/>
          <w:color w:val="333333"/>
          <w:spacing w:val="0"/>
          <w:kern w:val="2"/>
          <w:sz w:val="24"/>
          <w:szCs w:val="24"/>
          <w:shd w:val="clear" w:color="auto" w:fill="FFFFFF"/>
          <w:lang w:val="en-US" w:eastAsia="zh-CN" w:bidi="ar-SA"/>
        </w:rPr>
        <w:t>海南电动汽车推广应用与充电基础设施建设取得了一定成绩，但充电基础设施发展仍处于起步阶段，还面临一些问题和挑战。根据海南充电基础设施发展需求和充电基础设施配置原则，应加快新能源汽车推广应用和充电基础设施建设。</w:t>
      </w:r>
    </w:p>
    <w:p>
      <w:pPr>
        <w:pStyle w:val="9"/>
        <w:spacing w:line="360" w:lineRule="auto"/>
        <w:rPr>
          <w:rFonts w:hint="eastAsia" w:ascii="Arial" w:hAnsi="Arial" w:eastAsia="宋体" w:cs="Arial"/>
          <w:i w:val="0"/>
          <w:caps w:val="0"/>
          <w:color w:val="333333"/>
          <w:spacing w:val="0"/>
          <w:kern w:val="2"/>
          <w:sz w:val="24"/>
          <w:szCs w:val="24"/>
          <w:shd w:val="clear" w:color="auto" w:fill="FFFFFF"/>
          <w:lang w:val="en-US" w:eastAsia="zh-CN" w:bidi="ar-SA"/>
        </w:rPr>
      </w:pPr>
      <w:r>
        <w:rPr>
          <w:rFonts w:hint="eastAsia" w:ascii="Arial" w:hAnsi="Arial" w:eastAsia="宋体" w:cs="Arial"/>
          <w:i w:val="0"/>
          <w:caps w:val="0"/>
          <w:color w:val="333333"/>
          <w:spacing w:val="0"/>
          <w:kern w:val="2"/>
          <w:sz w:val="24"/>
          <w:szCs w:val="24"/>
          <w:shd w:val="clear" w:color="auto" w:fill="FFFFFF"/>
          <w:lang w:val="en-US" w:eastAsia="zh-CN" w:bidi="ar-SA"/>
        </w:rPr>
        <w:t>经海南省白沙县工信局调研，加快了白沙县（西部区片）公共充电桩的施工建设，按照</w:t>
      </w:r>
      <w:r>
        <w:rPr>
          <w:rFonts w:ascii="Arial" w:hAnsi="Arial" w:eastAsia="宋体" w:cs="Arial"/>
          <w:i w:val="0"/>
          <w:caps w:val="0"/>
          <w:color w:val="333333"/>
          <w:spacing w:val="0"/>
          <w:kern w:val="2"/>
          <w:sz w:val="24"/>
          <w:szCs w:val="24"/>
          <w:shd w:val="clear" w:color="auto" w:fill="FFFFFF"/>
          <w:lang w:val="en-US" w:eastAsia="zh-CN" w:bidi="ar-SA"/>
        </w:rPr>
        <w:t>《海南省加快电动汽车充电基础设施建设工作方案》</w:t>
      </w:r>
      <w:r>
        <w:rPr>
          <w:rFonts w:hint="eastAsia" w:ascii="Arial" w:hAnsi="Arial" w:eastAsia="宋体" w:cs="Arial"/>
          <w:i w:val="0"/>
          <w:caps w:val="0"/>
          <w:color w:val="333333"/>
          <w:spacing w:val="0"/>
          <w:kern w:val="2"/>
          <w:sz w:val="24"/>
          <w:szCs w:val="24"/>
          <w:shd w:val="clear" w:color="auto" w:fill="FFFFFF"/>
          <w:lang w:val="en-US" w:eastAsia="zh-CN" w:bidi="ar-SA"/>
        </w:rPr>
        <w:t>《白沙黎族自治县公共机构节约能源资源“十三五”规划》《白沙黎族自治县城市公共交通规划（2017-2030）》建设的若干规范性文件和白沙县人民政府的要求,安全施工、区域划分、功能范围、智能化建设等，同时满足海南省白沙县</w:t>
      </w:r>
      <w:r>
        <w:rPr>
          <w:rFonts w:ascii="Arial" w:hAnsi="Arial" w:eastAsia="宋体" w:cs="Arial"/>
          <w:i w:val="0"/>
          <w:caps w:val="0"/>
          <w:color w:val="333333"/>
          <w:spacing w:val="0"/>
          <w:kern w:val="2"/>
          <w:sz w:val="24"/>
          <w:szCs w:val="24"/>
          <w:shd w:val="clear" w:color="auto" w:fill="FFFFFF"/>
          <w:lang w:val="en-US" w:eastAsia="zh-CN" w:bidi="ar-SA"/>
        </w:rPr>
        <w:t>充电</w:t>
      </w:r>
      <w:r>
        <w:rPr>
          <w:rFonts w:hint="eastAsia" w:ascii="Arial" w:hAnsi="Arial" w:eastAsia="宋体" w:cs="Arial"/>
          <w:i w:val="0"/>
          <w:caps w:val="0"/>
          <w:color w:val="333333"/>
          <w:spacing w:val="0"/>
          <w:kern w:val="2"/>
          <w:sz w:val="24"/>
          <w:szCs w:val="24"/>
          <w:shd w:val="clear" w:color="auto" w:fill="FFFFFF"/>
          <w:lang w:val="en-US" w:eastAsia="zh-CN" w:bidi="ar-SA"/>
        </w:rPr>
        <w:t>桩建设服务的需求。</w:t>
      </w:r>
    </w:p>
    <w:p>
      <w:pPr>
        <w:keepNext w:val="0"/>
        <w:keepLines w:val="0"/>
        <w:widowControl/>
        <w:numPr>
          <w:ilvl w:val="0"/>
          <w:numId w:val="0"/>
        </w:numPr>
        <w:suppressLineNumbers w:val="0"/>
        <w:ind w:firstLine="320" w:firstLineChars="100"/>
        <w:jc w:val="left"/>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2、</w:t>
      </w:r>
      <w:r>
        <w:rPr>
          <w:rFonts w:ascii="黑体" w:hAnsi="宋体" w:eastAsia="黑体" w:cs="黑体"/>
          <w:color w:val="000000"/>
          <w:kern w:val="0"/>
          <w:sz w:val="32"/>
          <w:szCs w:val="32"/>
          <w:lang w:val="en-US" w:eastAsia="zh-CN" w:bidi="ar"/>
        </w:rPr>
        <w:t>规范建设</w:t>
      </w:r>
    </w:p>
    <w:p>
      <w:pPr>
        <w:keepNext w:val="0"/>
        <w:keepLines w:val="0"/>
        <w:widowControl/>
        <w:numPr>
          <w:ilvl w:val="0"/>
          <w:numId w:val="0"/>
        </w:numPr>
        <w:suppressLineNumbers w:val="0"/>
        <w:spacing w:line="360" w:lineRule="auto"/>
        <w:ind w:firstLine="480" w:firstLineChars="200"/>
        <w:jc w:val="left"/>
        <w:rPr>
          <w:rFonts w:ascii="Arial" w:hAnsi="Arial" w:eastAsia="宋体" w:cs="Arial"/>
          <w:i w:val="0"/>
          <w:caps w:val="0"/>
          <w:color w:val="333333"/>
          <w:spacing w:val="0"/>
          <w:sz w:val="24"/>
          <w:szCs w:val="24"/>
          <w:shd w:val="clear" w:color="auto" w:fill="FFFFFF"/>
        </w:rPr>
      </w:pPr>
      <w:r>
        <w:rPr>
          <w:rFonts w:ascii="Arial" w:hAnsi="Arial" w:eastAsia="宋体" w:cs="Arial"/>
          <w:i w:val="0"/>
          <w:caps w:val="0"/>
          <w:color w:val="333333"/>
          <w:spacing w:val="0"/>
          <w:sz w:val="24"/>
          <w:szCs w:val="24"/>
          <w:shd w:val="clear" w:color="auto" w:fill="FFFFFF"/>
        </w:rPr>
        <w:t>《电动汽车充电基础设施发展指南(2015-2020 年)》</w:t>
      </w:r>
    </w:p>
    <w:p>
      <w:pPr>
        <w:keepNext w:val="0"/>
        <w:keepLines w:val="0"/>
        <w:widowControl/>
        <w:numPr>
          <w:ilvl w:val="0"/>
          <w:numId w:val="0"/>
        </w:numPr>
        <w:suppressLineNumbers w:val="0"/>
        <w:spacing w:line="360" w:lineRule="auto"/>
        <w:jc w:val="left"/>
        <w:rPr>
          <w:rFonts w:ascii="Arial" w:hAnsi="Arial" w:eastAsia="宋体" w:cs="Arial"/>
          <w:i w:val="0"/>
          <w:caps w:val="0"/>
          <w:color w:val="333333"/>
          <w:spacing w:val="0"/>
          <w:sz w:val="24"/>
          <w:szCs w:val="24"/>
          <w:shd w:val="clear" w:color="auto" w:fill="FFFFFF"/>
        </w:rPr>
      </w:pPr>
      <w:r>
        <w:rPr>
          <w:rFonts w:hint="eastAsia" w:ascii="黑体" w:hAnsi="宋体" w:eastAsia="黑体" w:cs="黑体"/>
          <w:color w:val="000000"/>
          <w:kern w:val="0"/>
          <w:sz w:val="36"/>
          <w:szCs w:val="36"/>
          <w:lang w:val="en-US" w:eastAsia="zh-CN" w:bidi="ar"/>
        </w:rPr>
        <w:t xml:space="preserve">   </w:t>
      </w:r>
      <w:r>
        <w:rPr>
          <w:rFonts w:ascii="Arial" w:hAnsi="Arial" w:eastAsia="宋体" w:cs="Arial"/>
          <w:i w:val="0"/>
          <w:caps w:val="0"/>
          <w:color w:val="333333"/>
          <w:spacing w:val="0"/>
          <w:sz w:val="24"/>
          <w:szCs w:val="24"/>
          <w:shd w:val="clear" w:color="auto" w:fill="FFFFFF"/>
        </w:rPr>
        <w:t>《住房城乡建设部关于加强城市电动汽车充电设施规划建设工作的通知》</w:t>
      </w:r>
    </w:p>
    <w:p>
      <w:pPr>
        <w:keepNext w:val="0"/>
        <w:keepLines w:val="0"/>
        <w:widowControl/>
        <w:numPr>
          <w:ilvl w:val="0"/>
          <w:numId w:val="0"/>
        </w:numPr>
        <w:suppressLineNumbers w:val="0"/>
        <w:spacing w:line="360" w:lineRule="auto"/>
        <w:ind w:firstLine="480" w:firstLineChars="200"/>
        <w:jc w:val="left"/>
        <w:rPr>
          <w:rFonts w:ascii="Arial" w:hAnsi="Arial" w:eastAsia="宋体" w:cs="Arial"/>
          <w:i w:val="0"/>
          <w:caps w:val="0"/>
          <w:color w:val="333333"/>
          <w:spacing w:val="0"/>
          <w:sz w:val="24"/>
          <w:szCs w:val="24"/>
          <w:shd w:val="clear" w:color="auto" w:fill="FFFFFF"/>
        </w:rPr>
      </w:pPr>
      <w:r>
        <w:rPr>
          <w:rFonts w:ascii="Arial" w:hAnsi="Arial" w:eastAsia="宋体" w:cs="Arial"/>
          <w:i w:val="0"/>
          <w:caps w:val="0"/>
          <w:color w:val="333333"/>
          <w:spacing w:val="0"/>
          <w:sz w:val="24"/>
          <w:szCs w:val="24"/>
          <w:shd w:val="clear" w:color="auto" w:fill="FFFFFF"/>
        </w:rPr>
        <w:t>《关于“十三五”新能源汽车充电基础设施奖励政策及加强新能源汽车推广应用的通知》</w:t>
      </w:r>
    </w:p>
    <w:p>
      <w:pPr>
        <w:keepNext w:val="0"/>
        <w:keepLines w:val="0"/>
        <w:widowControl/>
        <w:numPr>
          <w:ilvl w:val="0"/>
          <w:numId w:val="0"/>
        </w:numPr>
        <w:suppressLineNumbers w:val="0"/>
        <w:spacing w:line="360" w:lineRule="auto"/>
        <w:ind w:firstLine="480" w:firstLineChars="200"/>
        <w:jc w:val="left"/>
        <w:rPr>
          <w:rFonts w:ascii="Arial" w:hAnsi="Arial" w:eastAsia="宋体" w:cs="Arial"/>
          <w:i w:val="0"/>
          <w:caps w:val="0"/>
          <w:color w:val="333333"/>
          <w:spacing w:val="0"/>
          <w:sz w:val="24"/>
          <w:szCs w:val="24"/>
          <w:shd w:val="clear" w:color="auto" w:fill="FFFFFF"/>
        </w:rPr>
      </w:pPr>
      <w:r>
        <w:rPr>
          <w:rFonts w:ascii="Arial" w:hAnsi="Arial" w:eastAsia="宋体" w:cs="Arial"/>
          <w:i w:val="0"/>
          <w:caps w:val="0"/>
          <w:color w:val="333333"/>
          <w:spacing w:val="0"/>
          <w:sz w:val="24"/>
          <w:szCs w:val="24"/>
          <w:shd w:val="clear" w:color="auto" w:fill="FFFFFF"/>
        </w:rPr>
        <w:t>《关于开展电动汽车充电基础设施安全专项检查的通知》</w:t>
      </w:r>
    </w:p>
    <w:p>
      <w:pPr>
        <w:keepNext w:val="0"/>
        <w:keepLines w:val="0"/>
        <w:widowControl/>
        <w:numPr>
          <w:ilvl w:val="0"/>
          <w:numId w:val="0"/>
        </w:numPr>
        <w:suppressLineNumbers w:val="0"/>
        <w:spacing w:line="360" w:lineRule="auto"/>
        <w:ind w:firstLine="480" w:firstLineChars="200"/>
        <w:jc w:val="left"/>
        <w:rPr>
          <w:rFonts w:ascii="Arial" w:hAnsi="Arial" w:eastAsia="宋体" w:cs="Arial"/>
          <w:i w:val="0"/>
          <w:caps w:val="0"/>
          <w:color w:val="333333"/>
          <w:spacing w:val="0"/>
          <w:sz w:val="24"/>
          <w:szCs w:val="24"/>
          <w:shd w:val="clear" w:color="auto" w:fill="FFFFFF"/>
        </w:rPr>
      </w:pPr>
      <w:r>
        <w:rPr>
          <w:rFonts w:ascii="Arial" w:hAnsi="Arial" w:eastAsia="宋体" w:cs="Arial"/>
          <w:i w:val="0"/>
          <w:caps w:val="0"/>
          <w:color w:val="333333"/>
          <w:spacing w:val="0"/>
          <w:sz w:val="24"/>
          <w:szCs w:val="24"/>
          <w:shd w:val="clear" w:color="auto" w:fill="FFFFFF"/>
        </w:rPr>
        <w:t>《2016 年能源工作指导意见》</w:t>
      </w:r>
    </w:p>
    <w:p>
      <w:pPr>
        <w:keepNext w:val="0"/>
        <w:keepLines w:val="0"/>
        <w:widowControl/>
        <w:numPr>
          <w:ilvl w:val="0"/>
          <w:numId w:val="0"/>
        </w:numPr>
        <w:suppressLineNumbers w:val="0"/>
        <w:spacing w:line="360" w:lineRule="auto"/>
        <w:ind w:firstLine="480" w:firstLineChars="200"/>
        <w:jc w:val="left"/>
        <w:rPr>
          <w:rFonts w:hint="eastAsia" w:ascii="Arial" w:hAnsi="Arial" w:eastAsia="宋体" w:cs="Arial"/>
          <w:i w:val="0"/>
          <w:caps w:val="0"/>
          <w:color w:val="333333"/>
          <w:spacing w:val="0"/>
          <w:sz w:val="24"/>
          <w:szCs w:val="24"/>
          <w:shd w:val="clear" w:color="auto" w:fill="FFFFFF"/>
          <w:lang w:val="en-US" w:eastAsia="zh-CN"/>
        </w:rPr>
      </w:pPr>
      <w:r>
        <w:rPr>
          <w:rFonts w:hint="eastAsia" w:ascii="Arial" w:hAnsi="Arial" w:eastAsia="宋体" w:cs="Arial"/>
          <w:i w:val="0"/>
          <w:caps w:val="0"/>
          <w:color w:val="333333"/>
          <w:spacing w:val="0"/>
          <w:sz w:val="24"/>
          <w:szCs w:val="24"/>
          <w:shd w:val="clear" w:color="auto" w:fill="FFFFFF"/>
          <w:lang w:val="en-US" w:eastAsia="zh-CN"/>
        </w:rPr>
        <w:t>《国务院办公厅关于加快新能源汽车推广应用的指导意见》（国办发〔2014〕35号）</w:t>
      </w:r>
    </w:p>
    <w:p>
      <w:pPr>
        <w:keepNext w:val="0"/>
        <w:keepLines w:val="0"/>
        <w:widowControl/>
        <w:numPr>
          <w:ilvl w:val="0"/>
          <w:numId w:val="0"/>
        </w:numPr>
        <w:suppressLineNumbers w:val="0"/>
        <w:spacing w:line="360" w:lineRule="auto"/>
        <w:ind w:firstLine="480" w:firstLineChars="200"/>
        <w:jc w:val="left"/>
        <w:rPr>
          <w:rFonts w:hint="eastAsia" w:ascii="Arial" w:hAnsi="Arial" w:eastAsia="宋体" w:cs="Arial"/>
          <w:i w:val="0"/>
          <w:caps w:val="0"/>
          <w:color w:val="333333"/>
          <w:spacing w:val="0"/>
          <w:sz w:val="24"/>
          <w:szCs w:val="24"/>
          <w:shd w:val="clear" w:color="auto" w:fill="FFFFFF"/>
          <w:lang w:val="en-US" w:eastAsia="zh-CN"/>
        </w:rPr>
      </w:pPr>
      <w:r>
        <w:rPr>
          <w:rFonts w:hint="eastAsia" w:ascii="Arial" w:hAnsi="Arial" w:eastAsia="宋体" w:cs="Arial"/>
          <w:i w:val="0"/>
          <w:caps w:val="0"/>
          <w:color w:val="333333"/>
          <w:spacing w:val="0"/>
          <w:sz w:val="24"/>
          <w:szCs w:val="24"/>
          <w:shd w:val="clear" w:color="auto" w:fill="FFFFFF"/>
          <w:lang w:val="en-US" w:eastAsia="zh-CN"/>
        </w:rPr>
        <w:t>《国务院办公厅关于加快电动汽车充电基础设施建设的指导意见》（国办发〔2015〕73号）</w:t>
      </w:r>
    </w:p>
    <w:p>
      <w:pPr>
        <w:keepNext w:val="0"/>
        <w:keepLines w:val="0"/>
        <w:widowControl/>
        <w:numPr>
          <w:ilvl w:val="0"/>
          <w:numId w:val="0"/>
        </w:numPr>
        <w:suppressLineNumbers w:val="0"/>
        <w:spacing w:line="360" w:lineRule="auto"/>
        <w:ind w:firstLine="480" w:firstLineChars="200"/>
        <w:jc w:val="left"/>
        <w:rPr>
          <w:rFonts w:hint="eastAsia" w:ascii="Arial" w:hAnsi="Arial" w:eastAsia="宋体" w:cs="Arial"/>
          <w:i w:val="0"/>
          <w:caps w:val="0"/>
          <w:color w:val="333333"/>
          <w:spacing w:val="0"/>
          <w:sz w:val="24"/>
          <w:szCs w:val="24"/>
          <w:shd w:val="clear" w:color="auto" w:fill="FFFFFF"/>
        </w:rPr>
      </w:pPr>
      <w:r>
        <w:rPr>
          <w:rFonts w:hint="eastAsia" w:ascii="Arial" w:hAnsi="Arial" w:eastAsia="宋体" w:cs="Arial"/>
          <w:i w:val="0"/>
          <w:caps w:val="0"/>
          <w:color w:val="333333"/>
          <w:spacing w:val="0"/>
          <w:sz w:val="24"/>
          <w:szCs w:val="24"/>
          <w:shd w:val="clear" w:color="auto" w:fill="FFFFFF"/>
        </w:rPr>
        <w:t>《提升新能源汽车充电保障能力行动计划》</w:t>
      </w:r>
    </w:p>
    <w:p>
      <w:pPr>
        <w:keepNext w:val="0"/>
        <w:keepLines w:val="0"/>
        <w:widowControl/>
        <w:numPr>
          <w:ilvl w:val="0"/>
          <w:numId w:val="0"/>
        </w:numPr>
        <w:suppressLineNumbers w:val="0"/>
        <w:spacing w:line="360" w:lineRule="auto"/>
        <w:ind w:firstLine="480" w:firstLineChars="200"/>
        <w:jc w:val="left"/>
        <w:rPr>
          <w:rFonts w:hint="eastAsia" w:ascii="Arial" w:hAnsi="Arial" w:eastAsia="宋体" w:cs="Arial"/>
          <w:i w:val="0"/>
          <w:caps w:val="0"/>
          <w:color w:val="333333"/>
          <w:spacing w:val="0"/>
          <w:sz w:val="24"/>
          <w:szCs w:val="24"/>
          <w:shd w:val="clear" w:color="auto" w:fill="FFFFFF"/>
          <w:lang w:val="en-US" w:eastAsia="zh-CN"/>
        </w:rPr>
      </w:pPr>
      <w:r>
        <w:rPr>
          <w:rFonts w:hint="eastAsia" w:ascii="Arial" w:hAnsi="Arial" w:eastAsia="宋体" w:cs="Arial"/>
          <w:i w:val="0"/>
          <w:caps w:val="0"/>
          <w:color w:val="333333"/>
          <w:spacing w:val="0"/>
          <w:sz w:val="24"/>
          <w:szCs w:val="24"/>
          <w:shd w:val="clear" w:color="auto" w:fill="FFFFFF"/>
          <w:lang w:val="en-US" w:eastAsia="zh-CN"/>
        </w:rPr>
        <w:t>《节能与新能源汽车产业发展规划（2012-2020年）》</w:t>
      </w:r>
    </w:p>
    <w:p>
      <w:pPr>
        <w:keepNext w:val="0"/>
        <w:keepLines w:val="0"/>
        <w:widowControl/>
        <w:numPr>
          <w:ilvl w:val="0"/>
          <w:numId w:val="0"/>
        </w:numPr>
        <w:suppressLineNumbers w:val="0"/>
        <w:spacing w:line="360" w:lineRule="auto"/>
        <w:ind w:firstLine="480" w:firstLineChars="200"/>
        <w:jc w:val="left"/>
        <w:rPr>
          <w:rFonts w:ascii="Arial" w:hAnsi="Arial" w:eastAsia="宋体" w:cs="Arial"/>
          <w:i w:val="0"/>
          <w:caps w:val="0"/>
          <w:color w:val="333333"/>
          <w:spacing w:val="0"/>
          <w:sz w:val="24"/>
          <w:szCs w:val="24"/>
          <w:shd w:val="clear" w:color="auto" w:fill="FFFFFF"/>
          <w:lang w:val="en-US" w:eastAsia="zh-CN"/>
        </w:rPr>
      </w:pPr>
      <w:r>
        <w:rPr>
          <w:rFonts w:ascii="Arial" w:hAnsi="Arial" w:eastAsia="宋体" w:cs="Arial"/>
          <w:i w:val="0"/>
          <w:caps w:val="0"/>
          <w:color w:val="333333"/>
          <w:spacing w:val="0"/>
          <w:sz w:val="24"/>
          <w:szCs w:val="24"/>
          <w:shd w:val="clear" w:color="auto" w:fill="FFFFFF"/>
          <w:lang w:val="en-US" w:eastAsia="zh-CN"/>
        </w:rPr>
        <w:t>《关于新能源汽车充电设施建设奖励的通知》</w:t>
      </w:r>
    </w:p>
    <w:p>
      <w:pPr>
        <w:keepNext w:val="0"/>
        <w:keepLines w:val="0"/>
        <w:widowControl/>
        <w:numPr>
          <w:ilvl w:val="0"/>
          <w:numId w:val="0"/>
        </w:numPr>
        <w:suppressLineNumbers w:val="0"/>
        <w:spacing w:line="360" w:lineRule="auto"/>
        <w:ind w:firstLine="480" w:firstLineChars="200"/>
        <w:jc w:val="left"/>
        <w:rPr>
          <w:rFonts w:ascii="Arial" w:hAnsi="Arial" w:eastAsia="宋体" w:cs="Arial"/>
          <w:i w:val="0"/>
          <w:caps w:val="0"/>
          <w:color w:val="333333"/>
          <w:spacing w:val="0"/>
          <w:sz w:val="24"/>
          <w:szCs w:val="24"/>
          <w:shd w:val="clear" w:color="auto" w:fill="FFFFFF"/>
        </w:rPr>
      </w:pPr>
      <w:r>
        <w:rPr>
          <w:rFonts w:ascii="Arial" w:hAnsi="Arial" w:eastAsia="宋体" w:cs="Arial"/>
          <w:i w:val="0"/>
          <w:caps w:val="0"/>
          <w:color w:val="333333"/>
          <w:spacing w:val="0"/>
          <w:sz w:val="24"/>
          <w:szCs w:val="24"/>
          <w:shd w:val="clear" w:color="auto" w:fill="FFFFFF"/>
        </w:rPr>
        <w:t>《海南省加快电动汽车充电基础设施建设工作方案》</w:t>
      </w:r>
    </w:p>
    <w:p>
      <w:pPr>
        <w:keepNext w:val="0"/>
        <w:keepLines w:val="0"/>
        <w:widowControl/>
        <w:numPr>
          <w:ilvl w:val="0"/>
          <w:numId w:val="0"/>
        </w:numPr>
        <w:suppressLineNumbers w:val="0"/>
        <w:spacing w:line="360" w:lineRule="auto"/>
        <w:ind w:firstLine="480" w:firstLineChars="200"/>
        <w:jc w:val="left"/>
        <w:rPr>
          <w:rFonts w:hint="eastAsia" w:ascii="Arial" w:hAnsi="Arial" w:eastAsia="宋体" w:cs="Arial"/>
          <w:i w:val="0"/>
          <w:caps w:val="0"/>
          <w:color w:val="333333"/>
          <w:spacing w:val="0"/>
          <w:sz w:val="24"/>
          <w:szCs w:val="24"/>
          <w:shd w:val="clear" w:color="auto" w:fill="FFFFFF"/>
          <w:lang w:val="en-US" w:eastAsia="zh-CN"/>
        </w:rPr>
      </w:pPr>
      <w:r>
        <w:rPr>
          <w:rFonts w:ascii="Arial" w:hAnsi="Arial" w:eastAsia="宋体" w:cs="Arial"/>
          <w:i w:val="0"/>
          <w:caps w:val="0"/>
          <w:color w:val="333333"/>
          <w:spacing w:val="0"/>
          <w:sz w:val="24"/>
          <w:szCs w:val="24"/>
          <w:shd w:val="clear" w:color="auto" w:fill="FFFFFF"/>
        </w:rPr>
        <w:t>《海南省人民政府关于大力推广应用新能源汽车促进生态省建设的实施意见》</w:t>
      </w:r>
    </w:p>
    <w:p>
      <w:pPr>
        <w:pStyle w:val="9"/>
        <w:spacing w:line="360" w:lineRule="auto"/>
        <w:ind w:left="0" w:leftChars="0" w:firstLine="480" w:firstLineChars="200"/>
        <w:rPr>
          <w:rFonts w:hint="eastAsia"/>
          <w:lang w:val="en-US" w:eastAsia="zh-CN"/>
        </w:rPr>
      </w:pPr>
      <w:r>
        <w:rPr>
          <w:rFonts w:hint="eastAsia"/>
          <w:lang w:val="en-US" w:eastAsia="zh-CN"/>
        </w:rPr>
        <w:t>《海南省物价局转发国家发展改革委关于电动汽车用电价格政策有关问题的通知》</w:t>
      </w:r>
    </w:p>
    <w:p>
      <w:pPr>
        <w:pStyle w:val="9"/>
        <w:spacing w:line="360" w:lineRule="auto"/>
        <w:rPr>
          <w:rFonts w:hint="eastAsia"/>
          <w:lang w:val="en-US" w:eastAsia="zh-CN"/>
        </w:rPr>
      </w:pPr>
      <w:r>
        <w:rPr>
          <w:rFonts w:hint="eastAsia"/>
          <w:lang w:val="en-US" w:eastAsia="zh-CN"/>
        </w:rPr>
        <w:t>《中华人民共和国安全生产法》</w:t>
      </w:r>
    </w:p>
    <w:p>
      <w:pPr>
        <w:pStyle w:val="9"/>
        <w:spacing w:line="360" w:lineRule="auto"/>
        <w:rPr>
          <w:rFonts w:hint="eastAsia"/>
          <w:lang w:val="en-US" w:eastAsia="zh-CN"/>
        </w:rPr>
      </w:pPr>
      <w:r>
        <w:rPr>
          <w:rFonts w:hint="eastAsia"/>
          <w:lang w:val="en-US" w:eastAsia="zh-CN"/>
        </w:rPr>
        <w:t>《中华人民共和国电力法》</w:t>
      </w:r>
    </w:p>
    <w:p>
      <w:pPr>
        <w:pStyle w:val="9"/>
        <w:spacing w:line="360" w:lineRule="auto"/>
        <w:rPr>
          <w:rFonts w:hint="eastAsia"/>
          <w:lang w:val="en-US" w:eastAsia="zh-CN"/>
        </w:rPr>
      </w:pPr>
      <w:r>
        <w:rPr>
          <w:rFonts w:hint="eastAsia"/>
          <w:lang w:val="en-US" w:eastAsia="zh-CN"/>
        </w:rPr>
        <w:t>《中华人民共和国特种设备安全法》</w:t>
      </w:r>
    </w:p>
    <w:p>
      <w:pPr>
        <w:pStyle w:val="9"/>
        <w:spacing w:line="360" w:lineRule="auto"/>
        <w:rPr>
          <w:rFonts w:hint="eastAsia"/>
          <w:lang w:val="en-US" w:eastAsia="zh-CN"/>
        </w:rPr>
      </w:pPr>
      <w:r>
        <w:rPr>
          <w:rFonts w:hint="eastAsia"/>
          <w:lang w:val="en-US" w:eastAsia="zh-CN"/>
        </w:rPr>
        <w:t>《建设工程安全生产管理条例》</w:t>
      </w:r>
    </w:p>
    <w:p>
      <w:pPr>
        <w:pStyle w:val="9"/>
        <w:spacing w:line="360" w:lineRule="auto"/>
        <w:rPr>
          <w:rFonts w:hint="default"/>
          <w:lang w:val="en-US" w:eastAsia="zh-CN"/>
        </w:rPr>
      </w:pPr>
      <w:r>
        <w:rPr>
          <w:rFonts w:hint="default"/>
          <w:lang w:val="en-US" w:eastAsia="zh-CN"/>
        </w:rPr>
        <w:t>《电力监管条例》</w:t>
      </w:r>
    </w:p>
    <w:p>
      <w:pPr>
        <w:pStyle w:val="9"/>
        <w:spacing w:line="360" w:lineRule="auto"/>
        <w:rPr>
          <w:rFonts w:hint="default"/>
          <w:lang w:val="en-US" w:eastAsia="zh-CN"/>
        </w:rPr>
      </w:pPr>
      <w:r>
        <w:rPr>
          <w:rFonts w:hint="default"/>
          <w:lang w:val="en-US" w:eastAsia="zh-CN"/>
        </w:rPr>
        <w:t>《生产安全事故报告和调查处理条例》</w:t>
      </w:r>
    </w:p>
    <w:p>
      <w:pPr>
        <w:pStyle w:val="9"/>
        <w:spacing w:line="360" w:lineRule="auto"/>
        <w:ind w:left="0" w:leftChars="0" w:firstLine="480" w:firstLineChars="200"/>
        <w:rPr>
          <w:rFonts w:hint="default"/>
          <w:lang w:val="en-US" w:eastAsia="zh-CN"/>
        </w:rPr>
      </w:pPr>
      <w:r>
        <w:rPr>
          <w:rFonts w:hint="default"/>
          <w:lang w:val="en-US" w:eastAsia="zh-CN"/>
        </w:rPr>
        <w:t>《</w:t>
      </w:r>
      <w:r>
        <w:rPr>
          <w:rFonts w:hint="eastAsia" w:ascii="宋体" w:hAnsi="宋体" w:eastAsia="宋体" w:cs="宋体"/>
          <w:b w:val="0"/>
          <w:color w:val="000000"/>
          <w:kern w:val="2"/>
          <w:sz w:val="24"/>
          <w:szCs w:val="24"/>
          <w:lang w:val="en-US" w:eastAsia="zh-CN" w:bidi="ar-SA"/>
        </w:rPr>
        <w:t>电力建设工程施工安全监督管理办法</w:t>
      </w:r>
      <w:r>
        <w:rPr>
          <w:rFonts w:hint="default"/>
          <w:lang w:val="en-US" w:eastAsia="zh-CN"/>
        </w:rPr>
        <w:t>》</w:t>
      </w:r>
    </w:p>
    <w:p>
      <w:pPr>
        <w:pStyle w:val="9"/>
        <w:spacing w:line="360" w:lineRule="auto"/>
        <w:ind w:left="0" w:leftChars="0" w:firstLine="480" w:firstLineChars="200"/>
        <w:rPr>
          <w:rFonts w:hint="eastAsia"/>
          <w:lang w:val="en-US" w:eastAsia="zh-CN"/>
        </w:rPr>
      </w:pPr>
      <w:r>
        <w:rPr>
          <w:rFonts w:hint="eastAsia"/>
          <w:lang w:val="en-US" w:eastAsia="zh-CN"/>
        </w:rPr>
        <w:t>《承装（修、试）电力设施许可证管理办法》</w:t>
      </w:r>
    </w:p>
    <w:p>
      <w:pPr>
        <w:pStyle w:val="9"/>
        <w:spacing w:line="360" w:lineRule="auto"/>
        <w:ind w:left="0" w:leftChars="0" w:firstLine="480" w:firstLineChars="200"/>
        <w:rPr>
          <w:rFonts w:hint="default"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《消防设施工程专业承包企业资质等级标准》</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《中华人民共和国消防法》</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《电动汽车充电站设计规范》</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《电动汽车充电站通用要求》</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《电动汽车充换电设施术语》</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《电动汽车非车载充电机电能计量》</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《电动汽车充电设施电能质量技术要求》</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《电动汽车充换电设施工程施工和竣工验收规范》</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《供配电系统设计规范》</w:t>
      </w:r>
    </w:p>
    <w:p>
      <w:pPr>
        <w:pStyle w:val="2"/>
        <w:ind w:firstLine="320" w:firstLineChars="100"/>
        <w:rPr>
          <w:rFonts w:hint="eastAsia" w:ascii="黑体" w:hAnsi="宋体" w:eastAsia="黑体" w:cs="黑体"/>
          <w:b w:val="0"/>
          <w:color w:val="000000"/>
          <w:kern w:val="0"/>
          <w:sz w:val="32"/>
          <w:szCs w:val="32"/>
          <w:lang w:val="en-US" w:eastAsia="zh-CN" w:bidi="ar"/>
        </w:rPr>
      </w:pPr>
      <w:r>
        <w:rPr>
          <w:rFonts w:hint="eastAsia" w:ascii="黑体" w:hAnsi="宋体" w:eastAsia="黑体" w:cs="黑体"/>
          <w:b w:val="0"/>
          <w:color w:val="000000"/>
          <w:kern w:val="0"/>
          <w:sz w:val="32"/>
          <w:szCs w:val="32"/>
          <w:lang w:val="en-US" w:eastAsia="zh-CN" w:bidi="ar"/>
        </w:rPr>
        <w:t>3、</w:t>
      </w:r>
      <w:r>
        <w:rPr>
          <w:rFonts w:ascii="黑体" w:hAnsi="宋体" w:eastAsia="黑体" w:cs="黑体"/>
          <w:b w:val="0"/>
          <w:color w:val="000000"/>
          <w:kern w:val="0"/>
          <w:sz w:val="32"/>
          <w:szCs w:val="32"/>
          <w:lang w:val="en-US" w:eastAsia="zh-CN" w:bidi="ar"/>
        </w:rPr>
        <w:t>建设目标</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党的十八大以来，在以习近平同志为核心的党中央坚强领导下，大力推进充电基础设施建设，有利于解决电动汽车充电难题，是发展新能源汽车产业的重要保障，对于打造大众创业、万众创新和增加公共产品、公共服务“双引擎”，实现稳增长、调结构、惠民生具有重要意义。</w:t>
      </w:r>
    </w:p>
    <w:p>
      <w:pPr>
        <w:keepNext w:val="0"/>
        <w:keepLines w:val="0"/>
        <w:widowControl/>
        <w:suppressLineNumbers w:val="0"/>
        <w:spacing w:line="36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 xml:space="preserve">为深入贯彻习近平总书记全面依法治国新理念新思想新战略，全面贯彻落实 </w:t>
      </w:r>
    </w:p>
    <w:p>
      <w:pPr>
        <w:keepNext w:val="0"/>
        <w:keepLines w:val="0"/>
        <w:widowControl/>
        <w:suppressLineNumbers w:val="0"/>
        <w:spacing w:line="360" w:lineRule="auto"/>
        <w:jc w:val="left"/>
        <w:rPr>
          <w:rFonts w:hint="eastAsia"/>
          <w:lang w:val="en-US" w:eastAsia="zh-CN"/>
        </w:rPr>
      </w:pPr>
      <w:r>
        <w:rPr>
          <w:rFonts w:hint="eastAsia" w:ascii="宋体" w:hAnsi="宋体" w:eastAsia="宋体" w:cs="宋体"/>
          <w:b w:val="0"/>
          <w:color w:val="000000"/>
          <w:kern w:val="2"/>
          <w:sz w:val="24"/>
          <w:szCs w:val="24"/>
          <w:lang w:val="en-US" w:eastAsia="zh-CN" w:bidi="ar-SA"/>
        </w:rPr>
        <w:t>党的十九大和十九届二中、三、四中全会精神，进一步深化新时代为人民服务各项改革。把满足人民群众不断增长物质需求作为海南省白沙县工信局工作基本导向，建设以人民需求为中心的公共充电桩服务体系。</w:t>
      </w:r>
    </w:p>
    <w:p>
      <w:pPr>
        <w:pStyle w:val="3"/>
        <w:rPr>
          <w:rFonts w:hint="eastAsia" w:ascii="宋体" w:hAnsi="宋体" w:eastAsia="宋体" w:cs="宋体"/>
          <w:b w:val="0"/>
          <w:color w:val="000000"/>
          <w:kern w:val="2"/>
          <w:sz w:val="24"/>
          <w:szCs w:val="24"/>
          <w:lang w:val="en-US" w:eastAsia="zh-CN" w:bidi="ar-SA"/>
        </w:rPr>
      </w:pPr>
    </w:p>
    <w:p>
      <w:pPr>
        <w:pStyle w:val="3"/>
        <w:numPr>
          <w:ilvl w:val="0"/>
          <w:numId w:val="1"/>
        </w:numPr>
        <w:ind w:left="0" w:leftChars="0" w:firstLine="0" w:firstLineChars="0"/>
        <w:rPr>
          <w:rFonts w:hint="eastAsia" w:ascii="黑体" w:hAnsi="宋体" w:eastAsia="黑体" w:cs="黑体"/>
          <w:b/>
          <w:color w:val="000000"/>
          <w:kern w:val="0"/>
          <w:sz w:val="36"/>
          <w:szCs w:val="36"/>
          <w:lang w:val="en-US" w:eastAsia="zh-CN" w:bidi="ar"/>
        </w:rPr>
      </w:pPr>
      <w:r>
        <w:rPr>
          <w:rFonts w:hint="eastAsia" w:ascii="黑体" w:hAnsi="宋体" w:eastAsia="黑体" w:cs="黑体"/>
          <w:b/>
          <w:color w:val="000000"/>
          <w:kern w:val="0"/>
          <w:sz w:val="36"/>
          <w:szCs w:val="36"/>
          <w:lang w:val="en-US" w:eastAsia="zh-CN" w:bidi="ar"/>
        </w:rPr>
        <w:t>项目要求</w:t>
      </w:r>
      <w:bookmarkStart w:id="1" w:name="OLE_LINK16"/>
    </w:p>
    <w:p>
      <w:pPr>
        <w:pStyle w:val="3"/>
        <w:numPr>
          <w:ilvl w:val="0"/>
          <w:numId w:val="0"/>
        </w:numPr>
        <w:spacing w:line="240" w:lineRule="auto"/>
        <w:ind w:left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w:t>
      </w:r>
      <w:bookmarkEnd w:id="1"/>
      <w:r>
        <w:rPr>
          <w:rFonts w:hint="eastAsia" w:ascii="仿宋_GB2312" w:hAnsi="仿宋_GB2312" w:eastAsia="仿宋_GB2312" w:cs="仿宋_GB2312"/>
          <w:b/>
          <w:bCs/>
          <w:sz w:val="28"/>
          <w:szCs w:val="28"/>
        </w:rPr>
        <w:t>项目名称：白沙县2019年（东部片区）公共充电桩建设项目</w:t>
      </w:r>
    </w:p>
    <w:p>
      <w:pPr>
        <w:spacing w:line="24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（二）预算金额：</w:t>
      </w:r>
      <w:r>
        <w:rPr>
          <w:rFonts w:hint="eastAsia" w:ascii="仿宋_GB2312" w:hAnsi="仿宋_GB2312" w:eastAsia="仿宋_GB2312" w:cs="仿宋_GB2312"/>
          <w:b/>
          <w:bCs/>
          <w:sz w:val="28"/>
          <w:szCs w:val="28"/>
          <w:lang w:val="zh-CN"/>
        </w:rPr>
        <w:t>财政</w:t>
      </w:r>
      <w:r>
        <w:rPr>
          <w:rFonts w:hint="eastAsia" w:ascii="仿宋_GB2312" w:hAnsi="仿宋_GB2312" w:eastAsia="仿宋_GB2312" w:cs="仿宋_GB2312"/>
          <w:b/>
          <w:bCs/>
          <w:sz w:val="28"/>
          <w:szCs w:val="28"/>
          <w:lang w:val="en-US" w:eastAsia="zh-CN"/>
        </w:rPr>
        <w:t>3728300.00</w:t>
      </w:r>
      <w:r>
        <w:rPr>
          <w:rFonts w:hint="eastAsia" w:ascii="仿宋_GB2312" w:hAnsi="仿宋_GB2312" w:eastAsia="仿宋_GB2312" w:cs="仿宋_GB2312"/>
          <w:b/>
          <w:bCs/>
          <w:sz w:val="28"/>
          <w:szCs w:val="28"/>
        </w:rPr>
        <w:t>元</w:t>
      </w:r>
    </w:p>
    <w:p>
      <w:pPr>
        <w:spacing w:line="24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（三）工</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期：</w:t>
      </w:r>
      <w:r>
        <w:rPr>
          <w:rFonts w:hint="eastAsia" w:ascii="仿宋_GB2312" w:hAnsi="仿宋_GB2312" w:eastAsia="仿宋_GB2312" w:cs="仿宋_GB2312"/>
          <w:b/>
          <w:bCs/>
          <w:sz w:val="28"/>
          <w:szCs w:val="28"/>
          <w:lang w:val="en-US" w:eastAsia="zh-CN"/>
        </w:rPr>
        <w:t xml:space="preserve"> 30</w:t>
      </w:r>
      <w:r>
        <w:rPr>
          <w:rFonts w:hint="eastAsia" w:ascii="仿宋_GB2312" w:hAnsi="仿宋_GB2312" w:eastAsia="仿宋_GB2312" w:cs="仿宋_GB2312"/>
          <w:b/>
          <w:bCs/>
          <w:sz w:val="28"/>
          <w:szCs w:val="28"/>
        </w:rPr>
        <w:t>天内</w:t>
      </w:r>
    </w:p>
    <w:p>
      <w:pPr>
        <w:spacing w:line="24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（四）地点要求：由采购人指定地点</w:t>
      </w:r>
    </w:p>
    <w:p>
      <w:pPr>
        <w:spacing w:line="24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（五）项目采购建设需求：</w:t>
      </w:r>
    </w:p>
    <w:p>
      <w:pPr>
        <w:spacing w:line="360" w:lineRule="auto"/>
        <w:ind w:firstLine="562" w:firstLineChars="200"/>
        <w:jc w:val="both"/>
        <w:rPr>
          <w:rFonts w:hint="eastAsia" w:ascii="黑体" w:hAnsi="黑体" w:eastAsia="黑体" w:cs="宋体"/>
          <w:b/>
          <w:bCs/>
          <w:sz w:val="24"/>
          <w:szCs w:val="24"/>
        </w:rPr>
      </w:pPr>
      <w:r>
        <w:rPr>
          <w:rFonts w:hint="eastAsia"/>
          <w:b/>
          <w:bCs/>
          <w:sz w:val="28"/>
          <w:szCs w:val="28"/>
          <w:lang w:bidi="ar"/>
        </w:rPr>
        <w:t>1、</w:t>
      </w:r>
      <w:r>
        <w:rPr>
          <w:b/>
          <w:bCs/>
          <w:sz w:val="28"/>
          <w:szCs w:val="28"/>
          <w:lang w:bidi="ar"/>
        </w:rPr>
        <w:t>项目建设需求</w:t>
      </w:r>
    </w:p>
    <w:p>
      <w:pPr>
        <w:pStyle w:val="4"/>
        <w:spacing w:before="163" w:after="163"/>
        <w:ind w:firstLine="482" w:firstLineChars="200"/>
        <w:jc w:val="both"/>
        <w:rPr>
          <w:rFonts w:hint="eastAsia"/>
          <w:b/>
          <w:bCs/>
          <w:color w:val="auto"/>
          <w:kern w:val="2"/>
          <w:sz w:val="24"/>
          <w:szCs w:val="24"/>
          <w:lang w:val="en-US" w:eastAsia="zh-CN" w:bidi="ar"/>
        </w:rPr>
      </w:pPr>
      <w:bookmarkStart w:id="2" w:name="_Toc444705979"/>
      <w:bookmarkStart w:id="3" w:name="_Toc292025344"/>
      <w:bookmarkStart w:id="4" w:name="_Toc395186720"/>
      <w:r>
        <w:rPr>
          <w:rFonts w:hint="eastAsia"/>
          <w:b/>
          <w:bCs/>
          <w:color w:val="auto"/>
          <w:kern w:val="2"/>
          <w:sz w:val="24"/>
          <w:szCs w:val="24"/>
          <w:lang w:val="en-US" w:eastAsia="zh-CN" w:bidi="ar"/>
        </w:rPr>
        <w:t>1.1范围和界限</w:t>
      </w:r>
      <w:bookmarkEnd w:id="2"/>
      <w:bookmarkEnd w:id="3"/>
      <w:bookmarkEnd w:id="4"/>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1）本技术规范书适用于技术规范专用部分货物需求及供货范围中所列的设备，包括必备的备品备件、专用工具和仪器仪表。</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2）运输</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运输条件详见专用部分。</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3）现场安装和试验在投标方的技术指导和监督下由招标方完成。</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4）本技术规范书未说明，但又与设计、制造、装配、试验、运输、包装、保管、安装和运行维护有关的技术要求，按本技术规范书罗列的国家标准及行业规范执行。</w:t>
      </w:r>
    </w:p>
    <w:p>
      <w:pPr>
        <w:pStyle w:val="4"/>
        <w:spacing w:before="163" w:after="163" w:line="240" w:lineRule="auto"/>
        <w:ind w:firstLine="482" w:firstLineChars="200"/>
        <w:jc w:val="both"/>
        <w:rPr>
          <w:rFonts w:hint="eastAsia"/>
          <w:b/>
          <w:bCs/>
          <w:color w:val="auto"/>
          <w:kern w:val="2"/>
          <w:sz w:val="24"/>
          <w:szCs w:val="24"/>
          <w:lang w:val="en-US" w:eastAsia="zh-CN" w:bidi="ar"/>
        </w:rPr>
      </w:pPr>
      <w:r>
        <w:rPr>
          <w:rFonts w:hint="eastAsia"/>
          <w:b/>
          <w:bCs/>
          <w:color w:val="auto"/>
          <w:kern w:val="2"/>
          <w:sz w:val="24"/>
          <w:szCs w:val="24"/>
          <w:lang w:val="en-US" w:eastAsia="zh-CN" w:bidi="ar"/>
        </w:rPr>
        <w:t>1.2服务范围</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1）投标方应按本技术规范书的要求提供全新的、合格的电动汽车直流充电桩及其附属设备、备品备件、专用工具和仪器。</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投标方所提供的组件或附件如需向第三方外购时，投标方应对质量向招标方负责，并提供相应出厂和验收报告。</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投标方负责对招标方专业人员提供技术培训（包括硬件、软件的维护及运行培训）,并根据招标方具体需求提供必要的培训场地。</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投标方应承诺保证期以后,协助招标方对设备进行升级、维护等工作,并承诺以优惠的价格提供招标方最新开发的应用软件。</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2）供货范围</w:t>
      </w:r>
      <w:bookmarkStart w:id="5" w:name="_Toc283011667"/>
      <w:bookmarkStart w:id="6" w:name="_Toc282433715"/>
      <w:bookmarkStart w:id="7" w:name="_Toc283142589"/>
      <w:r>
        <w:rPr>
          <w:rFonts w:hint="eastAsia" w:ascii="宋体" w:hAnsi="宋体" w:eastAsia="宋体" w:cs="宋体"/>
          <w:b w:val="0"/>
          <w:color w:val="000000"/>
          <w:kern w:val="2"/>
          <w:sz w:val="24"/>
          <w:szCs w:val="24"/>
          <w:lang w:val="en-US" w:eastAsia="zh-CN" w:bidi="ar-SA"/>
        </w:rPr>
        <w:t>一览表</w:t>
      </w:r>
      <w:bookmarkEnd w:id="5"/>
      <w:bookmarkEnd w:id="6"/>
      <w:bookmarkEnd w:id="7"/>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 xml:space="preserve">供货范围及设备技术规格一览表详见《采购货物清单及要求》，并补充供货范围如下： </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a）设备安装所需的底架、支架、平台及紧固件，提供设备引接至接地网的接地线；</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b）设备安装及运维所需的线缆、工具及相关附件。</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现场安装和试验在投标方的技术指导下由招标方完成，投标方协助招标方按标准检查安装质量，处理调试投运过程中出现的问题，并提供备品、备件，做好销售服务工作。投标方应选派有经验的技术人员，对安装和运行人员免费培训。安装督导的工作范围及人数和天数等规定详见标书商务部分。</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4）投标方应协助招标方解决设备运行中出现的问题。</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5）设备安装、调试和性能试验合格后方可投运。设备投运并稳定运行后，投标方和招标方（业主）双方应根据相关法律、法规和公司管理制度签署合同设备的验收证明书。该证明书共两份，双方各执一份。</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6）如果安装、调试、性能试验、试运行及质保期内技术指标一项或多项不能满足合同技术部分要求，招、投标双方共同分析原因，分清责任，如属制造方面的原因，或涉及索赔部分，按商务部分有关条款执行。</w:t>
      </w:r>
    </w:p>
    <w:p>
      <w:pPr>
        <w:spacing w:line="360" w:lineRule="auto"/>
        <w:jc w:val="both"/>
        <w:rPr>
          <w:b/>
          <w:bCs/>
          <w:sz w:val="28"/>
          <w:szCs w:val="28"/>
          <w:lang w:bidi="ar"/>
        </w:rPr>
      </w:pPr>
      <w:r>
        <w:rPr>
          <w:rFonts w:hint="eastAsia"/>
          <w:b/>
          <w:bCs/>
          <w:sz w:val="28"/>
          <w:szCs w:val="28"/>
          <w:lang w:bidi="ar"/>
        </w:rPr>
        <w:t>2、</w:t>
      </w:r>
      <w:r>
        <w:rPr>
          <w:b/>
          <w:bCs/>
          <w:sz w:val="28"/>
          <w:szCs w:val="28"/>
          <w:lang w:bidi="ar"/>
        </w:rPr>
        <w:t>采购货物清单及要求</w:t>
      </w:r>
    </w:p>
    <w:tbl>
      <w:tblPr>
        <w:tblStyle w:val="7"/>
        <w:tblW w:w="931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765"/>
        <w:gridCol w:w="4287"/>
        <w:gridCol w:w="741"/>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93" w:type="dxa"/>
            <w:shd w:val="clear" w:color="auto" w:fill="D7D7D7"/>
            <w:noWrap w:val="0"/>
            <w:vAlign w:val="center"/>
          </w:tcPr>
          <w:p>
            <w:pPr>
              <w:jc w:val="center"/>
              <w:rPr>
                <w:rFonts w:ascii="宋体" w:hAnsi="宋体"/>
                <w:b/>
                <w:bCs/>
              </w:rPr>
            </w:pPr>
            <w:r>
              <w:rPr>
                <w:rFonts w:hint="eastAsia" w:ascii="宋体" w:hAnsi="宋体"/>
                <w:b/>
                <w:bCs/>
              </w:rPr>
              <w:t>序号</w:t>
            </w:r>
          </w:p>
        </w:tc>
        <w:tc>
          <w:tcPr>
            <w:tcW w:w="2765" w:type="dxa"/>
            <w:shd w:val="clear" w:color="auto" w:fill="D7D7D7"/>
            <w:noWrap w:val="0"/>
            <w:vAlign w:val="center"/>
          </w:tcPr>
          <w:p>
            <w:pPr>
              <w:jc w:val="center"/>
              <w:rPr>
                <w:rFonts w:ascii="宋体" w:hAnsi="宋体"/>
                <w:b/>
                <w:bCs/>
              </w:rPr>
            </w:pPr>
            <w:r>
              <w:rPr>
                <w:rFonts w:hint="eastAsia" w:ascii="宋体" w:hAnsi="宋体"/>
                <w:b/>
                <w:bCs/>
              </w:rPr>
              <w:t>名称规格</w:t>
            </w:r>
          </w:p>
        </w:tc>
        <w:tc>
          <w:tcPr>
            <w:tcW w:w="4287" w:type="dxa"/>
            <w:shd w:val="clear" w:color="auto" w:fill="D7D7D7"/>
            <w:noWrap w:val="0"/>
            <w:vAlign w:val="center"/>
          </w:tcPr>
          <w:p>
            <w:pPr>
              <w:jc w:val="center"/>
              <w:rPr>
                <w:rFonts w:ascii="宋体" w:hAnsi="宋体"/>
                <w:b/>
                <w:bCs/>
              </w:rPr>
            </w:pPr>
            <w:r>
              <w:rPr>
                <w:rFonts w:hint="eastAsia" w:ascii="宋体" w:hAnsi="宋体"/>
                <w:b/>
                <w:bCs/>
              </w:rPr>
              <w:t>技术参数</w:t>
            </w:r>
          </w:p>
        </w:tc>
        <w:tc>
          <w:tcPr>
            <w:tcW w:w="741" w:type="dxa"/>
            <w:shd w:val="clear" w:color="auto" w:fill="D7D7D7"/>
            <w:noWrap w:val="0"/>
            <w:vAlign w:val="center"/>
          </w:tcPr>
          <w:p>
            <w:pPr>
              <w:jc w:val="center"/>
              <w:rPr>
                <w:rFonts w:ascii="宋体" w:hAnsi="宋体"/>
                <w:b/>
                <w:bCs/>
              </w:rPr>
            </w:pPr>
            <w:r>
              <w:rPr>
                <w:rFonts w:hint="eastAsia" w:ascii="宋体" w:hAnsi="宋体"/>
                <w:b/>
                <w:bCs/>
              </w:rPr>
              <w:t>单位</w:t>
            </w:r>
          </w:p>
        </w:tc>
        <w:tc>
          <w:tcPr>
            <w:tcW w:w="832" w:type="dxa"/>
            <w:shd w:val="clear" w:color="auto" w:fill="D7D7D7"/>
            <w:noWrap w:val="0"/>
            <w:vAlign w:val="center"/>
          </w:tcPr>
          <w:p>
            <w:pPr>
              <w:jc w:val="center"/>
              <w:rPr>
                <w:rFonts w:ascii="宋体" w:hAnsi="宋体"/>
                <w:b/>
                <w:bCs/>
              </w:rPr>
            </w:pPr>
            <w:r>
              <w:rPr>
                <w:rFonts w:hint="eastAsia" w:ascii="宋体" w:hAnsi="宋体"/>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3" w:type="dxa"/>
            <w:noWrap w:val="0"/>
            <w:vAlign w:val="center"/>
          </w:tcPr>
          <w:p>
            <w:pPr>
              <w:jc w:val="center"/>
              <w:rPr>
                <w:rFonts w:ascii="宋体" w:hAnsi="宋体"/>
              </w:rPr>
            </w:pPr>
            <w:r>
              <w:rPr>
                <w:rFonts w:hint="eastAsia" w:ascii="宋体" w:hAnsi="宋体"/>
              </w:rPr>
              <w:t>1</w:t>
            </w:r>
          </w:p>
        </w:tc>
        <w:tc>
          <w:tcPr>
            <w:tcW w:w="2765" w:type="dxa"/>
            <w:noWrap w:val="0"/>
            <w:vAlign w:val="center"/>
          </w:tcPr>
          <w:p>
            <w:pPr>
              <w:rPr>
                <w:rFonts w:ascii="宋体" w:hAnsi="宋体"/>
              </w:rPr>
            </w:pPr>
            <w:r>
              <w:rPr>
                <w:rFonts w:hint="eastAsia" w:ascii="宋体" w:hAnsi="宋体"/>
              </w:rPr>
              <w:t>充电桩 直流30KW单枪</w:t>
            </w:r>
          </w:p>
        </w:tc>
        <w:tc>
          <w:tcPr>
            <w:tcW w:w="4287" w:type="dxa"/>
            <w:noWrap w:val="0"/>
            <w:vAlign w:val="center"/>
          </w:tcPr>
          <w:p>
            <w:pPr>
              <w:rPr>
                <w:rFonts w:ascii="宋体" w:hAnsi="宋体"/>
              </w:rPr>
            </w:pPr>
            <w:r>
              <w:rPr>
                <w:rFonts w:hint="eastAsia" w:ascii="宋体" w:hAnsi="宋体"/>
              </w:rPr>
              <w:t>1、使用场景：快充，一体式直流桩，适用于旺盛的、快速的充电需求的场所，如商场、酒店、车站等；</w:t>
            </w:r>
          </w:p>
          <w:p>
            <w:pPr>
              <w:rPr>
                <w:rFonts w:ascii="宋体" w:hAnsi="宋体"/>
              </w:rPr>
            </w:pPr>
            <w:r>
              <w:rPr>
                <w:rFonts w:hint="eastAsia" w:ascii="宋体" w:hAnsi="宋体"/>
              </w:rPr>
              <w:t>2、外壳材质：黑色塑料显示屏，白色合金机身；</w:t>
            </w:r>
          </w:p>
          <w:p>
            <w:pPr>
              <w:rPr>
                <w:rFonts w:ascii="宋体" w:hAnsi="宋体"/>
              </w:rPr>
            </w:pPr>
            <w:r>
              <w:rPr>
                <w:rFonts w:ascii="宋体" w:hAnsi="宋体"/>
              </w:rPr>
              <w:t>3</w:t>
            </w:r>
            <w:r>
              <w:rPr>
                <w:rFonts w:hint="eastAsia" w:ascii="宋体" w:hAnsi="宋体"/>
              </w:rPr>
              <w:t>、设备尺寸：</w:t>
            </w:r>
            <w:r>
              <w:rPr>
                <w:rFonts w:ascii="宋体" w:hAnsi="宋体"/>
              </w:rPr>
              <w:t>750mmX600mmX1700mm</w:t>
            </w:r>
            <w:r>
              <w:rPr>
                <w:rFonts w:hint="eastAsia" w:ascii="宋体" w:hAnsi="宋体"/>
              </w:rPr>
              <w:t>；</w:t>
            </w:r>
          </w:p>
          <w:p>
            <w:pPr>
              <w:rPr>
                <w:rFonts w:ascii="宋体" w:hAnsi="宋体"/>
              </w:rPr>
            </w:pPr>
            <w:r>
              <w:rPr>
                <w:rFonts w:hint="eastAsia" w:ascii="宋体" w:hAnsi="宋体"/>
              </w:rPr>
              <w:t>4、安装方式：落地式；</w:t>
            </w:r>
          </w:p>
          <w:p>
            <w:pPr>
              <w:rPr>
                <w:rFonts w:ascii="宋体" w:hAnsi="宋体"/>
              </w:rPr>
            </w:pPr>
            <w:r>
              <w:rPr>
                <w:rFonts w:hint="eastAsia" w:ascii="宋体" w:hAnsi="宋体"/>
              </w:rPr>
              <w:t>5、走线方式：下进线，上出线；</w:t>
            </w:r>
          </w:p>
          <w:p>
            <w:pPr>
              <w:rPr>
                <w:rFonts w:ascii="宋体" w:hAnsi="宋体"/>
              </w:rPr>
            </w:pPr>
            <w:r>
              <w:rPr>
                <w:rFonts w:hint="eastAsia" w:ascii="宋体" w:hAnsi="宋体"/>
              </w:rPr>
              <w:t>6、充电组件：单枪；</w:t>
            </w:r>
          </w:p>
          <w:p>
            <w:pPr>
              <w:rPr>
                <w:rFonts w:ascii="宋体" w:hAnsi="宋体"/>
              </w:rPr>
            </w:pPr>
            <w:r>
              <w:rPr>
                <w:rFonts w:hint="eastAsia" w:ascii="宋体" w:hAnsi="宋体"/>
              </w:rPr>
              <w:t>7、缆线长度：5</w:t>
            </w:r>
            <w:r>
              <w:rPr>
                <w:rFonts w:ascii="宋体" w:hAnsi="宋体"/>
              </w:rPr>
              <w:t>M</w:t>
            </w:r>
            <w:r>
              <w:rPr>
                <w:rFonts w:hint="eastAsia" w:ascii="宋体" w:hAnsi="宋体"/>
              </w:rPr>
              <w:t>；</w:t>
            </w:r>
          </w:p>
          <w:p>
            <w:pPr>
              <w:rPr>
                <w:rFonts w:ascii="宋体" w:hAnsi="宋体"/>
              </w:rPr>
            </w:pPr>
            <w:r>
              <w:rPr>
                <w:rFonts w:ascii="宋体" w:hAnsi="宋体"/>
              </w:rPr>
              <w:t>8</w:t>
            </w:r>
            <w:r>
              <w:rPr>
                <w:rFonts w:hint="eastAsia" w:ascii="宋体" w:hAnsi="宋体"/>
              </w:rPr>
              <w:t>、输入电压：A</w:t>
            </w:r>
            <w:r>
              <w:rPr>
                <w:rFonts w:ascii="宋体" w:hAnsi="宋体"/>
              </w:rPr>
              <w:t>C380V</w:t>
            </w:r>
            <w:r>
              <w:rPr>
                <w:rFonts w:hint="eastAsia" w:ascii="宋体" w:hAnsi="宋体"/>
              </w:rPr>
              <w:t>±1</w:t>
            </w:r>
            <w:r>
              <w:rPr>
                <w:rFonts w:ascii="宋体" w:hAnsi="宋体"/>
              </w:rPr>
              <w:t>5%</w:t>
            </w:r>
            <w:r>
              <w:rPr>
                <w:rFonts w:hint="eastAsia" w:ascii="宋体" w:hAnsi="宋体"/>
              </w:rPr>
              <w:t>；</w:t>
            </w:r>
          </w:p>
          <w:p>
            <w:pPr>
              <w:rPr>
                <w:rFonts w:ascii="宋体" w:hAnsi="宋体"/>
              </w:rPr>
            </w:pPr>
            <w:r>
              <w:rPr>
                <w:rFonts w:hint="eastAsia" w:ascii="宋体" w:hAnsi="宋体"/>
              </w:rPr>
              <w:t>9、输入频率：5</w:t>
            </w:r>
            <w:r>
              <w:rPr>
                <w:rFonts w:ascii="宋体" w:hAnsi="宋体"/>
              </w:rPr>
              <w:t>0H</w:t>
            </w:r>
            <w:r>
              <w:rPr>
                <w:rFonts w:hint="eastAsia" w:ascii="宋体" w:hAnsi="宋体"/>
              </w:rPr>
              <w:t>z；</w:t>
            </w:r>
          </w:p>
          <w:p>
            <w:pPr>
              <w:rPr>
                <w:rFonts w:ascii="宋体" w:hAnsi="宋体"/>
              </w:rPr>
            </w:pPr>
            <w:r>
              <w:rPr>
                <w:rFonts w:hint="eastAsia" w:ascii="宋体" w:hAnsi="宋体"/>
              </w:rPr>
              <w:t>1</w:t>
            </w:r>
            <w:r>
              <w:rPr>
                <w:rFonts w:ascii="宋体" w:hAnsi="宋体"/>
              </w:rPr>
              <w:t>0</w:t>
            </w:r>
            <w:r>
              <w:rPr>
                <w:rFonts w:hint="eastAsia" w:ascii="宋体" w:hAnsi="宋体"/>
              </w:rPr>
              <w:t>、最大功率：30</w:t>
            </w:r>
            <w:r>
              <w:rPr>
                <w:rFonts w:ascii="宋体" w:hAnsi="宋体"/>
              </w:rPr>
              <w:t>kW</w:t>
            </w:r>
            <w:r>
              <w:rPr>
                <w:rFonts w:hint="eastAsia" w:ascii="宋体" w:hAnsi="宋体"/>
              </w:rPr>
              <w:t>；</w:t>
            </w:r>
          </w:p>
          <w:p>
            <w:pPr>
              <w:rPr>
                <w:rFonts w:ascii="宋体" w:hAnsi="宋体"/>
              </w:rPr>
            </w:pPr>
            <w:r>
              <w:rPr>
                <w:rFonts w:hint="eastAsia" w:ascii="宋体" w:hAnsi="宋体"/>
              </w:rPr>
              <w:t>1</w:t>
            </w:r>
            <w:r>
              <w:rPr>
                <w:rFonts w:ascii="宋体" w:hAnsi="宋体"/>
              </w:rPr>
              <w:t>1</w:t>
            </w:r>
            <w:r>
              <w:rPr>
                <w:rFonts w:hint="eastAsia" w:ascii="宋体" w:hAnsi="宋体"/>
              </w:rPr>
              <w:t>、输出电压：2</w:t>
            </w:r>
            <w:r>
              <w:rPr>
                <w:rFonts w:ascii="宋体" w:hAnsi="宋体"/>
              </w:rPr>
              <w:t>50V~</w:t>
            </w:r>
            <w:r>
              <w:rPr>
                <w:rFonts w:hint="eastAsia" w:ascii="宋体" w:hAnsi="宋体"/>
              </w:rPr>
              <w:t>750</w:t>
            </w:r>
            <w:r>
              <w:rPr>
                <w:rFonts w:ascii="宋体" w:hAnsi="宋体"/>
              </w:rPr>
              <w:t>V</w:t>
            </w:r>
            <w:r>
              <w:rPr>
                <w:rFonts w:hint="eastAsia" w:ascii="宋体" w:hAnsi="宋体"/>
              </w:rPr>
              <w:t>；</w:t>
            </w:r>
          </w:p>
          <w:p>
            <w:pPr>
              <w:rPr>
                <w:rFonts w:ascii="宋体" w:hAnsi="宋体"/>
              </w:rPr>
            </w:pPr>
            <w:r>
              <w:rPr>
                <w:rFonts w:hint="eastAsia" w:ascii="宋体" w:hAnsi="宋体"/>
              </w:rPr>
              <w:t>1</w:t>
            </w:r>
            <w:r>
              <w:rPr>
                <w:rFonts w:ascii="宋体" w:hAnsi="宋体"/>
              </w:rPr>
              <w:t>2</w:t>
            </w:r>
            <w:r>
              <w:rPr>
                <w:rFonts w:hint="eastAsia" w:ascii="宋体" w:hAnsi="宋体"/>
              </w:rPr>
              <w:t>、输出电流：40</w:t>
            </w:r>
            <w:r>
              <w:rPr>
                <w:rFonts w:ascii="宋体" w:hAnsi="宋体"/>
              </w:rPr>
              <w:t>A</w:t>
            </w:r>
            <w:r>
              <w:rPr>
                <w:rFonts w:hint="eastAsia" w:ascii="宋体" w:hAnsi="宋体"/>
              </w:rPr>
              <w:t>；</w:t>
            </w:r>
          </w:p>
          <w:p>
            <w:pPr>
              <w:rPr>
                <w:rFonts w:ascii="宋体" w:hAnsi="宋体"/>
              </w:rPr>
            </w:pPr>
            <w:r>
              <w:rPr>
                <w:rFonts w:hint="eastAsia" w:ascii="宋体" w:hAnsi="宋体"/>
              </w:rPr>
              <w:t>1</w:t>
            </w:r>
            <w:r>
              <w:rPr>
                <w:rFonts w:ascii="宋体" w:hAnsi="宋体"/>
              </w:rPr>
              <w:t>3</w:t>
            </w:r>
            <w:r>
              <w:rPr>
                <w:rFonts w:hint="eastAsia" w:ascii="宋体" w:hAnsi="宋体"/>
              </w:rPr>
              <w:t>、稳压精度：≤±0</w:t>
            </w:r>
            <w:r>
              <w:rPr>
                <w:rFonts w:ascii="宋体" w:hAnsi="宋体"/>
              </w:rPr>
              <w:t>.5%</w:t>
            </w:r>
            <w:r>
              <w:rPr>
                <w:rFonts w:hint="eastAsia" w:ascii="宋体" w:hAnsi="宋体"/>
              </w:rPr>
              <w:t>；</w:t>
            </w:r>
          </w:p>
          <w:p>
            <w:pPr>
              <w:rPr>
                <w:rFonts w:ascii="宋体" w:hAnsi="宋体"/>
              </w:rPr>
            </w:pPr>
            <w:r>
              <w:rPr>
                <w:rFonts w:hint="eastAsia" w:ascii="宋体" w:hAnsi="宋体"/>
              </w:rPr>
              <w:t>1</w:t>
            </w:r>
            <w:r>
              <w:rPr>
                <w:rFonts w:ascii="宋体" w:hAnsi="宋体"/>
              </w:rPr>
              <w:t>4</w:t>
            </w:r>
            <w:r>
              <w:rPr>
                <w:rFonts w:hint="eastAsia" w:ascii="宋体" w:hAnsi="宋体"/>
              </w:rPr>
              <w:t>、稳流精度：≤±1</w:t>
            </w:r>
            <w:r>
              <w:rPr>
                <w:rFonts w:ascii="宋体" w:hAnsi="宋体"/>
              </w:rPr>
              <w:t>%</w:t>
            </w:r>
            <w:r>
              <w:rPr>
                <w:rFonts w:hint="eastAsia" w:ascii="宋体" w:hAnsi="宋体"/>
              </w:rPr>
              <w:t>；</w:t>
            </w:r>
          </w:p>
          <w:p>
            <w:pPr>
              <w:rPr>
                <w:rFonts w:ascii="宋体" w:hAnsi="宋体"/>
              </w:rPr>
            </w:pPr>
            <w:r>
              <w:rPr>
                <w:rFonts w:hint="eastAsia" w:ascii="宋体" w:hAnsi="宋体"/>
              </w:rPr>
              <w:t>1</w:t>
            </w:r>
            <w:r>
              <w:rPr>
                <w:rFonts w:ascii="宋体" w:hAnsi="宋体"/>
              </w:rPr>
              <w:t>5</w:t>
            </w:r>
            <w:r>
              <w:rPr>
                <w:rFonts w:hint="eastAsia" w:ascii="宋体" w:hAnsi="宋体"/>
              </w:rPr>
              <w:t>、纹波系数：≤±0</w:t>
            </w:r>
            <w:r>
              <w:rPr>
                <w:rFonts w:ascii="宋体" w:hAnsi="宋体"/>
              </w:rPr>
              <w:t>.5%</w:t>
            </w:r>
            <w:r>
              <w:rPr>
                <w:rFonts w:hint="eastAsia" w:ascii="宋体" w:hAnsi="宋体"/>
              </w:rPr>
              <w:t>；</w:t>
            </w:r>
          </w:p>
          <w:p>
            <w:pPr>
              <w:rPr>
                <w:rFonts w:ascii="宋体" w:hAnsi="宋体"/>
              </w:rPr>
            </w:pPr>
            <w:r>
              <w:rPr>
                <w:rFonts w:hint="eastAsia" w:ascii="宋体" w:hAnsi="宋体"/>
              </w:rPr>
              <w:t>1</w:t>
            </w:r>
            <w:r>
              <w:rPr>
                <w:rFonts w:ascii="宋体" w:hAnsi="宋体"/>
              </w:rPr>
              <w:t>6</w:t>
            </w:r>
            <w:r>
              <w:rPr>
                <w:rFonts w:hint="eastAsia" w:ascii="宋体" w:hAnsi="宋体"/>
              </w:rPr>
              <w:t>、效率：≥9</w:t>
            </w:r>
            <w:r>
              <w:rPr>
                <w:rFonts w:ascii="宋体" w:hAnsi="宋体"/>
              </w:rPr>
              <w:t>3%</w:t>
            </w:r>
            <w:r>
              <w:rPr>
                <w:rFonts w:hint="eastAsia" w:ascii="宋体" w:hAnsi="宋体"/>
              </w:rPr>
              <w:t>；</w:t>
            </w:r>
          </w:p>
          <w:p>
            <w:pPr>
              <w:topLinePunct/>
              <w:adjustRightInd w:val="0"/>
              <w:snapToGrid w:val="0"/>
              <w:rPr>
                <w:rFonts w:ascii="宋体" w:hAnsi="宋体" w:cs="宋体"/>
                <w:bCs/>
              </w:rPr>
            </w:pPr>
            <w:r>
              <w:rPr>
                <w:rFonts w:hint="eastAsia" w:ascii="宋体" w:hAnsi="宋体"/>
              </w:rPr>
              <w:t>17.</w:t>
            </w:r>
            <w:r>
              <w:rPr>
                <w:rFonts w:hint="eastAsia" w:ascii="宋体" w:hAnsi="宋体" w:cs="宋体"/>
                <w:bCs/>
              </w:rPr>
              <w:t>通讯接口及通信协议:充电桩与后台通讯应采用以太网、2G或4G通讯方式，通信模块为工业级；</w:t>
            </w:r>
          </w:p>
          <w:p>
            <w:pPr>
              <w:adjustRightInd w:val="0"/>
              <w:snapToGrid w:val="0"/>
              <w:rPr>
                <w:rFonts w:ascii="宋体" w:hAnsi="宋体" w:cs="宋体"/>
              </w:rPr>
            </w:pPr>
            <w:r>
              <w:rPr>
                <w:rFonts w:hint="eastAsia" w:ascii="宋体" w:hAnsi="宋体"/>
              </w:rPr>
              <w:t>18.</w:t>
            </w:r>
            <w:r>
              <w:rPr>
                <w:rFonts w:hint="eastAsia" w:ascii="宋体" w:hAnsi="宋体" w:cs="宋体"/>
                <w:bCs/>
              </w:rPr>
              <w:t>支付方式：</w:t>
            </w:r>
            <w:r>
              <w:rPr>
                <w:rFonts w:hint="eastAsia" w:ascii="宋体" w:hAnsi="宋体" w:cs="宋体"/>
              </w:rPr>
              <w:t>IC卡、微信支付。</w:t>
            </w:r>
          </w:p>
        </w:tc>
        <w:tc>
          <w:tcPr>
            <w:tcW w:w="741" w:type="dxa"/>
            <w:noWrap w:val="0"/>
            <w:vAlign w:val="center"/>
          </w:tcPr>
          <w:p>
            <w:pPr>
              <w:jc w:val="center"/>
              <w:rPr>
                <w:rFonts w:ascii="宋体" w:hAnsi="宋体"/>
              </w:rPr>
            </w:pPr>
            <w:r>
              <w:rPr>
                <w:rFonts w:hint="eastAsia" w:ascii="宋体" w:hAnsi="宋体"/>
              </w:rPr>
              <w:t>套</w:t>
            </w:r>
          </w:p>
        </w:tc>
        <w:tc>
          <w:tcPr>
            <w:tcW w:w="832" w:type="dxa"/>
            <w:noWrap w:val="0"/>
            <w:vAlign w:val="center"/>
          </w:tcPr>
          <w:p>
            <w:pPr>
              <w:jc w:val="center"/>
              <w:rPr>
                <w:rFonts w:ascii="宋体" w:hAnsi="宋体"/>
              </w:rPr>
            </w:pPr>
            <w:r>
              <w:rPr>
                <w:rFonts w:hint="eastAsia" w:ascii="宋体" w:hAnsi="宋体"/>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3" w:type="dxa"/>
            <w:noWrap w:val="0"/>
            <w:vAlign w:val="center"/>
          </w:tcPr>
          <w:p>
            <w:pPr>
              <w:jc w:val="center"/>
              <w:rPr>
                <w:rFonts w:ascii="宋体" w:hAnsi="宋体"/>
              </w:rPr>
            </w:pPr>
            <w:r>
              <w:rPr>
                <w:rFonts w:hint="eastAsia" w:ascii="宋体" w:hAnsi="宋体"/>
              </w:rPr>
              <w:t>2</w:t>
            </w:r>
          </w:p>
        </w:tc>
        <w:tc>
          <w:tcPr>
            <w:tcW w:w="2765" w:type="dxa"/>
            <w:noWrap w:val="0"/>
            <w:vAlign w:val="center"/>
          </w:tcPr>
          <w:p>
            <w:pPr>
              <w:rPr>
                <w:rFonts w:ascii="宋体" w:hAnsi="宋体"/>
              </w:rPr>
            </w:pPr>
            <w:r>
              <w:rPr>
                <w:rFonts w:hint="eastAsia" w:ascii="宋体" w:hAnsi="宋体"/>
              </w:rPr>
              <w:t>充电桩 直流60KW单枪</w:t>
            </w:r>
          </w:p>
        </w:tc>
        <w:tc>
          <w:tcPr>
            <w:tcW w:w="4287" w:type="dxa"/>
            <w:noWrap w:val="0"/>
            <w:vAlign w:val="center"/>
          </w:tcPr>
          <w:p>
            <w:pPr>
              <w:rPr>
                <w:rFonts w:ascii="宋体" w:hAnsi="宋体"/>
              </w:rPr>
            </w:pPr>
            <w:r>
              <w:rPr>
                <w:rFonts w:hint="eastAsia" w:ascii="宋体" w:hAnsi="宋体"/>
              </w:rPr>
              <w:t>1、使用场景：快充，一体式直流桩，适用于旺盛的、快速的充电需求的场所，如商场、酒店、车站等；</w:t>
            </w:r>
          </w:p>
          <w:p>
            <w:pPr>
              <w:rPr>
                <w:rFonts w:ascii="宋体" w:hAnsi="宋体"/>
              </w:rPr>
            </w:pPr>
            <w:r>
              <w:rPr>
                <w:rFonts w:hint="eastAsia" w:ascii="宋体" w:hAnsi="宋体"/>
              </w:rPr>
              <w:t>2、外壳材质：黑色塑料显示屏，白色合金机身；</w:t>
            </w:r>
          </w:p>
          <w:p>
            <w:pPr>
              <w:rPr>
                <w:rFonts w:ascii="宋体" w:hAnsi="宋体"/>
              </w:rPr>
            </w:pPr>
            <w:r>
              <w:rPr>
                <w:rFonts w:ascii="宋体" w:hAnsi="宋体"/>
              </w:rPr>
              <w:t>3</w:t>
            </w:r>
            <w:r>
              <w:rPr>
                <w:rFonts w:hint="eastAsia" w:ascii="宋体" w:hAnsi="宋体"/>
              </w:rPr>
              <w:t>、设备尺寸：</w:t>
            </w:r>
            <w:r>
              <w:rPr>
                <w:rFonts w:ascii="宋体" w:hAnsi="宋体"/>
              </w:rPr>
              <w:t>750mmX600mmX1700mm</w:t>
            </w:r>
            <w:r>
              <w:rPr>
                <w:rFonts w:hint="eastAsia" w:ascii="宋体" w:hAnsi="宋体"/>
              </w:rPr>
              <w:t>；</w:t>
            </w:r>
          </w:p>
          <w:p>
            <w:pPr>
              <w:rPr>
                <w:rFonts w:ascii="宋体" w:hAnsi="宋体"/>
              </w:rPr>
            </w:pPr>
            <w:r>
              <w:rPr>
                <w:rFonts w:hint="eastAsia" w:ascii="宋体" w:hAnsi="宋体"/>
              </w:rPr>
              <w:t>4、安装方式：落地式；</w:t>
            </w:r>
          </w:p>
          <w:p>
            <w:pPr>
              <w:rPr>
                <w:rFonts w:ascii="宋体" w:hAnsi="宋体"/>
              </w:rPr>
            </w:pPr>
            <w:r>
              <w:rPr>
                <w:rFonts w:hint="eastAsia" w:ascii="宋体" w:hAnsi="宋体"/>
              </w:rPr>
              <w:t>5、走线方式：下进线，上出线；</w:t>
            </w:r>
          </w:p>
          <w:p>
            <w:pPr>
              <w:rPr>
                <w:rFonts w:ascii="宋体" w:hAnsi="宋体"/>
              </w:rPr>
            </w:pPr>
            <w:r>
              <w:rPr>
                <w:rFonts w:hint="eastAsia" w:ascii="宋体" w:hAnsi="宋体"/>
              </w:rPr>
              <w:t>6、充电组件：单枪；</w:t>
            </w:r>
          </w:p>
          <w:p>
            <w:pPr>
              <w:rPr>
                <w:rFonts w:ascii="宋体" w:hAnsi="宋体"/>
              </w:rPr>
            </w:pPr>
            <w:r>
              <w:rPr>
                <w:rFonts w:hint="eastAsia" w:ascii="宋体" w:hAnsi="宋体"/>
              </w:rPr>
              <w:t>7、缆线长度：5</w:t>
            </w:r>
            <w:r>
              <w:rPr>
                <w:rFonts w:ascii="宋体" w:hAnsi="宋体"/>
              </w:rPr>
              <w:t>M</w:t>
            </w:r>
            <w:r>
              <w:rPr>
                <w:rFonts w:hint="eastAsia" w:ascii="宋体" w:hAnsi="宋体"/>
              </w:rPr>
              <w:t>；</w:t>
            </w:r>
          </w:p>
          <w:p>
            <w:pPr>
              <w:rPr>
                <w:rFonts w:ascii="宋体" w:hAnsi="宋体"/>
              </w:rPr>
            </w:pPr>
            <w:r>
              <w:rPr>
                <w:rFonts w:ascii="宋体" w:hAnsi="宋体"/>
              </w:rPr>
              <w:t>8</w:t>
            </w:r>
            <w:r>
              <w:rPr>
                <w:rFonts w:hint="eastAsia" w:ascii="宋体" w:hAnsi="宋体"/>
              </w:rPr>
              <w:t>、输入电压：A</w:t>
            </w:r>
            <w:r>
              <w:rPr>
                <w:rFonts w:ascii="宋体" w:hAnsi="宋体"/>
              </w:rPr>
              <w:t>C380V</w:t>
            </w:r>
            <w:r>
              <w:rPr>
                <w:rFonts w:hint="eastAsia" w:ascii="宋体" w:hAnsi="宋体"/>
              </w:rPr>
              <w:t>±1</w:t>
            </w:r>
            <w:r>
              <w:rPr>
                <w:rFonts w:ascii="宋体" w:hAnsi="宋体"/>
              </w:rPr>
              <w:t>5%</w:t>
            </w:r>
            <w:r>
              <w:rPr>
                <w:rFonts w:hint="eastAsia" w:ascii="宋体" w:hAnsi="宋体"/>
              </w:rPr>
              <w:t>；</w:t>
            </w:r>
          </w:p>
          <w:p>
            <w:pPr>
              <w:rPr>
                <w:rFonts w:ascii="宋体" w:hAnsi="宋体"/>
              </w:rPr>
            </w:pPr>
            <w:r>
              <w:rPr>
                <w:rFonts w:hint="eastAsia" w:ascii="宋体" w:hAnsi="宋体"/>
              </w:rPr>
              <w:t>9、输入频率：5</w:t>
            </w:r>
            <w:r>
              <w:rPr>
                <w:rFonts w:ascii="宋体" w:hAnsi="宋体"/>
              </w:rPr>
              <w:t>0H</w:t>
            </w:r>
            <w:r>
              <w:rPr>
                <w:rFonts w:hint="eastAsia" w:ascii="宋体" w:hAnsi="宋体"/>
              </w:rPr>
              <w:t>z；</w:t>
            </w:r>
          </w:p>
          <w:p>
            <w:pPr>
              <w:rPr>
                <w:rFonts w:ascii="宋体" w:hAnsi="宋体"/>
              </w:rPr>
            </w:pPr>
            <w:r>
              <w:rPr>
                <w:rFonts w:hint="eastAsia" w:ascii="宋体" w:hAnsi="宋体"/>
              </w:rPr>
              <w:t>1</w:t>
            </w:r>
            <w:r>
              <w:rPr>
                <w:rFonts w:ascii="宋体" w:hAnsi="宋体"/>
              </w:rPr>
              <w:t>0</w:t>
            </w:r>
            <w:r>
              <w:rPr>
                <w:rFonts w:hint="eastAsia" w:ascii="宋体" w:hAnsi="宋体"/>
              </w:rPr>
              <w:t>、最大功率：60</w:t>
            </w:r>
            <w:r>
              <w:rPr>
                <w:rFonts w:ascii="宋体" w:hAnsi="宋体"/>
              </w:rPr>
              <w:t>kW</w:t>
            </w:r>
            <w:r>
              <w:rPr>
                <w:rFonts w:hint="eastAsia" w:ascii="宋体" w:hAnsi="宋体"/>
              </w:rPr>
              <w:t>；；</w:t>
            </w:r>
          </w:p>
          <w:p>
            <w:pPr>
              <w:rPr>
                <w:rFonts w:ascii="宋体" w:hAnsi="宋体"/>
              </w:rPr>
            </w:pPr>
            <w:r>
              <w:rPr>
                <w:rFonts w:hint="eastAsia" w:ascii="宋体" w:hAnsi="宋体"/>
              </w:rPr>
              <w:t>1</w:t>
            </w:r>
            <w:r>
              <w:rPr>
                <w:rFonts w:ascii="宋体" w:hAnsi="宋体"/>
              </w:rPr>
              <w:t>1</w:t>
            </w:r>
            <w:r>
              <w:rPr>
                <w:rFonts w:hint="eastAsia" w:ascii="宋体" w:hAnsi="宋体"/>
              </w:rPr>
              <w:t>、输出电压：2</w:t>
            </w:r>
            <w:r>
              <w:rPr>
                <w:rFonts w:ascii="宋体" w:hAnsi="宋体"/>
              </w:rPr>
              <w:t>50V~</w:t>
            </w:r>
            <w:r>
              <w:rPr>
                <w:rFonts w:hint="eastAsia" w:ascii="宋体" w:hAnsi="宋体"/>
              </w:rPr>
              <w:t>750</w:t>
            </w:r>
            <w:r>
              <w:rPr>
                <w:rFonts w:ascii="宋体" w:hAnsi="宋体"/>
              </w:rPr>
              <w:t>V</w:t>
            </w:r>
            <w:r>
              <w:rPr>
                <w:rFonts w:hint="eastAsia" w:ascii="宋体" w:hAnsi="宋体"/>
              </w:rPr>
              <w:t>；</w:t>
            </w:r>
          </w:p>
          <w:p>
            <w:pPr>
              <w:rPr>
                <w:rFonts w:ascii="宋体" w:hAnsi="宋体"/>
              </w:rPr>
            </w:pPr>
            <w:r>
              <w:rPr>
                <w:rFonts w:hint="eastAsia" w:ascii="宋体" w:hAnsi="宋体"/>
              </w:rPr>
              <w:t>1</w:t>
            </w:r>
            <w:r>
              <w:rPr>
                <w:rFonts w:ascii="宋体" w:hAnsi="宋体"/>
              </w:rPr>
              <w:t>2</w:t>
            </w:r>
            <w:r>
              <w:rPr>
                <w:rFonts w:hint="eastAsia" w:ascii="宋体" w:hAnsi="宋体"/>
              </w:rPr>
              <w:t>、输出电流：80</w:t>
            </w:r>
            <w:r>
              <w:rPr>
                <w:rFonts w:ascii="宋体" w:hAnsi="宋体"/>
              </w:rPr>
              <w:t>A</w:t>
            </w:r>
            <w:r>
              <w:rPr>
                <w:rFonts w:hint="eastAsia" w:ascii="宋体" w:hAnsi="宋体"/>
              </w:rPr>
              <w:t>；</w:t>
            </w:r>
          </w:p>
          <w:p>
            <w:pPr>
              <w:rPr>
                <w:rFonts w:ascii="宋体" w:hAnsi="宋体"/>
              </w:rPr>
            </w:pPr>
            <w:r>
              <w:rPr>
                <w:rFonts w:hint="eastAsia" w:ascii="宋体" w:hAnsi="宋体"/>
              </w:rPr>
              <w:t>1</w:t>
            </w:r>
            <w:r>
              <w:rPr>
                <w:rFonts w:ascii="宋体" w:hAnsi="宋体"/>
              </w:rPr>
              <w:t>3</w:t>
            </w:r>
            <w:r>
              <w:rPr>
                <w:rFonts w:hint="eastAsia" w:ascii="宋体" w:hAnsi="宋体"/>
              </w:rPr>
              <w:t>、稳压精度：≤±0</w:t>
            </w:r>
            <w:r>
              <w:rPr>
                <w:rFonts w:ascii="宋体" w:hAnsi="宋体"/>
              </w:rPr>
              <w:t>.5%</w:t>
            </w:r>
            <w:r>
              <w:rPr>
                <w:rFonts w:hint="eastAsia" w:ascii="宋体" w:hAnsi="宋体"/>
              </w:rPr>
              <w:t>；</w:t>
            </w:r>
          </w:p>
          <w:p>
            <w:pPr>
              <w:rPr>
                <w:rFonts w:ascii="宋体" w:hAnsi="宋体"/>
              </w:rPr>
            </w:pPr>
            <w:r>
              <w:rPr>
                <w:rFonts w:hint="eastAsia" w:ascii="宋体" w:hAnsi="宋体"/>
              </w:rPr>
              <w:t>1</w:t>
            </w:r>
            <w:r>
              <w:rPr>
                <w:rFonts w:ascii="宋体" w:hAnsi="宋体"/>
              </w:rPr>
              <w:t>4</w:t>
            </w:r>
            <w:r>
              <w:rPr>
                <w:rFonts w:hint="eastAsia" w:ascii="宋体" w:hAnsi="宋体"/>
              </w:rPr>
              <w:t>、稳流精度：≤±1</w:t>
            </w:r>
            <w:r>
              <w:rPr>
                <w:rFonts w:ascii="宋体" w:hAnsi="宋体"/>
              </w:rPr>
              <w:t>%</w:t>
            </w:r>
            <w:r>
              <w:rPr>
                <w:rFonts w:hint="eastAsia" w:ascii="宋体" w:hAnsi="宋体"/>
              </w:rPr>
              <w:t>；</w:t>
            </w:r>
          </w:p>
          <w:p>
            <w:pPr>
              <w:rPr>
                <w:rFonts w:ascii="宋体" w:hAnsi="宋体"/>
              </w:rPr>
            </w:pPr>
            <w:r>
              <w:rPr>
                <w:rFonts w:hint="eastAsia" w:ascii="宋体" w:hAnsi="宋体"/>
              </w:rPr>
              <w:t>1</w:t>
            </w:r>
            <w:r>
              <w:rPr>
                <w:rFonts w:ascii="宋体" w:hAnsi="宋体"/>
              </w:rPr>
              <w:t>5</w:t>
            </w:r>
            <w:r>
              <w:rPr>
                <w:rFonts w:hint="eastAsia" w:ascii="宋体" w:hAnsi="宋体"/>
              </w:rPr>
              <w:t>、纹波系数：≤±0</w:t>
            </w:r>
            <w:r>
              <w:rPr>
                <w:rFonts w:ascii="宋体" w:hAnsi="宋体"/>
              </w:rPr>
              <w:t>.5%</w:t>
            </w:r>
            <w:r>
              <w:rPr>
                <w:rFonts w:hint="eastAsia" w:ascii="宋体" w:hAnsi="宋体"/>
              </w:rPr>
              <w:t>；</w:t>
            </w:r>
          </w:p>
          <w:p>
            <w:pPr>
              <w:rPr>
                <w:rFonts w:ascii="宋体" w:hAnsi="宋体"/>
              </w:rPr>
            </w:pPr>
            <w:r>
              <w:rPr>
                <w:rFonts w:hint="eastAsia" w:ascii="宋体" w:hAnsi="宋体"/>
              </w:rPr>
              <w:t>1</w:t>
            </w:r>
            <w:r>
              <w:rPr>
                <w:rFonts w:ascii="宋体" w:hAnsi="宋体"/>
              </w:rPr>
              <w:t>6</w:t>
            </w:r>
            <w:r>
              <w:rPr>
                <w:rFonts w:hint="eastAsia" w:ascii="宋体" w:hAnsi="宋体"/>
              </w:rPr>
              <w:t>、效率：≥9</w:t>
            </w:r>
            <w:r>
              <w:rPr>
                <w:rFonts w:ascii="宋体" w:hAnsi="宋体"/>
              </w:rPr>
              <w:t>3%</w:t>
            </w:r>
            <w:r>
              <w:rPr>
                <w:rFonts w:hint="eastAsia" w:ascii="宋体" w:hAnsi="宋体"/>
              </w:rPr>
              <w:t>；</w:t>
            </w:r>
          </w:p>
          <w:p>
            <w:pPr>
              <w:topLinePunct/>
              <w:adjustRightInd w:val="0"/>
              <w:snapToGrid w:val="0"/>
              <w:rPr>
                <w:rFonts w:ascii="宋体" w:hAnsi="宋体" w:cs="宋体"/>
                <w:bCs/>
              </w:rPr>
            </w:pPr>
            <w:r>
              <w:rPr>
                <w:rFonts w:hint="eastAsia" w:ascii="宋体" w:hAnsi="宋体"/>
              </w:rPr>
              <w:t>17.</w:t>
            </w:r>
            <w:r>
              <w:rPr>
                <w:rFonts w:hint="eastAsia" w:ascii="宋体" w:hAnsi="宋体" w:cs="宋体"/>
                <w:bCs/>
              </w:rPr>
              <w:t>通讯接口及通信协议:充电桩与后台通讯应采用以太网、2G或4G通讯方式，通信模块为工业级；</w:t>
            </w:r>
          </w:p>
          <w:p>
            <w:pPr>
              <w:adjustRightInd w:val="0"/>
              <w:snapToGrid w:val="0"/>
              <w:rPr>
                <w:rFonts w:ascii="宋体" w:hAnsi="宋体" w:cs="宋体"/>
              </w:rPr>
            </w:pPr>
            <w:r>
              <w:rPr>
                <w:rFonts w:hint="eastAsia" w:ascii="宋体" w:hAnsi="宋体"/>
              </w:rPr>
              <w:t>18.</w:t>
            </w:r>
            <w:r>
              <w:rPr>
                <w:rFonts w:hint="eastAsia" w:ascii="宋体" w:hAnsi="宋体" w:cs="宋体"/>
                <w:bCs/>
              </w:rPr>
              <w:t>支付方式：</w:t>
            </w:r>
            <w:r>
              <w:rPr>
                <w:rFonts w:hint="eastAsia" w:ascii="宋体" w:hAnsi="宋体" w:cs="宋体"/>
              </w:rPr>
              <w:t>IC卡、微信支付。</w:t>
            </w:r>
          </w:p>
        </w:tc>
        <w:tc>
          <w:tcPr>
            <w:tcW w:w="741" w:type="dxa"/>
            <w:noWrap w:val="0"/>
            <w:vAlign w:val="center"/>
          </w:tcPr>
          <w:p>
            <w:pPr>
              <w:jc w:val="center"/>
              <w:rPr>
                <w:rFonts w:ascii="宋体" w:hAnsi="宋体"/>
              </w:rPr>
            </w:pPr>
            <w:bookmarkStart w:id="8" w:name="OLE_LINK17"/>
            <w:r>
              <w:rPr>
                <w:rFonts w:hint="eastAsia" w:ascii="宋体" w:hAnsi="宋体"/>
              </w:rPr>
              <w:t>套</w:t>
            </w:r>
            <w:bookmarkEnd w:id="8"/>
          </w:p>
        </w:tc>
        <w:tc>
          <w:tcPr>
            <w:tcW w:w="832" w:type="dxa"/>
            <w:noWrap w:val="0"/>
            <w:vAlign w:val="center"/>
          </w:tcPr>
          <w:p>
            <w:pPr>
              <w:jc w:val="center"/>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3" w:type="dxa"/>
            <w:noWrap w:val="0"/>
            <w:vAlign w:val="center"/>
          </w:tcPr>
          <w:p>
            <w:pPr>
              <w:jc w:val="center"/>
              <w:rPr>
                <w:rFonts w:ascii="宋体" w:hAnsi="宋体"/>
              </w:rPr>
            </w:pPr>
            <w:r>
              <w:rPr>
                <w:rFonts w:hint="eastAsia" w:ascii="宋体" w:hAnsi="宋体"/>
              </w:rPr>
              <w:t>3</w:t>
            </w:r>
          </w:p>
        </w:tc>
        <w:tc>
          <w:tcPr>
            <w:tcW w:w="2765" w:type="dxa"/>
            <w:noWrap w:val="0"/>
            <w:vAlign w:val="center"/>
          </w:tcPr>
          <w:p>
            <w:pPr>
              <w:rPr>
                <w:rFonts w:ascii="宋体" w:hAnsi="宋体"/>
              </w:rPr>
            </w:pPr>
            <w:r>
              <w:rPr>
                <w:rFonts w:hint="eastAsia" w:ascii="宋体" w:hAnsi="宋体"/>
              </w:rPr>
              <w:t>充电桩配电箱 1进12出</w:t>
            </w:r>
          </w:p>
        </w:tc>
        <w:tc>
          <w:tcPr>
            <w:tcW w:w="4287" w:type="dxa"/>
            <w:noWrap w:val="0"/>
            <w:vAlign w:val="center"/>
          </w:tcPr>
          <w:p>
            <w:pPr>
              <w:rPr>
                <w:rFonts w:ascii="宋体" w:hAnsi="宋体"/>
              </w:rPr>
            </w:pPr>
            <w:r>
              <w:rPr>
                <w:rFonts w:hint="eastAsia" w:ascii="宋体" w:hAnsi="宋体"/>
              </w:rPr>
              <w:t>1进12出, 1进14出, 1进16出, 1进18出等</w:t>
            </w:r>
          </w:p>
        </w:tc>
        <w:tc>
          <w:tcPr>
            <w:tcW w:w="741" w:type="dxa"/>
            <w:noWrap w:val="0"/>
            <w:vAlign w:val="center"/>
          </w:tcPr>
          <w:p>
            <w:pPr>
              <w:jc w:val="center"/>
              <w:rPr>
                <w:rFonts w:ascii="宋体" w:hAnsi="宋体"/>
              </w:rPr>
            </w:pPr>
            <w:r>
              <w:rPr>
                <w:rFonts w:hint="eastAsia" w:ascii="宋体" w:hAnsi="宋体"/>
              </w:rPr>
              <w:t>批</w:t>
            </w:r>
          </w:p>
        </w:tc>
        <w:tc>
          <w:tcPr>
            <w:tcW w:w="832" w:type="dxa"/>
            <w:noWrap w:val="0"/>
            <w:vAlign w:val="center"/>
          </w:tcPr>
          <w:p>
            <w:pPr>
              <w:jc w:val="center"/>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3" w:type="dxa"/>
            <w:noWrap w:val="0"/>
            <w:vAlign w:val="center"/>
          </w:tcPr>
          <w:p>
            <w:pPr>
              <w:jc w:val="center"/>
              <w:rPr>
                <w:rFonts w:ascii="宋体" w:hAnsi="宋体"/>
              </w:rPr>
            </w:pPr>
            <w:r>
              <w:rPr>
                <w:rFonts w:hint="eastAsia" w:ascii="宋体" w:hAnsi="宋体"/>
              </w:rPr>
              <w:t>4</w:t>
            </w:r>
          </w:p>
        </w:tc>
        <w:tc>
          <w:tcPr>
            <w:tcW w:w="2765" w:type="dxa"/>
            <w:noWrap w:val="0"/>
            <w:vAlign w:val="center"/>
          </w:tcPr>
          <w:p>
            <w:pPr>
              <w:rPr>
                <w:rFonts w:ascii="宋体" w:hAnsi="宋体"/>
              </w:rPr>
            </w:pPr>
            <w:r>
              <w:rPr>
                <w:rFonts w:hint="eastAsia" w:ascii="宋体" w:hAnsi="宋体"/>
              </w:rPr>
              <w:t>电力电缆</w:t>
            </w:r>
          </w:p>
        </w:tc>
        <w:tc>
          <w:tcPr>
            <w:tcW w:w="4287" w:type="dxa"/>
            <w:noWrap w:val="0"/>
            <w:vAlign w:val="center"/>
          </w:tcPr>
          <w:p>
            <w:pPr>
              <w:rPr>
                <w:rFonts w:ascii="宋体" w:hAnsi="宋体"/>
              </w:rPr>
            </w:pPr>
            <w:r>
              <w:rPr>
                <w:rFonts w:hint="eastAsia" w:ascii="宋体" w:hAnsi="宋体"/>
              </w:rPr>
              <w:t>ZRC-YJV22-0.6/1kV-4*120+1*70，ZRC-YJV22-0.6/1KV-4*150+1*95，ZRC-YJV22-0.6/1kV-4*16+1*10等</w:t>
            </w:r>
          </w:p>
        </w:tc>
        <w:tc>
          <w:tcPr>
            <w:tcW w:w="741" w:type="dxa"/>
            <w:noWrap w:val="0"/>
            <w:vAlign w:val="center"/>
          </w:tcPr>
          <w:p>
            <w:pPr>
              <w:jc w:val="center"/>
              <w:rPr>
                <w:rFonts w:ascii="宋体" w:hAnsi="宋体"/>
              </w:rPr>
            </w:pPr>
            <w:r>
              <w:rPr>
                <w:rFonts w:hint="eastAsia" w:ascii="宋体" w:hAnsi="宋体"/>
              </w:rPr>
              <w:t>批</w:t>
            </w:r>
          </w:p>
        </w:tc>
        <w:tc>
          <w:tcPr>
            <w:tcW w:w="832" w:type="dxa"/>
            <w:noWrap w:val="0"/>
            <w:vAlign w:val="center"/>
          </w:tcPr>
          <w:p>
            <w:pPr>
              <w:jc w:val="center"/>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3" w:type="dxa"/>
            <w:noWrap w:val="0"/>
            <w:vAlign w:val="center"/>
          </w:tcPr>
          <w:p>
            <w:pPr>
              <w:jc w:val="center"/>
              <w:rPr>
                <w:rFonts w:ascii="宋体" w:hAnsi="宋体"/>
              </w:rPr>
            </w:pPr>
            <w:r>
              <w:rPr>
                <w:rFonts w:hint="eastAsia" w:ascii="宋体" w:hAnsi="宋体"/>
              </w:rPr>
              <w:t>5</w:t>
            </w:r>
          </w:p>
        </w:tc>
        <w:tc>
          <w:tcPr>
            <w:tcW w:w="2765" w:type="dxa"/>
            <w:noWrap w:val="0"/>
            <w:vAlign w:val="center"/>
          </w:tcPr>
          <w:p>
            <w:pPr>
              <w:rPr>
                <w:rFonts w:ascii="宋体" w:hAnsi="宋体"/>
              </w:rPr>
            </w:pPr>
            <w:r>
              <w:rPr>
                <w:rFonts w:hint="eastAsia" w:ascii="宋体" w:hAnsi="宋体"/>
              </w:rPr>
              <w:t>安装辅材</w:t>
            </w:r>
          </w:p>
        </w:tc>
        <w:tc>
          <w:tcPr>
            <w:tcW w:w="4287" w:type="dxa"/>
            <w:noWrap w:val="0"/>
            <w:vAlign w:val="center"/>
          </w:tcPr>
          <w:p>
            <w:pPr>
              <w:rPr>
                <w:rFonts w:ascii="宋体" w:hAnsi="宋体"/>
              </w:rPr>
            </w:pPr>
            <w:r>
              <w:rPr>
                <w:rFonts w:hint="eastAsia" w:ascii="宋体" w:hAnsi="宋体"/>
              </w:rPr>
              <w:t>防火涂料、钢管、角钢、接地圆钢、绝缘导线、5kg干粉灭火器、PVC电力保护管、扁钢、镀锌铁丝(综合)等</w:t>
            </w:r>
          </w:p>
        </w:tc>
        <w:tc>
          <w:tcPr>
            <w:tcW w:w="741" w:type="dxa"/>
            <w:noWrap w:val="0"/>
            <w:vAlign w:val="center"/>
          </w:tcPr>
          <w:p>
            <w:pPr>
              <w:jc w:val="center"/>
              <w:rPr>
                <w:rFonts w:ascii="宋体" w:hAnsi="宋体"/>
              </w:rPr>
            </w:pPr>
            <w:r>
              <w:rPr>
                <w:rFonts w:hint="eastAsia" w:ascii="宋体" w:hAnsi="宋体"/>
              </w:rPr>
              <w:t>批</w:t>
            </w:r>
          </w:p>
        </w:tc>
        <w:tc>
          <w:tcPr>
            <w:tcW w:w="832" w:type="dxa"/>
            <w:noWrap w:val="0"/>
            <w:vAlign w:val="center"/>
          </w:tcPr>
          <w:p>
            <w:pPr>
              <w:jc w:val="center"/>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3" w:type="dxa"/>
            <w:noWrap w:val="0"/>
            <w:vAlign w:val="center"/>
          </w:tcPr>
          <w:p>
            <w:pPr>
              <w:jc w:val="center"/>
              <w:rPr>
                <w:rFonts w:ascii="宋体" w:hAnsi="宋体"/>
              </w:rPr>
            </w:pPr>
            <w:r>
              <w:rPr>
                <w:rFonts w:hint="eastAsia" w:ascii="宋体" w:hAnsi="宋体"/>
              </w:rPr>
              <w:t>6</w:t>
            </w:r>
          </w:p>
        </w:tc>
        <w:tc>
          <w:tcPr>
            <w:tcW w:w="2765" w:type="dxa"/>
            <w:noWrap w:val="0"/>
            <w:vAlign w:val="center"/>
          </w:tcPr>
          <w:p>
            <w:pPr>
              <w:rPr>
                <w:rFonts w:ascii="宋体" w:hAnsi="宋体"/>
              </w:rPr>
            </w:pPr>
            <w:r>
              <w:rPr>
                <w:rFonts w:hint="eastAsia" w:ascii="宋体" w:hAnsi="宋体"/>
              </w:rPr>
              <w:t>基础材料</w:t>
            </w:r>
          </w:p>
        </w:tc>
        <w:tc>
          <w:tcPr>
            <w:tcW w:w="4287" w:type="dxa"/>
            <w:noWrap w:val="0"/>
            <w:vAlign w:val="center"/>
          </w:tcPr>
          <w:p>
            <w:pPr>
              <w:rPr>
                <w:rFonts w:ascii="宋体" w:hAnsi="宋体"/>
              </w:rPr>
            </w:pPr>
            <w:r>
              <w:rPr>
                <w:rFonts w:hint="eastAsia" w:ascii="宋体" w:hAnsi="宋体"/>
              </w:rPr>
              <w:t>混凝土、砂子中粗砂、砂子细砂、碎石、预拌混凝土、标准砖</w:t>
            </w:r>
          </w:p>
        </w:tc>
        <w:tc>
          <w:tcPr>
            <w:tcW w:w="741" w:type="dxa"/>
            <w:noWrap w:val="0"/>
            <w:vAlign w:val="center"/>
          </w:tcPr>
          <w:p>
            <w:pPr>
              <w:jc w:val="center"/>
              <w:rPr>
                <w:rFonts w:ascii="宋体" w:hAnsi="宋体"/>
              </w:rPr>
            </w:pPr>
            <w:r>
              <w:rPr>
                <w:rFonts w:hint="eastAsia" w:ascii="宋体" w:hAnsi="宋体"/>
              </w:rPr>
              <w:t>批</w:t>
            </w:r>
          </w:p>
        </w:tc>
        <w:tc>
          <w:tcPr>
            <w:tcW w:w="832" w:type="dxa"/>
            <w:noWrap w:val="0"/>
            <w:vAlign w:val="center"/>
          </w:tcPr>
          <w:p>
            <w:pPr>
              <w:jc w:val="center"/>
              <w:rPr>
                <w:rFonts w:ascii="宋体" w:hAnsi="宋体"/>
              </w:rPr>
            </w:pPr>
            <w:r>
              <w:rPr>
                <w:rFonts w:hint="eastAsia" w:ascii="宋体" w:hAnsi="宋体"/>
              </w:rPr>
              <w:t>1</w:t>
            </w:r>
          </w:p>
        </w:tc>
      </w:tr>
    </w:tbl>
    <w:p>
      <w:pPr>
        <w:shd w:val="clear" w:color="auto" w:fill="FFFFFF"/>
        <w:snapToGrid w:val="0"/>
        <w:spacing w:line="360" w:lineRule="auto"/>
        <w:ind w:firstLine="723" w:firstLineChars="300"/>
        <w:rPr>
          <w:rFonts w:hint="eastAsia" w:ascii="宋体" w:hAnsi="宋体"/>
          <w:b/>
          <w:bCs/>
          <w:sz w:val="24"/>
          <w:szCs w:val="24"/>
          <w:highlight w:val="yellow"/>
        </w:rPr>
      </w:pPr>
    </w:p>
    <w:p>
      <w:pPr>
        <w:shd w:val="clear" w:color="auto" w:fill="FFFFFF"/>
        <w:snapToGrid w:val="0"/>
        <w:spacing w:line="360" w:lineRule="auto"/>
        <w:ind w:firstLine="723" w:firstLineChars="300"/>
        <w:rPr>
          <w:rFonts w:hint="eastAsia" w:ascii="宋体" w:hAnsi="宋体"/>
          <w:b/>
          <w:bCs/>
          <w:sz w:val="24"/>
          <w:szCs w:val="24"/>
          <w:highlight w:val="yellow"/>
        </w:rPr>
      </w:pPr>
      <w:r>
        <w:rPr>
          <w:rFonts w:hint="eastAsia" w:ascii="宋体" w:hAnsi="宋体"/>
          <w:b/>
          <w:bCs/>
          <w:sz w:val="24"/>
          <w:szCs w:val="24"/>
          <w:highlight w:val="yellow"/>
        </w:rPr>
        <w:t>备注：</w:t>
      </w:r>
      <w:r>
        <w:rPr>
          <w:rFonts w:hint="eastAsia" w:ascii="宋体" w:hAnsi="宋体"/>
          <w:b/>
          <w:bCs/>
          <w:sz w:val="24"/>
          <w:szCs w:val="24"/>
          <w:highlight w:val="yellow"/>
          <w:lang w:val="en-US" w:eastAsia="zh-CN"/>
        </w:rPr>
        <w:t>中标人在中标承建上述的63套公共充电桩，需以“政企共建”的方式，同时自行筹集资金配套建设237套充电桩。</w:t>
      </w:r>
    </w:p>
    <w:p>
      <w:pPr>
        <w:pStyle w:val="2"/>
        <w:spacing w:before="163" w:after="163" w:line="240" w:lineRule="auto"/>
        <w:rPr>
          <w:rFonts w:ascii="Calibri" w:hAnsi="Calibri" w:eastAsia="宋体"/>
          <w:b/>
          <w:bCs/>
          <w:kern w:val="2"/>
          <w:sz w:val="28"/>
          <w:szCs w:val="28"/>
          <w:lang w:val="en-US" w:eastAsia="zh-CN" w:bidi="ar"/>
        </w:rPr>
      </w:pPr>
      <w:bookmarkStart w:id="9" w:name="_Toc444706057"/>
      <w:r>
        <w:rPr>
          <w:rFonts w:ascii="Calibri" w:hAnsi="Calibri" w:eastAsia="宋体"/>
          <w:b/>
          <w:bCs/>
          <w:kern w:val="2"/>
          <w:sz w:val="28"/>
          <w:szCs w:val="28"/>
          <w:lang w:val="en-US" w:eastAsia="zh-CN" w:bidi="ar"/>
        </w:rPr>
        <w:t>3</w:t>
      </w:r>
      <w:r>
        <w:rPr>
          <w:rFonts w:hint="eastAsia" w:ascii="Calibri" w:hAnsi="Calibri" w:eastAsia="宋体"/>
          <w:b/>
          <w:bCs/>
          <w:kern w:val="2"/>
          <w:sz w:val="28"/>
          <w:szCs w:val="28"/>
          <w:lang w:val="en-US" w:eastAsia="zh-CN" w:bidi="ar"/>
        </w:rPr>
        <w:t>、</w:t>
      </w:r>
      <w:r>
        <w:rPr>
          <w:rFonts w:ascii="Calibri" w:hAnsi="Calibri" w:eastAsia="宋体"/>
          <w:b/>
          <w:bCs/>
          <w:kern w:val="2"/>
          <w:sz w:val="28"/>
          <w:szCs w:val="28"/>
          <w:lang w:val="en-US" w:eastAsia="zh-CN" w:bidi="ar"/>
        </w:rPr>
        <w:t>技术要求</w:t>
      </w:r>
      <w:bookmarkEnd w:id="9"/>
    </w:p>
    <w:p>
      <w:pPr>
        <w:pStyle w:val="4"/>
        <w:spacing w:before="163" w:after="163" w:line="240" w:lineRule="auto"/>
        <w:ind w:firstLine="241" w:firstLineChars="100"/>
        <w:jc w:val="both"/>
        <w:rPr>
          <w:b/>
          <w:bCs/>
          <w:lang w:bidi="ar"/>
        </w:rPr>
      </w:pPr>
      <w:r>
        <w:rPr>
          <w:rFonts w:hint="eastAsia"/>
          <w:b/>
          <w:bCs/>
        </w:rPr>
        <w:t>3</w:t>
      </w:r>
      <w:r>
        <w:rPr>
          <w:b/>
          <w:bCs/>
        </w:rPr>
        <w:t>.1</w:t>
      </w:r>
      <w:r>
        <w:rPr>
          <w:rFonts w:hint="eastAsia"/>
          <w:b/>
          <w:bCs/>
        </w:rPr>
        <w:t>充电设备技术概要</w:t>
      </w:r>
    </w:p>
    <w:p>
      <w:pPr>
        <w:pStyle w:val="5"/>
        <w:spacing w:before="163" w:after="163" w:line="240" w:lineRule="auto"/>
        <w:ind w:firstLine="241" w:firstLineChars="1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3.1.1基本组成</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充电机包括：整流模块、输出接口、保护模块、控制模块、计量模块、监控单元、人机操作界面及机柜等组成。</w:t>
      </w:r>
    </w:p>
    <w:p>
      <w:pPr>
        <w:pStyle w:val="5"/>
        <w:spacing w:before="163" w:after="163" w:line="240" w:lineRule="auto"/>
        <w:ind w:firstLine="241" w:firstLineChars="1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3.1.2通讯接口及通信协议</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直流充电机与后台通讯应采用以太网、2G或4G通讯方式，通信模块为工业级。</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直流充电机的充电流程包括：物理连接完成、低压辅助上电、充电握手阶段、充电配置阶段、充电阶段以及充电结束六个阶段。</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直流充电机充电通信协议，按照GB/T27930-2015《电动汽车非车载传导式充放电机与电池管理系统通信协议》，兼容2011版国标协议。</w:t>
      </w:r>
    </w:p>
    <w:p>
      <w:pPr>
        <w:keepNext w:val="0"/>
        <w:keepLines w:val="0"/>
        <w:widowControl/>
        <w:suppressLineNumbers w:val="0"/>
        <w:spacing w:line="240" w:lineRule="auto"/>
        <w:ind w:firstLine="482" w:firstLineChars="200"/>
        <w:jc w:val="left"/>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3.1.3支付方式</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IC卡、微信支付。</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3.1.4充电线缆及接口</w:t>
      </w:r>
    </w:p>
    <w:p>
      <w:pPr>
        <w:keepNext w:val="0"/>
        <w:keepLines w:val="0"/>
        <w:widowControl/>
        <w:suppressLineNumbers w:val="0"/>
        <w:spacing w:line="240" w:lineRule="auto"/>
        <w:ind w:firstLine="480" w:firstLineChars="200"/>
        <w:jc w:val="lef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充电线缆及充电枪接口需满足GB/T20234.3-2015《电动汽车传导充电用连接装置第3部分：直流充电接口》要求。充电线缆长度默认5米，可根据需求定制。</w:t>
      </w:r>
    </w:p>
    <w:p>
      <w:pPr>
        <w:keepNext w:val="0"/>
        <w:keepLines w:val="0"/>
        <w:widowControl/>
        <w:suppressLineNumbers w:val="0"/>
        <w:spacing w:line="240" w:lineRule="auto"/>
        <w:ind w:firstLine="482" w:firstLineChars="200"/>
        <w:jc w:val="left"/>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3.1.5人机交互功能</w:t>
      </w:r>
    </w:p>
    <w:p>
      <w:pPr>
        <w:adjustRightInd w:val="0"/>
        <w:snapToGrid w:val="0"/>
        <w:spacing w:line="240" w:lineRule="auto"/>
        <w:ind w:firstLine="480" w:firstLineChars="200"/>
        <w:rPr>
          <w:rFonts w:ascii="宋体" w:hAnsi="宋体" w:cs="宋体"/>
        </w:rPr>
      </w:pPr>
      <w:r>
        <w:rPr>
          <w:rFonts w:hint="eastAsia" w:ascii="宋体" w:hAnsi="宋体" w:eastAsia="宋体" w:cs="宋体"/>
          <w:b w:val="0"/>
          <w:color w:val="000000"/>
          <w:kern w:val="2"/>
          <w:sz w:val="24"/>
          <w:szCs w:val="24"/>
          <w:lang w:val="en-US" w:eastAsia="zh-CN" w:bidi="ar-SA"/>
        </w:rPr>
        <w:t>具有良好的人机交互界面，显示字符应清晰、完整，不依靠环境光源即可辨认。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1）采用7英寸彩色触屏，分辨率≥800x480。</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2）屏幕采用高灵敏度触摸屏方式，具有屏幕故障状态检测输出。</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3）触摸屏误差±0.5%，运行中，可以随时重新校准。</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4）显示输出功能，显示下列信息：</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充电电压、充电电流、充电时间、充电电量、计费单价、电池SOC、最高单体电压、最高单体温度，BMS需求电流、电压、状态信息、充电模块输出电流、电压、状态信息等参数，故障信息，累计电量等</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5）充电机具有外部手动设置充电参数、费率、充电桩的编号、运营监控系统前置IP和端口，实现手动控制的功能和界面。可通过人工设定来控制充电设备输出的电流、电压最大值。</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6）显示厂家软件版本号、上传后台软件版本号、当前时间、桩编码等。</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3.1.6数据记录与上传</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直流一体式充电机配置后台联网通讯功能、数据记录与上传功能。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1）故障事件：故障发生时间、故障原因。数据存储容量能够保存1000条以上的事件记录。</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2）设备本地存储的数据（离网数据、本地保存数据，断电补传等数据）具备本地导出功能及相应的数据接口。</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3.1.7通信和监控功能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1）能够根据上位机发送的输出功率限制值，结合BMS的充电需求，调整充电输出；</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2）监控单元具备对时功能，且对时误差不大于100 ms。</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b w:val="0"/>
          <w:color w:val="000000"/>
          <w:kern w:val="2"/>
          <w:sz w:val="24"/>
          <w:szCs w:val="24"/>
          <w:lang w:val="en-US" w:eastAsia="zh-CN" w:bidi="ar-SA"/>
        </w:rPr>
      </w:pP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通信连接质量：具有检测通信连接稳定有效性的可靠机制，具备自动检测和维护管理网络连接的功能，可以按照参数设置定期发送接收心跳包，超时没有接收到心跳包，需要断开现有连接，重新建立新链接。同时，通信的数据中断，不影响充电服务的正常进行。</w:t>
      </w:r>
    </w:p>
    <w:p>
      <w:pPr>
        <w:adjustRightInd w:val="0"/>
        <w:snapToGrid w:val="0"/>
        <w:spacing w:line="240" w:lineRule="auto"/>
        <w:ind w:firstLine="723" w:firstLineChars="3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3.1.8锁止功能</w:t>
      </w:r>
    </w:p>
    <w:p>
      <w:pPr>
        <w:adjustRightInd w:val="0"/>
        <w:snapToGrid w:val="0"/>
        <w:spacing w:line="240" w:lineRule="auto"/>
        <w:ind w:firstLine="420"/>
        <w:rPr>
          <w:rFonts w:hint="eastAsia" w:ascii="宋体" w:hAnsi="宋体" w:cs="宋体"/>
        </w:rPr>
      </w:pP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充电枪安装电子锁止装置，具有锁止功能，须防止充电过程中的意外断开，无法拔枪。当电子锁未可靠锁止时，供电设备或电动汽车停止充电或不启动充电。</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3.1.9远程升级</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充电机烧写程序可通过联网后通过监控运维平台控制，远程一键升级，远程更新所有通信协议，以及新国标更新等带来的控制模式升级。</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3.1.10自检和自恢复功能</w:t>
      </w:r>
    </w:p>
    <w:p>
      <w:pPr>
        <w:pStyle w:val="2"/>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1）充电设备具备自检及故障报警功能，包括与后台系统的联机报警功能。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2）充电设备故障排除后，能自动恢复其功能，不自动恢复充电。</w:t>
      </w:r>
    </w:p>
    <w:p>
      <w:pPr>
        <w:pStyle w:val="4"/>
        <w:spacing w:before="163" w:after="163" w:line="240" w:lineRule="auto"/>
        <w:ind w:firstLine="482" w:firstLineChars="200"/>
        <w:jc w:val="both"/>
        <w:rPr>
          <w:rFonts w:hint="eastAsia"/>
          <w:b/>
          <w:bCs/>
        </w:rPr>
      </w:pPr>
      <w:r>
        <w:rPr>
          <w:rFonts w:hint="eastAsia"/>
          <w:b/>
          <w:bCs/>
        </w:rPr>
        <w:t>3.2安全防护功能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1）充电机具有急停功能，即在紧急情况下，可从硬件上切断充电回路。</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2）充电机在具备防止蓄电池电流倒灌功能。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3）门禁检测，充电过程中门被打开或未锁好情况下充电机应能断开系统电源。</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4）充电主动保护，电池电量充满后，如车辆BMS出现故障仍下达充电指令时，充电机能根据所提供的充电电量来判断电池是否有过充的风险，并主动保护，停止充电。</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5）风扇故障检测，充电机具备风扇故障检测功能，风扇出现故障时，及时发出故障指示并发出故障指示或切断直流输出。</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6）主回路输出继电器具备触点粘连检测</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7）泄放回路失效检测，充电机具备泄放回路失效检测功能，确保不会应泄放回路</w:t>
      </w:r>
      <w:r>
        <w:rPr>
          <w:rFonts w:hint="eastAsia" w:cs="宋体"/>
        </w:rPr>
        <w:t>失效发生安全事故。</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8）应具备交流输入过/欠压保护、直流输出过欠/压保护、短路保护、内部过温保护、防雷保护、意外拔枪保护、通信中断保护等保护功能。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a）应具输入过压保护，输入欠压保护。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b）直流输出过压保护，直流输出欠压保护。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c）输出短路保护：当充电机输出端短接时，停止直流输出，并报警提示；故障排除后，充电机能正常工作；</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）内部过温保护：充电机具备内部过温保护，当内部温度达到设定保护值时，充电机降低功率或停止输出。</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d）防雷保护：充电机器具备防雷保护功能，符合GB/T18487.1-2015中11.7节要求。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e）意外拔枪保护：在充电状态下拔下充电枪，直流充电机能断开直流输出，中断充电过程。</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f）通信中断保护：充电机应具备通信中断保护，当检测到与电动汽车BMS通信中断时，充电机停止充电。</w:t>
      </w:r>
    </w:p>
    <w:p>
      <w:pPr>
        <w:pStyle w:val="4"/>
        <w:spacing w:before="163" w:after="163" w:line="240" w:lineRule="auto"/>
        <w:ind w:firstLine="482" w:firstLineChars="200"/>
        <w:jc w:val="both"/>
        <w:rPr>
          <w:rFonts w:hint="eastAsia"/>
          <w:b/>
          <w:bCs/>
        </w:rPr>
      </w:pPr>
      <w:r>
        <w:rPr>
          <w:rFonts w:hint="eastAsia"/>
          <w:b/>
          <w:bCs/>
        </w:rPr>
        <w:t>3.3电气安全及功能要求</w:t>
      </w:r>
    </w:p>
    <w:p>
      <w:pPr>
        <w:pStyle w:val="5"/>
        <w:spacing w:before="163" w:after="163" w:line="240" w:lineRule="auto"/>
        <w:ind w:firstLine="482" w:firstLineChars="200"/>
        <w:rPr>
          <w:rFonts w:hint="eastAsia" w:ascii="Times New Roman" w:hAnsi="Times New Roman"/>
          <w:b/>
          <w:bCs/>
          <w:color w:val="000000"/>
          <w:kern w:val="0"/>
          <w:sz w:val="24"/>
          <w:szCs w:val="20"/>
          <w:lang w:val="en-US" w:eastAsia="zh-CN" w:bidi="ar-SA"/>
        </w:rPr>
      </w:pPr>
      <w:r>
        <w:rPr>
          <w:rFonts w:hint="eastAsia" w:ascii="Times New Roman" w:hAnsi="Times New Roman"/>
          <w:b/>
          <w:bCs/>
          <w:color w:val="000000"/>
          <w:kern w:val="0"/>
          <w:sz w:val="24"/>
          <w:szCs w:val="20"/>
          <w:lang w:val="en-US" w:eastAsia="zh-CN" w:bidi="ar-SA"/>
        </w:rPr>
        <w:t>3.3.1工频耐压</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充电机非电气连接的各带电回路之间、各独立带电电路与地（金属外壳）之间，按其工作电压能承受表1所规定历时 1min 的工频耐压试验。试验过程中无绝缘击穿和闪络现象。</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3.3.2冲击耐压</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直流一体式充电机各带电回路、各带电电路对地（金属外壳）之间，按其工作电压能承受表1所规定标准雷电波的短时冲击电压试验，试验过程中无击穿放电。</w:t>
      </w:r>
    </w:p>
    <w:p>
      <w:pPr>
        <w:adjustRightInd w:val="0"/>
        <w:snapToGrid w:val="0"/>
        <w:spacing w:line="240" w:lineRule="auto"/>
        <w:ind w:firstLine="2409" w:firstLineChars="10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表1 绝缘试验的试验等级</w:t>
      </w:r>
    </w:p>
    <w:tbl>
      <w:tblPr>
        <w:tblStyle w:val="6"/>
        <w:tblW w:w="906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01"/>
        <w:gridCol w:w="2313"/>
        <w:gridCol w:w="1862"/>
        <w:gridCol w:w="20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88" w:hRule="atLeast"/>
          <w:jc w:val="center"/>
        </w:trPr>
        <w:tc>
          <w:tcPr>
            <w:tcW w:w="2801"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jc w:val="center"/>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额定工作电压 Ui</w:t>
            </w:r>
          </w:p>
          <w:p>
            <w:pPr>
              <w:adjustRightInd w:val="0"/>
              <w:snapToGrid w:val="0"/>
              <w:spacing w:line="240" w:lineRule="auto"/>
              <w:ind w:firstLine="480" w:firstLineChars="200"/>
              <w:jc w:val="center"/>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额定工作电压交流均方根值或直流（V）</w:t>
            </w:r>
          </w:p>
        </w:tc>
        <w:tc>
          <w:tcPr>
            <w:tcW w:w="2313"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jc w:val="center"/>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绝缘电阻测试仪器的电压等级（V）</w:t>
            </w:r>
          </w:p>
        </w:tc>
        <w:tc>
          <w:tcPr>
            <w:tcW w:w="1862"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jc w:val="both"/>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工频电压（kV）</w:t>
            </w:r>
          </w:p>
        </w:tc>
        <w:tc>
          <w:tcPr>
            <w:tcW w:w="2088"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冲击电压(kV)</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801"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960" w:firstLineChars="4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≤60</w:t>
            </w:r>
          </w:p>
        </w:tc>
        <w:tc>
          <w:tcPr>
            <w:tcW w:w="2313"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250</w:t>
            </w:r>
          </w:p>
        </w:tc>
        <w:tc>
          <w:tcPr>
            <w:tcW w:w="1862"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1.0</w:t>
            </w:r>
          </w:p>
        </w:tc>
        <w:tc>
          <w:tcPr>
            <w:tcW w:w="2088"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801"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60 &lt; Ui≤ 300</w:t>
            </w:r>
          </w:p>
        </w:tc>
        <w:tc>
          <w:tcPr>
            <w:tcW w:w="2313"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500</w:t>
            </w:r>
          </w:p>
        </w:tc>
        <w:tc>
          <w:tcPr>
            <w:tcW w:w="1862"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2.0</w:t>
            </w:r>
          </w:p>
        </w:tc>
        <w:tc>
          <w:tcPr>
            <w:tcW w:w="2088"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801"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300 &lt;Ui ≤ 700</w:t>
            </w:r>
          </w:p>
        </w:tc>
        <w:tc>
          <w:tcPr>
            <w:tcW w:w="2313"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1000</w:t>
            </w:r>
          </w:p>
        </w:tc>
        <w:tc>
          <w:tcPr>
            <w:tcW w:w="1862"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2.5</w:t>
            </w:r>
          </w:p>
        </w:tc>
        <w:tc>
          <w:tcPr>
            <w:tcW w:w="2088" w:type="dxa"/>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12</w:t>
            </w:r>
          </w:p>
        </w:tc>
      </w:tr>
    </w:tbl>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3.3.3绝缘电阻</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直流充电机输入回路对地、输出回路对地、输入对输出之间绝缘电阻大于等于10MΩ。</w:t>
      </w:r>
    </w:p>
    <w:p>
      <w:pPr>
        <w:pStyle w:val="5"/>
        <w:spacing w:before="163" w:after="163"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3.3.4漏电流</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直流一体式充电机对地在正常工作状态下漏电流应小于 3.5mA；</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漏电流大于3.5mA时,设备具有大漏电流标识。</w:t>
      </w:r>
    </w:p>
    <w:p>
      <w:pPr>
        <w:adjustRightInd w:val="0"/>
        <w:snapToGrid w:val="0"/>
        <w:spacing w:line="240" w:lineRule="auto"/>
        <w:ind w:firstLine="482" w:firstLineChars="200"/>
        <w:rPr>
          <w:rFonts w:hint="eastAsia" w:ascii="Calibri" w:hAnsi="Calibri"/>
          <w:b/>
          <w:bCs/>
          <w:color w:val="000000"/>
          <w:kern w:val="0"/>
          <w:sz w:val="24"/>
          <w:szCs w:val="20"/>
          <w:lang w:val="en-US" w:eastAsia="zh-CN" w:bidi="ar-SA"/>
        </w:rPr>
      </w:pPr>
    </w:p>
    <w:p>
      <w:pPr>
        <w:adjustRightInd w:val="0"/>
        <w:snapToGrid w:val="0"/>
        <w:spacing w:line="240" w:lineRule="auto"/>
        <w:ind w:firstLine="482" w:firstLineChars="2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3.3.5电气间隙和爬电距离</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充电机的电气间隙和爬电距离均符合表2的规定。</w:t>
      </w:r>
    </w:p>
    <w:p>
      <w:pPr>
        <w:spacing w:line="240" w:lineRule="auto"/>
        <w:jc w:val="center"/>
        <w:rPr>
          <w:rFonts w:hint="eastAsia" w:ascii="宋体" w:hAnsi="宋体"/>
          <w:b/>
          <w:bCs/>
        </w:rPr>
      </w:pPr>
    </w:p>
    <w:p>
      <w:pPr>
        <w:adjustRightInd w:val="0"/>
        <w:snapToGrid w:val="0"/>
        <w:spacing w:line="240" w:lineRule="auto"/>
        <w:ind w:firstLine="2650" w:firstLineChars="1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表2 电气间隙和爬电距离</w:t>
      </w:r>
    </w:p>
    <w:tbl>
      <w:tblPr>
        <w:tblStyle w:val="6"/>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21"/>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额定工作电压V</w:t>
            </w:r>
          </w:p>
        </w:tc>
        <w:tc>
          <w:tcPr>
            <w:tcW w:w="3021"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电气间隙mm</w:t>
            </w:r>
          </w:p>
        </w:tc>
        <w:tc>
          <w:tcPr>
            <w:tcW w:w="2852"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爬电距离mm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150 ＜ Ui≤ 300</w:t>
            </w:r>
          </w:p>
        </w:tc>
        <w:tc>
          <w:tcPr>
            <w:tcW w:w="3021"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6.0</w:t>
            </w:r>
          </w:p>
        </w:tc>
        <w:tc>
          <w:tcPr>
            <w:tcW w:w="2852"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300＜ Ui≤500</w:t>
            </w:r>
          </w:p>
        </w:tc>
        <w:tc>
          <w:tcPr>
            <w:tcW w:w="3021"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8.0</w:t>
            </w:r>
          </w:p>
        </w:tc>
        <w:tc>
          <w:tcPr>
            <w:tcW w:w="2852"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500 ＜ Ui ≤750</w:t>
            </w:r>
          </w:p>
        </w:tc>
        <w:tc>
          <w:tcPr>
            <w:tcW w:w="3021"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12.0</w:t>
            </w:r>
          </w:p>
        </w:tc>
        <w:tc>
          <w:tcPr>
            <w:tcW w:w="2852" w:type="dxa"/>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1" w:type="dxa"/>
            <w:gridSpan w:val="3"/>
            <w:noWrap w:val="0"/>
            <w:vAlign w:val="top"/>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小母线汇流排或不同极的裸露带电的导体之间，以及裸露带电导体与未经绝缘的不带电导体之间的电气间隙不小于12mm，爬电距离不小于20mm。</w:t>
            </w:r>
          </w:p>
        </w:tc>
      </w:tr>
    </w:tbl>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p>
    <w:p>
      <w:pPr>
        <w:pStyle w:val="4"/>
        <w:spacing w:before="163" w:after="163" w:line="240" w:lineRule="auto"/>
        <w:ind w:firstLine="241" w:firstLineChars="100"/>
        <w:jc w:val="both"/>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3.4直流充电机耐气候要求</w:t>
      </w:r>
    </w:p>
    <w:p>
      <w:pPr>
        <w:pStyle w:val="5"/>
        <w:spacing w:before="163" w:after="163" w:line="240" w:lineRule="auto"/>
        <w:ind w:firstLine="241" w:firstLineChars="1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3.4.1防护等级</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充电机柜体防护等级不低于GB 4208-2008中IP32（室内）或IP54（室外）的规定。</w:t>
      </w:r>
    </w:p>
    <w:p>
      <w:pPr>
        <w:pStyle w:val="5"/>
        <w:spacing w:before="163" w:after="163" w:line="240" w:lineRule="auto"/>
        <w:ind w:firstLine="241" w:firstLineChars="1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3.4.2三防（防潮湿，防霉变，防盐雾）保护</w:t>
      </w:r>
    </w:p>
    <w:p>
      <w:pPr>
        <w:spacing w:line="240" w:lineRule="auto"/>
        <w:ind w:firstLine="720" w:firstLineChars="300"/>
      </w:pPr>
      <w:r>
        <w:rPr>
          <w:rFonts w:hint="eastAsia" w:ascii="宋体" w:hAnsi="宋体" w:eastAsia="宋体" w:cs="宋体"/>
          <w:b w:val="0"/>
          <w:color w:val="000000"/>
          <w:kern w:val="2"/>
          <w:sz w:val="24"/>
          <w:szCs w:val="24"/>
          <w:lang w:val="en-US" w:eastAsia="zh-CN" w:bidi="ar-SA"/>
        </w:rPr>
        <w:t>充电机内印刷线路板、接插件等电路进行防潮湿、防霉变、防盐雾处理。</w:t>
      </w:r>
    </w:p>
    <w:p>
      <w:pPr>
        <w:pStyle w:val="5"/>
        <w:spacing w:before="163" w:after="163" w:line="240" w:lineRule="auto"/>
        <w:ind w:firstLine="241" w:firstLineChars="1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3.4.3防锈(防氧化)保护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充电机采用钣金结构。</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充电机铁质外壳和暴露在外的铁质支架、零件应采取防锈措施，非铁质的金属外壳也应具有防氧化保护膜或进行防氧化处理。</w:t>
      </w:r>
    </w:p>
    <w:p>
      <w:pPr>
        <w:pStyle w:val="5"/>
        <w:spacing w:before="163" w:after="163" w:line="240" w:lineRule="auto"/>
        <w:ind w:firstLine="241" w:firstLineChars="100"/>
        <w:rPr>
          <w:rFonts w:hint="eastAsia" w:ascii="Calibri" w:hAnsi="Calibri"/>
          <w:b/>
          <w:bCs/>
          <w:color w:val="000000"/>
          <w:kern w:val="0"/>
          <w:sz w:val="24"/>
          <w:szCs w:val="20"/>
          <w:lang w:val="en-US" w:eastAsia="zh-CN" w:bidi="ar-SA"/>
        </w:rPr>
      </w:pPr>
      <w:r>
        <w:rPr>
          <w:rFonts w:hint="eastAsia" w:ascii="Calibri" w:hAnsi="Calibri"/>
          <w:b/>
          <w:bCs/>
          <w:color w:val="000000"/>
          <w:kern w:val="0"/>
          <w:sz w:val="24"/>
          <w:szCs w:val="20"/>
          <w:lang w:val="en-US" w:eastAsia="zh-CN" w:bidi="ar-SA"/>
        </w:rPr>
        <w:t>3.4.4防风保护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充电机能承受GB/T 4797.5-2008中规定的不同地区最大风速的侵袭。</w:t>
      </w:r>
    </w:p>
    <w:p>
      <w:pPr>
        <w:pStyle w:val="2"/>
        <w:spacing w:before="163" w:after="163"/>
      </w:pPr>
      <w:r>
        <w:rPr>
          <w:rFonts w:hint="eastAsia"/>
        </w:rPr>
        <w:t>4、</w:t>
      </w:r>
      <w:r>
        <w:t>服务要求</w:t>
      </w:r>
      <w:bookmarkStart w:id="10" w:name="_Toc207089748"/>
    </w:p>
    <w:p>
      <w:pPr>
        <w:pStyle w:val="3"/>
        <w:spacing w:line="240" w:lineRule="auto"/>
        <w:ind w:left="0" w:leftChars="0" w:firstLine="241" w:firstLineChars="100"/>
        <w:rPr>
          <w:rFonts w:hint="eastAsia" w:ascii="宋体" w:hAnsi="宋体" w:eastAsia="宋体" w:cs="宋体"/>
          <w:b/>
          <w:bCs/>
          <w:color w:val="000000"/>
          <w:kern w:val="2"/>
          <w:sz w:val="24"/>
          <w:szCs w:val="24"/>
          <w:lang w:val="en-US" w:eastAsia="zh-CN" w:bidi="ar-SA"/>
        </w:rPr>
      </w:pPr>
      <w:bookmarkStart w:id="11" w:name="_Toc205360803"/>
      <w:bookmarkStart w:id="12" w:name="_Toc204048605"/>
      <w:bookmarkStart w:id="13" w:name="_Toc207089749"/>
      <w:r>
        <w:rPr>
          <w:rFonts w:hint="eastAsia" w:ascii="宋体" w:hAnsi="宋体" w:eastAsia="宋体" w:cs="宋体"/>
          <w:b/>
          <w:bCs/>
          <w:color w:val="000000"/>
          <w:kern w:val="2"/>
          <w:sz w:val="24"/>
          <w:szCs w:val="24"/>
          <w:lang w:val="en-US" w:eastAsia="zh-CN" w:bidi="ar-SA"/>
        </w:rPr>
        <w:t>4.1充电车位环境检查</w:t>
      </w:r>
      <w:bookmarkEnd w:id="11"/>
      <w:bookmarkEnd w:id="12"/>
      <w:bookmarkEnd w:id="13"/>
    </w:p>
    <w:bookmarkEnd w:id="10"/>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1）检查充电车位清洁情况，有无杂物；</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2）照明情况是否良好，有无应急照明；</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3）充电桩表面、充电桩上有无异物；</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4）检查充电桩供电及通讯线管道或桥架连接是否良好，有无断裂情况；</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5）检查充电位消防设施 充电位的消防设施齐全；</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6）有无应急消防操作指导；</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7）核对充电桩运行保养记录，了解机组运行保养状况。</w:t>
      </w:r>
    </w:p>
    <w:p>
      <w:pPr>
        <w:spacing w:line="240" w:lineRule="auto"/>
        <w:ind w:firstLine="241" w:firstLineChars="100"/>
        <w:rPr>
          <w:rFonts w:hint="eastAsia" w:ascii="宋体" w:hAnsi="宋体" w:eastAsia="宋体" w:cs="宋体"/>
          <w:b/>
          <w:bCs/>
          <w:color w:val="000000"/>
          <w:kern w:val="2"/>
          <w:sz w:val="24"/>
          <w:szCs w:val="24"/>
          <w:lang w:val="en-US" w:eastAsia="zh-CN" w:bidi="ar-SA"/>
        </w:rPr>
      </w:pPr>
      <w:bookmarkStart w:id="14" w:name="_Toc205360804"/>
      <w:bookmarkStart w:id="15" w:name="_Toc204048606"/>
      <w:bookmarkStart w:id="16" w:name="_Toc207089750"/>
      <w:r>
        <w:rPr>
          <w:rFonts w:hint="eastAsia" w:ascii="宋体" w:hAnsi="宋体" w:eastAsia="宋体" w:cs="宋体"/>
          <w:b/>
          <w:bCs/>
          <w:color w:val="000000"/>
          <w:kern w:val="2"/>
          <w:sz w:val="24"/>
          <w:szCs w:val="24"/>
          <w:lang w:val="en-US" w:eastAsia="zh-CN" w:bidi="ar-SA"/>
        </w:rPr>
        <w:t>4.2充电桩整体状况检查</w:t>
      </w:r>
      <w:bookmarkEnd w:id="14"/>
      <w:bookmarkEnd w:id="15"/>
      <w:bookmarkEnd w:id="16"/>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 xml:space="preserve">1）充电桩底座是否有损坏，裂痕，倾斜现象； </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2）检查充电桩本身及布线管道或桥架各部件的安装情况，各附件安装的稳固程度，及固定膨胀螺栓相连是否牢靠；</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3）充电桩固定情况检查，有无脱落，晃动现象；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4）充电枪是否脱落，枪头是否插在枪位内，充电桩内部及枪头内部有无残留水；</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 xml:space="preserve">5）充电桩进线接线端子，通讯线接线接线端子，有无松动，烧黑，充电桩内部元器件安装牢靠，无损伤，无脱落； </w:t>
      </w:r>
    </w:p>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6）充电桩电缆布线合理，使用软线连接，各接线端子连接紧密无松动；</w:t>
      </w:r>
    </w:p>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7）充电桩内接地端子并有明显的标志，并接地良好。</w:t>
      </w:r>
      <w:bookmarkStart w:id="17" w:name="_Toc205360805"/>
      <w:bookmarkStart w:id="18" w:name="_Toc204048607"/>
      <w:bookmarkStart w:id="19" w:name="_Toc207089751"/>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4.3充电桩配电柜的检查</w:t>
      </w:r>
      <w:bookmarkEnd w:id="17"/>
      <w:bookmarkEnd w:id="18"/>
      <w:bookmarkEnd w:id="19"/>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1）配电柜柜门是否上锁；柜体上电源指示灯是否正常；配电柜是否掉落，倾斜；配电柜表面和内部是否有水气；</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2）配电柜内部是否安装防护网，柜门与柜体之间是否可靠接地；</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3）配电柜上方桥架是否松动，桥架盖板有无脱落现象；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4）配电柜内部断路器接线螺丝是否有烧毁，烧黑现象，配电柜内部电流互感器，铜排，接线端子是否有烧毁，烧黑现象；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5）断路器下方至充电桩配线是否排列整齐，线缆有无松动现象；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6）配电柜内部接地铜排上接地线是否有松动，是否牢靠。</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4.4充电桩功能检查</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使用用户卡对每一台充电桩进行功能性检查：</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1）用用户卡对每一台充电桩进行检查；</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2）充电桩是否供电，指示灯是否亮起；</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3）充电桩显示屏是否亮起；</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4）检查刷卡器是否能够正常刷卡；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5）分别依次选择四种充电模式，检查四种模式是否能都够正常使用；</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6）检查充电接口是否能够使用。</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bookmarkStart w:id="20" w:name="_Toc205360809"/>
      <w:bookmarkStart w:id="21" w:name="_Toc207089755"/>
      <w:bookmarkStart w:id="22" w:name="_Toc204048611"/>
      <w:r>
        <w:rPr>
          <w:rFonts w:hint="eastAsia" w:ascii="宋体" w:hAnsi="宋体" w:eastAsia="宋体" w:cs="宋体"/>
          <w:b/>
          <w:bCs/>
          <w:color w:val="000000"/>
          <w:kern w:val="2"/>
          <w:sz w:val="24"/>
          <w:szCs w:val="24"/>
          <w:lang w:val="en-US" w:eastAsia="zh-CN" w:bidi="ar-SA"/>
        </w:rPr>
        <w:t>4.5电气及控制系统检查</w:t>
      </w:r>
      <w:bookmarkEnd w:id="20"/>
      <w:bookmarkEnd w:id="21"/>
      <w:bookmarkEnd w:id="22"/>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1）进线电缆和枪头的选用是否适合充电桩输入电压以及额定电流；</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2）充电桩良好的接地，端子并有明显的标志；</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3）充电桩独立电气回路对地及回路间的绝缘电阻应不低于规定；</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4）电缆的接线端子是否连接紧密并牢固；</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5）充电桩配电电线及内部控制线有无老化；</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6）检查充电桩控制电路板，内部各个设备有无老化；</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7）检查充电桩供电端电压，对地电压，是否正常值范围；</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8）检查充电桩漏电电压、电流是否正常值范围。</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bookmarkStart w:id="23" w:name="_Toc205360810"/>
      <w:bookmarkStart w:id="24" w:name="_Toc204048613"/>
      <w:bookmarkStart w:id="25" w:name="_Toc207089756"/>
      <w:r>
        <w:rPr>
          <w:rFonts w:hint="eastAsia" w:ascii="宋体" w:hAnsi="宋体" w:eastAsia="宋体" w:cs="宋体"/>
          <w:b/>
          <w:bCs/>
          <w:color w:val="000000"/>
          <w:kern w:val="2"/>
          <w:sz w:val="24"/>
          <w:szCs w:val="24"/>
          <w:lang w:val="en-US" w:eastAsia="zh-CN" w:bidi="ar-SA"/>
        </w:rPr>
        <w:t>4.6充电桩使用维护规程</w:t>
      </w:r>
      <w:bookmarkEnd w:id="23"/>
      <w:bookmarkEnd w:id="24"/>
      <w:bookmarkEnd w:id="25"/>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1）断路器、配电电缆应按品牌、型号、电流、及存放仓库等进行编号填入维护清单。</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2）各区域应指定专门人员进行管理维护。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3）电缆线应按三相与单相、长度、线规进行列表管理，并贴好相应长度与线规的标签，收绕捆扎整洁排放整齐，不可杂乱堆叠在一起。</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4）维护人员应配备充电桩维护工具：万用表、钳形表、电笔、绝缘胶布、大小螺丝刀、老虎钳、尖嘴钳、套筒、扳手等常用工具。</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5）每个月做一次充电桩安全检查及维护。</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4.7维护注意事项</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 xml:space="preserve">1）检查充电桩各连接部分是否牢固正常，充电桩底座是否有裂纹，破损。 </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2）注意维护安全，更换充电桩内部配件需要断电操作，确保安全，以防触电。</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3）进行现场维护时一人维护操作，一人配合监督，严禁单人操作。</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4）严格执行日常维护保养记录表，发现问题及时处理，避免造成更大损失。</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 xml:space="preserve">5）在断电维护时需要在对应断路器下方悬挂“有人工作，禁止合闸”类似表示，确保人身安全。 </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6）做好安全防护措施，维护时需要穿绝缘鞋，注意安全，以防砸伤，电击。</w:t>
      </w:r>
    </w:p>
    <w:p>
      <w:pPr>
        <w:pStyle w:val="2"/>
        <w:spacing w:before="163" w:after="163" w:line="240" w:lineRule="auto"/>
        <w:rPr>
          <w:lang w:bidi="ar"/>
        </w:rPr>
      </w:pPr>
      <w:r>
        <w:rPr>
          <w:rFonts w:hint="eastAsia"/>
          <w:lang w:bidi="ar"/>
        </w:rPr>
        <w:t>5、施工（建设）</w:t>
      </w:r>
      <w:r>
        <w:rPr>
          <w:lang w:bidi="ar"/>
        </w:rPr>
        <w:t>要求</w:t>
      </w:r>
      <w:bookmarkStart w:id="26" w:name="_TOC_250024"/>
    </w:p>
    <w:p>
      <w:pPr>
        <w:pStyle w:val="2"/>
        <w:spacing w:before="163" w:after="163" w:line="240" w:lineRule="auto"/>
        <w:ind w:firstLine="482" w:firstLineChars="2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5.1配电线路及敷设</w:t>
      </w:r>
      <w:bookmarkEnd w:id="26"/>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1）配电线路和控制线路宜采用铜芯导体。</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 高压电缆宜选用交联聚乙烯绝缘类型，低压电缆宜选用交联聚乙烯绝缘类型，照明及插座宜选用 聚氯乙烯绝缘护套电线。</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3）移动式电气设备等经常弯移或有较高柔软性要求的回路，应使用橡皮绝缘等电缆。</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4）低压接地系统为 TN-S 时，宜选用五芯电缆，电缆中性线截面应与相线截面相同；低压接地系统 为 IT 时，可选用带 PE 保护线的四芯电缆。</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5）用于三相用电设备的电力电缆，其外护套宜采用钢带铠装类。用于单相负荷及直流负荷的单芯电 缆，其外护套不应采用导磁性材料铠装。</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 低压电缆截面应满足最大电流工作时，导体载流量的要求，并应校验线路允许电压降，以满足电 气装置的正常工作。</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7）为便于低压供电线路引入、引出充电桩，低压线路的截面不宜大于 120mm2。</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8）向成组布置的交流充电桩供电的低压电缆总长度应保证电缆线路正常泄露电流不使剩余电流保 护装置发生误动作。</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9）单芯电缆不宜单根穿钢管敷设，当需要单根穿管时，应采用非导磁管材，也可采用经过磁路分 隔处理的钢管。</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bookmarkStart w:id="27" w:name="_TOC_250011"/>
      <w:r>
        <w:rPr>
          <w:rFonts w:hint="eastAsia" w:ascii="宋体" w:hAnsi="宋体" w:eastAsia="宋体" w:cs="宋体"/>
          <w:b/>
          <w:bCs/>
          <w:color w:val="000000"/>
          <w:kern w:val="2"/>
          <w:sz w:val="24"/>
          <w:szCs w:val="24"/>
          <w:lang w:val="en-US" w:eastAsia="zh-CN" w:bidi="ar-SA"/>
        </w:rPr>
        <w:t>5.2防雷与接地</w:t>
      </w:r>
      <w:bookmarkEnd w:id="27"/>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1）充电站的防雷与接地应满足 GB 50057《建筑物防雷设计规范》、DL/T 621《交流电气装置的 接地》的有关规定。</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2）独立建设的充电站属于第三类防雷建筑物。如与其他建筑物共同建设时，应综合考虑建筑物的 性质并经计算确定其防雷级别。</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3）充电站应采取防直击雷、防雷电波入侵和防雷电电磁脉冲的技术措施。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4）充电站电气设备的工作接地、保护接地、防雷接地宜共用一套接地装置。接地装置的接地电阻应不 大于 4Ω。</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bookmarkStart w:id="28" w:name="_TOC_250005"/>
      <w:r>
        <w:rPr>
          <w:rFonts w:hint="eastAsia" w:ascii="宋体" w:hAnsi="宋体" w:eastAsia="宋体" w:cs="宋体"/>
          <w:b/>
          <w:bCs/>
          <w:color w:val="000000"/>
          <w:kern w:val="2"/>
          <w:sz w:val="24"/>
          <w:szCs w:val="24"/>
          <w:lang w:val="en-US" w:eastAsia="zh-CN" w:bidi="ar-SA"/>
        </w:rPr>
        <w:t>5.3消防及安全</w:t>
      </w:r>
      <w:bookmarkEnd w:id="28"/>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1）充电站电力设备的消防安全要求应满足 DL 5027《电力设备典型消防规程》的有关规定。</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2）二级电力用户的充电站宜设置火灾自动报警系统，并应满足 GB 50016-2006《火灾自动报警系统 设计规范》的有关规定。</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3）充电站应设置灭火剂，灭火剂的选用应能提高灭火的有效性、降低对设备和人员的影响。</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4）充电站内应设置消防砂坑（库），消防用砂应保持充足和干燥。</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5）电缆在室外进入建筑物内的入口处，以及电缆在穿越各房间隔墙、楼板的孔洞在线路敷设完毕 后，应采用防火封堵材料进行封堵。</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6）充电站防治白蚁的措施应按照国家及地方相关标准执行。</w:t>
      </w:r>
    </w:p>
    <w:p>
      <w:pPr>
        <w:pStyle w:val="2"/>
        <w:spacing w:before="163" w:after="163" w:line="240" w:lineRule="auto"/>
        <w:rPr>
          <w:lang w:bidi="ar"/>
        </w:rPr>
      </w:pPr>
      <w:r>
        <w:rPr>
          <w:rFonts w:hint="eastAsia"/>
          <w:lang w:bidi="ar"/>
        </w:rPr>
        <w:t>6、</w:t>
      </w:r>
      <w:r>
        <w:rPr>
          <w:lang w:bidi="ar"/>
        </w:rPr>
        <w:t>商务需求</w:t>
      </w:r>
    </w:p>
    <w:p>
      <w:pPr>
        <w:adjustRightInd w:val="0"/>
        <w:snapToGrid w:val="0"/>
        <w:spacing w:line="240" w:lineRule="auto"/>
        <w:ind w:firstLine="482" w:firstLineChars="2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6.1工期及交货地点</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交付地点：采购人指定地点。</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交付时间：</w:t>
      </w:r>
      <w:r>
        <w:rPr>
          <w:rFonts w:hint="eastAsia" w:ascii="宋体" w:hAnsi="宋体" w:eastAsia="宋体" w:cs="宋体"/>
          <w:b w:val="0"/>
          <w:color w:val="000000"/>
          <w:kern w:val="2"/>
          <w:sz w:val="24"/>
          <w:szCs w:val="24"/>
          <w:lang w:val="en-GB" w:eastAsia="zh-CN" w:bidi="ar-SA"/>
        </w:rPr>
        <w:t>合同签订生效之日起30天内。</w:t>
      </w:r>
    </w:p>
    <w:p>
      <w:pPr>
        <w:pStyle w:val="4"/>
        <w:spacing w:before="163" w:after="163" w:line="240" w:lineRule="auto"/>
        <w:ind w:firstLine="482" w:firstLineChars="2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6.2付款方式</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合同签订之日起10个工作日内，支付合同总金额30%的预付款，货物交付后经乙方安装、调试并经双方验收合格之日起15个工作日内，支付合同金额的50%验收款；项目运行并完成审计后付完剩余20%结算款。</w:t>
      </w:r>
    </w:p>
    <w:p>
      <w:pPr>
        <w:pStyle w:val="4"/>
        <w:spacing w:before="163" w:after="163" w:line="240" w:lineRule="auto"/>
        <w:ind w:firstLine="482" w:firstLineChars="2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6.3设备采购要求</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6.3.1质量要求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1）全部设备必须是全新的，持久耐用的，应满足作为一个完整产品所能满足的全部要求。投标方应保证设备在规定的使用条件下运行、并按使用说明书进行安装和维护。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2）投标方应保证其提供的产品是全新的、未使用过的，所有合同货物本体、附件及部件必须防腐防锈，质保期内不得出现锈蚀、开裂，否则应无条件更换。</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3）在合同货物质量保证期内，如发现投标方提供的合同货物有缺陷，不符合合同约定时，招标方可向投标方提出索赔。</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4）订购的新型产品除应满足本标准外，投标方还应提供该产品的相关检测证书。</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5）投标方应保证制造过程中的所有工艺、材料试验等（包括投标方的外购件在内）均应符合本标准的规定。若招标方根据运行经验指定投标方提供某种外购零部件，投标方应积极配合。</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7）附属及配套设备必须满足有关行业标准的要求，并提供试验报告和产品合格证。</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8）投标方应有遵守本标准中各条款和工作项目的ISO9000-GB/T19000质量保证体系，该质量保证体系已经通过国家认证并在正常运转。</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6.3.2包装要求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1）要严格按照标准对设备进行包装、运输和储存。投标方应在交货前的适当时间提供设备的运输和储存说明书。</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2）包装箱上应有运输及起吊标志：“向上”、“防潮”、“小心轻放”、“由此吊起”等字样明显的包装储运图示标志，并应标明设备的订货号和发货号。</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设备及附件的包装应能保证各零部件在运输过程中不致遭到脏污、损坏、变形、丢失及受潮。对于其中的绝缘部件及由有机绝缘材料制成的绝缘件应特别加以保护，以免损坏和受潮。对于外露的接触表面，应有预防腐蚀的措施。所有运输措施均应经过验证。凡有运输损坏，应由投标方负责赔偿。</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6.3.3运输要求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1）整体运输时，设备内部元件应不得移位、损坏和受潮，不得影响安装。</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2）单独运输的零部件应有标志，便于用户安装装配。</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3）整体产品或分别运输的部件，都要适合于运输及装卸的要求。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4）随同运输的产品应附有装箱清单，产品所需提供的技术资料应完整无缺。</w:t>
      </w:r>
    </w:p>
    <w:p>
      <w:pPr>
        <w:pStyle w:val="4"/>
        <w:spacing w:before="163" w:after="163" w:line="240" w:lineRule="auto"/>
        <w:ind w:firstLine="241" w:firstLineChars="1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6.4安装调试要求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投标方在安装和启动时应安排技术人员提供现场安装指导服务，提出技术建议，并有对运行人员提供相关培训的义务。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设备在现场搬运、吊装就位和安装时，应按照GB 26164.1-2010《电业安全工作规程 第1部分：热力和机械》的要求进行。</w:t>
      </w:r>
    </w:p>
    <w:p>
      <w:pPr>
        <w:pStyle w:val="4"/>
        <w:spacing w:before="163" w:after="163" w:line="240" w:lineRule="auto"/>
        <w:ind w:firstLine="241" w:firstLineChars="1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6.5 验收要求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1）投标方负责将合同设备运送到招标方指定的安装、调试地点，由此产生的费用由投标方承担。</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2）招标方依投标方在投标文件中的承诺对全部设备的型号、规格、数量、外形、外观、包装及资料、文件（包括装箱单、保修单、随箱介质等）等进行验收。</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3）双方对设备到货后共同配合进行开箱检查，出现损坏、数量不全或产品不对等问题时，由投标方负责解决。</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4）在招标方指定的地点和环境下，投标方负责对合同设备进行调试（所有部件模块的功能能够正常运行和使用），加电实现正常运行，并达到投标方在投标文件中承诺的技术指标和性能。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5）设备到货验收及加电验收中出现性能指标或功能上不符合投标方在投标文件中的承诺、产品质量问题以及合同要求时，招标方有拒收的权利并取消投标方中标资格。</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系统安装、调试达到技术规范书规定的指标后，可进行验收测试。设备安装完毕后，招标方应在收到中标方验收通知后10天内组织有关人员进行验收，招标方在办理项目竣工验收手续且正常使用，视为验收合格。招标方可根据合同及技术规范和招标方的有关规定进行修改和补充，经双方确认后形成验收文件作为验收依据。终验测试合格后，双方签署终验文件。</w:t>
      </w:r>
    </w:p>
    <w:p>
      <w:pPr>
        <w:pStyle w:val="4"/>
        <w:spacing w:before="163" w:after="163" w:line="240" w:lineRule="auto"/>
        <w:ind w:firstLine="241" w:firstLineChars="1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6.6技术培训要求</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1、现场培训</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为了使招标方维护人员能独立进行设备的安装、测试、维护，投标方应在设备的安装、调试、验收完毕后即进行现场培训直至招标方操作人员基本掌握使用操作、维护保养技术。</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至少应包含以下内容：</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（1）为维护及安装工作所必须的全部工作文件的讲解；</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（2）设备的安装和测试；</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（3）设备的操作和维护；</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（3）设备的常用配置及日常故障处理。</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2、高级培训</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投标方需按照招标方意愿向招标方提供投标产品原厂商的技术培训，培训名额至少2人。培训相关的教材、讲师及学员的食宿等费用由投标方承担。</w:t>
      </w:r>
    </w:p>
    <w:p>
      <w:pPr>
        <w:pStyle w:val="2"/>
        <w:spacing w:before="163" w:after="163" w:line="240" w:lineRule="auto"/>
        <w:rPr>
          <w:lang w:bidi="ar"/>
        </w:rPr>
      </w:pPr>
      <w:r>
        <w:rPr>
          <w:rFonts w:hint="eastAsia"/>
          <w:lang w:bidi="ar"/>
        </w:rPr>
        <w:t>7、售后服务</w:t>
      </w:r>
      <w:r>
        <w:rPr>
          <w:lang w:bidi="ar"/>
        </w:rPr>
        <w:t>要求</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投标方应承诺本项目质保期为终验合格之日起5年，并承诺在质保期内维护服务为原厂服务并免费提供以下服务：</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7.1定制化的技术支持服务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投标方应承诺根据本项目实施环境为招标方提供定制化的技术服务，服务支持时间为7×24小时。</w:t>
      </w:r>
    </w:p>
    <w:p>
      <w:pPr>
        <w:spacing w:line="240" w:lineRule="auto"/>
        <w:ind w:firstLine="723" w:firstLineChars="30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7.2故障响应、诊断、修复及故障报告服务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投标方应根据招标方申告的故障级别，采取必要的服务措施，尽快修复故障，保证满足双方约定的服务等级中相应故障级别的处理时限。</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根据故障的严重程度和影响程度的不同，故障级别由低到高分为三级故障、二级故障和一级故障。当故障没有在规定时限内恢复或解决时，故障级别将自动升级。</w:t>
      </w:r>
    </w:p>
    <w:p>
      <w:pPr>
        <w:adjustRightInd w:val="0"/>
        <w:snapToGrid w:val="0"/>
        <w:spacing w:line="240" w:lineRule="auto"/>
        <w:ind w:firstLine="960" w:firstLineChars="4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故障等级分类如下：</w:t>
      </w:r>
    </w:p>
    <w:tbl>
      <w:tblPr>
        <w:tblStyle w:val="6"/>
        <w:tblW w:w="8415" w:type="dxa"/>
        <w:tblInd w:w="0" w:type="dxa"/>
        <w:tblLayout w:type="fixed"/>
        <w:tblCellMar>
          <w:top w:w="0" w:type="dxa"/>
          <w:left w:w="28" w:type="dxa"/>
          <w:bottom w:w="0" w:type="dxa"/>
          <w:right w:w="28" w:type="dxa"/>
        </w:tblCellMar>
      </w:tblPr>
      <w:tblGrid>
        <w:gridCol w:w="1435"/>
        <w:gridCol w:w="6980"/>
      </w:tblGrid>
      <w:tr>
        <w:tblPrEx>
          <w:tblCellMar>
            <w:top w:w="0" w:type="dxa"/>
            <w:left w:w="28" w:type="dxa"/>
            <w:bottom w:w="0" w:type="dxa"/>
            <w:right w:w="28" w:type="dxa"/>
          </w:tblCellMar>
        </w:tblPrEx>
        <w:trPr>
          <w:trHeight w:val="227"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一级故障</w:t>
            </w:r>
          </w:p>
        </w:tc>
        <w:tc>
          <w:tcPr>
            <w:tcW w:w="69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主要指设备在运行中出现系统瘫痪或服务中断，导致设备的基本功能不能实现或全面退化的故障；其他造成业务中断1个小时以上或导致关键业务数据丢失的故障。</w:t>
            </w:r>
          </w:p>
        </w:tc>
      </w:tr>
      <w:tr>
        <w:tblPrEx>
          <w:tblCellMar>
            <w:top w:w="0" w:type="dxa"/>
            <w:left w:w="28" w:type="dxa"/>
            <w:bottom w:w="0" w:type="dxa"/>
            <w:right w:w="28" w:type="dxa"/>
          </w:tblCellMar>
        </w:tblPrEx>
        <w:trPr>
          <w:trHeight w:val="90"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二级故障</w:t>
            </w:r>
          </w:p>
        </w:tc>
        <w:tc>
          <w:tcPr>
            <w:tcW w:w="69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主要指设备在运行中出现的直接影响业务、并导致系统性能或业务部分退化的故障；设备在运行中出现的故障具有潜在的系统瘫痪或服务中断的危险，并可能导致设备的基本功能不能实现或全面退化；系统设备或操作系统故障，造成业务中断但不满1小时的。</w:t>
            </w:r>
          </w:p>
        </w:tc>
      </w:tr>
      <w:tr>
        <w:tblPrEx>
          <w:tblCellMar>
            <w:top w:w="0" w:type="dxa"/>
            <w:left w:w="28" w:type="dxa"/>
            <w:bottom w:w="0" w:type="dxa"/>
            <w:right w:w="28" w:type="dxa"/>
          </w:tblCellMar>
        </w:tblPrEx>
        <w:trPr>
          <w:trHeight w:val="227" w:hRule="atLeast"/>
        </w:trPr>
        <w:tc>
          <w:tcPr>
            <w:tcW w:w="1435"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三级故障</w:t>
            </w:r>
          </w:p>
        </w:tc>
        <w:tc>
          <w:tcPr>
            <w:tcW w:w="6980" w:type="dxa"/>
            <w:tcBorders>
              <w:top w:val="nil"/>
              <w:left w:val="nil"/>
              <w:bottom w:val="single" w:color="auto" w:sz="4" w:space="0"/>
              <w:right w:val="single" w:color="auto" w:sz="4" w:space="0"/>
            </w:tcBorders>
            <w:noWrap w:val="0"/>
            <w:vAlign w:val="center"/>
          </w:tcPr>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主要指设备在运行中出现的影响系统或硬件功能和性能，但关键业务不受影响的故障。</w:t>
            </w:r>
          </w:p>
        </w:tc>
      </w:tr>
    </w:tbl>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投标方应提供7×24小时的故障响应服务，根据招标方申告的故障级别尽快安排相关技术人员进行故障处理。</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可通过用户报障信息、抵达现场等方式进行故障诊断，根据故障情况尽快分析故障原因。对于影响业务的一、二级故障，在进行故障处理时，投标方应优先考虑业务恢复，再彻底解决故障。投标方可通过电话指导或现场服务等方式进行故障修复，并保证满足双方约定的服务等级中相应故障级别所规定的时限。</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故障彻底解决后，对于一级二级故障，在故障发生的72小时内需要提供阶段性中文书面故障报告，其他情况下的故障报告提交视招标方要求而定。分析报告内容包括：故障现象、故障类型、故障起始时间、故障修复时间、故障原因、故障处理情况及结果、故障处理人及今后的预防措施等。</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故障响应、诊断、业务恢复和故障解决的时限要求如下：</w:t>
      </w:r>
    </w:p>
    <w:tbl>
      <w:tblPr>
        <w:tblStyle w:val="6"/>
        <w:tblW w:w="8782" w:type="dxa"/>
        <w:tblInd w:w="0" w:type="dxa"/>
        <w:tblLayout w:type="fixed"/>
        <w:tblCellMar>
          <w:top w:w="0" w:type="dxa"/>
          <w:left w:w="108" w:type="dxa"/>
          <w:bottom w:w="0" w:type="dxa"/>
          <w:right w:w="108" w:type="dxa"/>
        </w:tblCellMar>
      </w:tblPr>
      <w:tblGrid>
        <w:gridCol w:w="1500"/>
        <w:gridCol w:w="1559"/>
        <w:gridCol w:w="1636"/>
        <w:gridCol w:w="2183"/>
        <w:gridCol w:w="1904"/>
      </w:tblGrid>
      <w:tr>
        <w:tblPrEx>
          <w:tblCellMar>
            <w:top w:w="0" w:type="dxa"/>
            <w:left w:w="108" w:type="dxa"/>
            <w:bottom w:w="0" w:type="dxa"/>
            <w:right w:w="108" w:type="dxa"/>
          </w:tblCellMar>
        </w:tblPrEx>
        <w:trPr>
          <w:trHeight w:val="412" w:hRule="atLeast"/>
        </w:trPr>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故障等级</w:t>
            </w:r>
          </w:p>
        </w:tc>
        <w:tc>
          <w:tcPr>
            <w:tcW w:w="1559"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响应时间</w:t>
            </w:r>
          </w:p>
        </w:tc>
        <w:tc>
          <w:tcPr>
            <w:tcW w:w="1636"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诊断时间</w:t>
            </w:r>
          </w:p>
        </w:tc>
        <w:tc>
          <w:tcPr>
            <w:tcW w:w="218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业务恢复时间</w:t>
            </w:r>
          </w:p>
        </w:tc>
        <w:tc>
          <w:tcPr>
            <w:tcW w:w="1904"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故障解决时间</w:t>
            </w:r>
          </w:p>
        </w:tc>
      </w:tr>
      <w:tr>
        <w:tblPrEx>
          <w:tblCellMar>
            <w:top w:w="0" w:type="dxa"/>
            <w:left w:w="108" w:type="dxa"/>
            <w:bottom w:w="0" w:type="dxa"/>
            <w:right w:w="108" w:type="dxa"/>
          </w:tblCellMar>
        </w:tblPrEx>
        <w:trPr>
          <w:trHeight w:val="412" w:hRule="atLeast"/>
        </w:trPr>
        <w:tc>
          <w:tcPr>
            <w:tcW w:w="150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一级故障</w:t>
            </w:r>
          </w:p>
        </w:tc>
        <w:tc>
          <w:tcPr>
            <w:tcW w:w="1559"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立即</w:t>
            </w:r>
          </w:p>
        </w:tc>
        <w:tc>
          <w:tcPr>
            <w:tcW w:w="1636"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1小时内</w:t>
            </w:r>
          </w:p>
        </w:tc>
        <w:tc>
          <w:tcPr>
            <w:tcW w:w="2183"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 小时内</w:t>
            </w:r>
          </w:p>
        </w:tc>
        <w:tc>
          <w:tcPr>
            <w:tcW w:w="1904"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72小时内</w:t>
            </w:r>
          </w:p>
        </w:tc>
      </w:tr>
      <w:tr>
        <w:tblPrEx>
          <w:tblCellMar>
            <w:top w:w="0" w:type="dxa"/>
            <w:left w:w="108" w:type="dxa"/>
            <w:bottom w:w="0" w:type="dxa"/>
            <w:right w:w="108" w:type="dxa"/>
          </w:tblCellMar>
        </w:tblPrEx>
        <w:trPr>
          <w:trHeight w:val="412" w:hRule="atLeast"/>
        </w:trPr>
        <w:tc>
          <w:tcPr>
            <w:tcW w:w="150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二级故障</w:t>
            </w:r>
          </w:p>
        </w:tc>
        <w:tc>
          <w:tcPr>
            <w:tcW w:w="1559"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立即</w:t>
            </w:r>
          </w:p>
        </w:tc>
        <w:tc>
          <w:tcPr>
            <w:tcW w:w="1636"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4小时内</w:t>
            </w:r>
          </w:p>
        </w:tc>
        <w:tc>
          <w:tcPr>
            <w:tcW w:w="2183"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8 小时内</w:t>
            </w:r>
          </w:p>
        </w:tc>
        <w:tc>
          <w:tcPr>
            <w:tcW w:w="1904"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72小时内</w:t>
            </w:r>
          </w:p>
        </w:tc>
      </w:tr>
      <w:tr>
        <w:tblPrEx>
          <w:tblCellMar>
            <w:top w:w="0" w:type="dxa"/>
            <w:left w:w="108" w:type="dxa"/>
            <w:bottom w:w="0" w:type="dxa"/>
            <w:right w:w="108" w:type="dxa"/>
          </w:tblCellMar>
        </w:tblPrEx>
        <w:trPr>
          <w:trHeight w:val="412" w:hRule="atLeast"/>
        </w:trPr>
        <w:tc>
          <w:tcPr>
            <w:tcW w:w="150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三级故障</w:t>
            </w:r>
          </w:p>
        </w:tc>
        <w:tc>
          <w:tcPr>
            <w:tcW w:w="1559" w:type="dxa"/>
            <w:tcBorders>
              <w:top w:val="nil"/>
              <w:left w:val="nil"/>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 小时内</w:t>
            </w:r>
          </w:p>
        </w:tc>
        <w:tc>
          <w:tcPr>
            <w:tcW w:w="1636" w:type="dxa"/>
            <w:tcBorders>
              <w:top w:val="nil"/>
              <w:left w:val="nil"/>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12小时内</w:t>
            </w:r>
          </w:p>
        </w:tc>
        <w:tc>
          <w:tcPr>
            <w:tcW w:w="2183"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24 小时内</w:t>
            </w:r>
          </w:p>
        </w:tc>
        <w:tc>
          <w:tcPr>
            <w:tcW w:w="1904" w:type="dxa"/>
            <w:tcBorders>
              <w:top w:val="nil"/>
              <w:left w:val="nil"/>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168小时内</w:t>
            </w:r>
          </w:p>
        </w:tc>
      </w:tr>
    </w:tbl>
    <w:p>
      <w:pPr>
        <w:spacing w:line="24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7.3技术支持服务</w:t>
      </w:r>
    </w:p>
    <w:p>
      <w:pPr>
        <w:spacing w:line="24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7.3.1一般电话支持</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指招标方在使用投标方提供的产品时遇到使用中的疑难或设备出现一般不正常状态，通过电话或传真向投标方寻求技术支持和帮助。投标方通过电话指导招标方进行故障定位，提出最佳解决方案，最终成功指导招标方排除故障；根据故障等级，在电话支持方式不能解决故障时，投标方应承诺在某一规定时间内到招标方现场成功排除故障。</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投标方一般电话支持服务热线提供每周七日，每日24个小时的电话故障诊断。</w:t>
      </w:r>
    </w:p>
    <w:p>
      <w:pPr>
        <w:spacing w:line="24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7.3.2电话7×24小时支持</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指招标方在使用投标方提供的产品时无论何时遇到疑难问题或设备出现不正常状态，通过此方式寻求技术支持和帮助，投标方设专门的高级技术人员，快速响应招标方的服务请求进行故障定位，及时指导招标方排除故障。</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投标方应在24小时内任意时刻（包括正常工作日及休息日每天24 小时）向招标方提供电话支持并随时接受招标方请求，及时帮助招标方解决一系列故障，实现为招标方服务，让招标方满意的承诺。</w:t>
      </w:r>
    </w:p>
    <w:p>
      <w:pPr>
        <w:spacing w:line="24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7.3.3现场故障排除及技术支持服务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在投标方电话支持方式不能解决设备技术故障时，投标方应派技术支持工程师以最短时间赴现场分析故障原因，制定故障排除方案，最终排除故障，实际发生的全部费用由投标方承担（包括交通费和住宿费等）。</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技术方案经过招标方批准后，在招标方允许下由投标方技术支持工程师进行具体实施。</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技术方案实施时可能引起的服务中断，投标方在招标方评审方案时必须提醒招标方。</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故障排除设备运行正常后，投标方应提交故障解决的书面分析报告。</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投标方根据现场设备运行情况，在招标方同意后，免费对系统软件进行升级服务。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投标方在完成现场故障排除后，应针对此类故障的起因和解决方法对招标方人员进行现场培训，提高招标方技术人员排除故障的能力。</w:t>
      </w:r>
    </w:p>
    <w:p>
      <w:pPr>
        <w:spacing w:line="24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7.3.4故障硬件的返修和更换</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1、由于投标方的硬件、软件缺陷等原因影响业务运作时，投标方应无条件进行更换或升级处理。</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经故障诊断，判断为硬件故障时，投标方应在24小时内提供与故障硬件相同型号的新的未使用和未经修复的备件到现场。在查明故障件故障原因后，投标方应提交详细的设备件故障分析报告，并提出如何积极防范此种故障的建议。</w:t>
      </w:r>
    </w:p>
    <w:p>
      <w:pPr>
        <w:spacing w:line="24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7.3.5设备巡检服务</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1、投标方应对在招标方正式运行的投标设备定期（每年至少两次）巡检服务，投标方应派出技术经验丰富的工程师，及时到现场调查发现投标设备运行的故障隐患或缺陷，分析原因并采取必要的措施消除其隐患，保证设备稳定运行。</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2、投标方在实施巡检服务前，需招标方配合，共同制定巡检计划。投标方也应依据招标方在巡检服务联系单中所提出的要求，就地解决部分设备可能存在的常规性故障，进行一些基本的维护作业。</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3、在投标方巡检结束后3个工作日内向招标方的运维部门提交巡检备忘录，包括发现的故障隐患清单，处理故障隐患的说明，未能完全处理的故障隐患原因和提出解决方案，为招标方日常维护工作提供参考依据。</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4、为了帮助招标方提高设备维护效率，投标方应向招标方提供规范、高效的日常维护制度建议。</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5、巡回检查服务包括对设备硬件检查和设备运行环境检查以及招标方的特别要求等。</w:t>
      </w:r>
    </w:p>
    <w:p>
      <w:pPr>
        <w:adjustRightInd w:val="0"/>
        <w:snapToGrid w:val="0"/>
        <w:spacing w:line="240" w:lineRule="auto"/>
        <w:ind w:firstLine="480" w:firstLineChars="200"/>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kern w:val="2"/>
          <w:sz w:val="24"/>
          <w:szCs w:val="24"/>
          <w:lang w:val="en-US" w:eastAsia="zh-CN" w:bidi="ar-SA"/>
        </w:rPr>
        <w:t>6、投标方应为招标方建立设备维修档案，并根据设备运行情况向招标方提供设备升级、改造、更换的建议和方案。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32429"/>
    <w:multiLevelType w:val="singleLevel"/>
    <w:tmpl w:val="A833242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D7A90"/>
    <w:rsid w:val="33B051D8"/>
    <w:rsid w:val="3DFA33F3"/>
    <w:rsid w:val="40DC5C95"/>
    <w:rsid w:val="54394BAF"/>
    <w:rsid w:val="7EF8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9"/>
    <w:pPr>
      <w:keepNext/>
      <w:keepLines/>
      <w:spacing w:before="260" w:after="260" w:line="500" w:lineRule="exact"/>
      <w:outlineLvl w:val="1"/>
    </w:pPr>
    <w:rPr>
      <w:rFonts w:ascii="Arial" w:hAnsi="Arial" w:eastAsia="黑体"/>
      <w:b/>
      <w:sz w:val="28"/>
    </w:rPr>
  </w:style>
  <w:style w:type="paragraph" w:styleId="4">
    <w:name w:val="heading 3"/>
    <w:basedOn w:val="1"/>
    <w:next w:val="1"/>
    <w:qFormat/>
    <w:uiPriority w:val="9"/>
    <w:pPr>
      <w:autoSpaceDE w:val="0"/>
      <w:autoSpaceDN w:val="0"/>
      <w:adjustRightInd w:val="0"/>
      <w:spacing w:before="156" w:beforeLines="50" w:line="240" w:lineRule="atLeast"/>
      <w:jc w:val="center"/>
      <w:outlineLvl w:val="2"/>
    </w:pPr>
    <w:rPr>
      <w:color w:val="000000"/>
      <w:kern w:val="0"/>
      <w:sz w:val="24"/>
      <w:szCs w:val="20"/>
    </w:rPr>
  </w:style>
  <w:style w:type="paragraph" w:styleId="5">
    <w:name w:val="heading 4"/>
    <w:basedOn w:val="1"/>
    <w:next w:val="1"/>
    <w:unhideWhenUsed/>
    <w:qFormat/>
    <w:uiPriority w:val="9"/>
    <w:pPr>
      <w:keepNext/>
      <w:keepLines/>
      <w:spacing w:before="280" w:after="290" w:line="376" w:lineRule="auto"/>
      <w:outlineLvl w:val="3"/>
    </w:pPr>
    <w:rPr>
      <w:rFonts w:ascii="Cambria" w:hAnsi="Cambria"/>
      <w:b/>
      <w:bCs/>
      <w:sz w:val="28"/>
      <w:szCs w:val="28"/>
      <w:lang w:eastAsia="en-U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 首行缩进:  2 字符"/>
    <w:basedOn w:val="1"/>
    <w:qFormat/>
    <w:uiPriority w:val="0"/>
    <w:pPr>
      <w:spacing w:line="360" w:lineRule="auto"/>
      <w:ind w:firstLine="480" w:firstLineChars="200"/>
    </w:pPr>
    <w:rPr>
      <w:rFonts w:ascii="宋体" w:hAnsi="宋体" w:cs="宋体"/>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2019-11-15T02:40:00Z</dcterms:created>
  <dc:creator>Le</dc:creator>
  <cp:lastModifiedBy>Le</cp:lastModifiedBy>
  <dcterms:modified xsi:type="dcterms:W3CDTF">2019-11-17T23:48:37Z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