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27" w:rsidRDefault="00795D27" w:rsidP="00795D27">
      <w:pPr>
        <w:spacing w:line="360" w:lineRule="exact"/>
        <w:ind w:right="2278"/>
        <w:jc w:val="center"/>
        <w:outlineLvl w:val="0"/>
        <w:rPr>
          <w:rFonts w:ascii="华文中宋" w:eastAsia="华文中宋" w:hAnsi="华文中宋" w:cs="Times New Roman"/>
          <w:b/>
          <w:sz w:val="28"/>
          <w:szCs w:val="28"/>
        </w:rPr>
      </w:pPr>
      <w:r w:rsidRPr="004272B0">
        <w:rPr>
          <w:rFonts w:ascii="华文中宋" w:eastAsia="华文中宋" w:hAnsi="华文中宋" w:cs="Times New Roman" w:hint="eastAsia"/>
          <w:b/>
          <w:sz w:val="28"/>
          <w:szCs w:val="28"/>
        </w:rPr>
        <w:t>开标一览表</w:t>
      </w:r>
    </w:p>
    <w:p w:rsidR="00795D27" w:rsidRPr="004272B0" w:rsidRDefault="00795D27" w:rsidP="00795D27">
      <w:pPr>
        <w:spacing w:line="360" w:lineRule="exact"/>
        <w:ind w:right="2278"/>
        <w:jc w:val="left"/>
        <w:outlineLvl w:val="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Times New Roman" w:hint="eastAsia"/>
          <w:b/>
          <w:sz w:val="28"/>
          <w:szCs w:val="28"/>
        </w:rPr>
        <w:t xml:space="preserve">         </w:t>
      </w:r>
    </w:p>
    <w:p w:rsidR="00795D27" w:rsidRPr="004272B0" w:rsidRDefault="00795D27" w:rsidP="00795D27">
      <w:pPr>
        <w:spacing w:line="360" w:lineRule="exact"/>
        <w:outlineLvl w:val="0"/>
        <w:rPr>
          <w:rFonts w:ascii="华文中宋" w:eastAsia="华文中宋" w:hAnsi="华文中宋" w:cs="Times New Roman"/>
          <w:sz w:val="24"/>
          <w:szCs w:val="24"/>
        </w:rPr>
      </w:pPr>
      <w:r w:rsidRPr="004272B0">
        <w:rPr>
          <w:rFonts w:ascii="华文中宋" w:eastAsia="华文中宋" w:hAnsi="华文中宋" w:cs="Times New Roman" w:hint="eastAsia"/>
          <w:sz w:val="24"/>
          <w:szCs w:val="24"/>
        </w:rPr>
        <w:t>项目名称：海南医学院机能实验室设备项目</w:t>
      </w:r>
    </w:p>
    <w:p w:rsidR="00795D27" w:rsidRPr="004272B0" w:rsidRDefault="00795D27" w:rsidP="00795D27">
      <w:pPr>
        <w:spacing w:line="360" w:lineRule="exact"/>
        <w:rPr>
          <w:rFonts w:ascii="华文中宋" w:eastAsia="华文中宋" w:hAnsi="华文中宋" w:cs="Times New Roman"/>
          <w:sz w:val="24"/>
          <w:szCs w:val="24"/>
        </w:rPr>
      </w:pPr>
      <w:r w:rsidRPr="004272B0">
        <w:rPr>
          <w:rFonts w:ascii="华文中宋" w:eastAsia="华文中宋" w:hAnsi="华文中宋" w:cs="Times New Roman" w:hint="eastAsia"/>
          <w:sz w:val="24"/>
          <w:szCs w:val="24"/>
        </w:rPr>
        <w:t xml:space="preserve">投标人名称：海南瑞铧医疗科技有限公司（盖章）                           </w:t>
      </w:r>
    </w:p>
    <w:p w:rsidR="00795D27" w:rsidRPr="004272B0" w:rsidRDefault="00795D27" w:rsidP="00795D27">
      <w:pPr>
        <w:spacing w:line="360" w:lineRule="exact"/>
        <w:rPr>
          <w:rFonts w:ascii="华文中宋" w:eastAsia="华文中宋" w:hAnsi="华文中宋" w:cs="Times New Roman"/>
          <w:sz w:val="24"/>
          <w:szCs w:val="24"/>
        </w:rPr>
      </w:pPr>
      <w:r w:rsidRPr="002D2AD4">
        <w:rPr>
          <w:rFonts w:ascii="华文中宋" w:eastAsia="华文中宋" w:hAnsi="华文中宋" w:cs="Times New Roman" w:hint="eastAsia"/>
          <w:sz w:val="24"/>
          <w:szCs w:val="24"/>
        </w:rPr>
        <w:t>交货地点：采购人指定地点</w:t>
      </w:r>
    </w:p>
    <w:tbl>
      <w:tblPr>
        <w:tblW w:w="5000" w:type="pct"/>
        <w:jc w:val="center"/>
        <w:tblCellMar>
          <w:left w:w="54" w:type="dxa"/>
          <w:right w:w="54" w:type="dxa"/>
        </w:tblCellMar>
        <w:tblLook w:val="0000"/>
      </w:tblPr>
      <w:tblGrid>
        <w:gridCol w:w="622"/>
        <w:gridCol w:w="2692"/>
        <w:gridCol w:w="2563"/>
        <w:gridCol w:w="911"/>
        <w:gridCol w:w="914"/>
        <w:gridCol w:w="1393"/>
        <w:gridCol w:w="1660"/>
        <w:gridCol w:w="1747"/>
        <w:gridCol w:w="1564"/>
      </w:tblGrid>
      <w:tr w:rsidR="00795D27" w:rsidRPr="00FE0BDF" w:rsidTr="00F74231">
        <w:trPr>
          <w:cantSplit/>
          <w:trHeight w:val="315"/>
          <w:jc w:val="center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3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7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8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9</w:t>
            </w:r>
          </w:p>
        </w:tc>
      </w:tr>
      <w:tr w:rsidR="00795D27" w:rsidRPr="00FE0BDF" w:rsidTr="00F74231">
        <w:trPr>
          <w:cantSplit/>
          <w:trHeight w:val="683"/>
          <w:jc w:val="center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序号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货物名称型号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27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产地及制造厂名、技术参数</w:t>
            </w:r>
          </w:p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（技术参数见规格响应表）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数量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单位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单价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投标单项总价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符合政府采购优惠政策扣除后的投标单项总价注明扣除比例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交货期</w:t>
            </w:r>
          </w:p>
        </w:tc>
      </w:tr>
      <w:tr w:rsidR="00795D27" w:rsidRPr="00FE0BDF" w:rsidTr="00F74231">
        <w:trPr>
          <w:cantSplit/>
          <w:trHeight w:val="164"/>
          <w:jc w:val="center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集成化信号采集与处理系统</w:t>
            </w:r>
            <w:r w:rsidRPr="00FE0BD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(BL-420I)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成都泰盟软件有限公司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126000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1008000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/</w:t>
            </w:r>
          </w:p>
        </w:tc>
        <w:tc>
          <w:tcPr>
            <w:tcW w:w="55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合同签订后国产仪器设备30天内完成到货安装、进口仪器设备90天内完成到货安装</w:t>
            </w:r>
          </w:p>
        </w:tc>
      </w:tr>
      <w:tr w:rsidR="00795D27" w:rsidRPr="00FE0BDF" w:rsidTr="00F74231">
        <w:trPr>
          <w:cantSplit/>
          <w:trHeight w:val="205"/>
          <w:jc w:val="center"/>
        </w:trPr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信息化信号采集与处理系统</w:t>
            </w: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（BL-420N</w:t>
            </w:r>
            <w:r w:rsidRPr="00FE0BDF">
              <w:rPr>
                <w:rFonts w:ascii="华文中宋" w:eastAsia="华文中宋" w:hAnsi="华文中宋" w:cs="宋体"/>
                <w:kern w:val="0"/>
                <w:szCs w:val="21"/>
              </w:rPr>
              <w:t>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成都泰盟软件有限公司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26250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105000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/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</w:p>
        </w:tc>
      </w:tr>
      <w:tr w:rsidR="00795D27" w:rsidRPr="00FE0BDF" w:rsidTr="00F74231">
        <w:trPr>
          <w:cantSplit/>
          <w:trHeight w:val="205"/>
          <w:jc w:val="center"/>
        </w:trPr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便携式肺功能检测仪</w:t>
            </w:r>
          </w:p>
          <w:p w:rsidR="00795D27" w:rsidRPr="00FE0BDF" w:rsidRDefault="00795D27" w:rsidP="00F742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(MSA99)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北京麦邦光电仪器有限公司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/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</w:p>
        </w:tc>
      </w:tr>
      <w:tr w:rsidR="00795D27" w:rsidRPr="00FE0BDF" w:rsidTr="00F74231">
        <w:trPr>
          <w:cantSplit/>
          <w:trHeight w:val="267"/>
          <w:jc w:val="center"/>
        </w:trPr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电热恒温鼓风干燥箱(DHG-9620A)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上海一恒科学仪器有限公司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11500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/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</w:p>
        </w:tc>
      </w:tr>
      <w:tr w:rsidR="00795D27" w:rsidRPr="00FE0BDF" w:rsidTr="00F74231">
        <w:trPr>
          <w:cantSplit/>
          <w:trHeight w:val="205"/>
          <w:jc w:val="center"/>
        </w:trPr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Default="00795D27" w:rsidP="00F7423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电子天平</w:t>
            </w:r>
          </w:p>
          <w:p w:rsidR="00795D27" w:rsidRPr="00FE0BDF" w:rsidRDefault="00795D27" w:rsidP="00F7423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（TP-1000A</w:t>
            </w:r>
            <w:r w:rsidRPr="00FE0BDF">
              <w:rPr>
                <w:rFonts w:ascii="华文中宋" w:eastAsia="华文中宋" w:hAnsi="华文中宋" w:cs="宋体"/>
                <w:kern w:val="0"/>
                <w:szCs w:val="21"/>
              </w:rPr>
              <w:t>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长沙高新开发区湘仪天平仪器设备有限公司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755BE8" w:rsidRDefault="00795D27" w:rsidP="00F74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BE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755BE8" w:rsidRDefault="00795D27" w:rsidP="00F74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/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</w:p>
        </w:tc>
      </w:tr>
      <w:tr w:rsidR="00795D27" w:rsidRPr="00FE0BDF" w:rsidTr="00F74231">
        <w:trPr>
          <w:cantSplit/>
          <w:trHeight w:val="205"/>
          <w:jc w:val="center"/>
        </w:trPr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FE0BDF" w:rsidRDefault="00795D27" w:rsidP="00F7423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多功能医疗床（XF801a</w:t>
            </w:r>
            <w:r w:rsidRPr="00FE0BDF">
              <w:rPr>
                <w:rFonts w:ascii="华文中宋" w:eastAsia="华文中宋" w:hAnsi="华文中宋" w:cs="宋体"/>
                <w:kern w:val="0"/>
                <w:szCs w:val="21"/>
              </w:rPr>
              <w:t>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佛山市</w:t>
            </w:r>
            <w:proofErr w:type="gramStart"/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栩烽</w:t>
            </w:r>
            <w:proofErr w:type="gramEnd"/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医疗科技有限公司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755BE8" w:rsidRDefault="00795D27" w:rsidP="00F74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BE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755BE8" w:rsidRDefault="00795D27" w:rsidP="00F74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426016" w:rsidRDefault="00795D27" w:rsidP="00F7423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60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Times New Roman" w:hint="eastAsia"/>
                <w:szCs w:val="21"/>
              </w:rPr>
              <w:t>/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D27" w:rsidRPr="00FE0BDF" w:rsidRDefault="00795D27" w:rsidP="00F74231">
            <w:pPr>
              <w:rPr>
                <w:rFonts w:ascii="华文中宋" w:eastAsia="华文中宋" w:hAnsi="华文中宋" w:cs="Times New Roman"/>
                <w:szCs w:val="21"/>
              </w:rPr>
            </w:pPr>
          </w:p>
        </w:tc>
      </w:tr>
      <w:tr w:rsidR="00795D27" w:rsidRPr="00FE0BDF" w:rsidTr="00F74231">
        <w:trPr>
          <w:cantSplit/>
          <w:trHeight w:val="29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27" w:rsidRPr="00FE0BDF" w:rsidRDefault="00795D27" w:rsidP="00F7423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ind w:firstLineChars="250" w:firstLine="600"/>
              <w:rPr>
                <w:rFonts w:ascii="华文中宋" w:eastAsia="华文中宋" w:hAnsi="华文中宋" w:cs="Times New Roman"/>
                <w:szCs w:val="21"/>
              </w:rPr>
            </w:pPr>
            <w:r w:rsidRPr="00426016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大写：壹佰壹拾伍万玖仟陆佰元整                 合计：¥1,159,600.00元</w:t>
            </w:r>
          </w:p>
        </w:tc>
      </w:tr>
    </w:tbl>
    <w:p w:rsidR="00795D27" w:rsidRDefault="00795D27" w:rsidP="00795D2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华文中宋" w:eastAsia="华文中宋" w:hAnsi="华文中宋" w:cs="Times New Roman"/>
          <w:sz w:val="24"/>
          <w:szCs w:val="24"/>
        </w:rPr>
      </w:pPr>
      <w:r w:rsidRPr="004272B0">
        <w:rPr>
          <w:rFonts w:ascii="华文中宋" w:eastAsia="华文中宋" w:hAnsi="华文中宋" w:cs="Times New Roman" w:hint="eastAsia"/>
          <w:sz w:val="24"/>
          <w:szCs w:val="24"/>
        </w:rPr>
        <w:t xml:space="preserve">    </w:t>
      </w:r>
    </w:p>
    <w:p w:rsidR="00795D27" w:rsidRPr="004272B0" w:rsidRDefault="00795D27" w:rsidP="00795D2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华文中宋" w:eastAsia="华文中宋" w:hAnsi="华文中宋" w:cs="Times New Roman"/>
          <w:sz w:val="24"/>
          <w:szCs w:val="24"/>
        </w:rPr>
      </w:pPr>
      <w:r w:rsidRPr="004272B0">
        <w:rPr>
          <w:rFonts w:ascii="华文中宋" w:eastAsia="华文中宋" w:hAnsi="华文中宋" w:cs="Times New Roman" w:hint="eastAsia"/>
          <w:sz w:val="24"/>
          <w:szCs w:val="24"/>
        </w:rPr>
        <w:t>投标人代表签名：</w:t>
      </w:r>
      <w:r>
        <w:rPr>
          <w:rFonts w:ascii="华文中宋" w:eastAsia="华文中宋" w:hAnsi="华文中宋" w:cs="Times New Roman" w:hint="eastAsia"/>
          <w:sz w:val="24"/>
          <w:szCs w:val="24"/>
        </w:rPr>
        <w:t xml:space="preserve">             </w:t>
      </w:r>
      <w:r w:rsidRPr="004272B0">
        <w:rPr>
          <w:rFonts w:ascii="华文中宋" w:eastAsia="华文中宋" w:hAnsi="华文中宋" w:cs="Times New Roman" w:hint="eastAsia"/>
          <w:sz w:val="24"/>
          <w:szCs w:val="24"/>
        </w:rPr>
        <w:t>职务：</w:t>
      </w:r>
      <w:r>
        <w:rPr>
          <w:rFonts w:ascii="华文中宋" w:eastAsia="华文中宋" w:hAnsi="华文中宋" w:cs="Times New Roman" w:hint="eastAsia"/>
          <w:sz w:val="24"/>
          <w:szCs w:val="24"/>
        </w:rPr>
        <w:t xml:space="preserve">商务经理       </w:t>
      </w:r>
      <w:r w:rsidRPr="004272B0">
        <w:rPr>
          <w:rFonts w:ascii="华文中宋" w:eastAsia="华文中宋" w:hAnsi="华文中宋" w:cs="Times New Roman" w:hint="eastAsia"/>
          <w:sz w:val="24"/>
          <w:szCs w:val="24"/>
        </w:rPr>
        <w:t>联系电话：</w:t>
      </w:r>
      <w:r w:rsidRPr="00470642">
        <w:rPr>
          <w:rFonts w:ascii="华文中宋" w:eastAsia="华文中宋" w:hAnsi="华文中宋" w:cs="Times New Roman"/>
          <w:sz w:val="24"/>
          <w:szCs w:val="24"/>
        </w:rPr>
        <w:t>18789388520</w:t>
      </w:r>
      <w:r>
        <w:rPr>
          <w:rFonts w:ascii="华文中宋" w:eastAsia="华文中宋" w:hAnsi="华文中宋" w:cs="Times New Roman" w:hint="eastAsia"/>
          <w:sz w:val="24"/>
          <w:szCs w:val="24"/>
        </w:rPr>
        <w:t xml:space="preserve">     </w:t>
      </w:r>
      <w:r w:rsidRPr="004272B0">
        <w:rPr>
          <w:rFonts w:ascii="华文中宋" w:eastAsia="华文中宋" w:hAnsi="华文中宋" w:cs="Times New Roman" w:hint="eastAsia"/>
          <w:sz w:val="24"/>
          <w:szCs w:val="24"/>
        </w:rPr>
        <w:t>日期：</w:t>
      </w:r>
      <w:r>
        <w:rPr>
          <w:rFonts w:ascii="华文中宋" w:eastAsia="华文中宋" w:hAnsi="华文中宋" w:cs="Times New Roman"/>
          <w:sz w:val="24"/>
          <w:szCs w:val="24"/>
        </w:rPr>
        <w:t>2019年8月16日</w:t>
      </w:r>
    </w:p>
    <w:p w:rsidR="00795D27" w:rsidRDefault="00795D27" w:rsidP="00795D2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华文中宋" w:eastAsia="华文中宋" w:hAnsi="华文中宋" w:cs="Times New Roman"/>
          <w:sz w:val="24"/>
          <w:szCs w:val="24"/>
        </w:rPr>
        <w:sectPr w:rsidR="00795D27" w:rsidSect="00FE0BD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4272B0">
        <w:rPr>
          <w:rFonts w:ascii="华文中宋" w:eastAsia="华文中宋" w:hAnsi="华文中宋" w:cs="Times New Roman" w:hint="eastAsia"/>
          <w:sz w:val="24"/>
          <w:szCs w:val="24"/>
        </w:rPr>
        <w:lastRenderedPageBreak/>
        <w:tab/>
      </w:r>
      <w:r w:rsidRPr="004272B0">
        <w:rPr>
          <w:rFonts w:ascii="华文中宋" w:eastAsia="华文中宋" w:hAnsi="华文中宋" w:cs="Times New Roman" w:hint="eastAsia"/>
          <w:sz w:val="24"/>
          <w:szCs w:val="24"/>
        </w:rPr>
        <w:tab/>
      </w:r>
      <w:r w:rsidRPr="004272B0">
        <w:rPr>
          <w:rFonts w:ascii="华文中宋" w:eastAsia="华文中宋" w:hAnsi="华文中宋" w:cs="Times New Roman" w:hint="eastAsia"/>
          <w:sz w:val="24"/>
          <w:szCs w:val="24"/>
        </w:rPr>
        <w:tab/>
      </w:r>
    </w:p>
    <w:p w:rsidR="00795D27" w:rsidRPr="004272B0" w:rsidRDefault="00795D27" w:rsidP="00795D2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华文中宋" w:eastAsia="华文中宋" w:hAnsi="华文中宋" w:cs="Times New Roman"/>
          <w:sz w:val="24"/>
          <w:szCs w:val="24"/>
        </w:rPr>
      </w:pPr>
    </w:p>
    <w:p w:rsidR="00795D27" w:rsidRPr="004272B0" w:rsidRDefault="00795D27" w:rsidP="00795D2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outlineLvl w:val="0"/>
        <w:rPr>
          <w:rFonts w:ascii="华文中宋" w:eastAsia="华文中宋" w:hAnsi="华文中宋" w:cs="Times New Roman"/>
          <w:bCs/>
          <w:sz w:val="24"/>
          <w:szCs w:val="24"/>
        </w:rPr>
      </w:pPr>
      <w:r w:rsidRPr="004272B0">
        <w:rPr>
          <w:rFonts w:ascii="华文中宋" w:eastAsia="华文中宋" w:hAnsi="华文中宋" w:cs="Times New Roman" w:hint="eastAsia"/>
          <w:b/>
          <w:sz w:val="24"/>
          <w:szCs w:val="24"/>
        </w:rPr>
        <w:t>注：</w:t>
      </w:r>
      <w:r w:rsidRPr="004272B0">
        <w:rPr>
          <w:rFonts w:ascii="华文中宋" w:eastAsia="华文中宋" w:hAnsi="华文中宋" w:cs="Times New Roman" w:hint="eastAsia"/>
          <w:bCs/>
          <w:sz w:val="24"/>
          <w:szCs w:val="24"/>
        </w:rPr>
        <w:t>1、设备用人民币元报价。</w:t>
      </w:r>
    </w:p>
    <w:p w:rsidR="00795D27" w:rsidRPr="004272B0" w:rsidRDefault="00795D27" w:rsidP="00795D27">
      <w:pPr>
        <w:spacing w:line="360" w:lineRule="exact"/>
        <w:ind w:firstLineChars="200" w:firstLine="480"/>
        <w:rPr>
          <w:rFonts w:ascii="华文中宋" w:eastAsia="华文中宋" w:hAnsi="华文中宋" w:cs="Times New Roman"/>
          <w:bCs/>
          <w:sz w:val="24"/>
          <w:szCs w:val="24"/>
        </w:rPr>
      </w:pPr>
      <w:r w:rsidRPr="004272B0">
        <w:rPr>
          <w:rFonts w:ascii="华文中宋" w:eastAsia="华文中宋" w:hAnsi="华文中宋" w:cs="Times New Roman" w:hint="eastAsia"/>
          <w:bCs/>
          <w:sz w:val="24"/>
          <w:szCs w:val="24"/>
        </w:rPr>
        <w:t>2、第6栏的单价应包括全部安装、调试、培训、技术服务、必不可少的部件、标准备件、专用工具等费用。</w:t>
      </w:r>
    </w:p>
    <w:p w:rsidR="00795D27" w:rsidRPr="004272B0" w:rsidRDefault="00795D27" w:rsidP="00795D27">
      <w:pPr>
        <w:spacing w:line="360" w:lineRule="exact"/>
        <w:ind w:firstLineChars="200" w:firstLine="480"/>
        <w:rPr>
          <w:rFonts w:ascii="华文中宋" w:eastAsia="华文中宋" w:hAnsi="华文中宋" w:cs="Times New Roman"/>
          <w:bCs/>
          <w:sz w:val="24"/>
          <w:szCs w:val="24"/>
        </w:rPr>
      </w:pPr>
      <w:r w:rsidRPr="004272B0">
        <w:rPr>
          <w:rFonts w:ascii="华文中宋" w:eastAsia="华文中宋" w:hAnsi="华文中宋" w:cs="Times New Roman" w:hint="eastAsia"/>
          <w:bCs/>
          <w:sz w:val="24"/>
          <w:szCs w:val="24"/>
        </w:rPr>
        <w:t>3、单价{单价=（货价+运抵用户指定地点运、保、税、）}和投标总价。如果单价与总价有出入，以单价为准；大写金额与小写金额不一致的，以大写金额为准；总价金额与按单价汇总金额不一致的，以单价金额计算结果金额为准；单价金额小数点有明显错位的，应以总价为准并修改单价。</w:t>
      </w:r>
    </w:p>
    <w:p w:rsidR="00795D27" w:rsidRPr="004272B0" w:rsidRDefault="00795D27" w:rsidP="00795D27">
      <w:pPr>
        <w:spacing w:line="400" w:lineRule="exact"/>
        <w:ind w:firstLineChars="245" w:firstLine="588"/>
        <w:rPr>
          <w:rFonts w:ascii="华文中宋" w:eastAsia="华文中宋" w:hAnsi="华文中宋" w:cs="Times New Roman"/>
          <w:sz w:val="24"/>
          <w:szCs w:val="24"/>
        </w:rPr>
      </w:pPr>
    </w:p>
    <w:p w:rsidR="00795D27" w:rsidRPr="004272B0" w:rsidRDefault="00795D27" w:rsidP="00795D27">
      <w:pPr>
        <w:spacing w:line="360" w:lineRule="exact"/>
        <w:jc w:val="left"/>
        <w:rPr>
          <w:rFonts w:ascii="华文中宋" w:eastAsia="华文中宋" w:hAnsi="华文中宋" w:cs="Times New Roman"/>
          <w:bCs/>
          <w:sz w:val="24"/>
          <w:szCs w:val="24"/>
        </w:rPr>
      </w:pPr>
    </w:p>
    <w:p w:rsidR="00795D27" w:rsidRPr="004272B0" w:rsidRDefault="00795D27" w:rsidP="00795D27">
      <w:pPr>
        <w:spacing w:line="360" w:lineRule="exact"/>
        <w:jc w:val="left"/>
        <w:rPr>
          <w:rFonts w:ascii="华文中宋" w:eastAsia="华文中宋" w:hAnsi="华文中宋" w:cs="Times New Roman"/>
          <w:bCs/>
          <w:sz w:val="24"/>
          <w:szCs w:val="24"/>
        </w:rPr>
      </w:pPr>
    </w:p>
    <w:p w:rsidR="00795D27" w:rsidRPr="004272B0" w:rsidRDefault="00795D27" w:rsidP="00795D27">
      <w:pPr>
        <w:spacing w:line="360" w:lineRule="exact"/>
        <w:jc w:val="left"/>
        <w:rPr>
          <w:rFonts w:ascii="华文中宋" w:eastAsia="华文中宋" w:hAnsi="华文中宋" w:cs="Times New Roman"/>
          <w:sz w:val="28"/>
          <w:szCs w:val="28"/>
        </w:rPr>
      </w:pPr>
      <w:r w:rsidRPr="004272B0">
        <w:rPr>
          <w:rFonts w:ascii="华文中宋" w:eastAsia="华文中宋" w:hAnsi="华文中宋" w:cs="Times New Roman" w:hint="eastAsia"/>
          <w:sz w:val="24"/>
          <w:szCs w:val="24"/>
        </w:rPr>
        <w:t xml:space="preserve">                                                     </w:t>
      </w:r>
      <w:r w:rsidRPr="004272B0">
        <w:rPr>
          <w:rFonts w:ascii="华文中宋" w:eastAsia="华文中宋" w:hAnsi="华文中宋" w:cs="Times New Roman" w:hint="eastAsia"/>
          <w:sz w:val="28"/>
          <w:szCs w:val="28"/>
        </w:rPr>
        <w:t xml:space="preserve">                        </w:t>
      </w:r>
    </w:p>
    <w:p w:rsidR="00795D27" w:rsidRPr="004272B0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Pr="004272B0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Pr="004272B0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Pr="004272B0" w:rsidRDefault="00795D27" w:rsidP="00795D27">
      <w:pPr>
        <w:spacing w:line="32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  <w:r w:rsidRPr="004272B0">
        <w:rPr>
          <w:rFonts w:ascii="华文中宋" w:eastAsia="华文中宋" w:hAnsi="华文中宋" w:cs="Times New Roman" w:hint="eastAsia"/>
          <w:b/>
          <w:sz w:val="28"/>
          <w:szCs w:val="28"/>
        </w:rPr>
        <w:lastRenderedPageBreak/>
        <w:t>规格响应表</w:t>
      </w:r>
    </w:p>
    <w:p w:rsidR="00795D27" w:rsidRDefault="00795D27" w:rsidP="00795D27">
      <w:pPr>
        <w:spacing w:line="320" w:lineRule="exact"/>
        <w:rPr>
          <w:rFonts w:ascii="华文中宋" w:eastAsia="华文中宋" w:hAnsi="华文中宋" w:cs="Times New Roman"/>
          <w:sz w:val="24"/>
          <w:szCs w:val="24"/>
        </w:rPr>
      </w:pPr>
    </w:p>
    <w:p w:rsidR="00795D27" w:rsidRPr="004272B0" w:rsidRDefault="00795D27" w:rsidP="00795D27">
      <w:pPr>
        <w:tabs>
          <w:tab w:val="left" w:pos="9654"/>
        </w:tabs>
        <w:spacing w:line="320" w:lineRule="exact"/>
        <w:rPr>
          <w:rFonts w:ascii="华文中宋" w:eastAsia="华文中宋" w:hAnsi="华文中宋" w:cs="Times New Roman"/>
          <w:sz w:val="24"/>
          <w:szCs w:val="24"/>
        </w:rPr>
      </w:pPr>
      <w:r w:rsidRPr="004272B0">
        <w:rPr>
          <w:rFonts w:ascii="华文中宋" w:eastAsia="华文中宋" w:hAnsi="华文中宋" w:cs="Times New Roman" w:hint="eastAsia"/>
          <w:sz w:val="24"/>
          <w:szCs w:val="24"/>
        </w:rPr>
        <w:t>投标人名称:</w:t>
      </w:r>
      <w:r w:rsidRPr="004272B0">
        <w:rPr>
          <w:rFonts w:hint="eastAsia"/>
        </w:rPr>
        <w:t xml:space="preserve"> </w:t>
      </w:r>
      <w:r w:rsidRPr="004272B0">
        <w:rPr>
          <w:rFonts w:ascii="华文中宋" w:eastAsia="华文中宋" w:hAnsi="华文中宋" w:cs="Times New Roman" w:hint="eastAsia"/>
          <w:sz w:val="24"/>
          <w:szCs w:val="24"/>
        </w:rPr>
        <w:t>海南瑞铧医疗科技有限公司 （盖章）</w:t>
      </w:r>
    </w:p>
    <w:p w:rsidR="00795D27" w:rsidRPr="004272B0" w:rsidRDefault="00795D27" w:rsidP="00795D27">
      <w:pPr>
        <w:tabs>
          <w:tab w:val="left" w:pos="9654"/>
        </w:tabs>
        <w:spacing w:line="320" w:lineRule="exact"/>
        <w:rPr>
          <w:rFonts w:ascii="华文中宋" w:eastAsia="华文中宋" w:hAnsi="华文中宋" w:cs="Times New Roman"/>
          <w:sz w:val="24"/>
          <w:szCs w:val="24"/>
        </w:rPr>
      </w:pPr>
    </w:p>
    <w:tbl>
      <w:tblPr>
        <w:tblW w:w="9812" w:type="dxa"/>
        <w:jc w:val="center"/>
        <w:tblInd w:w="-66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660"/>
        <w:gridCol w:w="3996"/>
        <w:gridCol w:w="3969"/>
        <w:gridCol w:w="1187"/>
      </w:tblGrid>
      <w:tr w:rsidR="00795D27" w:rsidRPr="004272B0" w:rsidTr="00F74231">
        <w:trPr>
          <w:trHeight w:val="16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Times New Roman" w:hint="eastAsia"/>
                <w:szCs w:val="21"/>
              </w:rPr>
              <w:t>序号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Times New Roman" w:hint="eastAsia"/>
                <w:szCs w:val="21"/>
              </w:rPr>
              <w:t>参考规格1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Times New Roman" w:hint="eastAsia"/>
                <w:szCs w:val="21"/>
              </w:rPr>
              <w:t>投标规格2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偏离情况</w:t>
            </w:r>
          </w:p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（无偏离，正/负偏离）</w:t>
            </w:r>
          </w:p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Times New Roman" w:hint="eastAsia"/>
                <w:szCs w:val="21"/>
              </w:rPr>
              <w:t>证明材料页码</w:t>
            </w:r>
          </w:p>
        </w:tc>
      </w:tr>
      <w:tr w:rsidR="00795D27" w:rsidRPr="004272B0" w:rsidTr="00F74231">
        <w:trPr>
          <w:cantSplit/>
          <w:trHeight w:val="160"/>
          <w:jc w:val="center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Times New Roman" w:hint="eastAsia"/>
                <w:b/>
                <w:bCs/>
                <w:szCs w:val="21"/>
              </w:rPr>
              <w:t>1.</w:t>
            </w:r>
            <w:r w:rsidRPr="004272B0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集成化信号采集与处理系统 8台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Times New Roman" w:hint="eastAsia"/>
                <w:b/>
                <w:bCs/>
                <w:szCs w:val="21"/>
              </w:rPr>
              <w:t>1.</w:t>
            </w:r>
            <w:r w:rsidRPr="004272B0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集成化信号采集与处理系统 8台</w:t>
            </w:r>
          </w:p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型号：</w:t>
            </w:r>
            <w:r w:rsidRPr="00FE0BDF">
              <w:rPr>
                <w:rFonts w:ascii="华文中宋" w:eastAsia="华文中宋" w:hAnsi="华文中宋" w:cs="宋体" w:hint="eastAsia"/>
                <w:kern w:val="0"/>
                <w:szCs w:val="21"/>
              </w:rPr>
              <w:t>BL-420N</w:t>
            </w:r>
            <w:r w:rsidRPr="00FE0BDF">
              <w:rPr>
                <w:rFonts w:ascii="华文中宋" w:eastAsia="华文中宋" w:hAnsi="华文中宋" w:cs="宋体"/>
                <w:kern w:val="0"/>
                <w:szCs w:val="21"/>
              </w:rPr>
              <w:t>）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</w:tr>
      <w:tr w:rsidR="00795D27" w:rsidRPr="004272B0" w:rsidTr="00F74231">
        <w:trPr>
          <w:cantSplit/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（一）、实验平台技术指标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（一）、实验平台技术指标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型号：HF-12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cantSplit/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1.整机外形尺寸：≥1520mm×740mm×2110mm（长*宽*高）；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1.整机外形尺寸：1520mm×740mm×2110mm（长*宽*高）；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2.实验台操作面积：≥1220mm×740mm（长*宽）；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2.实验台操作面积：1220mm×740mm（长*宽）；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3.实验台面离地高度：≥840mm；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3.实验台面离地高度：840mm；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4.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输液架离台面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高度：≥1100mm；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4.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输液架离台面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高度：1100mm；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5.输液架移动范围：两侧≥840mm；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5.输液架移动范围：两侧840mm；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6.实验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台制造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工艺：靠模制造工艺；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6.实验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台制造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工艺：靠模制造工艺；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7.实验台表面处理工艺：金属油漆，再喷涂一层光油，无异味、耐磨、易清洗；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7.实验台表面处理工艺：金属油漆，再喷涂一层光油，无异味、耐磨、易清洗；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8.实验台面拐角：R60圆，对人体安全；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8.实验台面拐角：R60圆，对人体安全；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★9.实验台面材质：ABS工程塑料；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★9.实验台面材质：ABS工程塑料；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10.实验台面下屏蔽层：≥1200mm×720mm×0.3mm（长*宽*高）不锈钢层，与外部接地端相连接；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10.实验台面下屏蔽层：1200mm×720mm×0.3mm（长*宽*高）不锈钢层，与外部接地端相连接；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11.移动滚轮：带4个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自锁式万向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移动滚轮，整个操作平台可移动；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11.移动滚轮：带4个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自锁式万向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移动滚轮，整个操作平台可移动；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12.可伸缩固定支柱：带4个可伸缩平台固定支柱，保证实验平台的平稳固定；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12.可伸缩固定支柱：带4个可伸缩平台固定支柱，保证实验平台的平稳固定；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13.带环境温度测量精度：±0.2℃；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13.带环境温度测量精度：±0.2℃；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14.带小动物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肛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温测量精度：±0.1℃；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14.带小动物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肛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温测量精度：±0.1℃；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★15.内置呼吸机潮气量：0.1～99.9ml可调；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★15.内置呼吸机潮气量：0.1～99.9ml可调；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16.内置摄像系统：配摄像万向支架，1080高清摄像头等；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16.内置摄像系统：配摄像万向支架，1080高清摄像头等；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1.1实验照明系统：4×12W，黄光LED等，方向可调；分组开关，桌面照度1000～10000LUX可调；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1.1实验照明系统：4×12W，黄光LED等，方向可调；分组开关，桌面照度1000～10000LUX可调；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17.电源：AC220V 50Hz；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17.电源：AC220V 50Hz；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18.外部接口：2个USB接口，1个网线接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口，8个220V电源插口；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18.外部接口：2个USB接口，1个网线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接口，8个220V电源插口；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lastRenderedPageBreak/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lastRenderedPageBreak/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（二）、硬件参数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（二）、硬件参数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1.物理采样通道数：4个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1.物理采样通道数：4个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2.独立12导联全导联心电接口：12导联心电信号可以在软件上同时显示；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2.独立12导联全导联心电接口：12导联心电信号可以在软件上同时显示；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3.物理采样通道与12导联全导联心电通道独立工作，可同时采样并同时在软件上显示；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3.物理采样通道与12导联全导联心电通道独立工作，可同时采样并同时在软件上显示；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★4.采样通道扩展：根据通道上连接的不同型号扩展器，可将1个物理通道扩展为多个物理采样通道，连接人体生理信号采集扩展器，可以将1个物理通道扩展为十米范围内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无线蓝牙传输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信号，同时采样人体体位、心电、呼吸、肺活量、脉搏、血氧、收缩压、舒张压等8道信号；可测量信号类型:血压、血氧饱和度、心电、呼吸、体位。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★4.采样通道扩展：根据通道上连接的不同型号扩展器，可将1个物理通道扩展为多个物理采样通道，连接人体生理信号采集扩展器，可以将1个物理通道扩展为十米范围内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无线蓝牙传输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信号，同时采样人体体位、心电、呼吸、肺活量、脉搏、血氧、收缩压、舒张压等8道信号；可测量信号类型:血压、血氧饱和度、心电、呼吸、体位。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★5.传感器自动识别：系统自动识别连接的传感器类型，自动按传感器类型设置采样参数，同时在软件界面上有具体提示界面；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★5.传感器自动识别：系统自动识别连接的传感器类型，自动按传感器类型设置采样参数，同时在软件界面上有具体提示界面；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6.增益：±1V ~±50μV；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6.增益：±1V ~±50μV；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7.滤波：模拟、硬件数字滤波器双重滤波；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7.滤波：模拟、硬件数字滤波器双重滤波；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8.最大采样率：800KHz；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8.最大采样率：800KHz；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9.AD转换器：16位4通道同步采样；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9.AD转换器：16位4通道同步采样；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10.信噪比：&gt; 80dB；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10.信噪比：&gt; 80dB；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11.等效输入噪声：电压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峰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峰值 &lt; 2.0μV；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11.等效输入噪声：电压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峰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峰值 &lt; 2.0μV；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★12.系统级联：2~4台设备级联；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★12.系统级联：2~4台设备级联；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13.电源: DC 12V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13.电源: DC 12V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★14.硬件具有环境显示窗口：显示温度、湿度、大气压及设备连接情况；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★14.硬件具有环境显示窗口：显示温度、湿度、大气压及设备连接情况；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15.实验环境监测功能：可实时监测实验时的温度、湿度及大气压力等实验环境；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15.实验环境监测功能：可实时监测实验时的温度、湿度及大气压力等实验环境；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16.设备使用情况记录：自动记录设备使用情况，包括首次使用日期，最近使用日期，累计使用时间和次数等，使用情况记录到硬件中；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16.设备使用情况记录：自动记录设备使用情况，包括首次使用日期，最近使用日期，累计使用时间和次数等，使用情况记录到硬件中；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17.扩展功能：监听、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记滴功能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17.扩展功能：监听、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记滴功能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18.设备内置刺激器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18.设备内置刺激器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1）波形：三角波、方波、正负方波、正弦波或用户编辑波形；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1）波形：三角波、方波、正负方波、正弦波或用户编辑波形；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2）模式：恒流、恒压两种输出方式；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2）模式：恒流、恒压两种输出方式；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lastRenderedPageBreak/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3）电压：0~±110V；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3）电压：0~±110V；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4）电流：0~±50mA。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4）电流：0~±50mA。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（三）、软件参数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（三）、软件参数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 软件显示通道数：1~64通道可变；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 软件显示通道数：1~64通道可变；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2. 同时反演文件数：4（可同时打开多个文件进行反演）；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2. 同时反演文件数：4（可同时打开多个文件进行反演）；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★3. 采样和反演同时进行：在信号实时采集过程中，可以同时打开以前记录的文件进行查看、对比、分析等操作；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★3. 采样和反演同时进行：在信号实时采集过程中，可以同时打开以前记录的文件进行查看、对比、分析等操作；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★4. 反演文件时，可以在播放反演波形的同时播放信号声音，比如播放减压神经放电声音；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★4. 反演文件时，可以在播放反演波形的同时播放信号声音，比如播放减压神经放电声音；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5. 通道差异化采样率：不同通道可设置不同采样率进行数据采样、不同采样率的信号可同步记录及同步显示；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5. 通道差异化采样率：不同通道可设置不同采样率进行数据采样、不同采样率的信号可同步记录及同步显示；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6. 文件列表窗口：用户直接点击列表文件打开反演文件；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6. 文件列表窗口：用户直接点击列表文件打开反演文件；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7. 浮动快速启动窗口：用户直接启动停止实验方便操作；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7. 浮动快速启动窗口：用户直接启动停止实验方便操作；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8. 软件外观：可由用户改变，可打开或隐藏信息显示、刺激、快速启动、文件列表等窗口，所有窗口可在屏幕范围内移动；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8. 软件外观：可由用户改变，可打开或隐藏信息显示、刺激、快速启动、文件列表等窗口，所有窗口可在屏幕范围内移动；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9. 在线实验报告编辑：在线实验报告编辑功能；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9. 在线实验报告编辑：在线实验报告编辑功能；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10. 实验报告、数据上传和下载：实验数据上传到数据中心，数据中心的URL可以进行配置；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10. 实验报告、数据上传和下载：实验数据上传到数据中心，数据中心的URL可以进行配置；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11. 软件实验模块内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嵌电子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教材：包含实验目的和原理、实验对象、实验器材和药品、实验步骤和观察项目、注意事项、思考题、常规实验操作视频等；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11. 软件实验模块内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嵌电子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教材：包含实验目的和原理、实验对象、实验器材和药品、实验步骤和观察项目、注意事项、思考题、常规实验操作视频等；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12. 软件直接与虚拟仿真实验中心连接（用户需配置虚拟实验仿真中心）：为学生展示更多实验知识；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12. 软件直接与虚拟仿真实验中心连接（用户需配置虚拟实验仿真中心）：为学生展示更多实验知识；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★13. 软件自动升级功能：软件自动搜索服务器上的最新版本软件并提醒用户升级，用户确认后可自动升级，便于用户快速升级软件；软件必须能兼容学校现有信号采集系统实验数据，对以前的实验数据能反演分析。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★13. 软件自动升级功能：软件自动搜索服务器上的最新版本软件并提醒用户升级，用户确认后可自动升级，便于用户快速升级软件；软件必须能兼容学校现有信号采集系统实验数据，对以前的实验数据能反演分析。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14. 用户意见自动收集：软件中含用户意见收集窗口，用户输入的任何意见可直接传到软件开发商，便于系统改进；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14. 用户意见自动收集：软件中含用户意见收集窗口，用户输入的任何意见可直接传到软件开发商，便于系统改进；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15. 视频监控功能：含有视频监控功能；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15. 视频监控功能：含有视频监控功能；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★16. 实验设备使用记录：实验设备使用情况的收集并上传至学校现有VMC-100服务管理中心进行统计；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★16. 实验设备使用记录：实验设备使用情况的收集并上传至学校现有VMC-100服务管理中心进行统计；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17. 数据导出：可导出原始实验数据及分析结果；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17. 数据导出：可导出原始实验数据及分析结果；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18. 通用数据处理：微分、积分、频率直方图、频谱分析、平均动脉以及心率曲线等等；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18. 通用数据处理：微分、积分、频率直方图、频谱分析、平均动脉以及心率曲线等等；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19. 专用数据处理：血流动力学实验参数的分析、心肌细胞动作电位参数的测量、心功能参数分析，人体肺通气功能测量，突触后电位分析，心率变异分析，矢量图分析等；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19. 专用数据处理：血流动力学实验参数的分析、心肌细胞动作电位参数的测量、心功能参数分析，人体肺通气功能测量，突触后电位分析，心率变异分析，矢量图分析等；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20. 数据测量：单点测量、带Mark标记的两点测量、区间测量、实时测量，可测量出波形的最大、最小、平均值，时间、频率、面积等参数；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20. 数据测量：单点测量、带Mark标记的两点测量、区间测量、实时测量，可测量出波形的最大、最小、平均值，时间、频率、面积等参数；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21. 药理学参数计算工具：苯海拉明的拮抗参数（PA2、PD2）测定功能，按照Bliss法计算LD50、ED50值、计算t检验和半衰期值。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21. 药理学参数计算工具：苯海拉明的拮抗参数（PA2、PD2）测定功能，按照Bliss法计算LD50、ED50值、计算t检验和半衰期值。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22. 固件自动升级：软件会判断硬件产品上固件软件是否为最新版本，对低版本的固件自动完成升级；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22. 固件自动升级：软件会判断硬件产品上固件软件是否为最新版本，对低版本的固件自动完成升级；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23. 软件功能配置：文件路径、软件外观等信息可以通过统一配置界面进行修改，在该界面上还能查看系统详细信息。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23. 软件功能配置：文件路径、软件外观等信息可以通过统一配置界面进行修改，在该界面上还能查看系统详细信息。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(四)、机能实验系统附件包技术参数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br/>
              <w:t>配置包含：悬浮银球电极1根、动脉夹1个、三通1个、蛙心夹2个、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蛙足钉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8颗、蛙心插管1根、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蛙板1个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、蛙心支架1个、动脉插管3根、心电夹4只、人体一次性电极6只、固定金属杆连接杆1根、万向双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凹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夹1个、血压传感器夹持器1个、神经屏蔽盒1个、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尿滴受滴器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1个、万向支架1个、二维调节器1个、气管插管3根、神经引导电极1根、保护电极1根、刺激电极1根、屏蔽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盒刺激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输出线1根、屏蔽盒信号输入线2根、信号输入线1根、刺激、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计滴线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1根、全导联心电线1根、污物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缸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1个。</w:t>
            </w:r>
          </w:p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(四)、机能实验系统附件包技术参数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br/>
              <w:t>配置包含：悬浮银球电极1根、动脉夹1个、三通1个、蛙心夹2个、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蛙足钉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8颗、蛙心插管1根、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蛙板1个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、蛙心支架1个、动脉插管3根、心电夹4只、人体一次性电极6只、固定金属杆连接杆1根、万向双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凹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夹1个、血压传感器夹持器1个、神经屏蔽盒1个、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尿滴受滴器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1个、万向支架1个、二维调节器1个、气管插管3根、神经引导电极1根、保护电极1根、刺激电极1根、屏蔽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盒刺激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输出线1根、屏蔽盒信号输入线2根、信号输入线1根、刺激、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计滴线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1根、全导联心电线1根、污物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缸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1个。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(五)、高级手术操作器械包技术参数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br/>
              <w:t>包含：普通剪刀1把、眼科剪1把、手术剪（直尖头）1把、手术剪（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弯圆头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）1把、手术刀1把、止血钳（直）2把、止血钳（弯）2把、组织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钳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2把、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蚊氏止血钳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2把、持针钳1把、解剖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镊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1把、眼用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镊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（弯）1把、眼用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镊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（直）1把、显微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镊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1把、颅骨钻1个、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咬骨钳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1把、玻璃分针2根、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毁髓针1根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锌铜弓1个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、医用缝合针11包、医用缝合线3包、灌胃器（大鼠）1根、灌胃器（小鼠）1根、动脉夹4个、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兔开口器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1个。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(五)、高级手术操作器械包技术参数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（型号：BL-30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）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br/>
              <w:t>包含：普通剪刀1把、眼科剪1把、手术剪（直尖头）1把、手术剪（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弯圆头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）1把、手术刀1把、止血钳（直）2把、止血钳（弯）2把、组织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钳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2把、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蚊氏止血钳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2把、持针钳1把、解剖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镊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1把、眼用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镊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（弯）1把、眼用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镊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（直）1把、显微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镊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1把、颅骨钻1个、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咬骨钳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1把、玻璃分针2根、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毁髓针1根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锌铜弓1个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、医用缝合针11包、医用缝合线3包、灌胃器（大鼠）1根、灌胃器（小鼠）1根、动脉夹4个、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兔开口器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1个。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（六）、无干扰恒温加热兔台技术参数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（六）、无干扰恒温加热兔台技术参数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(型号：JR-30)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 加热金属内嵌于塑料板中央；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 加热金属内嵌于塑料板中央；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2. 可控的直流加热，不会在实验中引入交流干扰，同时对人体安全；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2. 可控的直流加热，不会在实验中引入交流干扰，同时对人体安全；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3. 加热温度限制，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最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高温不超过45°C，不会烫伤实验动物；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3. 加热温度限制，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最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高温不超过45°C，不会烫伤实验动物；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4. 捆绑家兔四肢的扣式结构设计，方便重复使用；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4. 捆绑家兔四肢的扣式结构设计，方便重复使用；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5. 配置可收纳于底部的输液架，方面使用及收纳；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5. 配置可收纳于底部的输液架，方面使用及收纳；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6. 兔台尾部内嵌实验废液收集槽，保持实验台面的清洁；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6. 兔台尾部内嵌实验废液收集槽，保持实验台面的清洁；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7. 废液收集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槽具有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多选择性，可暂存废液，也可将废液及时排出；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7. 废液收集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槽具有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多选择性，可暂存废液，也可将废液及时排出；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8. 可调的头部固定装置可稳定的固定兔头，同时保持颈部血管舒张适度；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8. 可调的头部固定装置可稳定的固定兔头，同时保持颈部血管舒张适度；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9. 内含数字加热控温模块，实验控温准确；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9. 内含数字加热控温模块，实验控温准确；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10. 一体化设计，模具成型，具有IPX6耐水等级可全身水洗。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10. 一体化设计，模具成型，具有IPX6耐水等级可全身水洗。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11. 可适用体重范围：2-3.5kg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11. 可适用体重范围：2-3.5kg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12. 最低使用室温：10℃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12. 最低使用室温：10℃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13. 输液架高度：600-1000mm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13. 输液架高度：600-1000mm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14. 最大液体收集量：≥300ml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14. 最大液体收集量：300ml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15. 加热区域尺寸：300mm×120mm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15. 加热区域尺寸：300mm×120mm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7、电脑参数：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br/>
              <w:t>I5处理器，8G内存，1T硬盘，集成显卡, 19.5英寸液晶显示器，节能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无线键鼠套装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7、电脑参数：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br/>
              <w:t>I5处理器，8G内存，1T硬盘，集成显卡, 19.5英寸液晶显示器，节能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无线键鼠套装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★提供生产厂商针对本项目的服务承诺函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原件及宣传彩页加盖公章。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★提供生产厂商针对本项目的服务承诺函</w:t>
            </w: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原件及宣传彩页加盖公章。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lastRenderedPageBreak/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lastRenderedPageBreak/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numPr>
                <w:ilvl w:val="0"/>
                <w:numId w:val="2"/>
              </w:numPr>
              <w:spacing w:line="32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信息化信号采集与处理系统</w:t>
            </w:r>
          </w:p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numPr>
                <w:ilvl w:val="0"/>
                <w:numId w:val="2"/>
              </w:numPr>
              <w:spacing w:line="32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信息化信号采集与处理系统</w:t>
            </w:r>
          </w:p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4台</w:t>
            </w:r>
            <w:r w:rsidRPr="00FE0BD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型号：</w:t>
            </w:r>
            <w:r w:rsidRPr="00FE0BD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BL-420I)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 硬件参数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 硬件参数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 物理采样通道数： 4；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 物理采样通道数： 4；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1.2 独立12导联全导联心电接口：12导联心电信号可以在软件上同时显示；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1.2 独立12导联全导联心电接口：12导联心电信号可以在软件上同时显示；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1.3 物理采样通道与12导联全导联心电通道独立工作，可同时采样并同时在软件上显示；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1.3 物理采样通道与12导联全导联心电通道独立工作，可同时采样并同时在软件上显示；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1.4 ★采样通道扩展：根据通道上连接的不同型号扩展器，可将1个物理通道扩展为多个物理采样通道，例如：连接人体生理信号采集扩展器，可以将1个物理通道扩展为同时采样人体心电、呼吸、血氧和血压信号等7道信号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1.4 ★采样通道扩展：根据通道上连接的不同型号扩展器，可将1个物理通道扩展为多个物理采样通道，例如：连接人体生理信号采集扩展器，可以将1个物理通道扩展为同时采样人体心电、呼吸、血氧和血压信号等7道信号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1.5 传感器自动识别： 系统自动识别连接的传感器类型，自动按传感器类型设置采样参数，同时在软件界面上有具体提示界面；</w:t>
            </w: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1.5 传感器自动识别： 系统自动识别连接的传感器类型，自动按传感器类型设置采样参数，同时在软件界面上有具体提示界面；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1.6 增益： ±1V ~ ±50μV；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1.6 增益： ±1V ~ ±50μV；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1.7 滤波： 模拟、硬件数字滤波器双重滤波；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1.7 滤波： 模拟、硬件数字滤波器双重滤波；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1.8 最大采样率：800KHz；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1.8 最大采样率：800KHz；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1.9 AD转换器：16位4通道同步采样；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1.9 AD转换器：16位4通道同步采样；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1.10 信噪比：&gt; 80dB；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1.10 信噪比： 80dB；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1.11 等效输入噪声： 电压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峰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峰值 &lt; 2.0μV；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1.11 等效输入噪声： 电压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峰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峰值 &lt; 2.0μV；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1.12 ★系统级联：2~4台设备级联；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1.12 ★系统级联：2~4台设备级联；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1.13 电源: DC 12V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1.13 电源: DC 12V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1.14 硬件具有环境显示窗口： 显示温度、湿度、大气压及设备连接情况；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1.14 硬件具有环境显示窗口： 显示温度、湿度、大气压及设备连接情况；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1.15 ★实验环境监测功能： 可实时监测实验时的温度、湿度及大气压力等实验环境；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1.15 ★实验环境监测功能： 可实时监测实验时的温度、湿度及大气压力等实验环境；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1.16 设备使用情况记录： 自动记录设备使用情况，包括首次使用日期，最近使用日期，累计使用时间和次数等，使用情况记录到硬件中；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1.16 设备使用情况记录： 自动记录设备使用情况，包括首次使用日期，最近使用日期，累计使用时间和次数等，使用情况记录到硬件中；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1.17 扩展功能： 监听、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记滴功能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1.17 扩展功能： 监听、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记滴功能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1.18 设备内置刺激器：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1.18 设备内置刺激器：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1） 波形： 三角波、方波、正负方波、正</w:t>
            </w: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弦波或用户编辑波形；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1） 波形： 三角波、方波、正负方波、正</w:t>
            </w: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弦波或用户编辑波形；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lastRenderedPageBreak/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lastRenderedPageBreak/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2） 模式： 恒流、恒压两种输出方式；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2） 模式： 恒流、恒压两种输出方式；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3） 电压： 0~ 110V；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3） 电压： 0~ 110V；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4） 电流： 0 ~ 150mA。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4） 电流： 0 ~ 150mA。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 软件参数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 软件参数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 软件显示通道数：1 ~ 64通道可变；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 软件显示通道数：1 ~ 64通道可变；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2.2 ★同时反演文件数： 4（可同时打开多个文件进行反演）；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2.2 ★同时反演文件数： 4（可同时打开多个文件进行反演）；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2.3 ★采样和反演同时进行： 在信号实时采集过程中，可以同时打开以前记录的文件进行查看、对比、分析等操作；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2.3 ★采样和反演同时进行： 在信号实时采集过程中，可以同时打开以前记录的文件进行查看、对比、分析等操作；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2.4 通道差异化采样率： 不同通道可设置不同采样率进行数据采样、不同采样率的信号可同步记录及同步显示；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2.4 通道差异化采样率： 不同通道可设置不同采样率进行数据采样、不同采样率的信号可同步记录及同步显示；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2.5 文件列表窗口： 用户直接点击列表文件打开反演文件；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2.5 文件列表窗口： 用户直接点击列表文件打开反演文件；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2.6 浮动快速启动窗口： 用户直接启动停止实验方便操作；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2.6 浮动快速启动窗口： 用户直接启动停止实验方便操作；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2.7 ★软件外观：可由用户改变，可打开或隐藏信息显示、刺激、快速启动、文件列表等窗口，所有窗口可在屏幕范围内移动；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2.7 ★软件外观：可由用户改变，可打开或隐藏信息显示、刺激、快速启动、文件列表等窗口，所有窗口可在屏幕范围内移动；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2.8 在线实验报告编辑： 在线实验报告编辑功能；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2.8 在线实验报告编辑： 在线实验报告编辑功能；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2.9 实验报告、数据上传和下载（用户需配置NEIM-100实验室信息管理系统）：上传地址用户可配置；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2.9 实验报告、数据上传和下载（用户需配置NEIM-100实验室信息管理系统）：上传地址用户可配置；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2.10 软件实验模块内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嵌电子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教材： 包含实验目的和原理、实验对象、实验器材和药品、实验步骤和观察项目、注意事项、思考题、常规实验操作视频等；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2.10 软件实验模块内</w:t>
            </w:r>
            <w:proofErr w:type="gramStart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嵌电子</w:t>
            </w:r>
            <w:proofErr w:type="gramEnd"/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教材： 包含实验目的和原理、实验对象、实验器材和药品、实验步骤和观察项目、注意事项、思考题、常规实验操作视频等；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2.11 软件直接与虚拟仿真实验中心连接（用户需配置虚拟实验仿真中心）：为学生展示更多实验知识；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2.11 软件直接与虚拟仿真实验中心连接（用户需配置虚拟实验仿真中心）：为学生展示更多实验知识；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2.12★软件自动升级功能：软件自动搜索服务器上的最新版本软件并提醒用户升级，用户确认后可自动升级，便于用户快速升级软件；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2.12★软件自动升级功能：软件自动搜索服务器上的最新版本软件并提醒用户升级，用户确认后可自动升级，便于用户快速升级软件；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2.13 ★用户意见自动收集：软件中含用户意见收集窗口，用户输入的任何意见可直接传到软件开发商，便于系统改进；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2.13 ★用户意见自动收集：软件中含用户意见收集窗口，用户输入的任何意见可直接传到软件开发商，便于系统改进；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2.14 视频监控功能： 含有视频监控功能；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2.14 视频监控功能： 含有视频监控功能；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2.15 实验设备使用记录： 实验设备使用情况的收集并上传至NEIM-100服务管理中心进行统计；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2.15 实验设备使用记录： 实验设备使用情况的收集并上传至NEIM-100服务管理中心进行统计；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2.16 数据导出： 可导出原始实验数据及分析结果；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2.16 数据导出： 可导出原始实验数据及分析结果；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2.17 通用数据处理： 微分、积分、频率直方图以及频谱分析等；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2.17 通用数据处理： 微分、积分、频率直方图以及频谱分析等；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2.18 专用数据处理： 血流动力学实验参数的分析、心肌细胞动作电位参数的测量、心功能参数分析，人体肺通气功能测量，突触后电位分析，心率变异分析，矢量图分析等；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2.18 专用数据处理： 血流动力学实验参数的分析、心肌细胞动作电位参数的测量、心功能参数分析，人体肺通气功能测量，突触后电位分析，心率变异分析，矢量图分析等；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2.19 数据测量： 单点测量、带Mark标记的两点测量、区间测量、实时测量，可测量出波形的最大、最小、平均值，时间、频率、面积等参数；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2.19 数据测量： 单点测量、带Mark标记的两点测量、区间测量、实时测量，可测量出波形的最大、最小、平均值，时间、频率、面积等参数；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2.20 药理学参数计算工具：苯海拉明的拮抗参数（PA2、PD2）测定功能，按照Bliss法计算LD50、ED50值、计算t检验和半衰期值。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2.20 药理学参数计算工具：苯海拉明的拮抗参数（PA2、PD2）测定功能，按照Bliss法计算LD50、ED50值、计算t检验和半衰期值。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★提供生产厂商针对本项目的服务承诺函原件及宣传彩页加盖公章。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★提供生产厂商针对本项目的服务承诺函原件及宣传彩页加盖公章。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3.便携式肺功能检测仪  2台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3.便携式肺功能检测仪  2台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MSA99型号技术参数：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MSA99型号技术参数：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 容量范围：0L-9L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1. 容量范围：0L-9L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2.    容量精度：±3%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2.    容量精度：±3%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3. 流速范围：0~14L/s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3. 流速范围：0~14L/s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4. 流速精度：5%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4. 流速精度：5%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5. 呼吸范围: 4次/分~60次/分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5. 呼吸范围: 4次/分~60次/分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6. 呼吸精度：±5%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6. 呼吸精度：±5%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7. 打印功能：320x240点阵液晶，110mm热敏打印机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7. 打印功能：320x240点阵液晶，110mm热敏打印机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8. 仪器样式：便携式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8. 仪器样式：便携式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9. 便携式外形尺寸：长284mm*宽210mm*高84mm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9. 便携式外形尺寸：长284mm*宽210mm*高84mm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10. 净重：1.7Kg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10. 净重：1.7Kg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11. 屏幕尺寸：5.7英寸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11. 屏幕尺寸：5.7英寸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4.电热恒温鼓风干燥箱 1台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4.电热恒温鼓风干燥箱 1台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工作室尺寸:840*600*1355mm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工作室尺寸:840*600*1355mm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控温范围:RT+10℃~200℃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控温范围:RT+10℃~200℃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定时范围:0~9999min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定时范围:0~9999min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控温精度:0.1℃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控温精度:0.1℃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温度波动:±1℃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温度波动:±1℃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工作环境温度:5~40℃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工作环境温度:5~40℃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载物托架:4块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载物托架:4块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电源电压为:380V-50HZ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电源电压为:380V-50HZ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功率:4000W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功率:4000W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工作室材质:不锈钢内胆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工作室材质:不锈钢内胆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6</w:t>
            </w:r>
            <w:r w:rsidRPr="004272B0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.电子天平   1台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5.电子天平   1台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1、最大称量：1000g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1、最大称量：1000g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2、分度值：0.01g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2、分度值：0.01g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3、外型尺寸：≥278×206×78mm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3、外型尺寸：278×206×78mm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4、性能说明：采用变精度电阻应变式传感器；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4、性能说明：采用变精度电阻应变式传感器；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5、交直流两用；配校正砝码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5、交直流两用；配校正砝码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6、具有校正、单位转换、计数功能；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6、具有校正、单位转换、计数功能；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7、自设自动关机功能；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7、自设自动关机功能；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795D27" w:rsidRPr="004272B0" w:rsidRDefault="00795D27" w:rsidP="00F74231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7</w:t>
            </w:r>
            <w:r w:rsidRPr="004272B0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.多功能医疗床   2台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6.多功能医疗床   2台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1、规格：≥2000*900*480mm；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1、规格：2000*900*480mm；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2、材质：冷轧钢板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2、材质：冷轧钢板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3、背部可升降角度：0-80°±5°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3、背部可升降角度：0-80°±5°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4、流线型ABS床头尾板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4、流线型ABS床头尾板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5、带脚轮、铝合金护栏，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5、带脚轮、铝合金护栏，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  <w:tr w:rsidR="00795D27" w:rsidRPr="004272B0" w:rsidTr="00F74231">
        <w:trPr>
          <w:trHeight w:val="160"/>
          <w:jc w:val="center"/>
        </w:trPr>
        <w:tc>
          <w:tcPr>
            <w:tcW w:w="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Times New Roman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6、配置有床垫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95D27" w:rsidRPr="004272B0" w:rsidRDefault="00795D27" w:rsidP="00F74231">
            <w:pPr>
              <w:spacing w:line="32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272B0">
              <w:rPr>
                <w:rFonts w:ascii="华文中宋" w:eastAsia="华文中宋" w:hAnsi="华文中宋" w:cs="宋体" w:hint="eastAsia"/>
                <w:kern w:val="0"/>
                <w:szCs w:val="21"/>
              </w:rPr>
              <w:t>6、配置有床垫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95D27" w:rsidRPr="004272B0" w:rsidRDefault="00795D27" w:rsidP="00F74231">
            <w:pPr>
              <w:jc w:val="center"/>
              <w:rPr>
                <w:rFonts w:ascii="华文中宋" w:eastAsia="华文中宋" w:hAnsi="华文中宋"/>
              </w:rPr>
            </w:pPr>
            <w:r w:rsidRPr="004272B0">
              <w:rPr>
                <w:rFonts w:ascii="华文中宋" w:eastAsia="华文中宋" w:hAnsi="华文中宋" w:cs="Times New Roman"/>
                <w:szCs w:val="21"/>
              </w:rPr>
              <w:t>无偏离</w:t>
            </w:r>
          </w:p>
        </w:tc>
      </w:tr>
    </w:tbl>
    <w:p w:rsidR="00795D27" w:rsidRPr="004272B0" w:rsidRDefault="00795D27" w:rsidP="00795D27">
      <w:pPr>
        <w:tabs>
          <w:tab w:val="left" w:pos="9654"/>
        </w:tabs>
        <w:spacing w:line="320" w:lineRule="exact"/>
        <w:rPr>
          <w:rFonts w:ascii="华文中宋" w:eastAsia="华文中宋" w:hAnsi="华文中宋" w:cs="Times New Roman"/>
          <w:sz w:val="24"/>
          <w:szCs w:val="24"/>
        </w:rPr>
      </w:pPr>
    </w:p>
    <w:p w:rsidR="00795D27" w:rsidRDefault="00795D27" w:rsidP="00795D27">
      <w:pPr>
        <w:spacing w:line="320" w:lineRule="exact"/>
        <w:jc w:val="left"/>
        <w:outlineLvl w:val="0"/>
        <w:rPr>
          <w:rFonts w:ascii="华文中宋" w:eastAsia="华文中宋" w:hAnsi="华文中宋" w:cs="Times New Roman"/>
          <w:b/>
          <w:sz w:val="24"/>
          <w:szCs w:val="24"/>
        </w:rPr>
      </w:pPr>
    </w:p>
    <w:p w:rsidR="00795D27" w:rsidRPr="004272B0" w:rsidRDefault="00795D27" w:rsidP="00795D27">
      <w:pPr>
        <w:spacing w:line="320" w:lineRule="exact"/>
        <w:jc w:val="left"/>
        <w:outlineLvl w:val="0"/>
        <w:rPr>
          <w:rFonts w:ascii="华文中宋" w:eastAsia="华文中宋" w:hAnsi="华文中宋" w:cs="Times New Roman"/>
          <w:b/>
          <w:sz w:val="24"/>
          <w:szCs w:val="24"/>
        </w:rPr>
      </w:pPr>
      <w:r w:rsidRPr="004272B0">
        <w:rPr>
          <w:rFonts w:ascii="华文中宋" w:eastAsia="华文中宋" w:hAnsi="华文中宋" w:cs="Times New Roman" w:hint="eastAsia"/>
          <w:b/>
          <w:sz w:val="24"/>
          <w:szCs w:val="24"/>
        </w:rPr>
        <w:t>投标人签名：</w:t>
      </w:r>
    </w:p>
    <w:p w:rsidR="00795D27" w:rsidRPr="004272B0" w:rsidRDefault="00795D27" w:rsidP="00795D27">
      <w:pPr>
        <w:spacing w:line="320" w:lineRule="exact"/>
        <w:outlineLvl w:val="0"/>
        <w:rPr>
          <w:rFonts w:ascii="华文中宋" w:eastAsia="华文中宋" w:hAnsi="华文中宋" w:cs="Times New Roman"/>
          <w:b/>
          <w:sz w:val="24"/>
          <w:szCs w:val="24"/>
        </w:rPr>
      </w:pPr>
      <w:r w:rsidRPr="00C166E7">
        <w:rPr>
          <w:rFonts w:ascii="华文中宋" w:eastAsia="华文中宋" w:hAnsi="华文中宋" w:cs="Times New Roman"/>
          <w:sz w:val="24"/>
          <w:szCs w:val="24"/>
        </w:rPr>
        <w:pict>
          <v:line id="Line 7" o:spid="_x0000_s1026" style="position:absolute;left:0;text-align:left;z-index:251660288" from="74.1pt,.65pt" to="200.1pt,.65pt"/>
        </w:pict>
      </w:r>
    </w:p>
    <w:p w:rsidR="00795D27" w:rsidRPr="004272B0" w:rsidRDefault="00795D27" w:rsidP="00795D27">
      <w:pPr>
        <w:spacing w:line="360" w:lineRule="exact"/>
        <w:outlineLvl w:val="0"/>
        <w:rPr>
          <w:rFonts w:ascii="华文中宋" w:eastAsia="华文中宋" w:hAnsi="华文中宋" w:cs="Times New Roman"/>
          <w:b/>
          <w:sz w:val="24"/>
          <w:szCs w:val="24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795D27" w:rsidRDefault="00795D27" w:rsidP="00795D27">
      <w:pPr>
        <w:spacing w:line="360" w:lineRule="exact"/>
        <w:jc w:val="center"/>
        <w:rPr>
          <w:rFonts w:ascii="华文中宋" w:eastAsia="华文中宋" w:hAnsi="华文中宋" w:cs="Times New Roman"/>
          <w:b/>
          <w:sz w:val="28"/>
          <w:szCs w:val="28"/>
        </w:rPr>
      </w:pPr>
    </w:p>
    <w:p w:rsidR="00F02748" w:rsidRDefault="00795D27"/>
    <w:sectPr w:rsidR="00F02748" w:rsidSect="00AC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90F57D"/>
    <w:multiLevelType w:val="singleLevel"/>
    <w:tmpl w:val="F190F57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D27"/>
    <w:rsid w:val="005B12F3"/>
    <w:rsid w:val="00795D27"/>
    <w:rsid w:val="00AC1DEA"/>
    <w:rsid w:val="00AD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D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D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D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D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2008</Words>
  <Characters>11447</Characters>
  <Application>Microsoft Office Word</Application>
  <DocSecurity>0</DocSecurity>
  <Lines>95</Lines>
  <Paragraphs>26</Paragraphs>
  <ScaleCrop>false</ScaleCrop>
  <Company>China</Company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2019-08-20T02:50:00Z</dcterms:created>
  <dcterms:modified xsi:type="dcterms:W3CDTF">2019-08-20T02:50:00Z</dcterms:modified>
</cp:coreProperties>
</file>