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 w:hAnsi="宋体"/>
          <w:color w:val="auto"/>
          <w:sz w:val="36"/>
          <w:szCs w:val="28"/>
        </w:rPr>
      </w:pPr>
      <w:r>
        <w:rPr>
          <w:rFonts w:hint="eastAsia" w:ascii="宋体" w:hAnsi="宋体"/>
          <w:color w:val="auto"/>
          <w:sz w:val="36"/>
          <w:szCs w:val="28"/>
        </w:rPr>
        <w:pict>
          <v:shape id="_x0000_i1025" o:spt="75" alt="e6dd56502172ceb978bb35c3a341a3a" type="#_x0000_t75" style="height:596.15pt;width:414.7pt;" filled="f" o:preferrelative="t" stroked="f" coordsize="21600,21600">
            <v:path/>
            <v:fill on="f" focussize="0,0"/>
            <v:stroke on="f"/>
            <v:imagedata r:id="rId16" o:title="e6dd56502172ceb978bb35c3a341a3a"/>
            <o:lock v:ext="edit" aspectratio="t"/>
            <w10:wrap type="none"/>
            <w10:anchorlock/>
          </v:shape>
        </w:pict>
      </w:r>
    </w:p>
    <w:p>
      <w:pPr>
        <w:spacing w:line="360" w:lineRule="auto"/>
        <w:jc w:val="center"/>
        <w:rPr>
          <w:rFonts w:hint="eastAsia" w:ascii="宋体" w:hAnsi="宋体"/>
          <w:color w:val="auto"/>
          <w:sz w:val="36"/>
          <w:szCs w:val="28"/>
        </w:rPr>
      </w:pPr>
    </w:p>
    <w:p>
      <w:pPr>
        <w:spacing w:line="360" w:lineRule="auto"/>
        <w:jc w:val="center"/>
        <w:rPr>
          <w:rFonts w:hint="eastAsia" w:ascii="宋体" w:hAnsi="宋体"/>
          <w:color w:val="auto"/>
          <w:sz w:val="36"/>
          <w:szCs w:val="28"/>
        </w:rPr>
      </w:pPr>
    </w:p>
    <w:p>
      <w:pPr>
        <w:spacing w:line="360" w:lineRule="auto"/>
        <w:jc w:val="center"/>
        <w:rPr>
          <w:rFonts w:hint="eastAsia" w:ascii="宋体" w:hAnsi="宋体"/>
          <w:color w:val="auto"/>
          <w:sz w:val="36"/>
          <w:szCs w:val="28"/>
        </w:rPr>
      </w:pPr>
    </w:p>
    <w:p>
      <w:pPr>
        <w:spacing w:line="360" w:lineRule="auto"/>
        <w:jc w:val="center"/>
        <w:rPr>
          <w:rFonts w:ascii="宋体"/>
          <w:color w:val="auto"/>
          <w:sz w:val="36"/>
          <w:szCs w:val="28"/>
        </w:rPr>
      </w:pPr>
      <w:r>
        <w:rPr>
          <w:rFonts w:hint="eastAsia" w:ascii="宋体" w:hAnsi="宋体"/>
          <w:color w:val="auto"/>
          <w:sz w:val="36"/>
          <w:szCs w:val="28"/>
        </w:rPr>
        <w:t>目</w:t>
      </w:r>
      <w:r>
        <w:rPr>
          <w:rFonts w:hint="eastAsia" w:ascii="宋体" w:hAnsi="宋体"/>
          <w:color w:val="auto"/>
          <w:sz w:val="36"/>
          <w:szCs w:val="28"/>
          <w:lang w:val="en-US" w:eastAsia="zh-CN"/>
        </w:rPr>
        <w:t xml:space="preserve">  </w:t>
      </w:r>
      <w:r>
        <w:rPr>
          <w:rFonts w:hint="eastAsia" w:ascii="宋体" w:hAnsi="宋体"/>
          <w:color w:val="auto"/>
          <w:sz w:val="36"/>
          <w:szCs w:val="28"/>
        </w:rPr>
        <w:t>录</w:t>
      </w:r>
    </w:p>
    <w:p>
      <w:pPr>
        <w:pStyle w:val="8"/>
        <w:pBdr>
          <w:top w:val="none" w:color="auto" w:sz="0" w:space="0"/>
          <w:left w:val="none" w:color="auto" w:sz="0" w:space="0"/>
          <w:bottom w:val="none" w:color="auto" w:sz="0" w:space="0"/>
          <w:right w:val="none" w:color="auto" w:sz="0" w:space="0"/>
          <w:between w:val="none" w:color="auto" w:sz="0" w:space="0"/>
        </w:pBdr>
        <w:jc w:val="both"/>
        <w:rPr>
          <w:color w:val="auto"/>
        </w:rPr>
      </w:pPr>
    </w:p>
    <w:p>
      <w:pPr>
        <w:pStyle w:val="9"/>
        <w:pBdr>
          <w:top w:val="none" w:color="auto" w:sz="0" w:space="0"/>
          <w:left w:val="none" w:color="auto" w:sz="0" w:space="0"/>
          <w:bottom w:val="none" w:color="auto" w:sz="0" w:space="0"/>
          <w:right w:val="none" w:color="auto" w:sz="0" w:space="0"/>
          <w:between w:val="none" w:color="auto" w:sz="0" w:space="0"/>
        </w:pBdr>
        <w:tabs>
          <w:tab w:val="right" w:leader="dot" w:pos="8306"/>
          <w:tab w:val="clear" w:pos="4153"/>
        </w:tabs>
        <w:spacing w:line="480" w:lineRule="auto"/>
        <w:rPr>
          <w:color w:val="auto"/>
          <w:sz w:val="30"/>
          <w:szCs w:val="30"/>
        </w:rPr>
      </w:pPr>
      <w:r>
        <w:rPr>
          <w:color w:val="auto"/>
          <w:sz w:val="24"/>
          <w:szCs w:val="24"/>
        </w:rPr>
        <w:fldChar w:fldCharType="begin"/>
      </w:r>
      <w:r>
        <w:rPr>
          <w:color w:val="auto"/>
          <w:sz w:val="24"/>
          <w:szCs w:val="24"/>
        </w:rPr>
        <w:instrText xml:space="preserve">TOC \o "1-3" \h \u </w:instrText>
      </w:r>
      <w:r>
        <w:rPr>
          <w:color w:val="auto"/>
          <w:sz w:val="24"/>
          <w:szCs w:val="24"/>
        </w:rPr>
        <w:fldChar w:fldCharType="separate"/>
      </w:r>
      <w:r>
        <w:rPr>
          <w:color w:val="auto"/>
        </w:rPr>
        <w:fldChar w:fldCharType="begin"/>
      </w:r>
      <w:r>
        <w:rPr>
          <w:color w:val="auto"/>
        </w:rPr>
        <w:instrText xml:space="preserve"> HYPERLINK \l "_Toc18250" </w:instrText>
      </w:r>
      <w:r>
        <w:rPr>
          <w:color w:val="auto"/>
        </w:rPr>
        <w:fldChar w:fldCharType="separate"/>
      </w:r>
      <w:r>
        <w:rPr>
          <w:rFonts w:hint="eastAsia" w:ascii="Times New Roman" w:hAnsi="Times New Roman"/>
          <w:bCs/>
          <w:color w:val="auto"/>
          <w:sz w:val="30"/>
          <w:szCs w:val="30"/>
        </w:rPr>
        <w:t>第一章询价公告</w:t>
      </w:r>
      <w:r>
        <w:rPr>
          <w:color w:val="auto"/>
          <w:sz w:val="30"/>
          <w:szCs w:val="30"/>
        </w:rPr>
        <w:tab/>
      </w:r>
      <w:r>
        <w:rPr>
          <w:color w:val="auto"/>
          <w:sz w:val="30"/>
          <w:szCs w:val="30"/>
        </w:rPr>
        <w:fldChar w:fldCharType="begin"/>
      </w:r>
      <w:r>
        <w:rPr>
          <w:color w:val="auto"/>
          <w:sz w:val="30"/>
          <w:szCs w:val="30"/>
        </w:rPr>
        <w:instrText xml:space="preserve"> PAGEREF _Toc18250 </w:instrText>
      </w:r>
      <w:r>
        <w:rPr>
          <w:color w:val="auto"/>
          <w:sz w:val="30"/>
          <w:szCs w:val="30"/>
        </w:rPr>
        <w:fldChar w:fldCharType="separate"/>
      </w:r>
      <w:r>
        <w:rPr>
          <w:color w:val="auto"/>
          <w:sz w:val="30"/>
          <w:szCs w:val="30"/>
        </w:rPr>
        <w:t>- 1 -</w:t>
      </w:r>
      <w:r>
        <w:rPr>
          <w:color w:val="auto"/>
          <w:sz w:val="30"/>
          <w:szCs w:val="30"/>
        </w:rPr>
        <w:fldChar w:fldCharType="end"/>
      </w:r>
      <w:r>
        <w:rPr>
          <w:color w:val="auto"/>
          <w:sz w:val="30"/>
          <w:szCs w:val="30"/>
        </w:rPr>
        <w:fldChar w:fldCharType="end"/>
      </w:r>
    </w:p>
    <w:p>
      <w:pPr>
        <w:pStyle w:val="9"/>
        <w:pBdr>
          <w:top w:val="none" w:color="auto" w:sz="0" w:space="0"/>
          <w:left w:val="none" w:color="auto" w:sz="0" w:space="0"/>
          <w:bottom w:val="none" w:color="auto" w:sz="0" w:space="0"/>
          <w:right w:val="none" w:color="auto" w:sz="0" w:space="0"/>
          <w:between w:val="none" w:color="auto" w:sz="0" w:space="0"/>
        </w:pBdr>
        <w:tabs>
          <w:tab w:val="right" w:leader="dot" w:pos="8306"/>
          <w:tab w:val="clear" w:pos="4153"/>
        </w:tabs>
        <w:spacing w:line="480" w:lineRule="auto"/>
        <w:rPr>
          <w:color w:val="auto"/>
          <w:sz w:val="30"/>
          <w:szCs w:val="30"/>
        </w:rPr>
      </w:pPr>
      <w:r>
        <w:rPr>
          <w:color w:val="auto"/>
        </w:rPr>
        <w:fldChar w:fldCharType="begin"/>
      </w:r>
      <w:r>
        <w:rPr>
          <w:color w:val="auto"/>
        </w:rPr>
        <w:instrText xml:space="preserve"> HYPERLINK \l "_Toc21483" </w:instrText>
      </w:r>
      <w:r>
        <w:rPr>
          <w:color w:val="auto"/>
        </w:rPr>
        <w:fldChar w:fldCharType="separate"/>
      </w:r>
      <w:r>
        <w:rPr>
          <w:rFonts w:hint="eastAsia" w:ascii="Times New Roman" w:hAnsi="Times New Roman"/>
          <w:bCs/>
          <w:color w:val="auto"/>
          <w:sz w:val="30"/>
          <w:szCs w:val="30"/>
        </w:rPr>
        <w:t>第二章询价须知</w:t>
      </w:r>
      <w:r>
        <w:rPr>
          <w:color w:val="auto"/>
          <w:sz w:val="30"/>
          <w:szCs w:val="30"/>
        </w:rPr>
        <w:tab/>
      </w:r>
      <w:r>
        <w:rPr>
          <w:color w:val="auto"/>
          <w:sz w:val="30"/>
          <w:szCs w:val="30"/>
        </w:rPr>
        <w:fldChar w:fldCharType="begin"/>
      </w:r>
      <w:r>
        <w:rPr>
          <w:color w:val="auto"/>
          <w:sz w:val="30"/>
          <w:szCs w:val="30"/>
        </w:rPr>
        <w:instrText xml:space="preserve"> PAGEREF _Toc21483 </w:instrText>
      </w:r>
      <w:r>
        <w:rPr>
          <w:color w:val="auto"/>
          <w:sz w:val="30"/>
          <w:szCs w:val="30"/>
        </w:rPr>
        <w:fldChar w:fldCharType="separate"/>
      </w:r>
      <w:r>
        <w:rPr>
          <w:color w:val="auto"/>
          <w:sz w:val="30"/>
          <w:szCs w:val="30"/>
        </w:rPr>
        <w:t>- 4 -</w:t>
      </w:r>
      <w:r>
        <w:rPr>
          <w:color w:val="auto"/>
          <w:sz w:val="30"/>
          <w:szCs w:val="30"/>
        </w:rPr>
        <w:fldChar w:fldCharType="end"/>
      </w:r>
      <w:r>
        <w:rPr>
          <w:color w:val="auto"/>
          <w:sz w:val="30"/>
          <w:szCs w:val="30"/>
        </w:rPr>
        <w:fldChar w:fldCharType="end"/>
      </w:r>
    </w:p>
    <w:p>
      <w:pPr>
        <w:pStyle w:val="9"/>
        <w:pBdr>
          <w:top w:val="none" w:color="auto" w:sz="0" w:space="0"/>
          <w:left w:val="none" w:color="auto" w:sz="0" w:space="0"/>
          <w:bottom w:val="none" w:color="auto" w:sz="0" w:space="0"/>
          <w:right w:val="none" w:color="auto" w:sz="0" w:space="0"/>
          <w:between w:val="none" w:color="auto" w:sz="0" w:space="0"/>
        </w:pBdr>
        <w:tabs>
          <w:tab w:val="right" w:leader="dot" w:pos="8306"/>
          <w:tab w:val="clear" w:pos="4153"/>
        </w:tabs>
        <w:spacing w:line="480" w:lineRule="auto"/>
        <w:rPr>
          <w:color w:val="auto"/>
          <w:sz w:val="30"/>
          <w:szCs w:val="30"/>
        </w:rPr>
      </w:pPr>
      <w:r>
        <w:rPr>
          <w:color w:val="auto"/>
        </w:rPr>
        <w:fldChar w:fldCharType="begin"/>
      </w:r>
      <w:r>
        <w:rPr>
          <w:color w:val="auto"/>
        </w:rPr>
        <w:instrText xml:space="preserve"> HYPERLINK \l "_Toc17834" </w:instrText>
      </w:r>
      <w:r>
        <w:rPr>
          <w:color w:val="auto"/>
        </w:rPr>
        <w:fldChar w:fldCharType="separate"/>
      </w:r>
      <w:r>
        <w:rPr>
          <w:rFonts w:hint="eastAsia" w:ascii="Times New Roman" w:hAnsi="Times New Roman"/>
          <w:bCs/>
          <w:color w:val="auto"/>
          <w:sz w:val="30"/>
          <w:szCs w:val="30"/>
        </w:rPr>
        <w:t>第三章供应商资格证明文件</w:t>
      </w:r>
      <w:r>
        <w:rPr>
          <w:color w:val="auto"/>
          <w:sz w:val="30"/>
          <w:szCs w:val="30"/>
        </w:rPr>
        <w:tab/>
      </w:r>
      <w:r>
        <w:rPr>
          <w:color w:val="auto"/>
          <w:sz w:val="30"/>
          <w:szCs w:val="30"/>
        </w:rPr>
        <w:fldChar w:fldCharType="begin"/>
      </w:r>
      <w:r>
        <w:rPr>
          <w:color w:val="auto"/>
          <w:sz w:val="30"/>
          <w:szCs w:val="30"/>
        </w:rPr>
        <w:instrText xml:space="preserve"> PAGEREF _Toc17834 </w:instrText>
      </w:r>
      <w:r>
        <w:rPr>
          <w:color w:val="auto"/>
          <w:sz w:val="30"/>
          <w:szCs w:val="30"/>
        </w:rPr>
        <w:fldChar w:fldCharType="separate"/>
      </w:r>
      <w:r>
        <w:rPr>
          <w:color w:val="auto"/>
          <w:sz w:val="30"/>
          <w:szCs w:val="30"/>
        </w:rPr>
        <w:t>- 13 -</w:t>
      </w:r>
      <w:r>
        <w:rPr>
          <w:color w:val="auto"/>
          <w:sz w:val="30"/>
          <w:szCs w:val="30"/>
        </w:rPr>
        <w:fldChar w:fldCharType="end"/>
      </w:r>
      <w:r>
        <w:rPr>
          <w:color w:val="auto"/>
          <w:sz w:val="30"/>
          <w:szCs w:val="30"/>
        </w:rPr>
        <w:fldChar w:fldCharType="end"/>
      </w:r>
    </w:p>
    <w:p>
      <w:pPr>
        <w:pStyle w:val="9"/>
        <w:pBdr>
          <w:top w:val="none" w:color="auto" w:sz="0" w:space="0"/>
          <w:left w:val="none" w:color="auto" w:sz="0" w:space="0"/>
          <w:bottom w:val="none" w:color="auto" w:sz="0" w:space="0"/>
          <w:right w:val="none" w:color="auto" w:sz="0" w:space="0"/>
          <w:between w:val="none" w:color="auto" w:sz="0" w:space="0"/>
        </w:pBdr>
        <w:tabs>
          <w:tab w:val="right" w:leader="dot" w:pos="8306"/>
          <w:tab w:val="clear" w:pos="4153"/>
        </w:tabs>
        <w:spacing w:line="480" w:lineRule="auto"/>
        <w:rPr>
          <w:color w:val="auto"/>
          <w:sz w:val="30"/>
          <w:szCs w:val="30"/>
        </w:rPr>
      </w:pPr>
      <w:r>
        <w:rPr>
          <w:color w:val="auto"/>
        </w:rPr>
        <w:fldChar w:fldCharType="begin"/>
      </w:r>
      <w:r>
        <w:rPr>
          <w:color w:val="auto"/>
        </w:rPr>
        <w:instrText xml:space="preserve"> HYPERLINK \l "_Toc5304" </w:instrText>
      </w:r>
      <w:r>
        <w:rPr>
          <w:color w:val="auto"/>
        </w:rPr>
        <w:fldChar w:fldCharType="separate"/>
      </w:r>
      <w:r>
        <w:rPr>
          <w:rFonts w:hint="eastAsia" w:ascii="Times New Roman" w:hAnsi="Times New Roman"/>
          <w:bCs/>
          <w:color w:val="auto"/>
          <w:sz w:val="30"/>
          <w:szCs w:val="30"/>
        </w:rPr>
        <w:t>第四章</w:t>
      </w:r>
      <w:r>
        <w:rPr>
          <w:rFonts w:hint="eastAsia" w:ascii="Times New Roman" w:hAnsi="Times New Roman"/>
          <w:bCs/>
          <w:color w:val="auto"/>
          <w:sz w:val="30"/>
          <w:szCs w:val="30"/>
          <w:lang w:eastAsia="zh-CN"/>
        </w:rPr>
        <w:t>用户需求书</w:t>
      </w:r>
      <w:r>
        <w:rPr>
          <w:color w:val="auto"/>
          <w:sz w:val="30"/>
          <w:szCs w:val="30"/>
        </w:rPr>
        <w:tab/>
      </w:r>
      <w:r>
        <w:rPr>
          <w:color w:val="auto"/>
          <w:sz w:val="30"/>
          <w:szCs w:val="30"/>
        </w:rPr>
        <w:fldChar w:fldCharType="begin"/>
      </w:r>
      <w:r>
        <w:rPr>
          <w:color w:val="auto"/>
          <w:sz w:val="30"/>
          <w:szCs w:val="30"/>
        </w:rPr>
        <w:instrText xml:space="preserve"> PAGEREF _Toc5304 </w:instrText>
      </w:r>
      <w:r>
        <w:rPr>
          <w:color w:val="auto"/>
          <w:sz w:val="30"/>
          <w:szCs w:val="30"/>
        </w:rPr>
        <w:fldChar w:fldCharType="separate"/>
      </w:r>
      <w:r>
        <w:rPr>
          <w:color w:val="auto"/>
          <w:sz w:val="30"/>
          <w:szCs w:val="30"/>
        </w:rPr>
        <w:t>- 17 -</w:t>
      </w:r>
      <w:r>
        <w:rPr>
          <w:color w:val="auto"/>
          <w:sz w:val="30"/>
          <w:szCs w:val="30"/>
        </w:rPr>
        <w:fldChar w:fldCharType="end"/>
      </w:r>
      <w:r>
        <w:rPr>
          <w:color w:val="auto"/>
          <w:sz w:val="30"/>
          <w:szCs w:val="30"/>
        </w:rPr>
        <w:fldChar w:fldCharType="end"/>
      </w:r>
    </w:p>
    <w:p>
      <w:pPr>
        <w:pStyle w:val="9"/>
        <w:pBdr>
          <w:top w:val="none" w:color="auto" w:sz="0" w:space="0"/>
          <w:left w:val="none" w:color="auto" w:sz="0" w:space="0"/>
          <w:bottom w:val="none" w:color="auto" w:sz="0" w:space="0"/>
          <w:right w:val="none" w:color="auto" w:sz="0" w:space="0"/>
          <w:between w:val="none" w:color="auto" w:sz="0" w:space="0"/>
        </w:pBdr>
        <w:tabs>
          <w:tab w:val="right" w:leader="dot" w:pos="8306"/>
          <w:tab w:val="clear" w:pos="4153"/>
        </w:tabs>
        <w:spacing w:line="480" w:lineRule="auto"/>
        <w:rPr>
          <w:color w:val="auto"/>
          <w:sz w:val="30"/>
          <w:szCs w:val="30"/>
        </w:rPr>
      </w:pPr>
      <w:r>
        <w:rPr>
          <w:color w:val="auto"/>
        </w:rPr>
        <w:fldChar w:fldCharType="begin"/>
      </w:r>
      <w:r>
        <w:rPr>
          <w:color w:val="auto"/>
        </w:rPr>
        <w:instrText xml:space="preserve"> HYPERLINK \l "_Toc14616" </w:instrText>
      </w:r>
      <w:r>
        <w:rPr>
          <w:color w:val="auto"/>
        </w:rPr>
        <w:fldChar w:fldCharType="separate"/>
      </w:r>
      <w:r>
        <w:rPr>
          <w:rFonts w:hint="eastAsia" w:ascii="Times New Roman" w:hAnsi="Times New Roman"/>
          <w:bCs/>
          <w:color w:val="auto"/>
          <w:sz w:val="30"/>
          <w:szCs w:val="30"/>
        </w:rPr>
        <w:t>第五章询价程序</w:t>
      </w:r>
      <w:r>
        <w:rPr>
          <w:color w:val="auto"/>
          <w:sz w:val="30"/>
          <w:szCs w:val="30"/>
        </w:rPr>
        <w:tab/>
      </w:r>
      <w:r>
        <w:rPr>
          <w:color w:val="auto"/>
          <w:sz w:val="30"/>
          <w:szCs w:val="30"/>
        </w:rPr>
        <w:fldChar w:fldCharType="begin"/>
      </w:r>
      <w:r>
        <w:rPr>
          <w:color w:val="auto"/>
          <w:sz w:val="30"/>
          <w:szCs w:val="30"/>
        </w:rPr>
        <w:instrText xml:space="preserve"> PAGEREF _Toc14616 </w:instrText>
      </w:r>
      <w:r>
        <w:rPr>
          <w:color w:val="auto"/>
          <w:sz w:val="30"/>
          <w:szCs w:val="30"/>
        </w:rPr>
        <w:fldChar w:fldCharType="separate"/>
      </w:r>
      <w:r>
        <w:rPr>
          <w:color w:val="auto"/>
          <w:sz w:val="30"/>
          <w:szCs w:val="30"/>
        </w:rPr>
        <w:t>- 27 -</w:t>
      </w:r>
      <w:r>
        <w:rPr>
          <w:color w:val="auto"/>
          <w:sz w:val="30"/>
          <w:szCs w:val="30"/>
        </w:rPr>
        <w:fldChar w:fldCharType="end"/>
      </w:r>
      <w:r>
        <w:rPr>
          <w:color w:val="auto"/>
          <w:sz w:val="30"/>
          <w:szCs w:val="30"/>
        </w:rPr>
        <w:fldChar w:fldCharType="end"/>
      </w:r>
    </w:p>
    <w:p>
      <w:pPr>
        <w:pStyle w:val="9"/>
        <w:pBdr>
          <w:top w:val="none" w:color="auto" w:sz="0" w:space="0"/>
          <w:left w:val="none" w:color="auto" w:sz="0" w:space="0"/>
          <w:bottom w:val="none" w:color="auto" w:sz="0" w:space="0"/>
          <w:right w:val="none" w:color="auto" w:sz="0" w:space="0"/>
          <w:between w:val="none" w:color="auto" w:sz="0" w:space="0"/>
        </w:pBdr>
        <w:tabs>
          <w:tab w:val="right" w:leader="dot" w:pos="8306"/>
          <w:tab w:val="clear" w:pos="4153"/>
        </w:tabs>
        <w:spacing w:line="480" w:lineRule="auto"/>
        <w:rPr>
          <w:color w:val="auto"/>
          <w:sz w:val="30"/>
          <w:szCs w:val="30"/>
        </w:rPr>
      </w:pPr>
      <w:r>
        <w:rPr>
          <w:color w:val="auto"/>
        </w:rPr>
        <w:fldChar w:fldCharType="begin"/>
      </w:r>
      <w:r>
        <w:rPr>
          <w:color w:val="auto"/>
        </w:rPr>
        <w:instrText xml:space="preserve"> HYPERLINK \l "_Toc23566" </w:instrText>
      </w:r>
      <w:r>
        <w:rPr>
          <w:color w:val="auto"/>
        </w:rPr>
        <w:fldChar w:fldCharType="separate"/>
      </w:r>
      <w:r>
        <w:rPr>
          <w:rFonts w:hint="eastAsia" w:ascii="Times New Roman" w:hAnsi="Times New Roman"/>
          <w:bCs/>
          <w:color w:val="auto"/>
          <w:sz w:val="30"/>
          <w:szCs w:val="30"/>
        </w:rPr>
        <w:t>第六章合同主要条款（仅供参考）</w:t>
      </w:r>
      <w:r>
        <w:rPr>
          <w:color w:val="auto"/>
          <w:sz w:val="30"/>
          <w:szCs w:val="30"/>
        </w:rPr>
        <w:tab/>
      </w:r>
      <w:r>
        <w:rPr>
          <w:color w:val="auto"/>
          <w:sz w:val="30"/>
          <w:szCs w:val="30"/>
        </w:rPr>
        <w:fldChar w:fldCharType="begin"/>
      </w:r>
      <w:r>
        <w:rPr>
          <w:color w:val="auto"/>
          <w:sz w:val="30"/>
          <w:szCs w:val="30"/>
        </w:rPr>
        <w:instrText xml:space="preserve"> PAGEREF _Toc23566 </w:instrText>
      </w:r>
      <w:r>
        <w:rPr>
          <w:color w:val="auto"/>
          <w:sz w:val="30"/>
          <w:szCs w:val="30"/>
        </w:rPr>
        <w:fldChar w:fldCharType="separate"/>
      </w:r>
      <w:r>
        <w:rPr>
          <w:color w:val="auto"/>
          <w:sz w:val="30"/>
          <w:szCs w:val="30"/>
        </w:rPr>
        <w:t>- 30 -</w:t>
      </w:r>
      <w:r>
        <w:rPr>
          <w:color w:val="auto"/>
          <w:sz w:val="30"/>
          <w:szCs w:val="30"/>
        </w:rPr>
        <w:fldChar w:fldCharType="end"/>
      </w:r>
      <w:r>
        <w:rPr>
          <w:color w:val="auto"/>
          <w:sz w:val="30"/>
          <w:szCs w:val="30"/>
        </w:rPr>
        <w:fldChar w:fldCharType="end"/>
      </w:r>
    </w:p>
    <w:p>
      <w:pPr>
        <w:pStyle w:val="9"/>
        <w:pBdr>
          <w:top w:val="none" w:color="auto" w:sz="0" w:space="0"/>
          <w:left w:val="none" w:color="auto" w:sz="0" w:space="0"/>
          <w:bottom w:val="none" w:color="auto" w:sz="0" w:space="0"/>
          <w:right w:val="none" w:color="auto" w:sz="0" w:space="0"/>
          <w:between w:val="none" w:color="auto" w:sz="0" w:space="0"/>
        </w:pBdr>
        <w:tabs>
          <w:tab w:val="right" w:leader="dot" w:pos="8306"/>
          <w:tab w:val="clear" w:pos="4153"/>
        </w:tabs>
        <w:spacing w:line="480" w:lineRule="auto"/>
        <w:rPr>
          <w:color w:val="auto"/>
          <w:sz w:val="24"/>
          <w:szCs w:val="24"/>
        </w:rPr>
      </w:pPr>
      <w:r>
        <w:rPr>
          <w:color w:val="auto"/>
        </w:rPr>
        <w:fldChar w:fldCharType="begin"/>
      </w:r>
      <w:r>
        <w:rPr>
          <w:color w:val="auto"/>
        </w:rPr>
        <w:instrText xml:space="preserve"> HYPERLINK \l "_Toc13535" </w:instrText>
      </w:r>
      <w:r>
        <w:rPr>
          <w:color w:val="auto"/>
        </w:rPr>
        <w:fldChar w:fldCharType="separate"/>
      </w:r>
      <w:r>
        <w:rPr>
          <w:rFonts w:hint="eastAsia" w:ascii="Times New Roman" w:hAnsi="Times New Roman"/>
          <w:bCs/>
          <w:color w:val="auto"/>
          <w:sz w:val="30"/>
          <w:szCs w:val="30"/>
        </w:rPr>
        <w:t>第七章报价文件（格式）</w:t>
      </w:r>
      <w:r>
        <w:rPr>
          <w:color w:val="auto"/>
          <w:sz w:val="30"/>
          <w:szCs w:val="30"/>
        </w:rPr>
        <w:tab/>
      </w:r>
      <w:r>
        <w:rPr>
          <w:color w:val="auto"/>
          <w:sz w:val="30"/>
          <w:szCs w:val="30"/>
        </w:rPr>
        <w:fldChar w:fldCharType="begin"/>
      </w:r>
      <w:r>
        <w:rPr>
          <w:color w:val="auto"/>
          <w:sz w:val="30"/>
          <w:szCs w:val="30"/>
        </w:rPr>
        <w:instrText xml:space="preserve"> PAGEREF _Toc13535 </w:instrText>
      </w:r>
      <w:r>
        <w:rPr>
          <w:color w:val="auto"/>
          <w:sz w:val="30"/>
          <w:szCs w:val="30"/>
        </w:rPr>
        <w:fldChar w:fldCharType="separate"/>
      </w:r>
      <w:r>
        <w:rPr>
          <w:color w:val="auto"/>
          <w:sz w:val="30"/>
          <w:szCs w:val="30"/>
        </w:rPr>
        <w:t>- 37 -</w:t>
      </w:r>
      <w:r>
        <w:rPr>
          <w:color w:val="auto"/>
          <w:sz w:val="30"/>
          <w:szCs w:val="30"/>
        </w:rPr>
        <w:fldChar w:fldCharType="end"/>
      </w:r>
      <w:r>
        <w:rPr>
          <w:color w:val="auto"/>
          <w:sz w:val="30"/>
          <w:szCs w:val="30"/>
        </w:rPr>
        <w:fldChar w:fldCharType="end"/>
      </w:r>
    </w:p>
    <w:p>
      <w:pPr>
        <w:pStyle w:val="8"/>
        <w:pBdr>
          <w:top w:val="none" w:color="auto" w:sz="0" w:space="0"/>
          <w:left w:val="none" w:color="auto" w:sz="0" w:space="0"/>
          <w:bottom w:val="none" w:color="auto" w:sz="0" w:space="0"/>
          <w:right w:val="none" w:color="auto" w:sz="0" w:space="0"/>
          <w:between w:val="none" w:color="auto" w:sz="0" w:space="0"/>
        </w:pBdr>
        <w:jc w:val="both"/>
        <w:rPr>
          <w:color w:val="auto"/>
          <w:sz w:val="24"/>
          <w:szCs w:val="24"/>
        </w:rPr>
      </w:pPr>
      <w:r>
        <w:rPr>
          <w:color w:val="auto"/>
          <w:sz w:val="24"/>
          <w:szCs w:val="24"/>
        </w:rPr>
        <w:fldChar w:fldCharType="end"/>
      </w:r>
    </w:p>
    <w:p>
      <w:pPr>
        <w:pStyle w:val="8"/>
        <w:pBdr>
          <w:top w:val="none" w:color="auto" w:sz="0" w:space="0"/>
          <w:left w:val="none" w:color="auto" w:sz="0" w:space="0"/>
          <w:bottom w:val="none" w:color="auto" w:sz="0" w:space="0"/>
          <w:right w:val="none" w:color="auto" w:sz="0" w:space="0"/>
          <w:between w:val="none" w:color="auto" w:sz="0" w:space="0"/>
        </w:pBdr>
        <w:jc w:val="both"/>
        <w:rPr>
          <w:color w:val="auto"/>
        </w:rPr>
      </w:pPr>
    </w:p>
    <w:p>
      <w:pPr>
        <w:pStyle w:val="8"/>
        <w:pBdr>
          <w:top w:val="none" w:color="auto" w:sz="0" w:space="0"/>
          <w:left w:val="none" w:color="auto" w:sz="0" w:space="0"/>
          <w:bottom w:val="none" w:color="auto" w:sz="0" w:space="0"/>
          <w:right w:val="none" w:color="auto" w:sz="0" w:space="0"/>
          <w:between w:val="none" w:color="auto" w:sz="0" w:space="0"/>
        </w:pBdr>
        <w:rPr>
          <w:color w:val="auto"/>
        </w:rPr>
      </w:pPr>
    </w:p>
    <w:p>
      <w:pPr>
        <w:pStyle w:val="8"/>
        <w:pBdr>
          <w:top w:val="none" w:color="auto" w:sz="0" w:space="0"/>
          <w:left w:val="none" w:color="auto" w:sz="0" w:space="0"/>
          <w:bottom w:val="none" w:color="auto" w:sz="0" w:space="0"/>
          <w:right w:val="none" w:color="auto" w:sz="0" w:space="0"/>
          <w:between w:val="none" w:color="auto" w:sz="0" w:space="0"/>
        </w:pBdr>
        <w:rPr>
          <w:color w:val="auto"/>
        </w:rPr>
      </w:pPr>
    </w:p>
    <w:p>
      <w:pPr>
        <w:pStyle w:val="8"/>
        <w:pBdr>
          <w:top w:val="none" w:color="auto" w:sz="0" w:space="0"/>
          <w:left w:val="none" w:color="auto" w:sz="0" w:space="0"/>
          <w:bottom w:val="none" w:color="auto" w:sz="0" w:space="0"/>
          <w:right w:val="none" w:color="auto" w:sz="0" w:space="0"/>
          <w:between w:val="none" w:color="auto" w:sz="0" w:space="0"/>
        </w:pBdr>
        <w:rPr>
          <w:color w:val="auto"/>
        </w:rPr>
      </w:pPr>
    </w:p>
    <w:p>
      <w:pPr>
        <w:pStyle w:val="8"/>
        <w:pBdr>
          <w:top w:val="none" w:color="auto" w:sz="0" w:space="0"/>
          <w:left w:val="none" w:color="auto" w:sz="0" w:space="0"/>
          <w:bottom w:val="none" w:color="auto" w:sz="0" w:space="0"/>
          <w:right w:val="none" w:color="auto" w:sz="0" w:space="0"/>
          <w:between w:val="none" w:color="auto" w:sz="0" w:space="0"/>
        </w:pBdr>
        <w:rPr>
          <w:color w:val="auto"/>
        </w:rPr>
      </w:pPr>
    </w:p>
    <w:p>
      <w:pPr>
        <w:pStyle w:val="8"/>
        <w:pBdr>
          <w:top w:val="none" w:color="auto" w:sz="0" w:space="0"/>
          <w:left w:val="none" w:color="auto" w:sz="0" w:space="0"/>
          <w:bottom w:val="none" w:color="auto" w:sz="0" w:space="0"/>
          <w:right w:val="none" w:color="auto" w:sz="0" w:space="0"/>
          <w:between w:val="none" w:color="auto" w:sz="0" w:space="0"/>
        </w:pBdr>
        <w:rPr>
          <w:color w:val="auto"/>
        </w:rPr>
      </w:pPr>
    </w:p>
    <w:p>
      <w:pPr>
        <w:pStyle w:val="8"/>
        <w:pBdr>
          <w:top w:val="none" w:color="auto" w:sz="0" w:space="0"/>
          <w:left w:val="none" w:color="auto" w:sz="0" w:space="0"/>
          <w:bottom w:val="none" w:color="auto" w:sz="0" w:space="0"/>
          <w:right w:val="none" w:color="auto" w:sz="0" w:space="0"/>
          <w:between w:val="none" w:color="auto" w:sz="0" w:space="0"/>
        </w:pBdr>
        <w:rPr>
          <w:color w:val="auto"/>
        </w:rPr>
      </w:pPr>
    </w:p>
    <w:p>
      <w:pPr>
        <w:pStyle w:val="8"/>
        <w:pBdr>
          <w:top w:val="none" w:color="auto" w:sz="0" w:space="0"/>
          <w:left w:val="none" w:color="auto" w:sz="0" w:space="0"/>
          <w:bottom w:val="none" w:color="auto" w:sz="0" w:space="0"/>
          <w:right w:val="none" w:color="auto" w:sz="0" w:space="0"/>
          <w:between w:val="none" w:color="auto" w:sz="0" w:space="0"/>
        </w:pBdr>
        <w:rPr>
          <w:color w:val="auto"/>
        </w:rPr>
      </w:pPr>
    </w:p>
    <w:p>
      <w:pPr>
        <w:pStyle w:val="8"/>
        <w:pBdr>
          <w:top w:val="none" w:color="auto" w:sz="0" w:space="0"/>
          <w:left w:val="none" w:color="auto" w:sz="0" w:space="0"/>
          <w:bottom w:val="none" w:color="auto" w:sz="0" w:space="0"/>
          <w:right w:val="none" w:color="auto" w:sz="0" w:space="0"/>
          <w:between w:val="none" w:color="auto" w:sz="0" w:space="0"/>
        </w:pBdr>
        <w:rPr>
          <w:color w:val="auto"/>
        </w:rPr>
      </w:pPr>
    </w:p>
    <w:p>
      <w:pPr>
        <w:pStyle w:val="8"/>
        <w:pBdr>
          <w:top w:val="none" w:color="auto" w:sz="0" w:space="0"/>
          <w:left w:val="none" w:color="auto" w:sz="0" w:space="0"/>
          <w:bottom w:val="none" w:color="auto" w:sz="0" w:space="0"/>
          <w:right w:val="none" w:color="auto" w:sz="0" w:space="0"/>
          <w:between w:val="none" w:color="auto" w:sz="0" w:space="0"/>
        </w:pBdr>
        <w:rPr>
          <w:color w:val="auto"/>
        </w:rPr>
      </w:pPr>
    </w:p>
    <w:p>
      <w:pPr>
        <w:pStyle w:val="8"/>
        <w:pBdr>
          <w:top w:val="none" w:color="auto" w:sz="0" w:space="0"/>
          <w:left w:val="none" w:color="auto" w:sz="0" w:space="0"/>
          <w:bottom w:val="none" w:color="auto" w:sz="0" w:space="0"/>
          <w:right w:val="none" w:color="auto" w:sz="0" w:space="0"/>
          <w:between w:val="none" w:color="auto" w:sz="0" w:space="0"/>
        </w:pBdr>
        <w:rPr>
          <w:color w:val="auto"/>
        </w:rPr>
      </w:pPr>
    </w:p>
    <w:p>
      <w:pPr>
        <w:pStyle w:val="8"/>
        <w:pBdr>
          <w:top w:val="none" w:color="auto" w:sz="0" w:space="0"/>
          <w:left w:val="none" w:color="auto" w:sz="0" w:space="0"/>
          <w:bottom w:val="none" w:color="auto" w:sz="0" w:space="0"/>
          <w:right w:val="none" w:color="auto" w:sz="0" w:space="0"/>
          <w:between w:val="none" w:color="auto" w:sz="0" w:space="0"/>
        </w:pBdr>
        <w:rPr>
          <w:color w:val="auto"/>
        </w:rPr>
      </w:pPr>
    </w:p>
    <w:p>
      <w:pPr>
        <w:pStyle w:val="9"/>
        <w:pBdr>
          <w:top w:val="none" w:color="auto" w:sz="0" w:space="0"/>
          <w:left w:val="none" w:color="auto" w:sz="0" w:space="0"/>
          <w:bottom w:val="none" w:color="auto" w:sz="0" w:space="0"/>
          <w:right w:val="none" w:color="auto" w:sz="0" w:space="0"/>
          <w:between w:val="none" w:color="auto" w:sz="0" w:space="0"/>
        </w:pBdr>
        <w:rPr>
          <w:rFonts w:ascii="Times New Roman" w:hAnsi="Times New Roman"/>
          <w:color w:val="auto"/>
          <w:sz w:val="30"/>
          <w:szCs w:val="30"/>
        </w:rPr>
      </w:pPr>
      <w:bookmarkStart w:id="0" w:name="_Toc327324316"/>
      <w:bookmarkEnd w:id="0"/>
      <w:bookmarkStart w:id="1" w:name="_Toc510949580"/>
      <w:bookmarkEnd w:id="1"/>
    </w:p>
    <w:p>
      <w:pPr>
        <w:pStyle w:val="9"/>
        <w:pBdr>
          <w:top w:val="none" w:color="auto" w:sz="0" w:space="0"/>
          <w:left w:val="none" w:color="auto" w:sz="0" w:space="0"/>
          <w:bottom w:val="none" w:color="auto" w:sz="0" w:space="0"/>
          <w:right w:val="none" w:color="auto" w:sz="0" w:space="0"/>
          <w:between w:val="none" w:color="auto" w:sz="0" w:space="0"/>
        </w:pBdr>
        <w:rPr>
          <w:rFonts w:ascii="Times New Roman" w:hAnsi="Times New Roman"/>
          <w:color w:val="auto"/>
          <w:sz w:val="30"/>
          <w:szCs w:val="30"/>
        </w:rPr>
      </w:pPr>
    </w:p>
    <w:p>
      <w:pPr>
        <w:pStyle w:val="9"/>
        <w:pBdr>
          <w:top w:val="none" w:color="auto" w:sz="0" w:space="0"/>
          <w:left w:val="none" w:color="auto" w:sz="0" w:space="0"/>
          <w:bottom w:val="none" w:color="auto" w:sz="0" w:space="0"/>
          <w:right w:val="none" w:color="auto" w:sz="0" w:space="0"/>
          <w:between w:val="none" w:color="auto" w:sz="0" w:space="0"/>
        </w:pBdr>
        <w:rPr>
          <w:rFonts w:ascii="Times New Roman" w:hAnsi="Times New Roman"/>
          <w:color w:val="auto"/>
          <w:sz w:val="30"/>
          <w:szCs w:val="30"/>
        </w:rPr>
      </w:pPr>
    </w:p>
    <w:p>
      <w:pPr>
        <w:pStyle w:val="9"/>
        <w:pBdr>
          <w:top w:val="none" w:color="auto" w:sz="0" w:space="0"/>
          <w:left w:val="none" w:color="auto" w:sz="0" w:space="0"/>
          <w:bottom w:val="none" w:color="auto" w:sz="0" w:space="0"/>
          <w:right w:val="none" w:color="auto" w:sz="0" w:space="0"/>
          <w:between w:val="none" w:color="auto" w:sz="0" w:space="0"/>
        </w:pBdr>
        <w:rPr>
          <w:rFonts w:ascii="Times New Roman" w:hAnsi="Times New Roman"/>
          <w:color w:val="auto"/>
          <w:sz w:val="30"/>
          <w:szCs w:val="30"/>
        </w:rPr>
      </w:pPr>
    </w:p>
    <w:p>
      <w:pPr>
        <w:pStyle w:val="9"/>
        <w:pBdr>
          <w:top w:val="none" w:color="auto" w:sz="0" w:space="0"/>
          <w:left w:val="none" w:color="auto" w:sz="0" w:space="0"/>
          <w:bottom w:val="none" w:color="auto" w:sz="0" w:space="0"/>
          <w:right w:val="none" w:color="auto" w:sz="0" w:space="0"/>
          <w:between w:val="none" w:color="auto" w:sz="0" w:space="0"/>
        </w:pBdr>
        <w:rPr>
          <w:rFonts w:ascii="Times New Roman" w:hAnsi="Times New Roman"/>
          <w:color w:val="auto"/>
          <w:sz w:val="30"/>
          <w:szCs w:val="30"/>
        </w:rPr>
      </w:pPr>
    </w:p>
    <w:p>
      <w:pPr>
        <w:pStyle w:val="9"/>
        <w:pBdr>
          <w:top w:val="none" w:color="auto" w:sz="0" w:space="0"/>
          <w:left w:val="none" w:color="auto" w:sz="0" w:space="0"/>
          <w:bottom w:val="none" w:color="auto" w:sz="0" w:space="0"/>
          <w:right w:val="none" w:color="auto" w:sz="0" w:space="0"/>
          <w:between w:val="none" w:color="auto" w:sz="0" w:space="0"/>
        </w:pBdr>
        <w:rPr>
          <w:rFonts w:ascii="Times New Roman" w:hAnsi="Times New Roman"/>
          <w:color w:val="auto"/>
          <w:sz w:val="30"/>
          <w:szCs w:val="30"/>
        </w:rPr>
      </w:pPr>
    </w:p>
    <w:p>
      <w:pPr>
        <w:pStyle w:val="9"/>
        <w:pBdr>
          <w:top w:val="none" w:color="auto" w:sz="0" w:space="0"/>
          <w:left w:val="none" w:color="auto" w:sz="0" w:space="0"/>
          <w:bottom w:val="none" w:color="auto" w:sz="0" w:space="0"/>
          <w:right w:val="none" w:color="auto" w:sz="0" w:space="0"/>
          <w:between w:val="none" w:color="auto" w:sz="0" w:space="0"/>
        </w:pBdr>
        <w:rPr>
          <w:rFonts w:ascii="Times New Roman" w:hAnsi="Times New Roman"/>
          <w:color w:val="auto"/>
          <w:sz w:val="30"/>
          <w:szCs w:val="30"/>
        </w:rPr>
      </w:pPr>
    </w:p>
    <w:p>
      <w:pPr>
        <w:pStyle w:val="9"/>
        <w:pBdr>
          <w:top w:val="none" w:color="auto" w:sz="0" w:space="0"/>
          <w:left w:val="none" w:color="auto" w:sz="0" w:space="0"/>
          <w:bottom w:val="none" w:color="auto" w:sz="0" w:space="0"/>
          <w:right w:val="none" w:color="auto" w:sz="0" w:space="0"/>
          <w:between w:val="none" w:color="auto" w:sz="0" w:space="0"/>
        </w:pBdr>
        <w:rPr>
          <w:rFonts w:ascii="Times New Roman" w:hAnsi="Times New Roman"/>
          <w:color w:val="auto"/>
          <w:sz w:val="30"/>
          <w:szCs w:val="30"/>
        </w:rPr>
      </w:pPr>
    </w:p>
    <w:p>
      <w:pPr>
        <w:pStyle w:val="9"/>
        <w:pBdr>
          <w:top w:val="none" w:color="auto" w:sz="0" w:space="0"/>
          <w:left w:val="none" w:color="auto" w:sz="0" w:space="0"/>
          <w:bottom w:val="none" w:color="auto" w:sz="0" w:space="0"/>
          <w:right w:val="none" w:color="auto" w:sz="0" w:space="0"/>
          <w:between w:val="none" w:color="auto" w:sz="0" w:space="0"/>
        </w:pBdr>
        <w:rPr>
          <w:rFonts w:ascii="Times New Roman" w:hAnsi="Times New Roman"/>
          <w:color w:val="auto"/>
          <w:sz w:val="30"/>
          <w:szCs w:val="30"/>
        </w:rPr>
      </w:pPr>
    </w:p>
    <w:p>
      <w:pPr>
        <w:pStyle w:val="9"/>
        <w:pBdr>
          <w:top w:val="none" w:color="auto" w:sz="0" w:space="0"/>
          <w:left w:val="none" w:color="auto" w:sz="0" w:space="0"/>
          <w:bottom w:val="none" w:color="auto" w:sz="0" w:space="0"/>
          <w:right w:val="none" w:color="auto" w:sz="0" w:space="0"/>
          <w:between w:val="none" w:color="auto" w:sz="0" w:space="0"/>
        </w:pBdr>
        <w:rPr>
          <w:rFonts w:ascii="Times New Roman" w:hAnsi="Times New Roman"/>
          <w:color w:val="auto"/>
          <w:sz w:val="30"/>
          <w:szCs w:val="30"/>
        </w:rPr>
      </w:pPr>
    </w:p>
    <w:p>
      <w:pPr>
        <w:pStyle w:val="9"/>
        <w:pBdr>
          <w:top w:val="none" w:color="auto" w:sz="0" w:space="0"/>
          <w:left w:val="none" w:color="auto" w:sz="0" w:space="0"/>
          <w:bottom w:val="none" w:color="auto" w:sz="0" w:space="0"/>
          <w:right w:val="none" w:color="auto" w:sz="0" w:space="0"/>
          <w:between w:val="none" w:color="auto" w:sz="0" w:space="0"/>
        </w:pBdr>
        <w:rPr>
          <w:rFonts w:ascii="Times New Roman" w:hAnsi="Times New Roman"/>
          <w:color w:val="auto"/>
          <w:sz w:val="30"/>
          <w:szCs w:val="30"/>
        </w:rPr>
      </w:pPr>
    </w:p>
    <w:p>
      <w:pPr>
        <w:pStyle w:val="9"/>
        <w:pBdr>
          <w:top w:val="none" w:color="auto" w:sz="0" w:space="0"/>
          <w:left w:val="none" w:color="auto" w:sz="0" w:space="0"/>
          <w:bottom w:val="none" w:color="auto" w:sz="0" w:space="0"/>
          <w:right w:val="none" w:color="auto" w:sz="0" w:space="0"/>
          <w:between w:val="none" w:color="auto" w:sz="0" w:space="0"/>
        </w:pBdr>
        <w:rPr>
          <w:rFonts w:ascii="Times New Roman" w:hAnsi="Times New Roman"/>
          <w:color w:val="auto"/>
          <w:sz w:val="30"/>
          <w:szCs w:val="30"/>
        </w:rPr>
      </w:pPr>
    </w:p>
    <w:p>
      <w:pPr>
        <w:pStyle w:val="9"/>
        <w:pBdr>
          <w:top w:val="none" w:color="auto" w:sz="0" w:space="0"/>
          <w:left w:val="none" w:color="auto" w:sz="0" w:space="0"/>
          <w:bottom w:val="none" w:color="auto" w:sz="0" w:space="0"/>
          <w:right w:val="none" w:color="auto" w:sz="0" w:space="0"/>
          <w:between w:val="none" w:color="auto" w:sz="0" w:space="0"/>
        </w:pBdr>
        <w:jc w:val="both"/>
        <w:rPr>
          <w:rFonts w:ascii="Times New Roman" w:hAnsi="Times New Roman"/>
          <w:bCs/>
          <w:color w:val="auto"/>
          <w:sz w:val="30"/>
          <w:szCs w:val="30"/>
        </w:rPr>
      </w:pPr>
    </w:p>
    <w:p>
      <w:pPr>
        <w:pStyle w:val="9"/>
        <w:pBdr>
          <w:top w:val="none" w:color="auto" w:sz="0" w:space="0"/>
          <w:left w:val="none" w:color="auto" w:sz="0" w:space="0"/>
          <w:bottom w:val="none" w:color="auto" w:sz="0" w:space="0"/>
          <w:right w:val="none" w:color="auto" w:sz="0" w:space="0"/>
          <w:between w:val="none" w:color="auto" w:sz="0" w:space="0"/>
        </w:pBdr>
        <w:outlineLvl w:val="0"/>
        <w:rPr>
          <w:rFonts w:hint="eastAsia" w:ascii="Times New Roman" w:hAnsi="Times New Roman"/>
          <w:b/>
          <w:color w:val="auto"/>
          <w:sz w:val="32"/>
          <w:szCs w:val="32"/>
        </w:rPr>
        <w:sectPr>
          <w:footerReference r:id="rId3" w:type="default"/>
          <w:endnotePr>
            <w:numFmt w:val="decimal"/>
          </w:endnotePr>
          <w:pgSz w:w="11906" w:h="16838"/>
          <w:pgMar w:top="1440" w:right="1800" w:bottom="312" w:left="1800" w:header="851" w:footer="992" w:gutter="0"/>
          <w:pgNumType w:fmt="numberInDash" w:start="1"/>
          <w:cols w:space="720" w:num="1"/>
        </w:sectPr>
      </w:pPr>
      <w:bookmarkStart w:id="2" w:name="_Toc18250"/>
    </w:p>
    <w:p>
      <w:pPr>
        <w:pStyle w:val="9"/>
        <w:pBdr>
          <w:top w:val="none" w:color="auto" w:sz="0" w:space="0"/>
          <w:left w:val="none" w:color="auto" w:sz="0" w:space="0"/>
          <w:bottom w:val="none" w:color="auto" w:sz="0" w:space="0"/>
          <w:right w:val="none" w:color="auto" w:sz="0" w:space="0"/>
          <w:between w:val="none" w:color="auto" w:sz="0" w:space="0"/>
        </w:pBdr>
        <w:outlineLvl w:val="0"/>
        <w:rPr>
          <w:rFonts w:ascii="Times New Roman" w:hAnsi="Times New Roman"/>
          <w:b/>
          <w:color w:val="auto"/>
          <w:sz w:val="32"/>
          <w:szCs w:val="32"/>
        </w:rPr>
      </w:pPr>
      <w:r>
        <w:rPr>
          <w:rFonts w:hint="eastAsia" w:ascii="Times New Roman" w:hAnsi="Times New Roman"/>
          <w:b/>
          <w:color w:val="auto"/>
          <w:sz w:val="32"/>
          <w:szCs w:val="32"/>
        </w:rPr>
        <w:t>第一章询价公告</w:t>
      </w:r>
      <w:bookmarkEnd w:id="2"/>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shd w:val="clear" w:fill="FFFFFF"/>
          <w:lang w:eastAsia="zh-CN"/>
        </w:rPr>
        <w:t>红城国际工程项目管理有限公司</w:t>
      </w:r>
      <w:r>
        <w:rPr>
          <w:rFonts w:hint="eastAsia" w:ascii="宋体" w:hAnsi="宋体" w:eastAsia="宋体" w:cs="宋体"/>
          <w:i w:val="0"/>
          <w:caps w:val="0"/>
          <w:color w:val="auto"/>
          <w:spacing w:val="0"/>
          <w:sz w:val="24"/>
          <w:szCs w:val="24"/>
          <w:shd w:val="clear" w:fill="FFFFFF"/>
        </w:rPr>
        <w:t>受</w:t>
      </w:r>
      <w:r>
        <w:rPr>
          <w:rFonts w:hint="eastAsia" w:ascii="宋体" w:hAnsi="宋体" w:eastAsia="宋体" w:cs="宋体"/>
          <w:i w:val="0"/>
          <w:caps w:val="0"/>
          <w:color w:val="auto"/>
          <w:spacing w:val="0"/>
          <w:sz w:val="24"/>
          <w:szCs w:val="24"/>
          <w:shd w:val="clear" w:fill="FFFFFF"/>
          <w:lang w:eastAsia="zh-CN"/>
        </w:rPr>
        <w:t>三亚市消防支队</w:t>
      </w:r>
      <w:r>
        <w:rPr>
          <w:rFonts w:hint="eastAsia" w:ascii="宋体" w:hAnsi="宋体" w:eastAsia="宋体" w:cs="宋体"/>
          <w:i w:val="0"/>
          <w:caps w:val="0"/>
          <w:color w:val="auto"/>
          <w:spacing w:val="0"/>
          <w:sz w:val="24"/>
          <w:szCs w:val="24"/>
          <w:shd w:val="clear" w:fill="FFFFFF"/>
        </w:rPr>
        <w:t>委托，对</w:t>
      </w:r>
      <w:r>
        <w:rPr>
          <w:rFonts w:hint="eastAsia" w:ascii="宋体" w:hAnsi="宋体" w:cs="宋体"/>
          <w:i w:val="0"/>
          <w:caps w:val="0"/>
          <w:color w:val="auto"/>
          <w:spacing w:val="0"/>
          <w:sz w:val="24"/>
          <w:szCs w:val="24"/>
          <w:shd w:val="clear" w:fill="FFFFFF"/>
          <w:lang w:eastAsia="zh-CN"/>
        </w:rPr>
        <w:t>海棠湾车辆采购项目(二次招标)</w:t>
      </w:r>
      <w:r>
        <w:rPr>
          <w:rFonts w:hint="eastAsia" w:ascii="宋体" w:hAnsi="宋体" w:eastAsia="宋体" w:cs="宋体"/>
          <w:i w:val="0"/>
          <w:caps w:val="0"/>
          <w:color w:val="auto"/>
          <w:spacing w:val="0"/>
          <w:sz w:val="24"/>
          <w:szCs w:val="24"/>
          <w:shd w:val="clear" w:fill="FFFFFF"/>
        </w:rPr>
        <w:t>组织国内</w:t>
      </w:r>
      <w:r>
        <w:rPr>
          <w:rFonts w:hint="eastAsia" w:ascii="宋体" w:hAnsi="宋体" w:eastAsia="宋体" w:cs="宋体"/>
          <w:i w:val="0"/>
          <w:caps w:val="0"/>
          <w:color w:val="auto"/>
          <w:spacing w:val="0"/>
          <w:sz w:val="24"/>
          <w:szCs w:val="24"/>
          <w:shd w:val="clear" w:fill="FFFFFF"/>
          <w:lang w:eastAsia="zh-CN"/>
        </w:rPr>
        <w:t>询价</w:t>
      </w:r>
      <w:r>
        <w:rPr>
          <w:rFonts w:hint="eastAsia" w:ascii="宋体" w:hAnsi="宋体" w:eastAsia="宋体" w:cs="宋体"/>
          <w:i w:val="0"/>
          <w:caps w:val="0"/>
          <w:color w:val="auto"/>
          <w:spacing w:val="0"/>
          <w:sz w:val="24"/>
          <w:szCs w:val="24"/>
          <w:shd w:val="clear" w:fill="FFFFFF"/>
        </w:rPr>
        <w:t>。现邀请合格的供应或制造商来参加密封投标。</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0"/>
        <w:jc w:val="left"/>
        <w:textAlignment w:val="auto"/>
        <w:rPr>
          <w:rFonts w:hint="eastAsia" w:ascii="宋体" w:hAnsi="宋体" w:eastAsia="宋体" w:cs="宋体"/>
          <w:i w:val="0"/>
          <w:caps w:val="0"/>
          <w:color w:val="auto"/>
          <w:spacing w:val="0"/>
          <w:sz w:val="24"/>
          <w:szCs w:val="24"/>
          <w:lang w:eastAsia="zh-CN"/>
        </w:rPr>
      </w:pPr>
      <w:r>
        <w:rPr>
          <w:rStyle w:val="13"/>
          <w:rFonts w:hint="eastAsia" w:ascii="宋体" w:hAnsi="宋体" w:eastAsia="宋体" w:cs="宋体"/>
          <w:i w:val="0"/>
          <w:caps w:val="0"/>
          <w:color w:val="auto"/>
          <w:spacing w:val="0"/>
          <w:sz w:val="24"/>
          <w:szCs w:val="24"/>
          <w:shd w:val="clear" w:fill="FFFFFF"/>
        </w:rPr>
        <w:t>1. 招标编号：</w:t>
      </w:r>
      <w:r>
        <w:rPr>
          <w:rFonts w:hint="eastAsia" w:ascii="宋体" w:hAnsi="宋体" w:cs="宋体"/>
          <w:i w:val="0"/>
          <w:caps w:val="0"/>
          <w:color w:val="auto"/>
          <w:spacing w:val="0"/>
          <w:sz w:val="24"/>
          <w:szCs w:val="24"/>
          <w:shd w:val="clear" w:fill="FFFFFF"/>
          <w:lang w:eastAsia="zh-CN"/>
        </w:rPr>
        <w:t>HCGJ18-215R</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0"/>
        <w:jc w:val="left"/>
        <w:textAlignment w:val="auto"/>
        <w:rPr>
          <w:rFonts w:hint="eastAsia" w:ascii="宋体" w:hAnsi="宋体" w:eastAsia="宋体" w:cs="宋体"/>
          <w:i w:val="0"/>
          <w:caps w:val="0"/>
          <w:color w:val="auto"/>
          <w:spacing w:val="0"/>
          <w:sz w:val="24"/>
          <w:szCs w:val="24"/>
        </w:rPr>
      </w:pPr>
      <w:r>
        <w:rPr>
          <w:rStyle w:val="13"/>
          <w:rFonts w:hint="eastAsia" w:ascii="宋体" w:hAnsi="宋体" w:eastAsia="宋体" w:cs="宋体"/>
          <w:i w:val="0"/>
          <w:caps w:val="0"/>
          <w:color w:val="auto"/>
          <w:spacing w:val="0"/>
          <w:sz w:val="24"/>
          <w:szCs w:val="24"/>
          <w:shd w:val="clear" w:fill="FFFFFF"/>
        </w:rPr>
        <w:t>2. 招标项目及范围</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0"/>
        <w:jc w:val="left"/>
        <w:textAlignment w:val="auto"/>
        <w:rPr>
          <w:rFonts w:hint="eastAsia" w:ascii="宋体" w:hAnsi="宋体" w:eastAsia="宋体" w:cs="宋体"/>
          <w:i w:val="0"/>
          <w:caps w:val="0"/>
          <w:color w:val="auto"/>
          <w:spacing w:val="0"/>
          <w:sz w:val="24"/>
          <w:szCs w:val="24"/>
        </w:rPr>
      </w:pPr>
      <w:r>
        <w:rPr>
          <w:rStyle w:val="13"/>
          <w:rFonts w:hint="eastAsia" w:ascii="宋体" w:hAnsi="宋体" w:eastAsia="宋体" w:cs="宋体"/>
          <w:i w:val="0"/>
          <w:caps w:val="0"/>
          <w:color w:val="auto"/>
          <w:spacing w:val="0"/>
          <w:sz w:val="24"/>
          <w:szCs w:val="24"/>
          <w:shd w:val="clear" w:fill="FFFFFF"/>
        </w:rPr>
        <w:t>包号：本项目</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0"/>
        <w:jc w:val="left"/>
        <w:textAlignment w:val="auto"/>
        <w:rPr>
          <w:rFonts w:hint="eastAsia" w:ascii="宋体" w:hAnsi="宋体" w:eastAsia="宋体" w:cs="宋体"/>
          <w:i w:val="0"/>
          <w:caps w:val="0"/>
          <w:color w:val="auto"/>
          <w:spacing w:val="0"/>
          <w:sz w:val="24"/>
          <w:szCs w:val="24"/>
          <w:lang w:eastAsia="zh-CN"/>
        </w:rPr>
      </w:pPr>
      <w:r>
        <w:rPr>
          <w:rFonts w:hint="eastAsia" w:ascii="宋体" w:hAnsi="宋体" w:eastAsia="宋体" w:cs="宋体"/>
          <w:i w:val="0"/>
          <w:caps w:val="0"/>
          <w:color w:val="auto"/>
          <w:spacing w:val="0"/>
          <w:sz w:val="24"/>
          <w:szCs w:val="24"/>
          <w:shd w:val="clear" w:fill="FFFFFF"/>
        </w:rPr>
        <w:t>2.1、项目名称：</w:t>
      </w:r>
      <w:r>
        <w:rPr>
          <w:rFonts w:hint="eastAsia" w:ascii="宋体" w:hAnsi="宋体" w:cs="宋体"/>
          <w:i w:val="0"/>
          <w:caps w:val="0"/>
          <w:color w:val="auto"/>
          <w:spacing w:val="0"/>
          <w:sz w:val="24"/>
          <w:szCs w:val="24"/>
          <w:shd w:val="clear" w:fill="FFFFFF"/>
          <w:lang w:eastAsia="zh-CN"/>
        </w:rPr>
        <w:t>海棠湾车辆采购项目(二次招标)</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0"/>
        <w:jc w:val="left"/>
        <w:textAlignment w:val="auto"/>
        <w:rPr>
          <w:rFonts w:hint="eastAsia" w:ascii="宋体" w:hAnsi="宋体" w:eastAsia="宋体" w:cs="宋体"/>
          <w:i w:val="0"/>
          <w:caps w:val="0"/>
          <w:color w:val="auto"/>
          <w:spacing w:val="0"/>
          <w:sz w:val="24"/>
          <w:szCs w:val="24"/>
          <w:lang w:eastAsia="zh-CN"/>
        </w:rPr>
      </w:pPr>
      <w:r>
        <w:rPr>
          <w:rFonts w:hint="eastAsia" w:ascii="宋体" w:hAnsi="宋体" w:eastAsia="宋体" w:cs="宋体"/>
          <w:i w:val="0"/>
          <w:caps w:val="0"/>
          <w:color w:val="auto"/>
          <w:spacing w:val="0"/>
          <w:sz w:val="24"/>
          <w:szCs w:val="24"/>
          <w:shd w:val="clear" w:fill="FFFFFF"/>
        </w:rPr>
        <w:t>2.2、项目编号：</w:t>
      </w:r>
      <w:r>
        <w:rPr>
          <w:rFonts w:hint="eastAsia" w:ascii="宋体" w:hAnsi="宋体" w:cs="宋体"/>
          <w:i w:val="0"/>
          <w:caps w:val="0"/>
          <w:color w:val="auto"/>
          <w:spacing w:val="0"/>
          <w:sz w:val="24"/>
          <w:szCs w:val="24"/>
          <w:shd w:val="clear" w:fill="FFFFFF"/>
          <w:lang w:eastAsia="zh-CN"/>
        </w:rPr>
        <w:t>HCGJ18-215R</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0"/>
        <w:jc w:val="left"/>
        <w:textAlignment w:val="auto"/>
        <w:rPr>
          <w:rFonts w:hint="eastAsia" w:ascii="宋体" w:hAnsi="宋体" w:eastAsia="宋体" w:cs="宋体"/>
          <w:i w:val="0"/>
          <w:caps w:val="0"/>
          <w:color w:val="auto"/>
          <w:spacing w:val="0"/>
          <w:sz w:val="24"/>
          <w:szCs w:val="24"/>
          <w:shd w:val="clear" w:fill="FFFFFF"/>
          <w:lang w:eastAsia="zh-CN"/>
        </w:rPr>
      </w:pPr>
      <w:r>
        <w:rPr>
          <w:rFonts w:hint="eastAsia" w:ascii="宋体" w:hAnsi="宋体" w:eastAsia="宋体" w:cs="宋体"/>
          <w:i w:val="0"/>
          <w:caps w:val="0"/>
          <w:color w:val="auto"/>
          <w:spacing w:val="0"/>
          <w:sz w:val="24"/>
          <w:szCs w:val="24"/>
          <w:shd w:val="clear" w:fill="FFFFFF"/>
        </w:rPr>
        <w:t>2.3、采购内容及要求：3辆小型消防车</w:t>
      </w:r>
      <w:r>
        <w:rPr>
          <w:rFonts w:hint="eastAsia" w:ascii="宋体" w:hAnsi="宋体" w:eastAsia="宋体" w:cs="宋体"/>
          <w:i w:val="0"/>
          <w:caps w:val="0"/>
          <w:color w:val="auto"/>
          <w:spacing w:val="0"/>
          <w:sz w:val="24"/>
          <w:szCs w:val="24"/>
          <w:shd w:val="clear" w:fill="FFFFFF"/>
          <w:lang w:eastAsia="zh-CN"/>
        </w:rPr>
        <w:t>。</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0"/>
        <w:jc w:val="left"/>
        <w:textAlignment w:val="auto"/>
        <w:rPr>
          <w:rFonts w:hint="eastAsia" w:ascii="宋体" w:hAnsi="宋体" w:eastAsia="宋体" w:cs="宋体"/>
          <w:i w:val="0"/>
          <w:caps w:val="0"/>
          <w:color w:val="auto"/>
          <w:spacing w:val="0"/>
          <w:sz w:val="24"/>
          <w:szCs w:val="24"/>
          <w:lang w:eastAsia="zh-CN"/>
        </w:rPr>
      </w:pPr>
      <w:r>
        <w:rPr>
          <w:rFonts w:hint="eastAsia" w:ascii="宋体" w:hAnsi="宋体" w:eastAsia="宋体" w:cs="宋体"/>
          <w:i w:val="0"/>
          <w:caps w:val="0"/>
          <w:color w:val="auto"/>
          <w:spacing w:val="0"/>
          <w:sz w:val="24"/>
          <w:szCs w:val="24"/>
          <w:shd w:val="clear" w:fill="FFFFFF"/>
        </w:rPr>
        <w:t>2.4、技术要求：详见招标文件用户需求书</w:t>
      </w:r>
      <w:r>
        <w:rPr>
          <w:rFonts w:hint="eastAsia" w:ascii="宋体" w:hAnsi="宋体" w:eastAsia="宋体" w:cs="宋体"/>
          <w:i w:val="0"/>
          <w:caps w:val="0"/>
          <w:color w:val="auto"/>
          <w:spacing w:val="0"/>
          <w:sz w:val="24"/>
          <w:szCs w:val="24"/>
          <w:shd w:val="clear" w:fill="FFFFFF"/>
          <w:lang w:eastAsia="zh-CN"/>
        </w:rPr>
        <w:t>。</w:t>
      </w:r>
    </w:p>
    <w:p>
      <w:pPr>
        <w:pStyle w:val="9"/>
        <w:pBdr>
          <w:top w:val="none" w:color="auto" w:sz="0" w:space="0"/>
          <w:left w:val="none" w:color="auto" w:sz="0" w:space="0"/>
          <w:bottom w:val="none" w:color="auto" w:sz="0" w:space="0"/>
          <w:right w:val="none" w:color="auto" w:sz="0" w:space="0"/>
          <w:between w:val="none" w:color="auto" w:sz="0" w:space="0"/>
        </w:pBdr>
        <w:spacing w:line="360" w:lineRule="auto"/>
        <w:jc w:val="left"/>
        <w:rPr>
          <w:bCs/>
          <w:color w:val="auto"/>
          <w:sz w:val="24"/>
          <w:szCs w:val="24"/>
          <w:lang w:val="en-GB"/>
        </w:rPr>
      </w:pPr>
      <w:r>
        <w:rPr>
          <w:rFonts w:hint="eastAsia" w:ascii="宋体" w:hAnsi="宋体" w:eastAsia="宋体" w:cs="宋体"/>
          <w:i w:val="0"/>
          <w:caps w:val="0"/>
          <w:color w:val="auto"/>
          <w:spacing w:val="0"/>
          <w:sz w:val="24"/>
          <w:szCs w:val="24"/>
          <w:shd w:val="clear" w:fill="FFFFFF"/>
        </w:rPr>
        <w:t>2.5、预算标准：</w:t>
      </w:r>
      <w:r>
        <w:rPr>
          <w:rFonts w:hint="eastAsia"/>
          <w:bCs/>
          <w:color w:val="auto"/>
          <w:sz w:val="24"/>
          <w:szCs w:val="24"/>
          <w:lang w:val="en-GB"/>
        </w:rPr>
        <w:t>￥</w:t>
      </w:r>
      <w:r>
        <w:rPr>
          <w:bCs/>
          <w:color w:val="auto"/>
          <w:sz w:val="24"/>
          <w:szCs w:val="24"/>
        </w:rPr>
        <w:t>103.2633</w:t>
      </w:r>
      <w:r>
        <w:rPr>
          <w:rFonts w:hint="eastAsia"/>
          <w:bCs/>
          <w:color w:val="auto"/>
          <w:sz w:val="24"/>
          <w:szCs w:val="24"/>
        </w:rPr>
        <w:t>万元</w:t>
      </w:r>
      <w:r>
        <w:rPr>
          <w:rFonts w:hint="eastAsia"/>
          <w:bCs/>
          <w:color w:val="auto"/>
          <w:sz w:val="24"/>
          <w:szCs w:val="24"/>
          <w:lang w:val="en-GB"/>
        </w:rPr>
        <w:t>（注：超出采购预算金额的报价按无效响应处理）</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0"/>
        <w:jc w:val="left"/>
        <w:textAlignment w:val="auto"/>
        <w:rPr>
          <w:rFonts w:hint="eastAsia" w:ascii="宋体" w:hAnsi="宋体" w:eastAsia="宋体" w:cs="宋体"/>
          <w:i w:val="0"/>
          <w:caps w:val="0"/>
          <w:color w:val="auto"/>
          <w:spacing w:val="0"/>
          <w:sz w:val="24"/>
          <w:szCs w:val="24"/>
          <w:shd w:val="clear" w:fill="FFFFFF"/>
          <w:lang w:eastAsia="zh-CN"/>
        </w:rPr>
      </w:pPr>
      <w:r>
        <w:rPr>
          <w:rFonts w:hint="eastAsia" w:ascii="宋体" w:hAnsi="宋体" w:eastAsia="宋体" w:cs="宋体"/>
          <w:i w:val="0"/>
          <w:caps w:val="0"/>
          <w:color w:val="auto"/>
          <w:spacing w:val="0"/>
          <w:sz w:val="24"/>
          <w:szCs w:val="24"/>
          <w:shd w:val="clear" w:fill="FFFFFF"/>
        </w:rPr>
        <w:t>2.6、</w:t>
      </w:r>
      <w:r>
        <w:rPr>
          <w:rFonts w:hint="eastAsia" w:ascii="宋体" w:hAnsi="宋体" w:eastAsia="宋体" w:cs="宋体"/>
          <w:i w:val="0"/>
          <w:caps w:val="0"/>
          <w:color w:val="auto"/>
          <w:spacing w:val="0"/>
          <w:sz w:val="24"/>
          <w:szCs w:val="24"/>
          <w:shd w:val="clear" w:fill="FFFFFF"/>
          <w:lang w:val="en-US" w:eastAsia="zh-CN"/>
        </w:rPr>
        <w:t xml:space="preserve"> </w:t>
      </w:r>
      <w:r>
        <w:rPr>
          <w:rFonts w:hint="eastAsia" w:ascii="宋体" w:hAnsi="宋体" w:eastAsia="宋体" w:cs="宋体"/>
          <w:i w:val="0"/>
          <w:caps w:val="0"/>
          <w:color w:val="auto"/>
          <w:spacing w:val="0"/>
          <w:sz w:val="24"/>
          <w:szCs w:val="24"/>
          <w:shd w:val="clear" w:fill="FFFFFF"/>
        </w:rPr>
        <w:t>供货期：合同规定</w:t>
      </w:r>
      <w:r>
        <w:rPr>
          <w:rFonts w:hint="eastAsia" w:ascii="宋体" w:hAnsi="宋体" w:eastAsia="宋体" w:cs="宋体"/>
          <w:i w:val="0"/>
          <w:caps w:val="0"/>
          <w:color w:val="auto"/>
          <w:spacing w:val="0"/>
          <w:sz w:val="24"/>
          <w:szCs w:val="24"/>
          <w:shd w:val="clear" w:fill="FFFFFF"/>
          <w:lang w:val="en-US" w:eastAsia="zh-CN"/>
        </w:rPr>
        <w:t>3</w:t>
      </w:r>
      <w:r>
        <w:rPr>
          <w:rFonts w:hint="eastAsia" w:ascii="宋体" w:hAnsi="宋体" w:eastAsia="宋体" w:cs="宋体"/>
          <w:i w:val="0"/>
          <w:caps w:val="0"/>
          <w:color w:val="auto"/>
          <w:spacing w:val="0"/>
          <w:sz w:val="24"/>
          <w:szCs w:val="24"/>
          <w:shd w:val="clear" w:fill="FFFFFF"/>
        </w:rPr>
        <w:t>0日时间内</w:t>
      </w:r>
      <w:r>
        <w:rPr>
          <w:rFonts w:hint="eastAsia" w:ascii="宋体" w:hAnsi="宋体" w:eastAsia="宋体" w:cs="宋体"/>
          <w:i w:val="0"/>
          <w:caps w:val="0"/>
          <w:color w:val="auto"/>
          <w:spacing w:val="0"/>
          <w:sz w:val="24"/>
          <w:szCs w:val="24"/>
          <w:shd w:val="clear" w:fill="FFFFFF"/>
          <w:lang w:eastAsia="zh-CN"/>
        </w:rPr>
        <w:t>。</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0"/>
        <w:jc w:val="left"/>
        <w:textAlignment w:val="auto"/>
        <w:rPr>
          <w:rStyle w:val="13"/>
          <w:rFonts w:hint="eastAsia" w:ascii="宋体" w:hAnsi="宋体" w:eastAsia="宋体" w:cs="宋体"/>
          <w:i w:val="0"/>
          <w:caps w:val="0"/>
          <w:color w:val="auto"/>
          <w:spacing w:val="0"/>
          <w:sz w:val="24"/>
          <w:szCs w:val="24"/>
          <w:shd w:val="clear" w:fill="FFFFFF"/>
        </w:rPr>
      </w:pPr>
      <w:r>
        <w:rPr>
          <w:rFonts w:hint="eastAsia" w:ascii="宋体" w:hAnsi="宋体" w:eastAsia="宋体" w:cs="宋体"/>
          <w:b/>
          <w:bCs/>
          <w:i w:val="0"/>
          <w:caps w:val="0"/>
          <w:color w:val="auto"/>
          <w:spacing w:val="0"/>
          <w:sz w:val="24"/>
          <w:szCs w:val="24"/>
          <w:shd w:val="clear" w:fill="FFFFFF"/>
        </w:rPr>
        <w:t>3.</w:t>
      </w:r>
      <w:r>
        <w:rPr>
          <w:rStyle w:val="13"/>
          <w:rFonts w:hint="eastAsia" w:ascii="宋体" w:hAnsi="宋体" w:eastAsia="宋体" w:cs="宋体"/>
          <w:b/>
          <w:bCs/>
          <w:i w:val="0"/>
          <w:caps w:val="0"/>
          <w:color w:val="auto"/>
          <w:spacing w:val="0"/>
          <w:sz w:val="24"/>
          <w:szCs w:val="24"/>
          <w:shd w:val="clear" w:fill="FFFFFF"/>
        </w:rPr>
        <w:t>供</w:t>
      </w:r>
      <w:r>
        <w:rPr>
          <w:rStyle w:val="13"/>
          <w:rFonts w:hint="eastAsia" w:ascii="宋体" w:hAnsi="宋体" w:eastAsia="宋体" w:cs="宋体"/>
          <w:i w:val="0"/>
          <w:caps w:val="0"/>
          <w:color w:val="auto"/>
          <w:spacing w:val="0"/>
          <w:sz w:val="24"/>
          <w:szCs w:val="24"/>
          <w:shd w:val="clear" w:fill="FFFFFF"/>
        </w:rPr>
        <w:t>应商资格要求</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0"/>
        <w:jc w:val="left"/>
        <w:textAlignment w:val="auto"/>
        <w:rPr>
          <w:rStyle w:val="13"/>
          <w:rFonts w:hint="eastAsia" w:ascii="宋体" w:hAnsi="宋体" w:eastAsia="宋体" w:cs="宋体"/>
          <w:b w:val="0"/>
          <w:bCs/>
          <w:i w:val="0"/>
          <w:caps w:val="0"/>
          <w:color w:val="auto"/>
          <w:spacing w:val="0"/>
          <w:sz w:val="24"/>
          <w:szCs w:val="24"/>
          <w:shd w:val="clear" w:fill="FFFFFF"/>
        </w:rPr>
      </w:pPr>
      <w:r>
        <w:rPr>
          <w:rStyle w:val="13"/>
          <w:rFonts w:hint="eastAsia" w:ascii="宋体" w:hAnsi="宋体" w:eastAsia="宋体" w:cs="宋体"/>
          <w:b w:val="0"/>
          <w:bCs/>
          <w:i w:val="0"/>
          <w:caps w:val="0"/>
          <w:color w:val="auto"/>
          <w:spacing w:val="0"/>
          <w:sz w:val="24"/>
          <w:szCs w:val="24"/>
          <w:shd w:val="clear" w:fill="FFFFFF"/>
        </w:rPr>
        <w:t>1、在中华人民共和国注册，具有独立承担民事责任能力的法人（需提供营业执照副本复印件、组织机构代码证、税务登记证复印件或三证合一的营业执照副本复印件）须具备与本项目相关的营业范围(提供原件现场备查)；</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0"/>
        <w:jc w:val="left"/>
        <w:textAlignment w:val="auto"/>
        <w:rPr>
          <w:rStyle w:val="13"/>
          <w:rFonts w:hint="eastAsia" w:ascii="宋体" w:hAnsi="宋体" w:eastAsia="宋体" w:cs="宋体"/>
          <w:b w:val="0"/>
          <w:bCs/>
          <w:i w:val="0"/>
          <w:caps w:val="0"/>
          <w:color w:val="auto"/>
          <w:spacing w:val="0"/>
          <w:sz w:val="24"/>
          <w:szCs w:val="24"/>
          <w:shd w:val="clear" w:fill="FFFFFF"/>
        </w:rPr>
      </w:pPr>
      <w:r>
        <w:rPr>
          <w:rStyle w:val="13"/>
          <w:rFonts w:hint="eastAsia" w:ascii="宋体" w:hAnsi="宋体" w:eastAsia="宋体" w:cs="宋体"/>
          <w:b w:val="0"/>
          <w:bCs/>
          <w:i w:val="0"/>
          <w:caps w:val="0"/>
          <w:color w:val="auto"/>
          <w:spacing w:val="0"/>
          <w:sz w:val="24"/>
          <w:szCs w:val="24"/>
          <w:shd w:val="clear" w:fill="FFFFFF"/>
        </w:rPr>
        <w:t>2、具有依法缴纳税收和社会保障资金的良好记录(需提供2018年至今连续3个月的税收和社保记录凭证复印件加盖公章，提供原件现场备查）；</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0"/>
        <w:jc w:val="left"/>
        <w:textAlignment w:val="auto"/>
        <w:rPr>
          <w:rStyle w:val="13"/>
          <w:rFonts w:hint="eastAsia" w:ascii="宋体" w:hAnsi="宋体" w:eastAsia="宋体" w:cs="宋体"/>
          <w:b w:val="0"/>
          <w:bCs/>
          <w:i w:val="0"/>
          <w:caps w:val="0"/>
          <w:color w:val="auto"/>
          <w:spacing w:val="0"/>
          <w:sz w:val="24"/>
          <w:szCs w:val="24"/>
          <w:shd w:val="clear" w:fill="FFFFFF"/>
        </w:rPr>
      </w:pPr>
      <w:r>
        <w:rPr>
          <w:rStyle w:val="13"/>
          <w:rFonts w:hint="eastAsia" w:ascii="宋体" w:hAnsi="宋体" w:eastAsia="宋体" w:cs="宋体"/>
          <w:b w:val="0"/>
          <w:bCs/>
          <w:i w:val="0"/>
          <w:caps w:val="0"/>
          <w:color w:val="auto"/>
          <w:spacing w:val="0"/>
          <w:sz w:val="24"/>
          <w:szCs w:val="24"/>
          <w:shd w:val="clear" w:fill="FFFFFF"/>
        </w:rPr>
        <w:t>3、参加政府采购活动前三年内，在经营活动中没有重大违法记录（提供声明函）；</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0"/>
        <w:jc w:val="left"/>
        <w:textAlignment w:val="auto"/>
        <w:rPr>
          <w:rStyle w:val="13"/>
          <w:rFonts w:hint="eastAsia" w:ascii="宋体" w:hAnsi="宋体" w:eastAsia="宋体" w:cs="宋体"/>
          <w:b w:val="0"/>
          <w:bCs/>
          <w:i w:val="0"/>
          <w:caps w:val="0"/>
          <w:color w:val="auto"/>
          <w:spacing w:val="0"/>
          <w:sz w:val="24"/>
          <w:szCs w:val="24"/>
          <w:shd w:val="clear" w:fill="FFFFFF"/>
        </w:rPr>
      </w:pPr>
      <w:r>
        <w:rPr>
          <w:rStyle w:val="13"/>
          <w:rFonts w:hint="eastAsia" w:ascii="宋体" w:hAnsi="宋体" w:eastAsia="宋体" w:cs="宋体"/>
          <w:b w:val="0"/>
          <w:bCs/>
          <w:i w:val="0"/>
          <w:caps w:val="0"/>
          <w:color w:val="auto"/>
          <w:spacing w:val="0"/>
          <w:sz w:val="24"/>
          <w:szCs w:val="24"/>
          <w:shd w:val="clear" w:fill="FFFFFF"/>
        </w:rPr>
        <w:t>4、根据《财政部关于在政府采购活动中查询及使用信用记录有关问题的通知》（财库〔2016〕125号）的要求，在政府采购活动中查询及使用信用记录。查询渠道：通过“信用中国”网站（www.creditchina.gov.cn）或中国政府采购网（www.ccgp.gov.cn）查询相关供应商的信用记录。(投标时提供加盖公章的网上查询截图)；</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0"/>
        <w:jc w:val="left"/>
        <w:textAlignment w:val="auto"/>
        <w:rPr>
          <w:rStyle w:val="13"/>
          <w:rFonts w:hint="eastAsia" w:ascii="宋体" w:hAnsi="宋体" w:eastAsia="宋体" w:cs="宋体"/>
          <w:b w:val="0"/>
          <w:bCs/>
          <w:i w:val="0"/>
          <w:caps w:val="0"/>
          <w:color w:val="auto"/>
          <w:spacing w:val="0"/>
          <w:sz w:val="24"/>
          <w:szCs w:val="24"/>
          <w:shd w:val="clear" w:fill="FFFFFF"/>
        </w:rPr>
      </w:pPr>
      <w:r>
        <w:rPr>
          <w:rStyle w:val="13"/>
          <w:rFonts w:hint="eastAsia" w:ascii="宋体" w:hAnsi="宋体" w:eastAsia="宋体" w:cs="宋体"/>
          <w:b w:val="0"/>
          <w:bCs/>
          <w:i w:val="0"/>
          <w:caps w:val="0"/>
          <w:color w:val="auto"/>
          <w:spacing w:val="0"/>
          <w:sz w:val="24"/>
          <w:szCs w:val="24"/>
          <w:shd w:val="clear" w:fill="FFFFFF"/>
        </w:rPr>
        <w:t>5、购买本项目询价文件并按时缴纳保证金，提供缴纳保证金凭证的复印件；</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0"/>
        <w:jc w:val="left"/>
        <w:textAlignment w:val="auto"/>
        <w:rPr>
          <w:rStyle w:val="13"/>
          <w:rFonts w:hint="eastAsia" w:ascii="宋体" w:hAnsi="宋体" w:eastAsia="宋体" w:cs="宋体"/>
          <w:b w:val="0"/>
          <w:bCs/>
          <w:i w:val="0"/>
          <w:caps w:val="0"/>
          <w:color w:val="auto"/>
          <w:spacing w:val="0"/>
          <w:sz w:val="24"/>
          <w:szCs w:val="24"/>
          <w:shd w:val="clear" w:fill="FFFFFF"/>
        </w:rPr>
      </w:pPr>
      <w:r>
        <w:rPr>
          <w:rStyle w:val="13"/>
          <w:rFonts w:hint="eastAsia" w:ascii="宋体" w:hAnsi="宋体" w:eastAsia="宋体" w:cs="宋体"/>
          <w:b w:val="0"/>
          <w:bCs/>
          <w:i w:val="0"/>
          <w:caps w:val="0"/>
          <w:color w:val="auto"/>
          <w:spacing w:val="0"/>
          <w:sz w:val="24"/>
          <w:szCs w:val="24"/>
          <w:shd w:val="clear" w:fill="FFFFFF"/>
        </w:rPr>
        <w:t>6、本项目不接受联合体投标；</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0"/>
        <w:jc w:val="left"/>
        <w:textAlignment w:val="auto"/>
        <w:rPr>
          <w:rStyle w:val="13"/>
          <w:rFonts w:hint="eastAsia" w:ascii="宋体" w:hAnsi="宋体" w:eastAsia="宋体" w:cs="宋体"/>
          <w:b w:val="0"/>
          <w:bCs/>
          <w:i w:val="0"/>
          <w:caps w:val="0"/>
          <w:color w:val="auto"/>
          <w:spacing w:val="0"/>
          <w:sz w:val="24"/>
          <w:szCs w:val="24"/>
          <w:shd w:val="clear" w:fill="FFFFFF"/>
        </w:rPr>
      </w:pPr>
      <w:r>
        <w:rPr>
          <w:rStyle w:val="13"/>
          <w:rFonts w:hint="eastAsia" w:ascii="宋体" w:hAnsi="宋体" w:eastAsia="宋体" w:cs="宋体"/>
          <w:b w:val="0"/>
          <w:bCs/>
          <w:i w:val="0"/>
          <w:caps w:val="0"/>
          <w:color w:val="auto"/>
          <w:spacing w:val="0"/>
          <w:sz w:val="24"/>
          <w:szCs w:val="24"/>
          <w:shd w:val="clear" w:fill="FFFFFF"/>
        </w:rPr>
        <w:t>7、本项目禁止转包或分包。</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0"/>
        <w:jc w:val="left"/>
        <w:textAlignment w:val="auto"/>
        <w:rPr>
          <w:rFonts w:hint="eastAsia" w:ascii="宋体" w:hAnsi="宋体" w:eastAsia="宋体" w:cs="宋体"/>
          <w:i w:val="0"/>
          <w:caps w:val="0"/>
          <w:color w:val="auto"/>
          <w:spacing w:val="0"/>
          <w:sz w:val="24"/>
          <w:szCs w:val="24"/>
        </w:rPr>
      </w:pPr>
      <w:r>
        <w:rPr>
          <w:rStyle w:val="13"/>
          <w:rFonts w:hint="eastAsia" w:ascii="宋体" w:hAnsi="宋体" w:eastAsia="宋体" w:cs="宋体"/>
          <w:i w:val="0"/>
          <w:caps w:val="0"/>
          <w:color w:val="auto"/>
          <w:spacing w:val="0"/>
          <w:sz w:val="24"/>
          <w:szCs w:val="24"/>
          <w:shd w:val="clear" w:fill="FFFFFF"/>
        </w:rPr>
        <w:t>4. 招标文件的获取</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0"/>
        <w:jc w:val="left"/>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shd w:val="clear" w:fill="FFFFFF"/>
        </w:rPr>
        <w:t>4.1、发售标书时间：</w:t>
      </w:r>
      <w:r>
        <w:rPr>
          <w:rFonts w:hint="eastAsia" w:ascii="宋体" w:hAnsi="宋体" w:cs="宋体"/>
          <w:i w:val="0"/>
          <w:caps w:val="0"/>
          <w:color w:val="auto"/>
          <w:spacing w:val="0"/>
          <w:sz w:val="24"/>
          <w:szCs w:val="24"/>
          <w:shd w:val="clear" w:fill="FFFFFF"/>
          <w:lang w:val="en-US" w:eastAsia="zh-CN"/>
        </w:rPr>
        <w:t xml:space="preserve">2019 </w:t>
      </w:r>
      <w:r>
        <w:rPr>
          <w:rFonts w:hint="eastAsia" w:ascii="宋体" w:hAnsi="宋体" w:eastAsia="宋体" w:cs="宋体"/>
          <w:i w:val="0"/>
          <w:caps w:val="0"/>
          <w:color w:val="auto"/>
          <w:spacing w:val="0"/>
          <w:sz w:val="24"/>
          <w:szCs w:val="24"/>
          <w:shd w:val="clear" w:fill="FFFFFF"/>
        </w:rPr>
        <w:t>-</w:t>
      </w:r>
      <w:r>
        <w:rPr>
          <w:rFonts w:hint="eastAsia" w:ascii="宋体" w:hAnsi="宋体" w:cs="宋体"/>
          <w:i w:val="0"/>
          <w:caps w:val="0"/>
          <w:color w:val="auto"/>
          <w:spacing w:val="0"/>
          <w:sz w:val="24"/>
          <w:szCs w:val="24"/>
          <w:u w:val="single"/>
          <w:shd w:val="clear" w:fill="FFFFFF"/>
          <w:lang w:val="en-US" w:eastAsia="zh-CN"/>
        </w:rPr>
        <w:t>2</w:t>
      </w:r>
      <w:r>
        <w:rPr>
          <w:rFonts w:hint="eastAsia" w:ascii="宋体" w:hAnsi="宋体" w:eastAsia="宋体" w:cs="宋体"/>
          <w:i w:val="0"/>
          <w:caps w:val="0"/>
          <w:color w:val="auto"/>
          <w:spacing w:val="0"/>
          <w:sz w:val="24"/>
          <w:szCs w:val="24"/>
          <w:shd w:val="clear" w:fill="FFFFFF"/>
        </w:rPr>
        <w:t>-</w:t>
      </w:r>
      <w:r>
        <w:rPr>
          <w:rFonts w:hint="eastAsia" w:ascii="宋体" w:hAnsi="宋体" w:cs="宋体"/>
          <w:i w:val="0"/>
          <w:caps w:val="0"/>
          <w:color w:val="auto"/>
          <w:spacing w:val="0"/>
          <w:sz w:val="24"/>
          <w:szCs w:val="24"/>
          <w:u w:val="single"/>
          <w:shd w:val="clear" w:fill="FFFFFF"/>
          <w:lang w:val="en-US" w:eastAsia="zh-CN"/>
        </w:rPr>
        <w:t>11</w:t>
      </w:r>
      <w:r>
        <w:rPr>
          <w:rFonts w:hint="eastAsia" w:ascii="宋体" w:hAnsi="宋体" w:cs="宋体"/>
          <w:i w:val="0"/>
          <w:caps w:val="0"/>
          <w:color w:val="auto"/>
          <w:spacing w:val="0"/>
          <w:sz w:val="24"/>
          <w:szCs w:val="24"/>
          <w:u w:val="none"/>
          <w:shd w:val="clear" w:fill="FFFFFF"/>
          <w:lang w:val="en-US" w:eastAsia="zh-CN"/>
        </w:rPr>
        <w:t xml:space="preserve">  </w:t>
      </w:r>
      <w:r>
        <w:rPr>
          <w:rFonts w:hint="eastAsia" w:ascii="宋体" w:hAnsi="宋体" w:eastAsia="宋体" w:cs="宋体"/>
          <w:i w:val="0"/>
          <w:caps w:val="0"/>
          <w:color w:val="auto"/>
          <w:spacing w:val="0"/>
          <w:sz w:val="24"/>
          <w:szCs w:val="24"/>
          <w:shd w:val="clear" w:fill="FFFFFF"/>
        </w:rPr>
        <w:t>00:00:00——</w:t>
      </w:r>
      <w:r>
        <w:rPr>
          <w:rFonts w:hint="eastAsia" w:ascii="宋体" w:hAnsi="宋体" w:eastAsia="宋体" w:cs="宋体"/>
          <w:i w:val="0"/>
          <w:caps w:val="0"/>
          <w:color w:val="auto"/>
          <w:spacing w:val="0"/>
          <w:sz w:val="24"/>
          <w:szCs w:val="24"/>
          <w:shd w:val="clear" w:fill="FFFFFF"/>
          <w:lang w:val="en-US" w:eastAsia="zh-CN"/>
        </w:rPr>
        <w:t>2019</w:t>
      </w:r>
      <w:r>
        <w:rPr>
          <w:rFonts w:hint="eastAsia" w:ascii="宋体" w:hAnsi="宋体" w:cs="宋体"/>
          <w:i w:val="0"/>
          <w:caps w:val="0"/>
          <w:color w:val="auto"/>
          <w:spacing w:val="0"/>
          <w:sz w:val="24"/>
          <w:szCs w:val="24"/>
          <w:shd w:val="clear" w:fill="FFFFFF"/>
          <w:lang w:val="en-US" w:eastAsia="zh-CN"/>
        </w:rPr>
        <w:t xml:space="preserve"> </w:t>
      </w:r>
      <w:r>
        <w:rPr>
          <w:rFonts w:hint="eastAsia" w:ascii="宋体" w:hAnsi="宋体" w:eastAsia="宋体" w:cs="宋体"/>
          <w:i w:val="0"/>
          <w:caps w:val="0"/>
          <w:color w:val="auto"/>
          <w:spacing w:val="0"/>
          <w:sz w:val="24"/>
          <w:szCs w:val="24"/>
          <w:shd w:val="clear" w:fill="FFFFFF"/>
        </w:rPr>
        <w:t>-</w:t>
      </w:r>
      <w:r>
        <w:rPr>
          <w:rFonts w:hint="eastAsia" w:ascii="宋体" w:hAnsi="宋体" w:cs="宋体"/>
          <w:i w:val="0"/>
          <w:caps w:val="0"/>
          <w:color w:val="auto"/>
          <w:spacing w:val="0"/>
          <w:sz w:val="24"/>
          <w:szCs w:val="24"/>
          <w:u w:val="single"/>
          <w:shd w:val="clear" w:fill="FFFFFF"/>
          <w:lang w:val="en-US" w:eastAsia="zh-CN"/>
        </w:rPr>
        <w:t>2</w:t>
      </w:r>
      <w:r>
        <w:rPr>
          <w:rFonts w:hint="eastAsia" w:ascii="宋体" w:hAnsi="宋体" w:eastAsia="宋体" w:cs="宋体"/>
          <w:i w:val="0"/>
          <w:caps w:val="0"/>
          <w:color w:val="auto"/>
          <w:spacing w:val="0"/>
          <w:sz w:val="24"/>
          <w:szCs w:val="24"/>
          <w:shd w:val="clear" w:fill="FFFFFF"/>
        </w:rPr>
        <w:t>-</w:t>
      </w:r>
      <w:r>
        <w:rPr>
          <w:rFonts w:hint="eastAsia" w:ascii="宋体" w:hAnsi="宋体" w:cs="宋体"/>
          <w:i w:val="0"/>
          <w:caps w:val="0"/>
          <w:color w:val="auto"/>
          <w:spacing w:val="0"/>
          <w:sz w:val="24"/>
          <w:szCs w:val="24"/>
          <w:u w:val="single"/>
          <w:shd w:val="clear" w:fill="FFFFFF"/>
          <w:lang w:val="en-US" w:eastAsia="zh-CN"/>
        </w:rPr>
        <w:t>14</w:t>
      </w:r>
      <w:r>
        <w:rPr>
          <w:rFonts w:hint="eastAsia" w:ascii="宋体" w:hAnsi="宋体" w:cs="宋体"/>
          <w:i w:val="0"/>
          <w:caps w:val="0"/>
          <w:color w:val="auto"/>
          <w:spacing w:val="0"/>
          <w:sz w:val="24"/>
          <w:szCs w:val="24"/>
          <w:u w:val="none"/>
          <w:shd w:val="clear" w:fill="FFFFFF"/>
          <w:lang w:val="en-US" w:eastAsia="zh-CN"/>
        </w:rPr>
        <w:t xml:space="preserve">  </w:t>
      </w:r>
      <w:r>
        <w:rPr>
          <w:rFonts w:hint="eastAsia" w:ascii="宋体" w:hAnsi="宋体" w:eastAsia="宋体" w:cs="宋体"/>
          <w:i w:val="0"/>
          <w:caps w:val="0"/>
          <w:color w:val="auto"/>
          <w:spacing w:val="0"/>
          <w:sz w:val="24"/>
          <w:szCs w:val="24"/>
          <w:shd w:val="clear" w:fill="FFFFFF"/>
        </w:rPr>
        <w:t>00:00:00。</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0"/>
        <w:jc w:val="left"/>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shd w:val="clear" w:fill="FFFFFF"/>
        </w:rPr>
        <w:t>4.2、发售标书地点：http://zw.hainan.gov.cn/htms/login!register.do。</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0"/>
        <w:jc w:val="left"/>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shd w:val="clear" w:fill="FFFFFF"/>
        </w:rPr>
        <w:t>4.3、标书售价：招标文件每套售价</w:t>
      </w:r>
      <w:r>
        <w:rPr>
          <w:rFonts w:hint="eastAsia" w:ascii="宋体" w:hAnsi="宋体" w:eastAsia="宋体" w:cs="宋体"/>
          <w:i w:val="0"/>
          <w:caps w:val="0"/>
          <w:color w:val="auto"/>
          <w:spacing w:val="0"/>
          <w:sz w:val="24"/>
          <w:szCs w:val="24"/>
          <w:shd w:val="clear" w:fill="FFFFFF"/>
          <w:lang w:val="en-US" w:eastAsia="zh-CN"/>
        </w:rPr>
        <w:t>1</w:t>
      </w:r>
      <w:r>
        <w:rPr>
          <w:rFonts w:hint="eastAsia" w:ascii="宋体" w:hAnsi="宋体" w:eastAsia="宋体" w:cs="宋体"/>
          <w:i w:val="0"/>
          <w:caps w:val="0"/>
          <w:color w:val="auto"/>
          <w:spacing w:val="0"/>
          <w:sz w:val="24"/>
          <w:szCs w:val="24"/>
          <w:shd w:val="clear" w:fill="FFFFFF"/>
        </w:rPr>
        <w:t>00.00元；投标保证金的金额：</w:t>
      </w:r>
      <w:r>
        <w:rPr>
          <w:rFonts w:hint="eastAsia" w:ascii="宋体" w:hAnsi="宋体" w:eastAsia="宋体" w:cs="宋体"/>
          <w:i w:val="0"/>
          <w:caps w:val="0"/>
          <w:color w:val="auto"/>
          <w:spacing w:val="0"/>
          <w:sz w:val="24"/>
          <w:szCs w:val="24"/>
          <w:shd w:val="clear" w:fill="FFFFFF"/>
          <w:lang w:val="en-US" w:eastAsia="zh-CN"/>
        </w:rPr>
        <w:t>10000.00</w:t>
      </w:r>
      <w:r>
        <w:rPr>
          <w:rFonts w:hint="eastAsia" w:ascii="宋体" w:hAnsi="宋体" w:eastAsia="宋体" w:cs="宋体"/>
          <w:i w:val="0"/>
          <w:caps w:val="0"/>
          <w:color w:val="auto"/>
          <w:spacing w:val="0"/>
          <w:sz w:val="24"/>
          <w:szCs w:val="24"/>
          <w:shd w:val="clear" w:fill="FFFFFF"/>
        </w:rPr>
        <w:t>元。 投标保证金的形式：网上支付，支付地址为：http://zw.hainan.gov.cn/htms/login!register.do。</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0"/>
        <w:jc w:val="left"/>
        <w:textAlignment w:val="auto"/>
        <w:rPr>
          <w:rFonts w:hint="eastAsia" w:ascii="宋体" w:hAnsi="宋体" w:eastAsia="宋体" w:cs="宋体"/>
          <w:i w:val="0"/>
          <w:caps w:val="0"/>
          <w:color w:val="auto"/>
          <w:spacing w:val="0"/>
          <w:sz w:val="24"/>
          <w:szCs w:val="24"/>
          <w:shd w:val="clear" w:color="auto" w:fill="auto"/>
        </w:rPr>
      </w:pPr>
      <w:r>
        <w:rPr>
          <w:rFonts w:hint="eastAsia" w:ascii="宋体" w:hAnsi="宋体" w:eastAsia="宋体" w:cs="宋体"/>
          <w:i w:val="0"/>
          <w:caps w:val="0"/>
          <w:color w:val="auto"/>
          <w:spacing w:val="0"/>
          <w:sz w:val="24"/>
          <w:szCs w:val="24"/>
          <w:shd w:val="clear" w:color="auto" w:fill="auto"/>
        </w:rPr>
        <w:t>4.4、投标人提问截止时间：</w:t>
      </w:r>
      <w:r>
        <w:rPr>
          <w:rFonts w:hint="eastAsia" w:ascii="宋体" w:hAnsi="宋体" w:cs="宋体"/>
          <w:i w:val="0"/>
          <w:caps w:val="0"/>
          <w:color w:val="auto"/>
          <w:spacing w:val="0"/>
          <w:sz w:val="24"/>
          <w:szCs w:val="24"/>
          <w:shd w:val="clear" w:fill="FFFFFF"/>
          <w:lang w:val="en-US" w:eastAsia="zh-CN"/>
        </w:rPr>
        <w:t>2019</w:t>
      </w:r>
      <w:r>
        <w:rPr>
          <w:rFonts w:hint="eastAsia" w:ascii="宋体" w:hAnsi="宋体" w:cs="宋体"/>
          <w:i w:val="0"/>
          <w:caps w:val="0"/>
          <w:color w:val="auto"/>
          <w:spacing w:val="0"/>
          <w:sz w:val="24"/>
          <w:szCs w:val="24"/>
          <w:shd w:val="clear" w:color="auto" w:fill="auto"/>
          <w:lang w:val="en-US" w:eastAsia="zh-CN"/>
        </w:rPr>
        <w:t xml:space="preserve"> </w:t>
      </w:r>
      <w:r>
        <w:rPr>
          <w:rFonts w:hint="eastAsia" w:ascii="宋体" w:hAnsi="宋体" w:eastAsia="宋体" w:cs="宋体"/>
          <w:i w:val="0"/>
          <w:caps w:val="0"/>
          <w:color w:val="auto"/>
          <w:spacing w:val="0"/>
          <w:sz w:val="24"/>
          <w:szCs w:val="24"/>
          <w:shd w:val="clear" w:color="auto" w:fill="auto"/>
        </w:rPr>
        <w:t>-</w:t>
      </w:r>
      <w:r>
        <w:rPr>
          <w:rFonts w:hint="eastAsia" w:ascii="宋体" w:hAnsi="宋体" w:cs="宋体"/>
          <w:i w:val="0"/>
          <w:caps w:val="0"/>
          <w:color w:val="auto"/>
          <w:spacing w:val="0"/>
          <w:sz w:val="24"/>
          <w:szCs w:val="24"/>
          <w:u w:val="single"/>
          <w:shd w:val="clear" w:color="auto" w:fill="auto"/>
          <w:lang w:val="en-US" w:eastAsia="zh-CN"/>
        </w:rPr>
        <w:t>2</w:t>
      </w:r>
      <w:r>
        <w:rPr>
          <w:rFonts w:hint="eastAsia" w:ascii="宋体" w:hAnsi="宋体" w:eastAsia="宋体" w:cs="宋体"/>
          <w:i w:val="0"/>
          <w:caps w:val="0"/>
          <w:color w:val="auto"/>
          <w:spacing w:val="0"/>
          <w:sz w:val="24"/>
          <w:szCs w:val="24"/>
          <w:shd w:val="clear" w:color="auto" w:fill="auto"/>
        </w:rPr>
        <w:t>-</w:t>
      </w:r>
      <w:r>
        <w:rPr>
          <w:rFonts w:hint="eastAsia" w:ascii="宋体" w:hAnsi="宋体" w:cs="宋体"/>
          <w:i w:val="0"/>
          <w:caps w:val="0"/>
          <w:color w:val="auto"/>
          <w:spacing w:val="0"/>
          <w:sz w:val="24"/>
          <w:szCs w:val="24"/>
          <w:u w:val="single"/>
          <w:shd w:val="clear" w:color="auto" w:fill="auto"/>
          <w:lang w:val="en-US" w:eastAsia="zh-CN"/>
        </w:rPr>
        <w:t>14</w:t>
      </w:r>
      <w:r>
        <w:rPr>
          <w:rFonts w:hint="eastAsia" w:ascii="宋体" w:hAnsi="宋体" w:cs="宋体"/>
          <w:i w:val="0"/>
          <w:caps w:val="0"/>
          <w:color w:val="auto"/>
          <w:spacing w:val="0"/>
          <w:sz w:val="24"/>
          <w:szCs w:val="24"/>
          <w:u w:val="none"/>
          <w:shd w:val="clear" w:color="auto" w:fill="auto"/>
          <w:lang w:val="en-US" w:eastAsia="zh-CN"/>
        </w:rPr>
        <w:t xml:space="preserve">  </w:t>
      </w:r>
      <w:r>
        <w:rPr>
          <w:rFonts w:hint="eastAsia" w:ascii="宋体" w:hAnsi="宋体" w:eastAsia="宋体" w:cs="宋体"/>
          <w:i w:val="0"/>
          <w:caps w:val="0"/>
          <w:color w:val="auto"/>
          <w:spacing w:val="0"/>
          <w:sz w:val="24"/>
          <w:szCs w:val="24"/>
          <w:shd w:val="clear" w:color="auto" w:fill="auto"/>
          <w:lang w:val="en-US" w:eastAsia="zh-CN"/>
        </w:rPr>
        <w:t>17</w:t>
      </w:r>
      <w:r>
        <w:rPr>
          <w:rFonts w:hint="eastAsia" w:ascii="宋体" w:hAnsi="宋体" w:eastAsia="宋体" w:cs="宋体"/>
          <w:i w:val="0"/>
          <w:caps w:val="0"/>
          <w:color w:val="auto"/>
          <w:spacing w:val="0"/>
          <w:sz w:val="24"/>
          <w:szCs w:val="24"/>
          <w:shd w:val="clear" w:color="auto" w:fill="auto"/>
        </w:rPr>
        <w:t>:00:00（北京时间）。</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0"/>
        <w:jc w:val="left"/>
        <w:textAlignment w:val="auto"/>
        <w:rPr>
          <w:rFonts w:hint="eastAsia" w:ascii="宋体" w:hAnsi="宋体" w:eastAsia="宋体" w:cs="宋体"/>
          <w:i w:val="0"/>
          <w:caps w:val="0"/>
          <w:color w:val="auto"/>
          <w:spacing w:val="0"/>
          <w:sz w:val="24"/>
          <w:szCs w:val="24"/>
        </w:rPr>
      </w:pPr>
      <w:r>
        <w:rPr>
          <w:rStyle w:val="13"/>
          <w:rFonts w:hint="eastAsia" w:ascii="宋体" w:hAnsi="宋体" w:eastAsia="宋体" w:cs="宋体"/>
          <w:i w:val="0"/>
          <w:caps w:val="0"/>
          <w:color w:val="auto"/>
          <w:spacing w:val="0"/>
          <w:sz w:val="24"/>
          <w:szCs w:val="24"/>
          <w:shd w:val="clear" w:fill="FFFFFF"/>
        </w:rPr>
        <w:t>5. 投标文件和保证金的递交</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0"/>
        <w:jc w:val="left"/>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shd w:val="clear" w:fill="FFFFFF"/>
        </w:rPr>
        <w:t>5.1、投标文件递交截止时间：</w:t>
      </w:r>
      <w:r>
        <w:rPr>
          <w:rFonts w:hint="eastAsia" w:ascii="宋体" w:hAnsi="宋体" w:cs="宋体"/>
          <w:i w:val="0"/>
          <w:caps w:val="0"/>
          <w:color w:val="auto"/>
          <w:spacing w:val="0"/>
          <w:sz w:val="24"/>
          <w:szCs w:val="24"/>
          <w:shd w:val="clear" w:fill="FFFFFF"/>
          <w:lang w:val="en-US" w:eastAsia="zh-CN"/>
        </w:rPr>
        <w:t xml:space="preserve">2019 </w:t>
      </w:r>
      <w:r>
        <w:rPr>
          <w:rFonts w:hint="eastAsia" w:ascii="宋体" w:hAnsi="宋体" w:eastAsia="宋体" w:cs="宋体"/>
          <w:i w:val="0"/>
          <w:caps w:val="0"/>
          <w:color w:val="auto"/>
          <w:spacing w:val="0"/>
          <w:sz w:val="24"/>
          <w:szCs w:val="24"/>
          <w:shd w:val="clear" w:fill="FFFFFF"/>
        </w:rPr>
        <w:t>-</w:t>
      </w:r>
      <w:r>
        <w:rPr>
          <w:rFonts w:hint="eastAsia" w:ascii="宋体" w:hAnsi="宋体" w:cs="宋体"/>
          <w:i w:val="0"/>
          <w:caps w:val="0"/>
          <w:color w:val="auto"/>
          <w:spacing w:val="0"/>
          <w:sz w:val="24"/>
          <w:szCs w:val="24"/>
          <w:u w:val="single"/>
          <w:shd w:val="clear" w:fill="FFFFFF"/>
          <w:lang w:val="en-US" w:eastAsia="zh-CN"/>
        </w:rPr>
        <w:t>2</w:t>
      </w:r>
      <w:r>
        <w:rPr>
          <w:rFonts w:hint="eastAsia" w:ascii="宋体" w:hAnsi="宋体" w:eastAsia="宋体" w:cs="宋体"/>
          <w:i w:val="0"/>
          <w:caps w:val="0"/>
          <w:color w:val="auto"/>
          <w:spacing w:val="0"/>
          <w:sz w:val="24"/>
          <w:szCs w:val="24"/>
          <w:shd w:val="clear" w:fill="FFFFFF"/>
        </w:rPr>
        <w:t>-</w:t>
      </w:r>
      <w:r>
        <w:rPr>
          <w:rFonts w:hint="eastAsia" w:ascii="宋体" w:hAnsi="宋体" w:cs="宋体"/>
          <w:i w:val="0"/>
          <w:caps w:val="0"/>
          <w:color w:val="auto"/>
          <w:spacing w:val="0"/>
          <w:sz w:val="24"/>
          <w:szCs w:val="24"/>
          <w:u w:val="single"/>
          <w:shd w:val="clear" w:fill="FFFFFF"/>
          <w:lang w:val="en-US" w:eastAsia="zh-CN"/>
        </w:rPr>
        <w:t>15</w:t>
      </w:r>
      <w:r>
        <w:rPr>
          <w:rFonts w:hint="eastAsia" w:ascii="宋体" w:hAnsi="宋体" w:eastAsia="宋体" w:cs="宋体"/>
          <w:i w:val="0"/>
          <w:caps w:val="0"/>
          <w:color w:val="auto"/>
          <w:spacing w:val="0"/>
          <w:sz w:val="24"/>
          <w:szCs w:val="24"/>
          <w:shd w:val="clear" w:fill="FFFFFF"/>
        </w:rPr>
        <w:t> </w:t>
      </w:r>
      <w:r>
        <w:rPr>
          <w:rFonts w:hint="eastAsia" w:ascii="宋体" w:hAnsi="宋体" w:cs="宋体"/>
          <w:i w:val="0"/>
          <w:caps w:val="0"/>
          <w:color w:val="auto"/>
          <w:spacing w:val="0"/>
          <w:sz w:val="24"/>
          <w:szCs w:val="24"/>
          <w:u w:val="single"/>
          <w:shd w:val="clear" w:fill="FFFFFF"/>
          <w:lang w:val="en-US" w:eastAsia="zh-CN"/>
        </w:rPr>
        <w:t>15</w:t>
      </w:r>
      <w:r>
        <w:rPr>
          <w:rFonts w:hint="eastAsia" w:ascii="宋体" w:hAnsi="宋体" w:eastAsia="宋体" w:cs="宋体"/>
          <w:i w:val="0"/>
          <w:caps w:val="0"/>
          <w:color w:val="auto"/>
          <w:spacing w:val="0"/>
          <w:sz w:val="24"/>
          <w:szCs w:val="24"/>
          <w:shd w:val="clear" w:fill="FFFFFF"/>
        </w:rPr>
        <w:t>:</w:t>
      </w:r>
      <w:r>
        <w:rPr>
          <w:rFonts w:hint="eastAsia" w:ascii="宋体" w:hAnsi="宋体" w:cs="宋体"/>
          <w:i w:val="0"/>
          <w:caps w:val="0"/>
          <w:color w:val="auto"/>
          <w:spacing w:val="0"/>
          <w:sz w:val="24"/>
          <w:szCs w:val="24"/>
          <w:u w:val="single"/>
          <w:shd w:val="clear" w:fill="FFFFFF"/>
          <w:lang w:val="en-US" w:eastAsia="zh-CN"/>
        </w:rPr>
        <w:t>30</w:t>
      </w:r>
      <w:r>
        <w:rPr>
          <w:rFonts w:hint="eastAsia" w:ascii="宋体" w:hAnsi="宋体" w:eastAsia="宋体" w:cs="宋体"/>
          <w:i w:val="0"/>
          <w:caps w:val="0"/>
          <w:color w:val="auto"/>
          <w:spacing w:val="0"/>
          <w:sz w:val="24"/>
          <w:szCs w:val="24"/>
          <w:shd w:val="clear" w:fill="FFFFFF"/>
        </w:rPr>
        <w:t>:</w:t>
      </w:r>
      <w:r>
        <w:rPr>
          <w:rFonts w:hint="eastAsia" w:ascii="宋体" w:hAnsi="宋体" w:cs="宋体"/>
          <w:i w:val="0"/>
          <w:caps w:val="0"/>
          <w:color w:val="auto"/>
          <w:spacing w:val="0"/>
          <w:sz w:val="24"/>
          <w:szCs w:val="24"/>
          <w:u w:val="single"/>
          <w:shd w:val="clear" w:fill="FFFFFF"/>
          <w:lang w:val="en-US" w:eastAsia="zh-CN"/>
        </w:rPr>
        <w:t>00</w:t>
      </w:r>
      <w:r>
        <w:rPr>
          <w:rFonts w:hint="eastAsia" w:ascii="宋体" w:hAnsi="宋体" w:eastAsia="宋体" w:cs="宋体"/>
          <w:i w:val="0"/>
          <w:caps w:val="0"/>
          <w:color w:val="auto"/>
          <w:spacing w:val="0"/>
          <w:sz w:val="24"/>
          <w:szCs w:val="24"/>
          <w:shd w:val="clear" w:fill="FFFFFF"/>
        </w:rPr>
        <w:t>（北京时间）。</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0"/>
        <w:jc w:val="left"/>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shd w:val="clear" w:fill="FFFFFF"/>
        </w:rPr>
        <w:t>5.2、投标文件递交地址(地点)：三亚市政务中心公共资源交易大厅第</w:t>
      </w:r>
      <w:r>
        <w:rPr>
          <w:rFonts w:hint="eastAsia" w:ascii="宋体" w:hAnsi="宋体" w:cs="宋体"/>
          <w:i w:val="0"/>
          <w:caps w:val="0"/>
          <w:color w:val="auto"/>
          <w:spacing w:val="0"/>
          <w:sz w:val="24"/>
          <w:szCs w:val="24"/>
          <w:u w:val="single"/>
          <w:shd w:val="clear" w:fill="FFFFFF"/>
          <w:lang w:val="en-US" w:eastAsia="zh-CN"/>
        </w:rPr>
        <w:t>3</w:t>
      </w:r>
      <w:r>
        <w:rPr>
          <w:rFonts w:hint="eastAsia" w:ascii="宋体" w:hAnsi="宋体" w:eastAsia="宋体" w:cs="宋体"/>
          <w:i w:val="0"/>
          <w:caps w:val="0"/>
          <w:color w:val="auto"/>
          <w:spacing w:val="0"/>
          <w:sz w:val="24"/>
          <w:szCs w:val="24"/>
          <w:shd w:val="clear" w:fill="FFFFFF"/>
        </w:rPr>
        <w:t>开标室。</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0"/>
        <w:jc w:val="left"/>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shd w:val="clear" w:fill="FFFFFF"/>
        </w:rPr>
        <w:t>5.3、开标时间：报名成功后于系统的项目信息中查看。</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0"/>
        <w:jc w:val="left"/>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shd w:val="clear" w:fill="FFFFFF"/>
        </w:rPr>
        <w:t>5.4、开标地点：报名成功后于系统的项目信息中查看。</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0"/>
        <w:jc w:val="left"/>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shd w:val="clear" w:fill="FFFFFF"/>
        </w:rPr>
        <w:t>5.5、保证金到账截止日期：</w:t>
      </w:r>
      <w:r>
        <w:rPr>
          <w:rFonts w:hint="eastAsia" w:ascii="宋体" w:hAnsi="宋体" w:eastAsia="宋体" w:cs="宋体"/>
          <w:i w:val="0"/>
          <w:caps w:val="0"/>
          <w:color w:val="auto"/>
          <w:spacing w:val="0"/>
          <w:sz w:val="24"/>
          <w:szCs w:val="24"/>
          <w:shd w:val="clear" w:fill="FFFFFF"/>
          <w:lang w:val="en-US" w:eastAsia="zh-CN"/>
        </w:rPr>
        <w:t>2019</w:t>
      </w:r>
      <w:r>
        <w:rPr>
          <w:rFonts w:hint="eastAsia" w:ascii="宋体" w:hAnsi="宋体" w:eastAsia="宋体" w:cs="宋体"/>
          <w:i w:val="0"/>
          <w:caps w:val="0"/>
          <w:color w:val="auto"/>
          <w:spacing w:val="0"/>
          <w:sz w:val="24"/>
          <w:szCs w:val="24"/>
          <w:shd w:val="clear" w:fill="FFFFFF"/>
        </w:rPr>
        <w:t>-</w:t>
      </w:r>
      <w:r>
        <w:rPr>
          <w:rFonts w:hint="eastAsia" w:ascii="宋体" w:hAnsi="宋体" w:cs="宋体"/>
          <w:i w:val="0"/>
          <w:caps w:val="0"/>
          <w:color w:val="auto"/>
          <w:spacing w:val="0"/>
          <w:sz w:val="24"/>
          <w:szCs w:val="24"/>
          <w:u w:val="single"/>
          <w:shd w:val="clear" w:fill="FFFFFF"/>
          <w:lang w:val="en-US" w:eastAsia="zh-CN"/>
        </w:rPr>
        <w:t>2</w:t>
      </w:r>
      <w:r>
        <w:rPr>
          <w:rFonts w:hint="eastAsia" w:ascii="宋体" w:hAnsi="宋体" w:eastAsia="宋体" w:cs="宋体"/>
          <w:i w:val="0"/>
          <w:caps w:val="0"/>
          <w:color w:val="auto"/>
          <w:spacing w:val="0"/>
          <w:sz w:val="24"/>
          <w:szCs w:val="24"/>
          <w:shd w:val="clear" w:fill="FFFFFF"/>
        </w:rPr>
        <w:t>-</w:t>
      </w:r>
      <w:r>
        <w:rPr>
          <w:rFonts w:hint="eastAsia" w:ascii="宋体" w:hAnsi="宋体" w:cs="宋体"/>
          <w:i w:val="0"/>
          <w:caps w:val="0"/>
          <w:color w:val="auto"/>
          <w:spacing w:val="0"/>
          <w:sz w:val="24"/>
          <w:szCs w:val="24"/>
          <w:u w:val="single"/>
          <w:shd w:val="clear" w:fill="FFFFFF"/>
          <w:lang w:val="en-US" w:eastAsia="zh-CN"/>
        </w:rPr>
        <w:t>15</w:t>
      </w:r>
      <w:r>
        <w:rPr>
          <w:rFonts w:hint="eastAsia" w:ascii="宋体" w:hAnsi="宋体" w:eastAsia="宋体" w:cs="宋体"/>
          <w:i w:val="0"/>
          <w:caps w:val="0"/>
          <w:color w:val="auto"/>
          <w:spacing w:val="0"/>
          <w:sz w:val="24"/>
          <w:szCs w:val="24"/>
          <w:shd w:val="clear" w:fill="FFFFFF"/>
        </w:rPr>
        <w:t> </w:t>
      </w:r>
      <w:r>
        <w:rPr>
          <w:rFonts w:hint="eastAsia" w:ascii="宋体" w:hAnsi="宋体" w:cs="宋体"/>
          <w:i w:val="0"/>
          <w:caps w:val="0"/>
          <w:color w:val="auto"/>
          <w:spacing w:val="0"/>
          <w:sz w:val="24"/>
          <w:szCs w:val="24"/>
          <w:u w:val="single"/>
          <w:shd w:val="clear" w:fill="FFFFFF"/>
          <w:lang w:val="en-US" w:eastAsia="zh-CN"/>
        </w:rPr>
        <w:t>15</w:t>
      </w:r>
      <w:r>
        <w:rPr>
          <w:rFonts w:hint="eastAsia" w:ascii="宋体" w:hAnsi="宋体" w:eastAsia="宋体" w:cs="宋体"/>
          <w:i w:val="0"/>
          <w:caps w:val="0"/>
          <w:color w:val="auto"/>
          <w:spacing w:val="0"/>
          <w:sz w:val="24"/>
          <w:szCs w:val="24"/>
          <w:shd w:val="clear" w:fill="FFFFFF"/>
        </w:rPr>
        <w:t>:</w:t>
      </w:r>
      <w:r>
        <w:rPr>
          <w:rFonts w:hint="eastAsia" w:ascii="宋体" w:hAnsi="宋体" w:cs="宋体"/>
          <w:i w:val="0"/>
          <w:caps w:val="0"/>
          <w:color w:val="auto"/>
          <w:spacing w:val="0"/>
          <w:sz w:val="24"/>
          <w:szCs w:val="24"/>
          <w:u w:val="single"/>
          <w:shd w:val="clear" w:fill="FFFFFF"/>
          <w:lang w:val="en-US" w:eastAsia="zh-CN"/>
        </w:rPr>
        <w:t>30</w:t>
      </w:r>
      <w:r>
        <w:rPr>
          <w:rFonts w:hint="eastAsia" w:ascii="宋体" w:hAnsi="宋体" w:eastAsia="宋体" w:cs="宋体"/>
          <w:i w:val="0"/>
          <w:caps w:val="0"/>
          <w:color w:val="auto"/>
          <w:spacing w:val="0"/>
          <w:sz w:val="24"/>
          <w:szCs w:val="24"/>
          <w:shd w:val="clear" w:fill="FFFFFF"/>
        </w:rPr>
        <w:t>:</w:t>
      </w:r>
      <w:r>
        <w:rPr>
          <w:rFonts w:hint="eastAsia" w:ascii="宋体" w:hAnsi="宋体" w:cs="宋体"/>
          <w:i w:val="0"/>
          <w:caps w:val="0"/>
          <w:color w:val="auto"/>
          <w:spacing w:val="0"/>
          <w:sz w:val="24"/>
          <w:szCs w:val="24"/>
          <w:u w:val="single"/>
          <w:shd w:val="clear" w:fill="FFFFFF"/>
          <w:lang w:val="en-US" w:eastAsia="zh-CN"/>
        </w:rPr>
        <w:t>00</w:t>
      </w:r>
      <w:r>
        <w:rPr>
          <w:rFonts w:hint="eastAsia" w:ascii="宋体" w:hAnsi="宋体" w:eastAsia="宋体" w:cs="宋体"/>
          <w:i w:val="0"/>
          <w:caps w:val="0"/>
          <w:color w:val="auto"/>
          <w:spacing w:val="0"/>
          <w:sz w:val="24"/>
          <w:szCs w:val="24"/>
          <w:shd w:val="clear" w:fill="FFFFFF"/>
        </w:rPr>
        <w:t>（北京时间）。</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0"/>
        <w:jc w:val="left"/>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shd w:val="clear" w:fill="FFFFFF"/>
        </w:rPr>
        <w:t>5.6、公告发布媒介：中国海南政府采购网:www.ccgp-hainan.gov.cn、全国公共资源交易平台（海南省）•三亚市：http://zw.hainan.gov.cn/ggzy/syggzy/。</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0"/>
        <w:jc w:val="left"/>
        <w:textAlignment w:val="auto"/>
        <w:rPr>
          <w:rFonts w:hint="eastAsia" w:ascii="宋体" w:hAnsi="宋体" w:eastAsia="宋体" w:cs="宋体"/>
          <w:i w:val="0"/>
          <w:caps w:val="0"/>
          <w:color w:val="auto"/>
          <w:spacing w:val="0"/>
          <w:sz w:val="24"/>
          <w:szCs w:val="24"/>
        </w:rPr>
      </w:pPr>
      <w:r>
        <w:rPr>
          <w:rStyle w:val="13"/>
          <w:rFonts w:hint="eastAsia" w:ascii="宋体" w:hAnsi="宋体" w:eastAsia="宋体" w:cs="宋体"/>
          <w:i w:val="0"/>
          <w:caps w:val="0"/>
          <w:color w:val="auto"/>
          <w:spacing w:val="0"/>
          <w:sz w:val="24"/>
          <w:szCs w:val="24"/>
          <w:shd w:val="clear" w:fill="FFFFFF"/>
        </w:rPr>
        <w:t>6. 其他</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0"/>
        <w:jc w:val="left"/>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shd w:val="clear" w:fill="FFFFFF"/>
        </w:rPr>
        <w:t>6.1、必须在海南省市场主体管理系统（http://zw.hainan.gov.cn/ggzy）中注册并备案通过，然后登陆电子招投标系统（http://zw.hainan.gov.cn/htms/login!register.do）下载、购买电子版的招标文件。</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0"/>
        <w:jc w:val="left"/>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shd w:val="clear" w:fill="FFFFFF"/>
        </w:rPr>
        <w:t>6.2、投标截止日期前，非电子标必须在网上上传并保存电子投标文件——PDF格式(使用WinRAR加密压缩)。</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0"/>
        <w:jc w:val="left"/>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shd w:val="clear" w:fill="FFFFFF"/>
        </w:rPr>
        <w:t>6.3、招标文件费用于开标现场缴纳。</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0"/>
        <w:jc w:val="left"/>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shd w:val="clear" w:fill="FFFFFF"/>
        </w:rPr>
        <w:t>6.4、公告期限：</w:t>
      </w:r>
      <w:r>
        <w:rPr>
          <w:rFonts w:hint="eastAsia" w:ascii="宋体" w:hAnsi="宋体" w:eastAsia="宋体" w:cs="宋体"/>
          <w:i w:val="0"/>
          <w:caps w:val="0"/>
          <w:color w:val="auto"/>
          <w:spacing w:val="0"/>
          <w:sz w:val="24"/>
          <w:szCs w:val="24"/>
          <w:shd w:val="clear" w:fill="FFFFFF"/>
          <w:lang w:val="en-US" w:eastAsia="zh-CN"/>
        </w:rPr>
        <w:t>2019</w:t>
      </w:r>
      <w:r>
        <w:rPr>
          <w:rFonts w:hint="eastAsia" w:ascii="宋体" w:hAnsi="宋体" w:eastAsia="宋体" w:cs="宋体"/>
          <w:i w:val="0"/>
          <w:caps w:val="0"/>
          <w:color w:val="auto"/>
          <w:spacing w:val="0"/>
          <w:sz w:val="24"/>
          <w:szCs w:val="24"/>
          <w:shd w:val="clear" w:fill="FFFFFF"/>
        </w:rPr>
        <w:t>-</w:t>
      </w:r>
      <w:r>
        <w:rPr>
          <w:rFonts w:hint="eastAsia" w:ascii="宋体" w:hAnsi="宋体" w:cs="宋体"/>
          <w:i w:val="0"/>
          <w:caps w:val="0"/>
          <w:color w:val="auto"/>
          <w:spacing w:val="0"/>
          <w:sz w:val="24"/>
          <w:szCs w:val="24"/>
          <w:u w:val="single"/>
          <w:shd w:val="clear" w:fill="FFFFFF"/>
          <w:lang w:val="en-US" w:eastAsia="zh-CN"/>
        </w:rPr>
        <w:t>2</w:t>
      </w:r>
      <w:r>
        <w:rPr>
          <w:rFonts w:hint="eastAsia" w:ascii="宋体" w:hAnsi="宋体" w:eastAsia="宋体" w:cs="宋体"/>
          <w:i w:val="0"/>
          <w:caps w:val="0"/>
          <w:color w:val="auto"/>
          <w:spacing w:val="0"/>
          <w:sz w:val="24"/>
          <w:szCs w:val="24"/>
          <w:shd w:val="clear" w:fill="FFFFFF"/>
        </w:rPr>
        <w:t>-</w:t>
      </w:r>
      <w:r>
        <w:rPr>
          <w:rFonts w:hint="eastAsia" w:ascii="宋体" w:hAnsi="宋体" w:cs="宋体"/>
          <w:i w:val="0"/>
          <w:caps w:val="0"/>
          <w:color w:val="auto"/>
          <w:spacing w:val="0"/>
          <w:sz w:val="24"/>
          <w:szCs w:val="24"/>
          <w:u w:val="single"/>
          <w:shd w:val="clear" w:fill="FFFFFF"/>
          <w:lang w:val="en-US" w:eastAsia="zh-CN"/>
        </w:rPr>
        <w:t>11</w:t>
      </w:r>
      <w:r>
        <w:rPr>
          <w:rFonts w:hint="eastAsia" w:ascii="宋体" w:hAnsi="宋体" w:eastAsia="宋体" w:cs="宋体"/>
          <w:i w:val="0"/>
          <w:caps w:val="0"/>
          <w:color w:val="auto"/>
          <w:spacing w:val="0"/>
          <w:sz w:val="24"/>
          <w:szCs w:val="24"/>
          <w:shd w:val="clear" w:fill="FFFFFF"/>
        </w:rPr>
        <w:t> 00:00:00——</w:t>
      </w:r>
      <w:r>
        <w:rPr>
          <w:rFonts w:hint="eastAsia" w:ascii="宋体" w:hAnsi="宋体" w:eastAsia="宋体" w:cs="宋体"/>
          <w:i w:val="0"/>
          <w:caps w:val="0"/>
          <w:color w:val="auto"/>
          <w:spacing w:val="0"/>
          <w:sz w:val="24"/>
          <w:szCs w:val="24"/>
          <w:shd w:val="clear" w:fill="FFFFFF"/>
          <w:lang w:val="en-US" w:eastAsia="zh-CN"/>
        </w:rPr>
        <w:t>2019</w:t>
      </w:r>
      <w:r>
        <w:rPr>
          <w:rFonts w:hint="eastAsia" w:ascii="宋体" w:hAnsi="宋体" w:eastAsia="宋体" w:cs="宋体"/>
          <w:i w:val="0"/>
          <w:caps w:val="0"/>
          <w:color w:val="auto"/>
          <w:spacing w:val="0"/>
          <w:sz w:val="24"/>
          <w:szCs w:val="24"/>
          <w:shd w:val="clear" w:fill="FFFFFF"/>
        </w:rPr>
        <w:t>-</w:t>
      </w:r>
      <w:r>
        <w:rPr>
          <w:rFonts w:hint="eastAsia" w:ascii="宋体" w:hAnsi="宋体" w:cs="宋体"/>
          <w:i w:val="0"/>
          <w:caps w:val="0"/>
          <w:color w:val="auto"/>
          <w:spacing w:val="0"/>
          <w:sz w:val="24"/>
          <w:szCs w:val="24"/>
          <w:u w:val="single"/>
          <w:shd w:val="clear" w:fill="FFFFFF"/>
          <w:lang w:val="en-US" w:eastAsia="zh-CN"/>
        </w:rPr>
        <w:t>2</w:t>
      </w:r>
      <w:r>
        <w:rPr>
          <w:rFonts w:hint="eastAsia" w:ascii="宋体" w:hAnsi="宋体" w:eastAsia="宋体" w:cs="宋体"/>
          <w:i w:val="0"/>
          <w:caps w:val="0"/>
          <w:color w:val="auto"/>
          <w:spacing w:val="0"/>
          <w:sz w:val="24"/>
          <w:szCs w:val="24"/>
          <w:shd w:val="clear" w:fill="FFFFFF"/>
        </w:rPr>
        <w:t>-</w:t>
      </w:r>
      <w:r>
        <w:rPr>
          <w:rFonts w:hint="eastAsia" w:ascii="宋体" w:hAnsi="宋体" w:cs="宋体"/>
          <w:i w:val="0"/>
          <w:caps w:val="0"/>
          <w:color w:val="auto"/>
          <w:spacing w:val="0"/>
          <w:sz w:val="24"/>
          <w:szCs w:val="24"/>
          <w:u w:val="single"/>
          <w:shd w:val="clear" w:fill="FFFFFF"/>
          <w:lang w:val="en-US" w:eastAsia="zh-CN"/>
        </w:rPr>
        <w:t>14</w:t>
      </w:r>
      <w:r>
        <w:rPr>
          <w:rFonts w:hint="eastAsia" w:ascii="宋体" w:hAnsi="宋体" w:eastAsia="宋体" w:cs="宋体"/>
          <w:i w:val="0"/>
          <w:caps w:val="0"/>
          <w:color w:val="auto"/>
          <w:spacing w:val="0"/>
          <w:sz w:val="24"/>
          <w:szCs w:val="24"/>
          <w:shd w:val="clear" w:fill="FFFFFF"/>
        </w:rPr>
        <w:t> 00:00:00。</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0"/>
        <w:jc w:val="left"/>
        <w:textAlignment w:val="auto"/>
        <w:rPr>
          <w:rFonts w:hint="eastAsia" w:ascii="宋体" w:hAnsi="宋体" w:eastAsia="宋体" w:cs="宋体"/>
          <w:i w:val="0"/>
          <w:caps w:val="0"/>
          <w:color w:val="auto"/>
          <w:spacing w:val="0"/>
          <w:sz w:val="24"/>
          <w:szCs w:val="24"/>
        </w:rPr>
      </w:pPr>
      <w:r>
        <w:rPr>
          <w:rStyle w:val="13"/>
          <w:rFonts w:hint="eastAsia" w:ascii="宋体" w:hAnsi="宋体" w:eastAsia="宋体" w:cs="宋体"/>
          <w:i w:val="0"/>
          <w:caps w:val="0"/>
          <w:color w:val="auto"/>
          <w:spacing w:val="0"/>
          <w:sz w:val="24"/>
          <w:szCs w:val="24"/>
          <w:shd w:val="clear" w:fill="FFFFFF"/>
        </w:rPr>
        <w:t>7. 联系方式</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0"/>
        <w:jc w:val="left"/>
        <w:textAlignment w:val="auto"/>
        <w:rPr>
          <w:rFonts w:hint="eastAsia" w:ascii="宋体" w:hAnsi="宋体" w:eastAsia="宋体" w:cs="宋体"/>
          <w:i w:val="0"/>
          <w:caps w:val="0"/>
          <w:color w:val="auto"/>
          <w:spacing w:val="0"/>
          <w:sz w:val="24"/>
          <w:szCs w:val="24"/>
          <w:lang w:eastAsia="zh-CN"/>
        </w:rPr>
      </w:pPr>
      <w:r>
        <w:rPr>
          <w:rFonts w:hint="eastAsia" w:ascii="宋体" w:hAnsi="宋体" w:eastAsia="宋体" w:cs="宋体"/>
          <w:i w:val="0"/>
          <w:caps w:val="0"/>
          <w:color w:val="auto"/>
          <w:spacing w:val="0"/>
          <w:sz w:val="24"/>
          <w:szCs w:val="24"/>
          <w:shd w:val="clear" w:fill="FFFFFF"/>
        </w:rPr>
        <w:t>采   购  人：</w:t>
      </w:r>
      <w:r>
        <w:rPr>
          <w:rFonts w:hint="eastAsia" w:ascii="宋体" w:hAnsi="宋体" w:eastAsia="宋体" w:cs="宋体"/>
          <w:i w:val="0"/>
          <w:caps w:val="0"/>
          <w:color w:val="auto"/>
          <w:spacing w:val="0"/>
          <w:sz w:val="24"/>
          <w:szCs w:val="24"/>
          <w:shd w:val="clear" w:fill="FFFFFF"/>
          <w:lang w:eastAsia="zh-CN"/>
        </w:rPr>
        <w:t>三亚市消防支队</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0"/>
        <w:jc w:val="left"/>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shd w:val="clear" w:fill="FFFFFF"/>
        </w:rPr>
        <w:t>地     址：海南省三亚市凤凰路133号消防指挥中心</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0"/>
        <w:jc w:val="left"/>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shd w:val="clear" w:fill="FFFFFF"/>
        </w:rPr>
        <w:t>联   系  人：刘楚权</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0"/>
        <w:jc w:val="left"/>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shd w:val="clear" w:fill="FFFFFF"/>
        </w:rPr>
        <w:t>电     话：18889717429</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0"/>
        <w:jc w:val="left"/>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shd w:val="clear" w:fill="FFFFFF"/>
        </w:rPr>
        <w:t> </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0"/>
        <w:jc w:val="left"/>
        <w:textAlignment w:val="auto"/>
        <w:rPr>
          <w:rFonts w:hint="eastAsia" w:ascii="宋体" w:hAnsi="宋体" w:eastAsia="宋体" w:cs="宋体"/>
          <w:i w:val="0"/>
          <w:caps w:val="0"/>
          <w:color w:val="auto"/>
          <w:spacing w:val="0"/>
          <w:sz w:val="24"/>
          <w:szCs w:val="24"/>
          <w:lang w:eastAsia="zh-CN"/>
        </w:rPr>
      </w:pPr>
      <w:r>
        <w:rPr>
          <w:rFonts w:hint="eastAsia" w:ascii="宋体" w:hAnsi="宋体" w:eastAsia="宋体" w:cs="宋体"/>
          <w:i w:val="0"/>
          <w:caps w:val="0"/>
          <w:color w:val="auto"/>
          <w:spacing w:val="0"/>
          <w:sz w:val="24"/>
          <w:szCs w:val="24"/>
          <w:shd w:val="clear" w:fill="FFFFFF"/>
        </w:rPr>
        <w:t xml:space="preserve">代理 机 构: </w:t>
      </w:r>
      <w:r>
        <w:rPr>
          <w:rFonts w:hint="eastAsia" w:ascii="宋体" w:hAnsi="宋体" w:eastAsia="宋体" w:cs="宋体"/>
          <w:i w:val="0"/>
          <w:caps w:val="0"/>
          <w:color w:val="auto"/>
          <w:spacing w:val="0"/>
          <w:sz w:val="24"/>
          <w:szCs w:val="24"/>
          <w:shd w:val="clear" w:fill="FFFFFF"/>
          <w:lang w:eastAsia="zh-CN"/>
        </w:rPr>
        <w:t>红城国际工程项目管理有限公司</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0"/>
        <w:jc w:val="left"/>
        <w:textAlignment w:val="auto"/>
        <w:rPr>
          <w:rFonts w:hint="eastAsia" w:ascii="宋体" w:hAnsi="宋体" w:eastAsia="宋体" w:cs="宋体"/>
          <w:i w:val="0"/>
          <w:caps w:val="0"/>
          <w:color w:val="auto"/>
          <w:spacing w:val="0"/>
          <w:sz w:val="24"/>
          <w:szCs w:val="24"/>
          <w:shd w:val="clear" w:fill="FFFFFF"/>
        </w:rPr>
      </w:pPr>
      <w:r>
        <w:rPr>
          <w:rFonts w:hint="eastAsia" w:ascii="宋体" w:hAnsi="宋体" w:eastAsia="宋体" w:cs="宋体"/>
          <w:i w:val="0"/>
          <w:caps w:val="0"/>
          <w:color w:val="auto"/>
          <w:spacing w:val="0"/>
          <w:sz w:val="24"/>
          <w:szCs w:val="24"/>
          <w:shd w:val="clear" w:fill="FFFFFF"/>
        </w:rPr>
        <w:t>地  </w:t>
      </w:r>
      <w:r>
        <w:rPr>
          <w:rFonts w:hint="eastAsia" w:ascii="宋体" w:hAnsi="宋体" w:eastAsia="宋体" w:cs="宋体"/>
          <w:i w:val="0"/>
          <w:caps w:val="0"/>
          <w:color w:val="auto"/>
          <w:spacing w:val="0"/>
          <w:sz w:val="24"/>
          <w:szCs w:val="24"/>
          <w:shd w:val="clear" w:fill="FFFFFF"/>
          <w:lang w:val="en-US" w:eastAsia="zh-CN"/>
        </w:rPr>
        <w:t xml:space="preserve"> </w:t>
      </w:r>
      <w:r>
        <w:rPr>
          <w:rFonts w:hint="eastAsia" w:ascii="宋体" w:hAnsi="宋体" w:eastAsia="宋体" w:cs="宋体"/>
          <w:i w:val="0"/>
          <w:caps w:val="0"/>
          <w:color w:val="auto"/>
          <w:spacing w:val="0"/>
          <w:sz w:val="24"/>
          <w:szCs w:val="24"/>
          <w:shd w:val="clear" w:fill="FFFFFF"/>
        </w:rPr>
        <w:t xml:space="preserve"> 址:海口市龙华区玉沙路中盐大厦31楼A1室</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0"/>
        <w:jc w:val="left"/>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shd w:val="clear" w:fill="FFFFFF"/>
        </w:rPr>
        <w:t>邮政 编 码: 572000</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0"/>
        <w:jc w:val="left"/>
        <w:textAlignment w:val="auto"/>
        <w:rPr>
          <w:rFonts w:hint="eastAsia" w:ascii="宋体" w:hAnsi="宋体" w:eastAsia="宋体" w:cs="宋体"/>
          <w:i w:val="0"/>
          <w:caps w:val="0"/>
          <w:color w:val="auto"/>
          <w:spacing w:val="0"/>
          <w:sz w:val="24"/>
          <w:szCs w:val="24"/>
          <w:shd w:val="clear" w:fill="FFFFFF"/>
        </w:rPr>
      </w:pPr>
      <w:r>
        <w:rPr>
          <w:rFonts w:hint="eastAsia" w:ascii="宋体" w:hAnsi="宋体" w:eastAsia="宋体" w:cs="宋体"/>
          <w:i w:val="0"/>
          <w:caps w:val="0"/>
          <w:color w:val="auto"/>
          <w:spacing w:val="0"/>
          <w:sz w:val="24"/>
          <w:szCs w:val="24"/>
          <w:shd w:val="clear" w:fill="FFFFFF"/>
        </w:rPr>
        <w:t>联   系  人: 王曼</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0"/>
        <w:jc w:val="left"/>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shd w:val="clear" w:fill="FFFFFF"/>
        </w:rPr>
        <w:t>联系 电 话: 17784670871</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0"/>
        <w:jc w:val="right"/>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shd w:val="clear" w:fill="FFFFFF"/>
        </w:rPr>
        <w:t> </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0"/>
        <w:jc w:val="right"/>
        <w:textAlignment w:val="auto"/>
        <w:rPr>
          <w:rFonts w:hint="eastAsia" w:ascii="宋体" w:hAnsi="宋体" w:eastAsia="宋体" w:cs="宋体"/>
          <w:i w:val="0"/>
          <w:caps w:val="0"/>
          <w:color w:val="auto"/>
          <w:spacing w:val="0"/>
          <w:sz w:val="24"/>
          <w:szCs w:val="24"/>
          <w:lang w:eastAsia="zh-CN"/>
        </w:rPr>
      </w:pPr>
      <w:r>
        <w:rPr>
          <w:rFonts w:hint="eastAsia" w:ascii="宋体" w:hAnsi="宋体" w:eastAsia="宋体" w:cs="宋体"/>
          <w:i w:val="0"/>
          <w:caps w:val="0"/>
          <w:color w:val="auto"/>
          <w:spacing w:val="0"/>
          <w:sz w:val="24"/>
          <w:szCs w:val="24"/>
          <w:shd w:val="clear" w:fill="FFFFFF"/>
          <w:lang w:eastAsia="zh-CN"/>
        </w:rPr>
        <w:t>红城国际工程项目管理有限公司</w:t>
      </w:r>
    </w:p>
    <w:p>
      <w:pPr>
        <w:spacing w:line="360" w:lineRule="auto"/>
        <w:jc w:val="right"/>
        <w:rPr>
          <w:rFonts w:ascii="宋体" w:cs="宋体"/>
          <w:color w:val="auto"/>
          <w:kern w:val="1"/>
        </w:rPr>
      </w:pPr>
      <w:r>
        <w:rPr>
          <w:rFonts w:hint="eastAsia" w:ascii="宋体" w:hAnsi="宋体" w:cs="宋体"/>
          <w:i w:val="0"/>
          <w:caps w:val="0"/>
          <w:color w:val="auto"/>
          <w:spacing w:val="0"/>
          <w:sz w:val="24"/>
          <w:szCs w:val="24"/>
          <w:shd w:val="clear" w:fill="FFFFFF"/>
          <w:lang w:val="en-US" w:eastAsia="zh-CN"/>
        </w:rPr>
        <w:t>2019</w:t>
      </w:r>
      <w:r>
        <w:rPr>
          <w:rFonts w:hint="eastAsia" w:ascii="宋体" w:hAnsi="宋体" w:eastAsia="宋体" w:cs="宋体"/>
          <w:i w:val="0"/>
          <w:caps w:val="0"/>
          <w:color w:val="auto"/>
          <w:spacing w:val="0"/>
          <w:sz w:val="24"/>
          <w:szCs w:val="24"/>
          <w:shd w:val="clear" w:fill="FFFFFF"/>
        </w:rPr>
        <w:t>年</w:t>
      </w:r>
      <w:r>
        <w:rPr>
          <w:rFonts w:hint="eastAsia" w:ascii="宋体" w:hAnsi="宋体" w:cs="宋体"/>
          <w:i w:val="0"/>
          <w:caps w:val="0"/>
          <w:color w:val="auto"/>
          <w:spacing w:val="0"/>
          <w:sz w:val="24"/>
          <w:szCs w:val="24"/>
          <w:shd w:val="clear" w:fill="FFFFFF"/>
          <w:lang w:val="en-US" w:eastAsia="zh-CN"/>
        </w:rPr>
        <w:t>2</w:t>
      </w:r>
      <w:r>
        <w:rPr>
          <w:rFonts w:hint="eastAsia" w:ascii="宋体" w:hAnsi="宋体" w:eastAsia="宋体" w:cs="宋体"/>
          <w:i w:val="0"/>
          <w:caps w:val="0"/>
          <w:color w:val="auto"/>
          <w:spacing w:val="0"/>
          <w:sz w:val="24"/>
          <w:szCs w:val="24"/>
          <w:shd w:val="clear" w:fill="FFFFFF"/>
        </w:rPr>
        <w:t>月</w:t>
      </w:r>
      <w:r>
        <w:rPr>
          <w:rFonts w:hint="eastAsia" w:ascii="宋体" w:hAnsi="宋体" w:cs="宋体"/>
          <w:i w:val="0"/>
          <w:caps w:val="0"/>
          <w:color w:val="auto"/>
          <w:spacing w:val="0"/>
          <w:sz w:val="24"/>
          <w:szCs w:val="24"/>
          <w:shd w:val="clear" w:fill="FFFFFF"/>
          <w:lang w:val="en-US" w:eastAsia="zh-CN"/>
        </w:rPr>
        <w:t>11</w:t>
      </w:r>
      <w:r>
        <w:rPr>
          <w:rFonts w:hint="eastAsia" w:ascii="宋体" w:hAnsi="宋体" w:eastAsia="宋体" w:cs="宋体"/>
          <w:i w:val="0"/>
          <w:caps w:val="0"/>
          <w:color w:val="auto"/>
          <w:spacing w:val="0"/>
          <w:sz w:val="24"/>
          <w:szCs w:val="24"/>
          <w:shd w:val="clear" w:fill="FFFFFF"/>
        </w:rPr>
        <w:t>日</w:t>
      </w:r>
    </w:p>
    <w:p>
      <w:pPr>
        <w:spacing w:line="360" w:lineRule="auto"/>
        <w:rPr>
          <w:rFonts w:ascii="宋体" w:cs="宋体"/>
          <w:color w:val="auto"/>
        </w:rPr>
        <w:sectPr>
          <w:footerReference r:id="rId4" w:type="default"/>
          <w:endnotePr>
            <w:numFmt w:val="decimal"/>
          </w:endnotePr>
          <w:pgSz w:w="11906" w:h="16838"/>
          <w:pgMar w:top="1440" w:right="1800" w:bottom="312" w:left="1800" w:header="851" w:footer="992" w:gutter="0"/>
          <w:pgNumType w:fmt="numberInDash" w:start="1"/>
          <w:cols w:space="720" w:num="1"/>
        </w:sectPr>
      </w:pPr>
    </w:p>
    <w:p>
      <w:pPr>
        <w:pStyle w:val="9"/>
        <w:pBdr>
          <w:top w:val="none" w:color="auto" w:sz="0" w:space="0"/>
          <w:left w:val="none" w:color="auto" w:sz="0" w:space="0"/>
          <w:bottom w:val="none" w:color="auto" w:sz="0" w:space="0"/>
          <w:right w:val="none" w:color="auto" w:sz="0" w:space="0"/>
          <w:between w:val="none" w:color="auto" w:sz="0" w:space="0"/>
        </w:pBdr>
        <w:outlineLvl w:val="0"/>
        <w:rPr>
          <w:rFonts w:ascii="Times New Roman" w:hAnsi="Times New Roman"/>
          <w:b/>
          <w:color w:val="auto"/>
          <w:sz w:val="32"/>
          <w:szCs w:val="32"/>
        </w:rPr>
      </w:pPr>
      <w:bookmarkStart w:id="3" w:name="_Toc510949581"/>
      <w:bookmarkEnd w:id="3"/>
      <w:bookmarkStart w:id="4" w:name="_Toc21483"/>
      <w:r>
        <w:rPr>
          <w:rFonts w:hint="eastAsia" w:ascii="Times New Roman" w:hAnsi="Times New Roman"/>
          <w:b/>
          <w:color w:val="auto"/>
          <w:sz w:val="32"/>
          <w:szCs w:val="32"/>
        </w:rPr>
        <w:t>第二章询价须知</w:t>
      </w:r>
      <w:bookmarkEnd w:id="4"/>
    </w:p>
    <w:p>
      <w:pPr>
        <w:spacing w:line="360" w:lineRule="auto"/>
        <w:rPr>
          <w:rFonts w:ascii="宋体" w:cs="宋体"/>
          <w:bCs/>
          <w:color w:val="auto"/>
        </w:rPr>
      </w:pPr>
      <w:r>
        <w:rPr>
          <w:rFonts w:ascii="宋体" w:hAnsi="宋体" w:cs="宋体"/>
          <w:bCs/>
          <w:color w:val="auto"/>
        </w:rPr>
        <w:t>1</w:t>
      </w:r>
      <w:r>
        <w:rPr>
          <w:rFonts w:hint="eastAsia" w:ascii="宋体" w:hAnsi="宋体" w:cs="宋体"/>
          <w:bCs/>
          <w:color w:val="auto"/>
        </w:rPr>
        <w:t>、适用范围</w:t>
      </w:r>
    </w:p>
    <w:p>
      <w:pPr>
        <w:tabs>
          <w:tab w:val="left" w:pos="7665"/>
        </w:tabs>
        <w:spacing w:line="360" w:lineRule="auto"/>
        <w:jc w:val="both"/>
        <w:rPr>
          <w:rFonts w:ascii="宋体" w:cs="宋体"/>
          <w:color w:val="auto"/>
        </w:rPr>
      </w:pPr>
      <w:r>
        <w:rPr>
          <w:rFonts w:ascii="宋体" w:hAnsi="宋体" w:cs="宋体"/>
          <w:color w:val="auto"/>
        </w:rPr>
        <w:t>1.1</w:t>
      </w:r>
      <w:r>
        <w:rPr>
          <w:rFonts w:hint="eastAsia" w:ascii="宋体" w:hAnsi="宋体" w:cs="宋体"/>
          <w:color w:val="auto"/>
        </w:rPr>
        <w:t>本询价文件仅适用于本询价中所叙述项目的货物采购。</w:t>
      </w:r>
    </w:p>
    <w:p>
      <w:pPr>
        <w:tabs>
          <w:tab w:val="left" w:pos="7665"/>
        </w:tabs>
        <w:spacing w:line="360" w:lineRule="auto"/>
        <w:rPr>
          <w:rFonts w:ascii="宋体" w:cs="宋体"/>
          <w:color w:val="auto"/>
        </w:rPr>
      </w:pPr>
      <w:r>
        <w:rPr>
          <w:rFonts w:ascii="宋体" w:hAnsi="宋体" w:cs="宋体"/>
          <w:color w:val="auto"/>
        </w:rPr>
        <w:t>2</w:t>
      </w:r>
      <w:r>
        <w:rPr>
          <w:rFonts w:hint="eastAsia" w:ascii="宋体" w:hAnsi="宋体" w:cs="宋体"/>
          <w:color w:val="auto"/>
        </w:rPr>
        <w:t>、有关定义及相应职责</w:t>
      </w:r>
    </w:p>
    <w:p>
      <w:pPr>
        <w:tabs>
          <w:tab w:val="left" w:pos="7665"/>
        </w:tabs>
        <w:spacing w:line="360" w:lineRule="auto"/>
        <w:ind w:firstLine="480" w:firstLineChars="200"/>
        <w:rPr>
          <w:rFonts w:ascii="宋体" w:cs="宋体"/>
          <w:color w:val="auto"/>
        </w:rPr>
      </w:pPr>
      <w:r>
        <w:rPr>
          <w:rFonts w:ascii="宋体" w:hAnsi="宋体" w:cs="宋体"/>
          <w:color w:val="auto"/>
        </w:rPr>
        <w:t xml:space="preserve">2.1 </w:t>
      </w:r>
      <w:r>
        <w:rPr>
          <w:rFonts w:hint="eastAsia" w:ascii="宋体" w:hAnsi="宋体" w:cs="宋体"/>
          <w:color w:val="auto"/>
        </w:rPr>
        <w:t>“采购人”系指依法进行政府采购的国家机关、事业单位、团体组织。本次</w:t>
      </w:r>
      <w:r>
        <w:rPr>
          <w:rFonts w:hint="eastAsia" w:ascii="宋体" w:hAnsi="宋体" w:cs="宋体"/>
          <w:bCs/>
          <w:color w:val="auto"/>
          <w:lang w:val="en-GB"/>
        </w:rPr>
        <w:t>询价的</w:t>
      </w:r>
      <w:r>
        <w:rPr>
          <w:rFonts w:hint="eastAsia" w:ascii="宋体" w:hAnsi="宋体" w:cs="宋体"/>
          <w:color w:val="auto"/>
        </w:rPr>
        <w:t>采购人是</w:t>
      </w:r>
      <w:r>
        <w:rPr>
          <w:rFonts w:hint="eastAsia" w:ascii="宋体" w:hAnsi="宋体" w:cs="宋体"/>
          <w:bCs/>
          <w:color w:val="auto"/>
        </w:rPr>
        <w:t>三亚市消防支队</w:t>
      </w:r>
      <w:r>
        <w:rPr>
          <w:rFonts w:hint="eastAsia" w:ascii="宋体" w:hAnsi="宋体" w:cs="宋体"/>
          <w:color w:val="auto"/>
        </w:rPr>
        <w:t>。</w:t>
      </w:r>
    </w:p>
    <w:p>
      <w:pPr>
        <w:tabs>
          <w:tab w:val="left" w:pos="7665"/>
        </w:tabs>
        <w:spacing w:line="360" w:lineRule="auto"/>
        <w:ind w:firstLine="480" w:firstLineChars="200"/>
        <w:rPr>
          <w:rFonts w:ascii="宋体" w:cs="宋体"/>
          <w:color w:val="auto"/>
        </w:rPr>
      </w:pPr>
      <w:r>
        <w:rPr>
          <w:rFonts w:ascii="宋体" w:hAnsi="宋体" w:cs="宋体"/>
          <w:color w:val="auto"/>
        </w:rPr>
        <w:t xml:space="preserve">2.2 </w:t>
      </w:r>
      <w:r>
        <w:rPr>
          <w:rFonts w:hint="eastAsia" w:ascii="宋体" w:hAnsi="宋体" w:cs="宋体"/>
          <w:color w:val="auto"/>
        </w:rPr>
        <w:t>“采购代理机构”系指受采购人的委托依法办理</w:t>
      </w:r>
      <w:r>
        <w:rPr>
          <w:rFonts w:hint="eastAsia" w:ascii="宋体" w:hAnsi="宋体" w:cs="宋体"/>
          <w:bCs/>
          <w:color w:val="auto"/>
          <w:lang w:val="en-GB"/>
        </w:rPr>
        <w:t>询价</w:t>
      </w:r>
      <w:r>
        <w:rPr>
          <w:rFonts w:hint="eastAsia" w:ascii="宋体" w:hAnsi="宋体" w:cs="宋体"/>
          <w:color w:val="auto"/>
        </w:rPr>
        <w:t>事宜的机构。本次</w:t>
      </w:r>
      <w:r>
        <w:rPr>
          <w:rFonts w:hint="eastAsia" w:ascii="宋体" w:hAnsi="宋体" w:cs="宋体"/>
          <w:bCs/>
          <w:color w:val="auto"/>
          <w:lang w:val="en-GB"/>
        </w:rPr>
        <w:t>询价</w:t>
      </w:r>
      <w:r>
        <w:rPr>
          <w:rFonts w:hint="eastAsia" w:ascii="宋体" w:hAnsi="宋体" w:cs="宋体"/>
          <w:color w:val="auto"/>
        </w:rPr>
        <w:t>的采购代理机构是</w:t>
      </w:r>
      <w:r>
        <w:rPr>
          <w:rFonts w:hint="eastAsia" w:ascii="宋体" w:hAnsi="宋体" w:cs="宋体"/>
          <w:bCs/>
          <w:color w:val="auto"/>
        </w:rPr>
        <w:t>红城国际工程项目管理有限公司</w:t>
      </w:r>
      <w:r>
        <w:rPr>
          <w:rFonts w:hint="eastAsia" w:ascii="宋体" w:hAnsi="宋体" w:cs="宋体"/>
          <w:color w:val="auto"/>
        </w:rPr>
        <w:t>。</w:t>
      </w:r>
    </w:p>
    <w:p>
      <w:pPr>
        <w:tabs>
          <w:tab w:val="left" w:pos="7665"/>
        </w:tabs>
        <w:spacing w:line="360" w:lineRule="auto"/>
        <w:ind w:firstLine="480" w:firstLineChars="200"/>
        <w:rPr>
          <w:rFonts w:ascii="宋体" w:cs="宋体"/>
          <w:color w:val="auto"/>
        </w:rPr>
      </w:pPr>
      <w:r>
        <w:rPr>
          <w:rFonts w:ascii="宋体" w:hAnsi="宋体" w:cs="宋体"/>
          <w:color w:val="auto"/>
        </w:rPr>
        <w:t xml:space="preserve">2.3 </w:t>
      </w:r>
      <w:r>
        <w:rPr>
          <w:rFonts w:hint="eastAsia" w:ascii="宋体" w:hAnsi="宋体" w:cs="宋体"/>
          <w:color w:val="auto"/>
        </w:rPr>
        <w:t>“供应商”系指实名购买</w:t>
      </w:r>
      <w:r>
        <w:rPr>
          <w:rFonts w:hint="eastAsia" w:ascii="宋体" w:hAnsi="宋体" w:cs="宋体"/>
          <w:bCs/>
          <w:color w:val="auto"/>
          <w:lang w:val="en-GB"/>
        </w:rPr>
        <w:t>询价文件</w:t>
      </w:r>
      <w:r>
        <w:rPr>
          <w:rFonts w:hint="eastAsia" w:ascii="宋体" w:hAnsi="宋体" w:cs="宋体"/>
          <w:color w:val="auto"/>
        </w:rPr>
        <w:t>拟递交响应文件和拟向采购人提供货物及相应服务的供应商。其职责如下：</w:t>
      </w:r>
    </w:p>
    <w:p>
      <w:pPr>
        <w:tabs>
          <w:tab w:val="left" w:pos="7665"/>
        </w:tabs>
        <w:spacing w:line="360" w:lineRule="auto"/>
        <w:ind w:firstLine="480" w:firstLineChars="200"/>
        <w:rPr>
          <w:rFonts w:ascii="宋体" w:cs="宋体"/>
          <w:color w:val="auto"/>
        </w:rPr>
      </w:pPr>
      <w:r>
        <w:rPr>
          <w:rFonts w:ascii="宋体" w:hAnsi="宋体" w:cs="宋体"/>
          <w:color w:val="auto"/>
        </w:rPr>
        <w:t xml:space="preserve">2.3.1 </w:t>
      </w:r>
      <w:r>
        <w:rPr>
          <w:rFonts w:hint="eastAsia" w:ascii="宋体" w:hAnsi="宋体" w:cs="宋体"/>
          <w:color w:val="auto"/>
        </w:rPr>
        <w:t>对</w:t>
      </w:r>
      <w:r>
        <w:rPr>
          <w:rFonts w:hint="eastAsia" w:ascii="宋体" w:hAnsi="宋体" w:cs="宋体"/>
          <w:bCs/>
          <w:color w:val="auto"/>
          <w:lang w:val="en-GB"/>
        </w:rPr>
        <w:t>询价文件</w:t>
      </w:r>
      <w:r>
        <w:rPr>
          <w:rFonts w:hint="eastAsia" w:ascii="宋体" w:hAnsi="宋体" w:cs="宋体"/>
          <w:color w:val="auto"/>
        </w:rPr>
        <w:t>错、漏之处提出澄清、说明要求或质疑；</w:t>
      </w:r>
    </w:p>
    <w:p>
      <w:pPr>
        <w:tabs>
          <w:tab w:val="left" w:pos="3060"/>
        </w:tabs>
        <w:spacing w:line="360" w:lineRule="auto"/>
        <w:ind w:firstLine="480" w:firstLineChars="200"/>
        <w:rPr>
          <w:rFonts w:ascii="宋体" w:cs="宋体"/>
          <w:color w:val="auto"/>
        </w:rPr>
      </w:pPr>
      <w:r>
        <w:rPr>
          <w:rFonts w:ascii="宋体" w:hAnsi="宋体" w:cs="宋体"/>
          <w:color w:val="auto"/>
        </w:rPr>
        <w:t xml:space="preserve">2.3.2 </w:t>
      </w:r>
      <w:r>
        <w:rPr>
          <w:rFonts w:hint="eastAsia" w:ascii="宋体" w:hAnsi="宋体" w:cs="宋体"/>
          <w:color w:val="auto"/>
        </w:rPr>
        <w:t>按要求缴纳响应保证金；</w:t>
      </w:r>
    </w:p>
    <w:p>
      <w:pPr>
        <w:tabs>
          <w:tab w:val="left" w:pos="3060"/>
        </w:tabs>
        <w:spacing w:line="360" w:lineRule="auto"/>
        <w:ind w:firstLine="480" w:firstLineChars="200"/>
        <w:rPr>
          <w:rFonts w:ascii="宋体" w:cs="宋体"/>
          <w:color w:val="auto"/>
        </w:rPr>
      </w:pPr>
      <w:r>
        <w:rPr>
          <w:rFonts w:ascii="宋体" w:hAnsi="宋体" w:cs="宋体"/>
          <w:color w:val="auto"/>
        </w:rPr>
        <w:t xml:space="preserve">2.3.3 </w:t>
      </w:r>
      <w:r>
        <w:rPr>
          <w:rFonts w:hint="eastAsia" w:ascii="宋体" w:hAnsi="宋体" w:cs="宋体"/>
          <w:color w:val="auto"/>
        </w:rPr>
        <w:t>按要求编制响应文件；</w:t>
      </w:r>
    </w:p>
    <w:p>
      <w:pPr>
        <w:tabs>
          <w:tab w:val="left" w:pos="3060"/>
        </w:tabs>
        <w:spacing w:line="360" w:lineRule="auto"/>
        <w:ind w:firstLine="480" w:firstLineChars="200"/>
        <w:rPr>
          <w:rFonts w:ascii="宋体" w:cs="宋体"/>
          <w:color w:val="auto"/>
        </w:rPr>
      </w:pPr>
      <w:r>
        <w:rPr>
          <w:rFonts w:ascii="宋体" w:hAnsi="宋体" w:cs="宋体"/>
          <w:color w:val="auto"/>
        </w:rPr>
        <w:t xml:space="preserve">2.3.4 </w:t>
      </w:r>
      <w:r>
        <w:rPr>
          <w:rFonts w:hint="eastAsia" w:ascii="宋体" w:hAnsi="宋体" w:cs="宋体"/>
          <w:color w:val="auto"/>
        </w:rPr>
        <w:t>派授权代表递交响应文件，参加响应文件开启活动，对询价小组就响应文件提出的问题进行澄清；“授权代表”系指在询价过程中代表供应商处理询价响应事宜的人员，包括供应商法定代表人或负责人及取得授权的供应商人员；</w:t>
      </w:r>
    </w:p>
    <w:p>
      <w:pPr>
        <w:tabs>
          <w:tab w:val="left" w:pos="3060"/>
        </w:tabs>
        <w:spacing w:line="360" w:lineRule="auto"/>
        <w:ind w:firstLine="480" w:firstLineChars="200"/>
        <w:rPr>
          <w:rFonts w:ascii="宋体" w:cs="宋体"/>
          <w:color w:val="auto"/>
        </w:rPr>
      </w:pPr>
      <w:r>
        <w:rPr>
          <w:rFonts w:ascii="宋体" w:hAnsi="宋体" w:cs="宋体"/>
          <w:color w:val="auto"/>
        </w:rPr>
        <w:t xml:space="preserve">2.3.5 </w:t>
      </w:r>
      <w:r>
        <w:rPr>
          <w:rFonts w:hint="eastAsia" w:ascii="宋体" w:hAnsi="宋体" w:cs="宋体"/>
          <w:color w:val="auto"/>
        </w:rPr>
        <w:t>配合相关职能部门就</w:t>
      </w:r>
      <w:r>
        <w:rPr>
          <w:rFonts w:hint="eastAsia" w:ascii="宋体" w:hAnsi="宋体" w:cs="宋体"/>
          <w:bCs/>
          <w:color w:val="auto"/>
          <w:lang w:val="en-GB"/>
        </w:rPr>
        <w:t>询价采购</w:t>
      </w:r>
      <w:r>
        <w:rPr>
          <w:rFonts w:hint="eastAsia" w:ascii="宋体" w:hAnsi="宋体" w:cs="宋体"/>
          <w:color w:val="auto"/>
        </w:rPr>
        <w:t>项目的质疑、投诉和举报的处理工作；</w:t>
      </w:r>
    </w:p>
    <w:p>
      <w:pPr>
        <w:tabs>
          <w:tab w:val="left" w:pos="3060"/>
        </w:tabs>
        <w:spacing w:line="360" w:lineRule="auto"/>
        <w:ind w:firstLine="480" w:firstLineChars="200"/>
        <w:rPr>
          <w:rFonts w:ascii="宋体" w:cs="宋体"/>
          <w:color w:val="auto"/>
        </w:rPr>
      </w:pPr>
      <w:r>
        <w:rPr>
          <w:rFonts w:ascii="宋体" w:hAnsi="宋体" w:cs="宋体"/>
          <w:color w:val="auto"/>
        </w:rPr>
        <w:t xml:space="preserve">2.3.6 </w:t>
      </w:r>
      <w:r>
        <w:rPr>
          <w:rFonts w:hint="eastAsia" w:ascii="宋体" w:hAnsi="宋体" w:cs="宋体"/>
          <w:color w:val="auto"/>
        </w:rPr>
        <w:t>与采购人签订采购合同，按照合同规定向采购人提供货物或服务；</w:t>
      </w:r>
    </w:p>
    <w:p>
      <w:pPr>
        <w:tabs>
          <w:tab w:val="left" w:pos="7665"/>
        </w:tabs>
        <w:spacing w:line="360" w:lineRule="auto"/>
        <w:ind w:firstLine="480" w:firstLineChars="200"/>
        <w:rPr>
          <w:rFonts w:ascii="宋体" w:cs="宋体"/>
          <w:bCs/>
          <w:color w:val="auto"/>
        </w:rPr>
      </w:pPr>
      <w:r>
        <w:rPr>
          <w:rFonts w:ascii="宋体" w:hAnsi="宋体" w:cs="宋体"/>
          <w:bCs/>
          <w:color w:val="auto"/>
        </w:rPr>
        <w:t xml:space="preserve">2.3.7 </w:t>
      </w:r>
      <w:r>
        <w:rPr>
          <w:rFonts w:hint="eastAsia" w:ascii="宋体" w:hAnsi="宋体" w:cs="宋体"/>
          <w:bCs/>
          <w:color w:val="auto"/>
        </w:rPr>
        <w:t>单位负责人为同一人或者存在控股、管理关系的不同单位，不得参加同一标段投标或者未划分标段的同一招标项目投标。违反该规定的，相关投标均无效，由此产生的一切后果均由相关投标人承担。</w:t>
      </w:r>
    </w:p>
    <w:p>
      <w:pPr>
        <w:tabs>
          <w:tab w:val="left" w:pos="7665"/>
        </w:tabs>
        <w:spacing w:line="360" w:lineRule="auto"/>
        <w:ind w:firstLine="480" w:firstLineChars="200"/>
        <w:rPr>
          <w:rFonts w:ascii="宋体" w:cs="宋体"/>
          <w:bCs/>
          <w:color w:val="auto"/>
        </w:rPr>
      </w:pPr>
      <w:r>
        <w:rPr>
          <w:rFonts w:ascii="宋体" w:hAnsi="宋体" w:cs="宋体"/>
          <w:bCs/>
          <w:color w:val="auto"/>
        </w:rPr>
        <w:t>2.3.8</w:t>
      </w:r>
      <w:r>
        <w:rPr>
          <w:rFonts w:hint="eastAsia" w:ascii="宋体" w:hAnsi="宋体" w:cs="宋体"/>
          <w:bCs/>
          <w:color w:val="auto"/>
        </w:rPr>
        <w:t>除单一来源采购项目外，为采购项目提供整体设计、规范编制或者项目管理、监理、检测等服务的供应商，不得再参加该采购项目的其他采购活动。</w:t>
      </w:r>
    </w:p>
    <w:p>
      <w:pPr>
        <w:tabs>
          <w:tab w:val="left" w:pos="7665"/>
        </w:tabs>
        <w:spacing w:line="360" w:lineRule="auto"/>
        <w:ind w:firstLine="480" w:firstLineChars="200"/>
        <w:rPr>
          <w:rFonts w:ascii="宋体" w:cs="宋体"/>
          <w:bCs/>
          <w:color w:val="auto"/>
        </w:rPr>
      </w:pPr>
      <w:r>
        <w:rPr>
          <w:rFonts w:ascii="宋体" w:hAnsi="宋体" w:cs="宋体"/>
          <w:bCs/>
          <w:color w:val="auto"/>
        </w:rPr>
        <w:t>2.3.9</w:t>
      </w:r>
      <w:r>
        <w:rPr>
          <w:rFonts w:hint="eastAsia" w:ascii="宋体" w:hAnsi="宋体" w:cs="宋体"/>
          <w:bCs/>
          <w:color w:val="auto"/>
        </w:rPr>
        <w:t>供应商被列入失信被执行人、重大税收违法案件当事人名单、政府采购严重违法失信行为记录名单、或存在其他不符合《中华人民共和国政府采购法》第二十二条规定条件的情况的供应商不得参与询价响应。</w:t>
      </w:r>
    </w:p>
    <w:p>
      <w:pPr>
        <w:tabs>
          <w:tab w:val="left" w:pos="7665"/>
        </w:tabs>
        <w:spacing w:line="360" w:lineRule="auto"/>
        <w:ind w:firstLine="480" w:firstLineChars="200"/>
        <w:rPr>
          <w:rFonts w:ascii="宋体" w:cs="宋体"/>
          <w:color w:val="auto"/>
        </w:rPr>
      </w:pPr>
      <w:r>
        <w:rPr>
          <w:rFonts w:ascii="宋体" w:hAnsi="宋体" w:cs="宋体"/>
          <w:color w:val="auto"/>
        </w:rPr>
        <w:t>2.3.10</w:t>
      </w:r>
      <w:r>
        <w:rPr>
          <w:rFonts w:hint="eastAsia" w:ascii="宋体" w:hAnsi="宋体" w:cs="宋体"/>
          <w:color w:val="auto"/>
        </w:rPr>
        <w:t>政府采购法律法规所规定的其他职责。</w:t>
      </w:r>
      <w:bookmarkStart w:id="5" w:name="_Toc183682344"/>
      <w:bookmarkStart w:id="6" w:name="_Toc217390843"/>
      <w:bookmarkStart w:id="7" w:name="_Toc183582207"/>
      <w:bookmarkStart w:id="8" w:name="_Toc217446036"/>
    </w:p>
    <w:p>
      <w:pPr>
        <w:tabs>
          <w:tab w:val="left" w:pos="7665"/>
        </w:tabs>
        <w:spacing w:line="360" w:lineRule="auto"/>
        <w:ind w:firstLine="480" w:firstLineChars="200"/>
        <w:rPr>
          <w:rFonts w:ascii="宋体" w:cs="宋体"/>
          <w:color w:val="auto"/>
        </w:rPr>
      </w:pPr>
      <w:r>
        <w:rPr>
          <w:rFonts w:ascii="宋体" w:hAnsi="宋体" w:cs="宋体"/>
          <w:color w:val="auto"/>
        </w:rPr>
        <w:t xml:space="preserve">2.4 </w:t>
      </w:r>
      <w:r>
        <w:rPr>
          <w:rFonts w:hint="eastAsia" w:ascii="宋体" w:hAnsi="宋体" w:cs="宋体"/>
          <w:color w:val="auto"/>
        </w:rPr>
        <w:t>合格的供应商</w:t>
      </w:r>
      <w:bookmarkEnd w:id="5"/>
      <w:bookmarkEnd w:id="6"/>
      <w:bookmarkEnd w:id="7"/>
      <w:bookmarkEnd w:id="8"/>
    </w:p>
    <w:p>
      <w:pPr>
        <w:tabs>
          <w:tab w:val="left" w:pos="7665"/>
        </w:tabs>
        <w:spacing w:line="360" w:lineRule="auto"/>
        <w:ind w:firstLine="480" w:firstLineChars="200"/>
        <w:rPr>
          <w:rFonts w:ascii="宋体" w:cs="宋体"/>
          <w:bCs/>
          <w:color w:val="auto"/>
          <w:lang w:val="en-GB"/>
        </w:rPr>
      </w:pPr>
      <w:r>
        <w:rPr>
          <w:rFonts w:ascii="宋体" w:hAnsi="宋体" w:cs="宋体"/>
          <w:bCs/>
          <w:color w:val="auto"/>
        </w:rPr>
        <w:t xml:space="preserve">2.4.1 </w:t>
      </w:r>
      <w:r>
        <w:rPr>
          <w:rFonts w:hint="eastAsia" w:ascii="宋体" w:hAnsi="宋体" w:cs="宋体"/>
          <w:bCs/>
          <w:color w:val="auto"/>
          <w:lang w:val="en-GB"/>
        </w:rPr>
        <w:t>符合《中华人民共和国政府采购法》第二十二条规定的供应商。</w:t>
      </w:r>
    </w:p>
    <w:p>
      <w:pPr>
        <w:tabs>
          <w:tab w:val="left" w:pos="7665"/>
        </w:tabs>
        <w:spacing w:line="360" w:lineRule="auto"/>
        <w:ind w:firstLine="480" w:firstLineChars="200"/>
        <w:rPr>
          <w:rFonts w:ascii="宋体" w:cs="宋体"/>
          <w:bCs/>
          <w:color w:val="auto"/>
          <w:lang w:val="en-GB"/>
        </w:rPr>
      </w:pPr>
      <w:r>
        <w:rPr>
          <w:rFonts w:ascii="宋体" w:hAnsi="宋体" w:cs="宋体"/>
          <w:bCs/>
          <w:color w:val="auto"/>
        </w:rPr>
        <w:t xml:space="preserve">2.4.2 </w:t>
      </w:r>
      <w:r>
        <w:rPr>
          <w:rFonts w:hint="eastAsia" w:ascii="宋体" w:hAnsi="宋体" w:cs="宋体"/>
          <w:bCs/>
          <w:color w:val="auto"/>
          <w:lang w:val="en-GB"/>
        </w:rPr>
        <w:t>符合询价文件规定的资格要求，并有能力提供满足询价文件要求的相关货物及服务的法人实体。</w:t>
      </w:r>
    </w:p>
    <w:p>
      <w:pPr>
        <w:tabs>
          <w:tab w:val="left" w:pos="7665"/>
        </w:tabs>
        <w:spacing w:line="360" w:lineRule="auto"/>
        <w:ind w:firstLine="480" w:firstLineChars="200"/>
        <w:rPr>
          <w:rFonts w:ascii="宋体" w:cs="宋体"/>
          <w:color w:val="auto"/>
        </w:rPr>
      </w:pPr>
      <w:r>
        <w:rPr>
          <w:rFonts w:ascii="宋体" w:hAnsi="宋体" w:cs="宋体"/>
          <w:color w:val="auto"/>
        </w:rPr>
        <w:t xml:space="preserve">2.5 </w:t>
      </w:r>
      <w:r>
        <w:rPr>
          <w:rFonts w:hint="eastAsia" w:ascii="宋体" w:hAnsi="宋体" w:cs="宋体"/>
          <w:bCs/>
          <w:color w:val="auto"/>
          <w:lang w:val="en-GB"/>
        </w:rPr>
        <w:t>“成交供应商”系指经询价小组按照询价文件确定的评审标准和方法，对响应文件进行评审，推荐合格的成交候选人，采购人根据询价小组提出的书面评审报告和推荐的成交候选人确定成交供应商。</w:t>
      </w:r>
    </w:p>
    <w:p>
      <w:pPr>
        <w:pStyle w:val="9"/>
        <w:pBdr>
          <w:top w:val="none" w:color="auto" w:sz="0" w:space="0"/>
          <w:left w:val="none" w:color="auto" w:sz="0" w:space="0"/>
          <w:bottom w:val="none" w:color="auto" w:sz="0" w:space="0"/>
          <w:right w:val="none" w:color="auto" w:sz="0" w:space="0"/>
          <w:between w:val="none" w:color="auto" w:sz="0" w:space="0"/>
        </w:pBdr>
        <w:spacing w:line="360" w:lineRule="auto"/>
        <w:jc w:val="both"/>
        <w:rPr>
          <w:color w:val="auto"/>
          <w:sz w:val="24"/>
          <w:lang w:val="en-GB"/>
        </w:rPr>
      </w:pPr>
      <w:r>
        <w:rPr>
          <w:color w:val="auto"/>
          <w:sz w:val="24"/>
        </w:rPr>
        <w:t>3</w:t>
      </w:r>
      <w:r>
        <w:rPr>
          <w:rFonts w:hint="eastAsia"/>
          <w:color w:val="auto"/>
          <w:sz w:val="24"/>
        </w:rPr>
        <w:t>、</w:t>
      </w:r>
      <w:r>
        <w:rPr>
          <w:rFonts w:hint="eastAsia"/>
          <w:color w:val="auto"/>
          <w:sz w:val="24"/>
          <w:lang w:val="en-GB"/>
        </w:rPr>
        <w:t>合格的货物和服务</w:t>
      </w:r>
    </w:p>
    <w:p>
      <w:pPr>
        <w:adjustRightInd w:val="0"/>
        <w:snapToGrid w:val="0"/>
        <w:spacing w:line="360" w:lineRule="auto"/>
        <w:ind w:firstLine="480" w:firstLineChars="200"/>
        <w:rPr>
          <w:rFonts w:ascii="宋体" w:cs="宋体"/>
          <w:bCs/>
          <w:color w:val="auto"/>
          <w:lang w:val="en-GB"/>
        </w:rPr>
      </w:pPr>
      <w:r>
        <w:rPr>
          <w:rFonts w:ascii="宋体" w:hAnsi="宋体" w:cs="宋体"/>
          <w:bCs/>
          <w:color w:val="auto"/>
        </w:rPr>
        <w:t>3</w:t>
      </w:r>
      <w:r>
        <w:rPr>
          <w:rFonts w:ascii="宋体" w:hAnsi="宋体" w:cs="宋体"/>
          <w:bCs/>
          <w:color w:val="auto"/>
          <w:lang w:val="en-GB"/>
        </w:rPr>
        <w:t>.1</w:t>
      </w:r>
      <w:r>
        <w:rPr>
          <w:rFonts w:hint="eastAsia" w:ascii="宋体" w:hAnsi="宋体" w:cs="宋体"/>
          <w:bCs/>
          <w:color w:val="auto"/>
          <w:lang w:val="en-GB"/>
        </w:rPr>
        <w:t>“货物”系指供应商制造或组织符合询价文件要求的货物等。所响应的货物必须是合法生产的合格货物，并能够按照货物合同规定的品牌、产地、质量、价格和有效期等。</w:t>
      </w:r>
    </w:p>
    <w:p>
      <w:pPr>
        <w:adjustRightInd w:val="0"/>
        <w:snapToGrid w:val="0"/>
        <w:spacing w:line="360" w:lineRule="auto"/>
        <w:ind w:firstLine="480" w:firstLineChars="200"/>
        <w:rPr>
          <w:rFonts w:ascii="宋体" w:cs="宋体"/>
          <w:color w:val="auto"/>
        </w:rPr>
      </w:pPr>
      <w:r>
        <w:rPr>
          <w:rFonts w:ascii="宋体" w:hAnsi="宋体" w:cs="宋体"/>
          <w:bCs/>
          <w:color w:val="auto"/>
        </w:rPr>
        <w:t>3</w:t>
      </w:r>
      <w:r>
        <w:rPr>
          <w:rFonts w:ascii="宋体" w:hAnsi="宋体" w:cs="宋体"/>
          <w:bCs/>
          <w:color w:val="auto"/>
          <w:lang w:val="en-GB"/>
        </w:rPr>
        <w:t xml:space="preserve">.2 </w:t>
      </w:r>
      <w:r>
        <w:rPr>
          <w:rFonts w:hint="eastAsia" w:ascii="宋体" w:hAnsi="宋体" w:cs="宋体"/>
          <w:bCs/>
          <w:color w:val="auto"/>
          <w:lang w:val="en-GB"/>
        </w:rPr>
        <w:t>“服务”系指除货物以外的其他政府采购对象，其中包括：卖方须承担的运输、安装、技术支持与升级、培训、验收以及其它类似附加服务的义务。</w:t>
      </w:r>
    </w:p>
    <w:p>
      <w:pPr>
        <w:spacing w:line="360" w:lineRule="auto"/>
        <w:rPr>
          <w:rFonts w:ascii="宋体" w:cs="宋体"/>
          <w:bCs/>
          <w:color w:val="auto"/>
        </w:rPr>
      </w:pPr>
      <w:r>
        <w:rPr>
          <w:rFonts w:ascii="宋体" w:hAnsi="宋体" w:cs="宋体"/>
          <w:bCs/>
          <w:color w:val="auto"/>
        </w:rPr>
        <w:t>4</w:t>
      </w:r>
      <w:r>
        <w:rPr>
          <w:rFonts w:hint="eastAsia" w:ascii="宋体" w:hAnsi="宋体" w:cs="宋体"/>
          <w:bCs/>
          <w:color w:val="auto"/>
        </w:rPr>
        <w:t>、询价费用和解释权</w:t>
      </w:r>
    </w:p>
    <w:p>
      <w:pPr>
        <w:spacing w:line="360" w:lineRule="auto"/>
        <w:ind w:firstLine="480" w:firstLineChars="200"/>
        <w:rPr>
          <w:rFonts w:ascii="宋体" w:cs="宋体"/>
          <w:color w:val="auto"/>
        </w:rPr>
      </w:pPr>
      <w:r>
        <w:rPr>
          <w:rFonts w:ascii="宋体" w:hAnsi="宋体" w:cs="宋体"/>
          <w:color w:val="auto"/>
        </w:rPr>
        <w:t>4.1</w:t>
      </w:r>
      <w:r>
        <w:rPr>
          <w:rFonts w:hint="eastAsia" w:ascii="宋体" w:hAnsi="宋体" w:cs="宋体"/>
          <w:color w:val="auto"/>
        </w:rPr>
        <w:t>无论询价的结果如何，供应商自行承担所有与参加询价有关的全部费用。</w:t>
      </w:r>
    </w:p>
    <w:p>
      <w:pPr>
        <w:spacing w:line="360" w:lineRule="auto"/>
        <w:ind w:firstLine="480" w:firstLineChars="200"/>
        <w:jc w:val="both"/>
        <w:rPr>
          <w:rFonts w:ascii="宋体" w:cs="宋体"/>
          <w:color w:val="auto"/>
        </w:rPr>
      </w:pPr>
      <w:r>
        <w:rPr>
          <w:rFonts w:ascii="宋体" w:hAnsi="宋体" w:cs="宋体"/>
          <w:color w:val="auto"/>
        </w:rPr>
        <w:t>4.2</w:t>
      </w:r>
      <w:r>
        <w:rPr>
          <w:rFonts w:hint="eastAsia" w:ascii="宋体" w:hAnsi="宋体" w:cs="宋体"/>
          <w:color w:val="auto"/>
        </w:rPr>
        <w:t>本询价文件由采购人及采购代理机构负责解释。</w:t>
      </w:r>
    </w:p>
    <w:p>
      <w:pPr>
        <w:spacing w:line="360" w:lineRule="auto"/>
        <w:rPr>
          <w:rFonts w:ascii="宋体" w:cs="宋体"/>
          <w:bCs/>
          <w:color w:val="auto"/>
        </w:rPr>
      </w:pPr>
      <w:r>
        <w:rPr>
          <w:rFonts w:ascii="宋体" w:hAnsi="宋体" w:cs="宋体"/>
          <w:bCs/>
          <w:color w:val="auto"/>
        </w:rPr>
        <w:t>5</w:t>
      </w:r>
      <w:r>
        <w:rPr>
          <w:rFonts w:hint="eastAsia" w:ascii="宋体" w:hAnsi="宋体" w:cs="宋体"/>
          <w:bCs/>
          <w:color w:val="auto"/>
        </w:rPr>
        <w:t>、询价文件</w:t>
      </w:r>
    </w:p>
    <w:p>
      <w:pPr>
        <w:spacing w:line="360" w:lineRule="auto"/>
        <w:ind w:firstLine="480" w:firstLineChars="200"/>
        <w:rPr>
          <w:rFonts w:ascii="宋体" w:cs="宋体"/>
          <w:color w:val="auto"/>
        </w:rPr>
      </w:pPr>
      <w:r>
        <w:rPr>
          <w:rFonts w:ascii="宋体" w:hAnsi="宋体" w:cs="宋体"/>
          <w:color w:val="auto"/>
        </w:rPr>
        <w:t xml:space="preserve">5.1 </w:t>
      </w:r>
      <w:r>
        <w:rPr>
          <w:rFonts w:hint="eastAsia" w:ascii="宋体" w:hAnsi="宋体" w:cs="宋体"/>
          <w:color w:val="auto"/>
        </w:rPr>
        <w:t>询价文件是采购人用以阐明所需提供的服务、询价的程序和评定成交供应商的标准、合同主要条款等内容的文件。</w:t>
      </w:r>
    </w:p>
    <w:p>
      <w:pPr>
        <w:spacing w:line="360" w:lineRule="auto"/>
        <w:ind w:firstLine="480" w:firstLineChars="200"/>
        <w:rPr>
          <w:rFonts w:ascii="宋体" w:cs="宋体"/>
          <w:color w:val="auto"/>
        </w:rPr>
      </w:pPr>
      <w:r>
        <w:rPr>
          <w:rFonts w:ascii="宋体" w:hAnsi="宋体" w:cs="宋体"/>
          <w:color w:val="auto"/>
        </w:rPr>
        <w:t xml:space="preserve">5.2 </w:t>
      </w:r>
      <w:r>
        <w:rPr>
          <w:rFonts w:hint="eastAsia" w:ascii="宋体" w:hAnsi="宋体" w:cs="宋体"/>
          <w:color w:val="auto"/>
        </w:rPr>
        <w:t>询价文件由七部分组成，包括：</w:t>
      </w:r>
    </w:p>
    <w:p>
      <w:pPr>
        <w:pStyle w:val="25"/>
        <w:spacing w:line="360" w:lineRule="auto"/>
        <w:ind w:firstLine="480" w:firstLineChars="200"/>
        <w:rPr>
          <w:rFonts w:ascii="宋体" w:cs="宋体"/>
          <w:color w:val="auto"/>
          <w:sz w:val="24"/>
        </w:rPr>
      </w:pPr>
      <w:r>
        <w:rPr>
          <w:rFonts w:hint="eastAsia" w:ascii="宋体" w:hAnsi="宋体" w:cs="宋体"/>
          <w:color w:val="auto"/>
          <w:sz w:val="24"/>
        </w:rPr>
        <w:t>（</w:t>
      </w:r>
      <w:r>
        <w:rPr>
          <w:rFonts w:ascii="宋体" w:hAnsi="宋体" w:cs="宋体"/>
          <w:color w:val="auto"/>
          <w:sz w:val="24"/>
        </w:rPr>
        <w:t>1</w:t>
      </w:r>
      <w:r>
        <w:rPr>
          <w:rFonts w:hint="eastAsia" w:ascii="宋体" w:hAnsi="宋体" w:cs="宋体"/>
          <w:color w:val="auto"/>
          <w:sz w:val="24"/>
        </w:rPr>
        <w:t>）询价公告</w:t>
      </w:r>
    </w:p>
    <w:p>
      <w:pPr>
        <w:pStyle w:val="25"/>
        <w:spacing w:line="360" w:lineRule="auto"/>
        <w:ind w:firstLine="480" w:firstLineChars="200"/>
        <w:rPr>
          <w:rFonts w:ascii="宋体" w:cs="宋体"/>
          <w:color w:val="auto"/>
          <w:sz w:val="24"/>
        </w:rPr>
      </w:pPr>
      <w:r>
        <w:rPr>
          <w:rFonts w:hint="eastAsia" w:ascii="宋体" w:hAnsi="宋体" w:cs="宋体"/>
          <w:color w:val="auto"/>
          <w:sz w:val="24"/>
        </w:rPr>
        <w:t>（</w:t>
      </w:r>
      <w:r>
        <w:rPr>
          <w:rFonts w:ascii="宋体" w:hAnsi="宋体" w:cs="宋体"/>
          <w:color w:val="auto"/>
          <w:sz w:val="24"/>
        </w:rPr>
        <w:t>2</w:t>
      </w:r>
      <w:r>
        <w:rPr>
          <w:rFonts w:hint="eastAsia" w:ascii="宋体" w:hAnsi="宋体" w:cs="宋体"/>
          <w:color w:val="auto"/>
          <w:sz w:val="24"/>
        </w:rPr>
        <w:t>）询价须知</w:t>
      </w:r>
    </w:p>
    <w:p>
      <w:pPr>
        <w:pStyle w:val="25"/>
        <w:spacing w:line="360" w:lineRule="auto"/>
        <w:ind w:firstLine="480" w:firstLineChars="200"/>
        <w:rPr>
          <w:rFonts w:ascii="宋体" w:cs="宋体"/>
          <w:color w:val="auto"/>
          <w:sz w:val="24"/>
        </w:rPr>
      </w:pPr>
      <w:r>
        <w:rPr>
          <w:rFonts w:hint="eastAsia" w:ascii="宋体" w:hAnsi="宋体" w:cs="宋体"/>
          <w:color w:val="auto"/>
          <w:sz w:val="24"/>
        </w:rPr>
        <w:t>（</w:t>
      </w:r>
      <w:r>
        <w:rPr>
          <w:rFonts w:ascii="宋体" w:hAnsi="宋体" w:cs="宋体"/>
          <w:color w:val="auto"/>
          <w:sz w:val="24"/>
        </w:rPr>
        <w:t>3</w:t>
      </w:r>
      <w:r>
        <w:rPr>
          <w:rFonts w:hint="eastAsia" w:ascii="宋体" w:hAnsi="宋体" w:cs="宋体"/>
          <w:color w:val="auto"/>
          <w:sz w:val="24"/>
        </w:rPr>
        <w:t>）供应商资格证明文件</w:t>
      </w:r>
    </w:p>
    <w:p>
      <w:pPr>
        <w:spacing w:line="360" w:lineRule="auto"/>
        <w:ind w:firstLine="480" w:firstLineChars="200"/>
        <w:jc w:val="both"/>
        <w:rPr>
          <w:rFonts w:ascii="宋体" w:cs="宋体"/>
          <w:color w:val="auto"/>
        </w:rPr>
      </w:pPr>
      <w:r>
        <w:rPr>
          <w:rFonts w:hint="eastAsia" w:ascii="宋体" w:hAnsi="宋体" w:cs="宋体"/>
          <w:color w:val="auto"/>
          <w:kern w:val="1"/>
        </w:rPr>
        <w:t>（</w:t>
      </w:r>
      <w:r>
        <w:rPr>
          <w:rFonts w:ascii="宋体" w:hAnsi="宋体" w:cs="宋体"/>
          <w:color w:val="auto"/>
          <w:kern w:val="1"/>
        </w:rPr>
        <w:t>4</w:t>
      </w:r>
      <w:r>
        <w:rPr>
          <w:rFonts w:hint="eastAsia" w:ascii="宋体" w:hAnsi="宋体" w:cs="宋体"/>
          <w:color w:val="auto"/>
          <w:kern w:val="1"/>
        </w:rPr>
        <w:t>）询价项目及要求</w:t>
      </w:r>
    </w:p>
    <w:p>
      <w:pPr>
        <w:pStyle w:val="25"/>
        <w:spacing w:line="360" w:lineRule="auto"/>
        <w:ind w:firstLine="480" w:firstLineChars="200"/>
        <w:rPr>
          <w:rFonts w:ascii="宋体" w:cs="宋体"/>
          <w:color w:val="auto"/>
          <w:sz w:val="24"/>
        </w:rPr>
      </w:pPr>
      <w:r>
        <w:rPr>
          <w:rFonts w:hint="eastAsia" w:ascii="宋体" w:hAnsi="宋体" w:cs="宋体"/>
          <w:color w:val="auto"/>
          <w:sz w:val="24"/>
        </w:rPr>
        <w:t>（</w:t>
      </w:r>
      <w:r>
        <w:rPr>
          <w:rFonts w:ascii="宋体" w:hAnsi="宋体" w:cs="宋体"/>
          <w:color w:val="auto"/>
          <w:sz w:val="24"/>
        </w:rPr>
        <w:t>5</w:t>
      </w:r>
      <w:r>
        <w:rPr>
          <w:rFonts w:hint="eastAsia" w:ascii="宋体" w:hAnsi="宋体" w:cs="宋体"/>
          <w:color w:val="auto"/>
          <w:sz w:val="24"/>
        </w:rPr>
        <w:t>）询价方法和程序</w:t>
      </w:r>
    </w:p>
    <w:p>
      <w:pPr>
        <w:pStyle w:val="25"/>
        <w:spacing w:line="360" w:lineRule="auto"/>
        <w:ind w:firstLine="480" w:firstLineChars="200"/>
        <w:rPr>
          <w:rFonts w:ascii="宋体" w:cs="宋体"/>
          <w:color w:val="auto"/>
          <w:sz w:val="24"/>
        </w:rPr>
      </w:pPr>
      <w:r>
        <w:rPr>
          <w:rFonts w:hint="eastAsia" w:ascii="宋体" w:hAnsi="宋体" w:cs="宋体"/>
          <w:color w:val="auto"/>
          <w:sz w:val="24"/>
        </w:rPr>
        <w:t>（</w:t>
      </w:r>
      <w:r>
        <w:rPr>
          <w:rFonts w:ascii="宋体" w:hAnsi="宋体" w:cs="宋体"/>
          <w:color w:val="auto"/>
          <w:sz w:val="24"/>
        </w:rPr>
        <w:t>6</w:t>
      </w:r>
      <w:r>
        <w:rPr>
          <w:rFonts w:hint="eastAsia" w:ascii="宋体" w:hAnsi="宋体" w:cs="宋体"/>
          <w:color w:val="auto"/>
          <w:sz w:val="24"/>
        </w:rPr>
        <w:t>）合同主要条款</w:t>
      </w:r>
    </w:p>
    <w:p>
      <w:pPr>
        <w:pStyle w:val="25"/>
        <w:spacing w:line="360" w:lineRule="auto"/>
        <w:ind w:firstLine="480" w:firstLineChars="200"/>
        <w:rPr>
          <w:rFonts w:ascii="宋体" w:cs="宋体"/>
          <w:color w:val="auto"/>
          <w:sz w:val="24"/>
        </w:rPr>
      </w:pPr>
      <w:r>
        <w:rPr>
          <w:rFonts w:hint="eastAsia" w:ascii="宋体" w:hAnsi="宋体" w:cs="宋体"/>
          <w:color w:val="auto"/>
          <w:sz w:val="24"/>
        </w:rPr>
        <w:t>（</w:t>
      </w:r>
      <w:r>
        <w:rPr>
          <w:rFonts w:ascii="宋体" w:hAnsi="宋体" w:cs="宋体"/>
          <w:color w:val="auto"/>
          <w:sz w:val="24"/>
        </w:rPr>
        <w:t>7</w:t>
      </w:r>
      <w:r>
        <w:rPr>
          <w:rFonts w:hint="eastAsia" w:ascii="宋体" w:hAnsi="宋体" w:cs="宋体"/>
          <w:color w:val="auto"/>
          <w:sz w:val="24"/>
        </w:rPr>
        <w:t>）报价文件内容和格式</w:t>
      </w:r>
    </w:p>
    <w:p>
      <w:pPr>
        <w:pStyle w:val="25"/>
        <w:spacing w:line="360" w:lineRule="auto"/>
        <w:ind w:firstLine="120" w:firstLineChars="50"/>
        <w:rPr>
          <w:rFonts w:ascii="宋体" w:cs="宋体"/>
          <w:color w:val="auto"/>
          <w:sz w:val="24"/>
        </w:rPr>
      </w:pPr>
      <w:r>
        <w:rPr>
          <w:rFonts w:hint="eastAsia" w:ascii="宋体" w:hAnsi="宋体" w:cs="宋体"/>
          <w:color w:val="auto"/>
          <w:sz w:val="24"/>
        </w:rPr>
        <w:t>请仔细检查询价文件是否齐全，如有缺漏，请立即与招标代理机构联系解决。</w:t>
      </w:r>
    </w:p>
    <w:p>
      <w:pPr>
        <w:spacing w:line="360" w:lineRule="auto"/>
        <w:ind w:firstLine="480" w:firstLineChars="200"/>
        <w:jc w:val="both"/>
        <w:rPr>
          <w:rFonts w:ascii="宋体" w:cs="宋体"/>
          <w:color w:val="auto"/>
        </w:rPr>
      </w:pPr>
      <w:r>
        <w:rPr>
          <w:rFonts w:ascii="宋体" w:hAnsi="宋体" w:cs="宋体"/>
          <w:color w:val="auto"/>
        </w:rPr>
        <w:t>5.3</w:t>
      </w:r>
      <w:r>
        <w:rPr>
          <w:rFonts w:hint="eastAsia" w:ascii="宋体" w:hAnsi="宋体" w:cs="宋体"/>
          <w:color w:val="auto"/>
        </w:rPr>
        <w:t>供应商须认真阅读询价文件中所有的事项、格式、条款和技术规范等。供应商没有按照询价文件要求提交全部资料，或者供应商没有对询价文件在各方面都做出实质性响应，可能导致其响应被拒绝或无效响应等风险均由供应商承担。</w:t>
      </w:r>
    </w:p>
    <w:p>
      <w:pPr>
        <w:spacing w:line="360" w:lineRule="auto"/>
        <w:jc w:val="both"/>
        <w:rPr>
          <w:rFonts w:ascii="宋体" w:cs="宋体"/>
          <w:bCs/>
          <w:color w:val="auto"/>
        </w:rPr>
      </w:pPr>
      <w:r>
        <w:rPr>
          <w:rFonts w:ascii="宋体" w:hAnsi="宋体" w:cs="宋体"/>
          <w:bCs/>
          <w:color w:val="auto"/>
        </w:rPr>
        <w:t>6</w:t>
      </w:r>
      <w:r>
        <w:rPr>
          <w:rFonts w:hint="eastAsia" w:ascii="宋体" w:hAnsi="宋体" w:cs="宋体"/>
          <w:bCs/>
          <w:color w:val="auto"/>
        </w:rPr>
        <w:t>．询价文件的澄清、修改或补充</w:t>
      </w:r>
    </w:p>
    <w:p>
      <w:pPr>
        <w:pStyle w:val="5"/>
        <w:adjustRightInd w:val="0"/>
        <w:snapToGrid w:val="0"/>
        <w:spacing w:line="360" w:lineRule="auto"/>
        <w:ind w:firstLine="480" w:firstLineChars="200"/>
        <w:rPr>
          <w:color w:val="auto"/>
        </w:rPr>
      </w:pPr>
      <w:r>
        <w:rPr>
          <w:color w:val="auto"/>
        </w:rPr>
        <w:t xml:space="preserve">6.1 </w:t>
      </w:r>
      <w:r>
        <w:rPr>
          <w:rFonts w:hint="eastAsia"/>
          <w:color w:val="auto"/>
        </w:rPr>
        <w:t>供应商在收到询价文件后，若有疑问需要澄清，应于递交响应文件截止时间前（逾期不受理）以书面形式向代理机构提出，代理机构将以书面形式进行答复，同时代理机构有权将答复内容分发给所有购买了本询价文件的供应商。否则视为完全接受询价文件所有条款及规定。</w:t>
      </w:r>
    </w:p>
    <w:p>
      <w:pPr>
        <w:pStyle w:val="5"/>
        <w:adjustRightInd w:val="0"/>
        <w:snapToGrid w:val="0"/>
        <w:spacing w:line="360" w:lineRule="auto"/>
        <w:ind w:firstLine="480" w:firstLineChars="200"/>
        <w:rPr>
          <w:color w:val="auto"/>
        </w:rPr>
      </w:pPr>
      <w:r>
        <w:rPr>
          <w:color w:val="auto"/>
        </w:rPr>
        <w:t>6.2</w:t>
      </w:r>
      <w:r>
        <w:rPr>
          <w:rFonts w:hint="eastAsia"/>
          <w:color w:val="auto"/>
        </w:rPr>
        <w:t>澄清或者修改的内容可能影响响应文件编制的，采购人、采购代理机构或者询价小组应当在提交响应文件截止之日</w:t>
      </w:r>
      <w:r>
        <w:rPr>
          <w:color w:val="auto"/>
        </w:rPr>
        <w:t>3</w:t>
      </w:r>
      <w:r>
        <w:rPr>
          <w:rFonts w:hint="eastAsia"/>
          <w:color w:val="auto"/>
        </w:rPr>
        <w:t>个工作日前，以书面形式通知所有接收询价文件的供应商，不足</w:t>
      </w:r>
      <w:r>
        <w:rPr>
          <w:color w:val="auto"/>
        </w:rPr>
        <w:t>3</w:t>
      </w:r>
      <w:r>
        <w:rPr>
          <w:rFonts w:hint="eastAsia"/>
          <w:color w:val="auto"/>
        </w:rPr>
        <w:t>个工作日的，应当顺延提交响应文件截止之日。</w:t>
      </w:r>
    </w:p>
    <w:p>
      <w:pPr>
        <w:pStyle w:val="5"/>
        <w:adjustRightInd w:val="0"/>
        <w:snapToGrid w:val="0"/>
        <w:spacing w:line="360" w:lineRule="auto"/>
        <w:ind w:firstLine="480" w:firstLineChars="200"/>
        <w:rPr>
          <w:color w:val="auto"/>
        </w:rPr>
      </w:pPr>
      <w:r>
        <w:rPr>
          <w:color w:val="auto"/>
        </w:rPr>
        <w:t>6.3</w:t>
      </w:r>
      <w:r>
        <w:rPr>
          <w:rFonts w:hint="eastAsia"/>
          <w:color w:val="auto"/>
        </w:rPr>
        <w:t>询价文件的澄清或者修改是询价文件的组成部分，代理机构将以书面或网上公告的形式通知所有购买本询价文件的潜在供应商，并对潜在供应商具有约束力。潜在供应商在收到上述通知后，应立即以书面形式向代理机构和采购人确认。</w:t>
      </w:r>
    </w:p>
    <w:p>
      <w:pPr>
        <w:pStyle w:val="5"/>
        <w:adjustRightInd w:val="0"/>
        <w:snapToGrid w:val="0"/>
        <w:spacing w:line="360" w:lineRule="auto"/>
        <w:rPr>
          <w:bCs/>
          <w:color w:val="auto"/>
        </w:rPr>
      </w:pPr>
      <w:r>
        <w:rPr>
          <w:bCs/>
          <w:color w:val="auto"/>
        </w:rPr>
        <w:t>7</w:t>
      </w:r>
      <w:r>
        <w:rPr>
          <w:rFonts w:hint="eastAsia"/>
          <w:bCs/>
          <w:color w:val="auto"/>
        </w:rPr>
        <w:t>、响应文件</w:t>
      </w:r>
    </w:p>
    <w:p>
      <w:pPr>
        <w:pStyle w:val="5"/>
        <w:adjustRightInd w:val="0"/>
        <w:snapToGrid w:val="0"/>
        <w:spacing w:line="360" w:lineRule="auto"/>
        <w:ind w:firstLine="480" w:firstLineChars="200"/>
        <w:rPr>
          <w:color w:val="auto"/>
        </w:rPr>
      </w:pPr>
      <w:r>
        <w:rPr>
          <w:color w:val="auto"/>
        </w:rPr>
        <w:t>7.1</w:t>
      </w:r>
      <w:r>
        <w:rPr>
          <w:rFonts w:hint="eastAsia"/>
          <w:color w:val="auto"/>
        </w:rPr>
        <w:t>供应商提交的响应文件以及供应商与代理机构和采购人就有关询价响应的所有来往函电均应使用中文。</w:t>
      </w:r>
    </w:p>
    <w:p>
      <w:pPr>
        <w:pStyle w:val="5"/>
        <w:adjustRightInd w:val="0"/>
        <w:snapToGrid w:val="0"/>
        <w:spacing w:line="360" w:lineRule="auto"/>
        <w:ind w:firstLine="480" w:firstLineChars="200"/>
        <w:rPr>
          <w:color w:val="auto"/>
        </w:rPr>
      </w:pPr>
      <w:r>
        <w:rPr>
          <w:color w:val="auto"/>
        </w:rPr>
        <w:t>7.2</w:t>
      </w:r>
      <w:r>
        <w:rPr>
          <w:rFonts w:hint="eastAsia"/>
          <w:color w:val="auto"/>
        </w:rPr>
        <w:t>供应商提交的支持文件和印刷的文献可以用另一种语言，但相应内容应附有中文翻译本，在解释响应文件时以翻译本为准。</w:t>
      </w:r>
    </w:p>
    <w:p>
      <w:pPr>
        <w:spacing w:line="360" w:lineRule="auto"/>
        <w:ind w:firstLine="480" w:firstLineChars="200"/>
        <w:rPr>
          <w:rFonts w:ascii="宋体" w:cs="宋体"/>
          <w:color w:val="auto"/>
        </w:rPr>
      </w:pPr>
      <w:r>
        <w:rPr>
          <w:rFonts w:ascii="宋体" w:hAnsi="宋体" w:cs="宋体"/>
          <w:color w:val="auto"/>
        </w:rPr>
        <w:t xml:space="preserve">7.3 </w:t>
      </w:r>
      <w:r>
        <w:rPr>
          <w:rFonts w:hint="eastAsia" w:ascii="宋体" w:hAnsi="宋体" w:cs="宋体"/>
          <w:color w:val="auto"/>
        </w:rPr>
        <w:t>除在采购文件第四章中另有规定外，度量衡单位应使用国际单位制。</w:t>
      </w:r>
    </w:p>
    <w:p>
      <w:pPr>
        <w:spacing w:line="360" w:lineRule="auto"/>
        <w:ind w:firstLine="480" w:firstLineChars="200"/>
        <w:rPr>
          <w:rFonts w:ascii="宋体" w:cs="宋体"/>
          <w:color w:val="auto"/>
        </w:rPr>
      </w:pPr>
      <w:r>
        <w:rPr>
          <w:rFonts w:ascii="宋体" w:hAnsi="宋体" w:cs="宋体"/>
          <w:color w:val="auto"/>
        </w:rPr>
        <w:t xml:space="preserve">7.4 </w:t>
      </w:r>
      <w:r>
        <w:rPr>
          <w:rFonts w:hint="eastAsia" w:ascii="宋体" w:hAnsi="宋体" w:cs="宋体"/>
          <w:color w:val="auto"/>
        </w:rPr>
        <w:t>“年、月、日”除非特别说明，均指公历的年、月、日。</w:t>
      </w:r>
    </w:p>
    <w:p>
      <w:pPr>
        <w:pStyle w:val="5"/>
        <w:adjustRightInd w:val="0"/>
        <w:snapToGrid w:val="0"/>
        <w:spacing w:line="360" w:lineRule="auto"/>
        <w:ind w:firstLine="480" w:firstLineChars="200"/>
        <w:rPr>
          <w:color w:val="auto"/>
        </w:rPr>
      </w:pPr>
      <w:r>
        <w:rPr>
          <w:color w:val="auto"/>
        </w:rPr>
        <w:t xml:space="preserve">7.5 </w:t>
      </w:r>
      <w:r>
        <w:rPr>
          <w:rFonts w:hint="eastAsia"/>
          <w:color w:val="auto"/>
        </w:rPr>
        <w:t>“工作日”指中国法定节假日以外的公历日。</w:t>
      </w:r>
    </w:p>
    <w:p>
      <w:pPr>
        <w:pStyle w:val="5"/>
        <w:adjustRightInd w:val="0"/>
        <w:snapToGrid w:val="0"/>
        <w:spacing w:line="360" w:lineRule="auto"/>
        <w:ind w:firstLine="480" w:firstLineChars="200"/>
        <w:rPr>
          <w:bCs/>
          <w:color w:val="auto"/>
        </w:rPr>
      </w:pPr>
      <w:r>
        <w:rPr>
          <w:color w:val="auto"/>
        </w:rPr>
        <w:t xml:space="preserve">7.6 </w:t>
      </w:r>
      <w:r>
        <w:rPr>
          <w:rFonts w:hint="eastAsia"/>
          <w:color w:val="auto"/>
        </w:rPr>
        <w:t>“元”指人民币元，除非上下文另有所指；货币均指人民币，除非另有特别说明。</w:t>
      </w:r>
    </w:p>
    <w:p>
      <w:pPr>
        <w:spacing w:line="360" w:lineRule="auto"/>
        <w:ind w:firstLine="480" w:firstLineChars="200"/>
        <w:rPr>
          <w:rFonts w:hint="eastAsia" w:ascii="宋体" w:eastAsia="宋体" w:cs="宋体"/>
          <w:bCs/>
          <w:color w:val="auto"/>
          <w:lang w:val="en-US" w:eastAsia="zh-CN"/>
        </w:rPr>
      </w:pPr>
      <w:r>
        <w:rPr>
          <w:rFonts w:ascii="宋体" w:hAnsi="宋体" w:cs="宋体"/>
          <w:color w:val="auto"/>
        </w:rPr>
        <w:t>7.7</w:t>
      </w:r>
      <w:r>
        <w:rPr>
          <w:rFonts w:hint="eastAsia" w:ascii="宋体" w:hAnsi="宋体" w:cs="宋体"/>
          <w:color w:val="auto"/>
        </w:rPr>
        <w:t>供应商须按询价文件的要求编写报价文件，对询价文件提出的要求和条件做出实质性响应。报价文件应包括但不限于下列内容：包括报价函、供应商的资格声明、法定代表人授权书、法人营业执照、组织机构代码证、税务登记证、技术规格响应</w:t>
      </w:r>
      <w:r>
        <w:rPr>
          <w:rFonts w:ascii="宋体" w:hAnsi="宋体" w:cs="宋体"/>
          <w:color w:val="auto"/>
        </w:rPr>
        <w:t>/</w:t>
      </w:r>
      <w:r>
        <w:rPr>
          <w:rFonts w:hint="eastAsia" w:ascii="宋体" w:hAnsi="宋体" w:cs="宋体"/>
          <w:color w:val="auto"/>
        </w:rPr>
        <w:t>偏离表、商务要求响应</w:t>
      </w:r>
      <w:r>
        <w:rPr>
          <w:rFonts w:ascii="宋体" w:hAnsi="宋体" w:cs="宋体"/>
          <w:color w:val="auto"/>
        </w:rPr>
        <w:t>/</w:t>
      </w:r>
      <w:r>
        <w:rPr>
          <w:rFonts w:hint="eastAsia" w:ascii="宋体" w:hAnsi="宋体" w:cs="宋体"/>
          <w:color w:val="auto"/>
        </w:rPr>
        <w:t>偏离表、质量保证和售后服务承诺等文件。</w:t>
      </w:r>
      <w:r>
        <w:rPr>
          <w:rFonts w:hint="eastAsia" w:ascii="宋体" w:hAnsi="宋体" w:cs="宋体"/>
          <w:bCs/>
          <w:color w:val="auto"/>
          <w:lang w:val="en-GB"/>
        </w:rPr>
        <w:t>供应商对询价文件中多个包进行报价的，其响应文件的编制应按各个包的要求分别装订和封装</w:t>
      </w:r>
      <w:r>
        <w:rPr>
          <w:rFonts w:hint="eastAsia" w:ascii="宋体" w:hAnsi="宋体" w:cs="宋体"/>
          <w:bCs/>
          <w:color w:val="auto"/>
          <w:lang w:val="en-GB" w:eastAsia="zh-CN"/>
        </w:rPr>
        <w:t>。</w:t>
      </w:r>
    </w:p>
    <w:p>
      <w:pPr>
        <w:pStyle w:val="5"/>
        <w:adjustRightInd w:val="0"/>
        <w:snapToGrid w:val="0"/>
        <w:spacing w:line="360" w:lineRule="auto"/>
        <w:ind w:firstLine="480" w:firstLineChars="200"/>
        <w:rPr>
          <w:bCs/>
          <w:color w:val="auto"/>
          <w:lang w:val="en-GB"/>
        </w:rPr>
      </w:pPr>
      <w:r>
        <w:rPr>
          <w:bCs/>
          <w:color w:val="auto"/>
        </w:rPr>
        <w:t>7</w:t>
      </w:r>
      <w:r>
        <w:rPr>
          <w:bCs/>
          <w:color w:val="auto"/>
          <w:lang w:val="en-GB"/>
        </w:rPr>
        <w:t>.</w:t>
      </w:r>
      <w:r>
        <w:rPr>
          <w:bCs/>
          <w:color w:val="auto"/>
        </w:rPr>
        <w:t>8</w:t>
      </w:r>
      <w:r>
        <w:rPr>
          <w:rFonts w:hint="eastAsia"/>
          <w:bCs/>
          <w:color w:val="auto"/>
          <w:lang w:val="en-GB"/>
        </w:rPr>
        <w:t>供应商必须保证响应文件所提供的全部资料真实可靠，须接受并配合采购代理机构对其提供的任何资料进行审查和核实。</w:t>
      </w:r>
    </w:p>
    <w:p>
      <w:pPr>
        <w:pStyle w:val="5"/>
        <w:adjustRightInd w:val="0"/>
        <w:snapToGrid w:val="0"/>
        <w:spacing w:line="360" w:lineRule="auto"/>
        <w:ind w:firstLine="480" w:firstLineChars="200"/>
        <w:rPr>
          <w:bCs/>
          <w:color w:val="auto"/>
          <w:lang w:val="en-GB"/>
        </w:rPr>
      </w:pPr>
      <w:r>
        <w:rPr>
          <w:bCs/>
          <w:color w:val="auto"/>
        </w:rPr>
        <w:t>7</w:t>
      </w:r>
      <w:r>
        <w:rPr>
          <w:bCs/>
          <w:color w:val="auto"/>
          <w:lang w:val="en-GB"/>
        </w:rPr>
        <w:t>.</w:t>
      </w:r>
      <w:r>
        <w:rPr>
          <w:bCs/>
          <w:color w:val="auto"/>
        </w:rPr>
        <w:t>9</w:t>
      </w:r>
      <w:r>
        <w:rPr>
          <w:rFonts w:hint="eastAsia"/>
          <w:bCs/>
          <w:color w:val="auto"/>
          <w:lang w:val="en-GB"/>
        </w:rPr>
        <w:t>如果响应文件填报的内容不详，或没有提供询价文件中所要求的全部资料及数据，使询价小组无法正常评审的，由此产生的结果由供应商承担。</w:t>
      </w:r>
    </w:p>
    <w:p>
      <w:pPr>
        <w:pStyle w:val="32"/>
        <w:spacing w:line="360" w:lineRule="auto"/>
        <w:ind w:firstLine="480" w:firstLineChars="200"/>
        <w:jc w:val="both"/>
        <w:rPr>
          <w:rFonts w:ascii="宋体" w:cs="宋体"/>
          <w:bCs w:val="0"/>
          <w:color w:val="auto"/>
          <w:spacing w:val="0"/>
          <w:szCs w:val="24"/>
          <w:lang w:val="en-GB"/>
        </w:rPr>
      </w:pPr>
      <w:r>
        <w:rPr>
          <w:rFonts w:ascii="宋体" w:hAnsi="宋体" w:cs="宋体"/>
          <w:color w:val="auto"/>
          <w:spacing w:val="0"/>
          <w:kern w:val="2"/>
          <w:szCs w:val="24"/>
        </w:rPr>
        <w:t>7</w:t>
      </w:r>
      <w:r>
        <w:rPr>
          <w:rFonts w:ascii="宋体" w:cs="宋体"/>
          <w:color w:val="auto"/>
          <w:spacing w:val="0"/>
          <w:kern w:val="2"/>
          <w:szCs w:val="24"/>
          <w:lang w:val="en-GB"/>
        </w:rPr>
        <w:t>.</w:t>
      </w:r>
      <w:r>
        <w:rPr>
          <w:rFonts w:ascii="宋体" w:hAnsi="宋体" w:cs="宋体"/>
          <w:color w:val="auto"/>
          <w:spacing w:val="0"/>
          <w:kern w:val="2"/>
          <w:szCs w:val="24"/>
        </w:rPr>
        <w:t>10</w:t>
      </w:r>
      <w:r>
        <w:rPr>
          <w:rFonts w:hint="eastAsia" w:ascii="宋体" w:hAnsi="宋体" w:cs="宋体"/>
          <w:color w:val="auto"/>
          <w:spacing w:val="0"/>
          <w:kern w:val="2"/>
          <w:szCs w:val="24"/>
          <w:lang w:val="en-GB"/>
        </w:rPr>
        <w:t>响应文件外形尺寸应统一为</w:t>
      </w:r>
      <w:r>
        <w:rPr>
          <w:rFonts w:ascii="宋体" w:hAnsi="宋体" w:cs="宋体"/>
          <w:color w:val="auto"/>
          <w:spacing w:val="0"/>
          <w:kern w:val="2"/>
          <w:szCs w:val="24"/>
          <w:lang w:val="en-GB"/>
        </w:rPr>
        <w:t>A4</w:t>
      </w:r>
      <w:r>
        <w:rPr>
          <w:rFonts w:hint="eastAsia" w:ascii="宋体" w:hAnsi="宋体" w:cs="宋体"/>
          <w:color w:val="auto"/>
          <w:spacing w:val="0"/>
          <w:kern w:val="2"/>
          <w:szCs w:val="24"/>
          <w:lang w:val="en-GB"/>
        </w:rPr>
        <w:t>纸规格，</w:t>
      </w:r>
      <w:r>
        <w:rPr>
          <w:rFonts w:hint="eastAsia" w:ascii="宋体" w:hAnsi="宋体" w:cs="宋体"/>
          <w:bCs w:val="0"/>
          <w:color w:val="auto"/>
          <w:spacing w:val="0"/>
          <w:szCs w:val="24"/>
          <w:lang w:val="en-GB"/>
        </w:rPr>
        <w:t>文件所使用的印章必须为公章，且与供应商名称完全一致，不能以其它业务章或附属机构印章代替。需签名之处必须由当事人亲笔签署。</w:t>
      </w:r>
    </w:p>
    <w:p>
      <w:pPr>
        <w:pStyle w:val="32"/>
        <w:spacing w:line="360" w:lineRule="auto"/>
        <w:ind w:firstLine="480" w:firstLineChars="200"/>
        <w:jc w:val="both"/>
        <w:rPr>
          <w:rFonts w:ascii="宋体" w:cs="宋体"/>
          <w:bCs w:val="0"/>
          <w:color w:val="auto"/>
          <w:spacing w:val="0"/>
          <w:szCs w:val="24"/>
          <w:lang w:val="en-GB"/>
        </w:rPr>
      </w:pPr>
      <w:r>
        <w:rPr>
          <w:rFonts w:ascii="宋体" w:hAnsi="宋体" w:cs="宋体"/>
          <w:bCs w:val="0"/>
          <w:color w:val="auto"/>
          <w:spacing w:val="0"/>
          <w:szCs w:val="24"/>
        </w:rPr>
        <w:t>7</w:t>
      </w:r>
      <w:r>
        <w:rPr>
          <w:rFonts w:ascii="宋体" w:cs="宋体"/>
          <w:bCs w:val="0"/>
          <w:color w:val="auto"/>
          <w:spacing w:val="0"/>
          <w:szCs w:val="24"/>
          <w:lang w:val="en-GB"/>
        </w:rPr>
        <w:t>.</w:t>
      </w:r>
      <w:r>
        <w:rPr>
          <w:rFonts w:ascii="宋体" w:hAnsi="宋体" w:cs="宋体"/>
          <w:bCs w:val="0"/>
          <w:color w:val="auto"/>
          <w:spacing w:val="0"/>
          <w:szCs w:val="24"/>
        </w:rPr>
        <w:t>11</w:t>
      </w:r>
      <w:r>
        <w:rPr>
          <w:rFonts w:hint="eastAsia" w:ascii="宋体" w:hAnsi="宋体" w:cs="宋体"/>
          <w:bCs w:val="0"/>
          <w:color w:val="auto"/>
          <w:spacing w:val="0"/>
          <w:szCs w:val="24"/>
          <w:lang w:val="en-GB"/>
        </w:rPr>
        <w:t>响应文件自制部分必须打印，每页须按顺序加注页码，装订牢固且不会轻易脱落</w:t>
      </w:r>
      <w:r>
        <w:rPr>
          <w:rFonts w:hint="eastAsia" w:ascii="宋体" w:hAnsi="宋体" w:cs="宋体"/>
          <w:color w:val="auto"/>
          <w:spacing w:val="0"/>
          <w:szCs w:val="24"/>
          <w:lang w:val="en-GB"/>
        </w:rPr>
        <w:t>（注：如胶装）</w:t>
      </w:r>
      <w:r>
        <w:rPr>
          <w:rFonts w:hint="eastAsia" w:ascii="宋体" w:hAnsi="宋体" w:cs="宋体"/>
          <w:bCs w:val="0"/>
          <w:color w:val="auto"/>
          <w:spacing w:val="0"/>
          <w:szCs w:val="24"/>
          <w:lang w:val="en-GB"/>
        </w:rPr>
        <w:t>。如因装订问题而出现漏页或缺页，由此产生的一切后果由供应商自行承担。</w:t>
      </w:r>
    </w:p>
    <w:p>
      <w:pPr>
        <w:pStyle w:val="32"/>
        <w:spacing w:line="360" w:lineRule="auto"/>
        <w:ind w:firstLine="480" w:firstLineChars="200"/>
        <w:jc w:val="both"/>
        <w:rPr>
          <w:rFonts w:ascii="宋体" w:cs="宋体"/>
          <w:bCs w:val="0"/>
          <w:color w:val="auto"/>
          <w:spacing w:val="0"/>
          <w:szCs w:val="24"/>
          <w:lang w:val="en-GB"/>
        </w:rPr>
      </w:pPr>
      <w:r>
        <w:rPr>
          <w:rFonts w:ascii="宋体" w:hAnsi="宋体" w:cs="宋体"/>
          <w:bCs w:val="0"/>
          <w:color w:val="auto"/>
          <w:spacing w:val="0"/>
          <w:szCs w:val="24"/>
        </w:rPr>
        <w:t>7</w:t>
      </w:r>
      <w:r>
        <w:rPr>
          <w:rFonts w:ascii="宋体" w:cs="宋体"/>
          <w:bCs w:val="0"/>
          <w:color w:val="auto"/>
          <w:spacing w:val="0"/>
          <w:szCs w:val="24"/>
          <w:lang w:val="en-GB"/>
        </w:rPr>
        <w:t>.</w:t>
      </w:r>
      <w:r>
        <w:rPr>
          <w:rFonts w:ascii="宋体" w:hAnsi="宋体" w:cs="宋体"/>
          <w:bCs w:val="0"/>
          <w:color w:val="auto"/>
          <w:spacing w:val="0"/>
          <w:szCs w:val="24"/>
        </w:rPr>
        <w:t>12</w:t>
      </w:r>
      <w:r>
        <w:rPr>
          <w:rFonts w:hint="eastAsia" w:ascii="宋体" w:hAnsi="宋体" w:cs="宋体"/>
          <w:bCs w:val="0"/>
          <w:color w:val="auto"/>
          <w:spacing w:val="0"/>
          <w:szCs w:val="24"/>
          <w:lang w:val="en-GB"/>
        </w:rPr>
        <w:t>任何行间插字、涂改和增删，必须由供应商授权代表在旁边签字或盖章后方可有效。</w:t>
      </w:r>
    </w:p>
    <w:p>
      <w:pPr>
        <w:pStyle w:val="32"/>
        <w:spacing w:line="360" w:lineRule="auto"/>
        <w:ind w:firstLine="480" w:firstLineChars="200"/>
        <w:jc w:val="both"/>
        <w:rPr>
          <w:rFonts w:ascii="宋体" w:cs="宋体"/>
          <w:color w:val="auto"/>
        </w:rPr>
      </w:pPr>
      <w:r>
        <w:rPr>
          <w:rFonts w:ascii="宋体" w:hAnsi="宋体" w:cs="宋体"/>
          <w:bCs w:val="0"/>
          <w:color w:val="auto"/>
          <w:spacing w:val="0"/>
          <w:szCs w:val="24"/>
        </w:rPr>
        <w:t>7</w:t>
      </w:r>
      <w:r>
        <w:rPr>
          <w:rFonts w:ascii="宋体" w:cs="宋体"/>
          <w:bCs w:val="0"/>
          <w:color w:val="auto"/>
          <w:spacing w:val="0"/>
          <w:szCs w:val="24"/>
          <w:lang w:val="en-GB"/>
        </w:rPr>
        <w:t>.</w:t>
      </w:r>
      <w:r>
        <w:rPr>
          <w:rFonts w:ascii="宋体" w:hAnsi="宋体" w:cs="宋体"/>
          <w:bCs w:val="0"/>
          <w:color w:val="auto"/>
          <w:spacing w:val="0"/>
          <w:szCs w:val="24"/>
        </w:rPr>
        <w:t>13</w:t>
      </w:r>
      <w:r>
        <w:rPr>
          <w:rFonts w:hint="eastAsia" w:ascii="宋体" w:hAnsi="宋体" w:cs="宋体"/>
          <w:bCs w:val="0"/>
          <w:color w:val="auto"/>
          <w:spacing w:val="0"/>
          <w:szCs w:val="24"/>
          <w:lang w:val="en-GB"/>
        </w:rPr>
        <w:t>除非询价文件中特别指出提供资质证明文件的原件查验外，响应文件正本中的原件均为打印或不褪色水笔书写并加盖公章的材料，未特别说明的资质证明文件均为复印件加盖公章。</w:t>
      </w:r>
    </w:p>
    <w:p>
      <w:pPr>
        <w:spacing w:line="360" w:lineRule="auto"/>
        <w:ind w:firstLine="480" w:firstLineChars="200"/>
        <w:rPr>
          <w:rFonts w:ascii="宋体" w:cs="宋体"/>
          <w:color w:val="auto"/>
        </w:rPr>
      </w:pPr>
      <w:r>
        <w:rPr>
          <w:rFonts w:ascii="宋体" w:hAnsi="宋体" w:cs="宋体"/>
          <w:color w:val="auto"/>
        </w:rPr>
        <w:t xml:space="preserve">7.14 </w:t>
      </w:r>
      <w:r>
        <w:rPr>
          <w:rFonts w:hint="eastAsia" w:ascii="宋体" w:hAnsi="宋体" w:cs="宋体"/>
          <w:color w:val="auto"/>
        </w:rPr>
        <w:t>报价文件应按“报价文件内容和格式”要求编制。</w:t>
      </w:r>
    </w:p>
    <w:p>
      <w:pPr>
        <w:spacing w:line="360" w:lineRule="auto"/>
        <w:ind w:firstLine="480" w:firstLineChars="200"/>
        <w:rPr>
          <w:rFonts w:ascii="宋体" w:cs="宋体"/>
          <w:color w:val="auto"/>
        </w:rPr>
      </w:pPr>
      <w:r>
        <w:rPr>
          <w:rFonts w:ascii="宋体" w:hAnsi="宋体" w:cs="宋体"/>
          <w:color w:val="auto"/>
        </w:rPr>
        <w:t xml:space="preserve">7.15 </w:t>
      </w:r>
      <w:r>
        <w:rPr>
          <w:rFonts w:hint="eastAsia" w:ascii="宋体" w:hAnsi="宋体" w:cs="宋体"/>
          <w:color w:val="auto"/>
        </w:rPr>
        <w:t>若报价人未按询价文件的要求提供资料，或未对询价文件做出实质性响应，将可能导致报价文件被视为无效。</w:t>
      </w:r>
    </w:p>
    <w:p>
      <w:pPr>
        <w:spacing w:line="360" w:lineRule="auto"/>
        <w:rPr>
          <w:rFonts w:ascii="宋体" w:cs="宋体"/>
          <w:bCs/>
          <w:color w:val="auto"/>
        </w:rPr>
      </w:pPr>
      <w:r>
        <w:rPr>
          <w:rFonts w:ascii="宋体" w:hAnsi="宋体" w:cs="宋体"/>
          <w:bCs/>
          <w:color w:val="auto"/>
        </w:rPr>
        <w:t>8</w:t>
      </w:r>
      <w:r>
        <w:rPr>
          <w:rFonts w:hint="eastAsia" w:ascii="宋体" w:hAnsi="宋体" w:cs="宋体"/>
          <w:bCs/>
          <w:color w:val="auto"/>
        </w:rPr>
        <w:t>、报价</w:t>
      </w:r>
    </w:p>
    <w:p>
      <w:pPr>
        <w:spacing w:line="360" w:lineRule="auto"/>
        <w:rPr>
          <w:rFonts w:ascii="宋体" w:cs="宋体"/>
          <w:bCs/>
          <w:color w:val="auto"/>
        </w:rPr>
      </w:pPr>
      <w:r>
        <w:rPr>
          <w:rFonts w:ascii="宋体" w:hAnsi="宋体" w:cs="宋体"/>
          <w:bCs/>
          <w:color w:val="auto"/>
        </w:rPr>
        <w:t>8.1</w:t>
      </w:r>
      <w:r>
        <w:rPr>
          <w:rFonts w:hint="eastAsia" w:ascii="宋体" w:hAnsi="宋体" w:cs="宋体"/>
          <w:bCs/>
          <w:color w:val="auto"/>
        </w:rPr>
        <w:t>本项目的采购预算金额为￥</w:t>
      </w:r>
      <w:r>
        <w:rPr>
          <w:rFonts w:ascii="宋体" w:hAnsi="宋体" w:cs="宋体"/>
          <w:bCs/>
          <w:color w:val="auto"/>
        </w:rPr>
        <w:t>103.2633</w:t>
      </w:r>
      <w:r>
        <w:rPr>
          <w:rFonts w:hint="eastAsia" w:ascii="宋体" w:hAnsi="宋体" w:cs="宋体"/>
          <w:bCs/>
          <w:color w:val="auto"/>
        </w:rPr>
        <w:t>万元。</w:t>
      </w:r>
    </w:p>
    <w:p>
      <w:pPr>
        <w:pStyle w:val="25"/>
        <w:spacing w:line="360" w:lineRule="auto"/>
        <w:ind w:firstLine="0"/>
        <w:rPr>
          <w:rFonts w:ascii="宋体" w:cs="宋体"/>
          <w:color w:val="auto"/>
          <w:sz w:val="24"/>
        </w:rPr>
      </w:pPr>
      <w:r>
        <w:rPr>
          <w:rFonts w:ascii="宋体" w:hAnsi="宋体" w:cs="宋体"/>
          <w:color w:val="auto"/>
          <w:sz w:val="24"/>
        </w:rPr>
        <w:t>8.2</w:t>
      </w:r>
      <w:r>
        <w:rPr>
          <w:rFonts w:hint="eastAsia" w:ascii="宋体" w:hAnsi="宋体" w:cs="宋体"/>
          <w:color w:val="auto"/>
          <w:sz w:val="24"/>
        </w:rPr>
        <w:t>所有报价一律以人民币报价。采购人不接受任何非人民币币种的报价。</w:t>
      </w:r>
    </w:p>
    <w:p>
      <w:pPr>
        <w:tabs>
          <w:tab w:val="left" w:pos="360"/>
          <w:tab w:val="left" w:pos="540"/>
        </w:tabs>
        <w:spacing w:line="360" w:lineRule="auto"/>
        <w:rPr>
          <w:rFonts w:ascii="宋体" w:cs="宋体"/>
          <w:color w:val="auto"/>
          <w:lang w:val="en-GB"/>
        </w:rPr>
      </w:pPr>
      <w:r>
        <w:rPr>
          <w:rFonts w:ascii="宋体" w:hAnsi="宋体" w:cs="宋体"/>
          <w:color w:val="auto"/>
        </w:rPr>
        <w:t>8</w:t>
      </w:r>
      <w:r>
        <w:rPr>
          <w:rFonts w:ascii="宋体" w:cs="宋体"/>
          <w:color w:val="auto"/>
          <w:lang w:val="en-GB"/>
        </w:rPr>
        <w:t>.</w:t>
      </w:r>
      <w:r>
        <w:rPr>
          <w:rFonts w:ascii="宋体" w:hAnsi="宋体" w:cs="宋体"/>
          <w:color w:val="auto"/>
        </w:rPr>
        <w:t>3</w:t>
      </w:r>
      <w:r>
        <w:rPr>
          <w:rFonts w:hint="eastAsia" w:ascii="宋体" w:hAnsi="宋体" w:cs="宋体"/>
          <w:color w:val="auto"/>
          <w:lang w:val="en-GB"/>
        </w:rPr>
        <w:t>供应商报价应为完成本询价文件中所要求的货物所应包括内容的所有价格。</w:t>
      </w:r>
    </w:p>
    <w:p>
      <w:pPr>
        <w:tabs>
          <w:tab w:val="left" w:pos="360"/>
          <w:tab w:val="left" w:pos="540"/>
        </w:tabs>
        <w:spacing w:line="360" w:lineRule="auto"/>
        <w:rPr>
          <w:rFonts w:ascii="宋体" w:cs="宋体"/>
          <w:color w:val="auto"/>
          <w:lang w:val="en-GB"/>
        </w:rPr>
      </w:pPr>
      <w:r>
        <w:rPr>
          <w:rFonts w:ascii="宋体" w:hAnsi="宋体" w:cs="宋体"/>
          <w:color w:val="auto"/>
        </w:rPr>
        <w:t>8</w:t>
      </w:r>
      <w:r>
        <w:rPr>
          <w:rFonts w:ascii="宋体" w:cs="宋体"/>
          <w:color w:val="auto"/>
          <w:lang w:val="en-GB"/>
        </w:rPr>
        <w:t>.</w:t>
      </w:r>
      <w:r>
        <w:rPr>
          <w:rFonts w:ascii="宋体" w:hAnsi="宋体" w:cs="宋体"/>
          <w:color w:val="auto"/>
        </w:rPr>
        <w:t>4</w:t>
      </w:r>
      <w:r>
        <w:rPr>
          <w:rFonts w:hint="eastAsia" w:ascii="宋体" w:hAnsi="宋体" w:cs="宋体"/>
          <w:color w:val="auto"/>
          <w:lang w:val="en-GB"/>
        </w:rPr>
        <w:t>报价应包括全部货物、服务的价格及相关税费、运输到指定地点的装运费用（如有）、安装调试（如有）、培训（如有）、售后服务过程中产生的材料、油料等其它涉及到其他有关的所有费用。</w:t>
      </w:r>
    </w:p>
    <w:p>
      <w:pPr>
        <w:tabs>
          <w:tab w:val="left" w:pos="360"/>
          <w:tab w:val="left" w:pos="540"/>
        </w:tabs>
        <w:spacing w:line="360" w:lineRule="auto"/>
        <w:rPr>
          <w:rFonts w:ascii="宋体" w:cs="宋体"/>
          <w:color w:val="auto"/>
          <w:lang w:val="en-GB"/>
        </w:rPr>
      </w:pPr>
      <w:r>
        <w:rPr>
          <w:rFonts w:ascii="宋体" w:hAnsi="宋体" w:cs="宋体"/>
          <w:color w:val="auto"/>
        </w:rPr>
        <w:t>8</w:t>
      </w:r>
      <w:r>
        <w:rPr>
          <w:rFonts w:ascii="宋体" w:cs="宋体"/>
          <w:color w:val="auto"/>
          <w:lang w:val="en-GB"/>
        </w:rPr>
        <w:t>.</w:t>
      </w:r>
      <w:r>
        <w:rPr>
          <w:rFonts w:ascii="宋体" w:hAnsi="宋体" w:cs="宋体"/>
          <w:color w:val="auto"/>
        </w:rPr>
        <w:t>5</w:t>
      </w:r>
      <w:r>
        <w:rPr>
          <w:rFonts w:hint="eastAsia" w:ascii="宋体" w:hAnsi="宋体" w:cs="宋体"/>
          <w:color w:val="auto"/>
          <w:lang w:val="en-GB"/>
        </w:rPr>
        <w:t>报价人应按开标一览表的要求报价，不能提供有选择的报价。</w:t>
      </w:r>
    </w:p>
    <w:p>
      <w:pPr>
        <w:tabs>
          <w:tab w:val="left" w:pos="360"/>
          <w:tab w:val="left" w:pos="540"/>
        </w:tabs>
        <w:spacing w:line="360" w:lineRule="auto"/>
        <w:rPr>
          <w:rFonts w:ascii="宋体" w:cs="宋体"/>
          <w:color w:val="auto"/>
          <w:lang w:val="en-GB"/>
        </w:rPr>
      </w:pPr>
      <w:r>
        <w:rPr>
          <w:rFonts w:ascii="宋体" w:hAnsi="宋体" w:cs="宋体"/>
          <w:color w:val="auto"/>
        </w:rPr>
        <w:t>8</w:t>
      </w:r>
      <w:r>
        <w:rPr>
          <w:rFonts w:ascii="宋体" w:cs="宋体"/>
          <w:color w:val="auto"/>
          <w:lang w:val="en-GB"/>
        </w:rPr>
        <w:t>.</w:t>
      </w:r>
      <w:r>
        <w:rPr>
          <w:rFonts w:ascii="宋体" w:hAnsi="宋体" w:cs="宋体"/>
          <w:color w:val="auto"/>
        </w:rPr>
        <w:t>6</w:t>
      </w:r>
      <w:r>
        <w:rPr>
          <w:rFonts w:hint="eastAsia" w:ascii="宋体" w:hAnsi="宋体" w:cs="宋体"/>
          <w:color w:val="auto"/>
          <w:lang w:val="en-GB"/>
        </w:rPr>
        <w:t>中标候选人的报价如超过预算且采购人不能支付的，采购人有权拒绝而递选下一个顺位的候选人。</w:t>
      </w:r>
    </w:p>
    <w:p>
      <w:pPr>
        <w:tabs>
          <w:tab w:val="left" w:pos="360"/>
          <w:tab w:val="left" w:pos="540"/>
        </w:tabs>
        <w:spacing w:line="360" w:lineRule="auto"/>
        <w:rPr>
          <w:rFonts w:ascii="宋体" w:cs="宋体"/>
          <w:color w:val="auto"/>
          <w:lang w:val="en-GB"/>
        </w:rPr>
      </w:pPr>
      <w:r>
        <w:rPr>
          <w:rFonts w:ascii="宋体" w:hAnsi="宋体" w:cs="宋体"/>
          <w:color w:val="auto"/>
        </w:rPr>
        <w:t>8</w:t>
      </w:r>
      <w:r>
        <w:rPr>
          <w:rFonts w:ascii="宋体" w:cs="宋体"/>
          <w:color w:val="auto"/>
          <w:lang w:val="en-GB"/>
        </w:rPr>
        <w:t>.</w:t>
      </w:r>
      <w:r>
        <w:rPr>
          <w:rFonts w:ascii="宋体" w:hAnsi="宋体" w:cs="宋体"/>
          <w:color w:val="auto"/>
        </w:rPr>
        <w:t>7</w:t>
      </w:r>
      <w:r>
        <w:rPr>
          <w:rFonts w:hint="eastAsia" w:ascii="宋体" w:hAnsi="宋体" w:cs="宋体"/>
          <w:color w:val="auto"/>
          <w:lang w:val="en-GB"/>
        </w:rPr>
        <w:t>评标委员会认为报价人的报价明显低于其他通过符合性审查报价人的报价，有可能影响产品质量或者不能诚信履约的，应当要求其在评标现场合理的时间内提供书面说明，必要时提交相关的证明材料；投标人不能证明其报价合理性的，评标委员会应当将其作为无效投标处理。</w:t>
      </w:r>
    </w:p>
    <w:p>
      <w:pPr>
        <w:spacing w:line="360" w:lineRule="auto"/>
        <w:rPr>
          <w:rFonts w:ascii="宋体" w:cs="宋体"/>
          <w:bCs/>
          <w:color w:val="auto"/>
        </w:rPr>
      </w:pPr>
      <w:r>
        <w:rPr>
          <w:rFonts w:ascii="宋体" w:hAnsi="宋体" w:cs="宋体"/>
          <w:bCs/>
          <w:color w:val="auto"/>
        </w:rPr>
        <w:t>9</w:t>
      </w:r>
      <w:r>
        <w:rPr>
          <w:rFonts w:hint="eastAsia" w:ascii="宋体" w:hAnsi="宋体" w:cs="宋体"/>
          <w:bCs/>
          <w:color w:val="auto"/>
        </w:rPr>
        <w:t>．投标保证金</w:t>
      </w:r>
    </w:p>
    <w:p>
      <w:pPr>
        <w:spacing w:line="360" w:lineRule="auto"/>
        <w:ind w:firstLine="480"/>
        <w:rPr>
          <w:rFonts w:ascii="宋体" w:cs="宋体"/>
          <w:color w:val="auto"/>
        </w:rPr>
      </w:pPr>
      <w:r>
        <w:rPr>
          <w:rFonts w:ascii="宋体" w:hAnsi="宋体" w:cs="宋体"/>
          <w:color w:val="auto"/>
        </w:rPr>
        <w:t>9.1</w:t>
      </w:r>
      <w:r>
        <w:rPr>
          <w:rFonts w:hint="eastAsia" w:ascii="宋体" w:hAnsi="宋体" w:cs="宋体"/>
          <w:color w:val="auto"/>
        </w:rPr>
        <w:t>投标保证金为：￥</w:t>
      </w:r>
      <w:r>
        <w:rPr>
          <w:rFonts w:ascii="宋体" w:hAnsi="宋体" w:cs="宋体"/>
          <w:color w:val="auto"/>
        </w:rPr>
        <w:t>10000.00</w:t>
      </w:r>
      <w:r>
        <w:rPr>
          <w:rFonts w:hint="eastAsia" w:ascii="宋体" w:hAnsi="宋体" w:cs="宋体"/>
          <w:color w:val="auto"/>
        </w:rPr>
        <w:t>元。</w:t>
      </w:r>
    </w:p>
    <w:p>
      <w:pPr>
        <w:tabs>
          <w:tab w:val="left" w:pos="360"/>
          <w:tab w:val="left" w:pos="540"/>
        </w:tabs>
        <w:spacing w:line="360" w:lineRule="auto"/>
        <w:ind w:firstLine="480" w:firstLineChars="200"/>
        <w:rPr>
          <w:rFonts w:ascii="宋体" w:cs="宋体"/>
          <w:color w:val="auto"/>
        </w:rPr>
      </w:pPr>
      <w:r>
        <w:rPr>
          <w:rFonts w:ascii="宋体" w:hAnsi="宋体" w:cs="宋体"/>
          <w:color w:val="auto"/>
        </w:rPr>
        <w:t>9.2</w:t>
      </w:r>
      <w:r>
        <w:rPr>
          <w:rFonts w:hint="eastAsia" w:ascii="宋体" w:hAnsi="宋体" w:cs="宋体"/>
          <w:color w:val="auto"/>
        </w:rPr>
        <w:t>投标保证金是参加本项目投标的必要条件，投标保证金的形式、支付地址、截至时间等要求见第一章。</w:t>
      </w:r>
    </w:p>
    <w:p>
      <w:pPr>
        <w:tabs>
          <w:tab w:val="left" w:pos="360"/>
          <w:tab w:val="left" w:pos="540"/>
        </w:tabs>
        <w:spacing w:line="360" w:lineRule="auto"/>
        <w:ind w:firstLine="480" w:firstLineChars="200"/>
        <w:rPr>
          <w:rFonts w:ascii="宋体" w:cs="宋体"/>
          <w:color w:val="auto"/>
        </w:rPr>
      </w:pPr>
      <w:r>
        <w:rPr>
          <w:rFonts w:ascii="宋体" w:hAnsi="宋体" w:cs="宋体"/>
          <w:color w:val="auto"/>
        </w:rPr>
        <w:t>9.3</w:t>
      </w:r>
      <w:r>
        <w:rPr>
          <w:rFonts w:hint="eastAsia" w:ascii="宋体" w:hAnsi="宋体" w:cs="宋体"/>
          <w:color w:val="auto"/>
        </w:rPr>
        <w:t>若报价人不按规定提交投标保证金，其报价文件将被拒绝接受。为避免资金在途不能及时到账造成投标无效，建议投标人提前在投标截止时间一个工作日前办理保证金支付手续。</w:t>
      </w:r>
    </w:p>
    <w:p>
      <w:pPr>
        <w:spacing w:line="360" w:lineRule="auto"/>
        <w:ind w:firstLine="480" w:firstLineChars="200"/>
        <w:rPr>
          <w:rFonts w:ascii="宋体" w:cs="宋体"/>
          <w:color w:val="auto"/>
        </w:rPr>
      </w:pPr>
      <w:r>
        <w:rPr>
          <w:rFonts w:ascii="宋体" w:hAnsi="宋体" w:cs="宋体"/>
          <w:color w:val="auto"/>
        </w:rPr>
        <w:t xml:space="preserve">9.4 </w:t>
      </w:r>
      <w:r>
        <w:rPr>
          <w:rFonts w:hint="eastAsia" w:ascii="宋体" w:hAnsi="宋体" w:cs="宋体"/>
          <w:color w:val="auto"/>
        </w:rPr>
        <w:t>投标保证金的退还：</w:t>
      </w:r>
    </w:p>
    <w:p>
      <w:pPr>
        <w:spacing w:line="360" w:lineRule="auto"/>
        <w:ind w:firstLine="480" w:firstLineChars="200"/>
        <w:rPr>
          <w:rFonts w:ascii="宋体" w:cs="宋体"/>
          <w:color w:val="auto"/>
        </w:rPr>
      </w:pPr>
      <w:r>
        <w:rPr>
          <w:rFonts w:hint="eastAsia" w:ascii="宋体" w:hAnsi="宋体" w:cs="宋体"/>
          <w:color w:val="auto"/>
        </w:rPr>
        <w:t>投标保证金的退还采购人或者采购代理机构应当在采购活动结束后及时退还供应商的保证金，但因供应商自身原因导致无法及时退还的除外。</w:t>
      </w:r>
    </w:p>
    <w:p>
      <w:pPr>
        <w:spacing w:line="360" w:lineRule="auto"/>
        <w:ind w:firstLine="480" w:firstLineChars="200"/>
        <w:rPr>
          <w:rFonts w:ascii="宋体" w:cs="宋体"/>
          <w:color w:val="auto"/>
        </w:rPr>
      </w:pPr>
      <w:r>
        <w:rPr>
          <w:rFonts w:hint="eastAsia" w:ascii="宋体" w:hAnsi="宋体" w:cs="宋体"/>
          <w:color w:val="auto"/>
        </w:rPr>
        <w:t>未中标的投标人，其投标保证金将在中标通知书发出后</w:t>
      </w:r>
      <w:r>
        <w:rPr>
          <w:rFonts w:ascii="宋体" w:hAnsi="宋体" w:cs="宋体"/>
          <w:color w:val="auto"/>
        </w:rPr>
        <w:t>5</w:t>
      </w:r>
      <w:r>
        <w:rPr>
          <w:rFonts w:hint="eastAsia" w:ascii="宋体" w:hAnsi="宋体" w:cs="宋体"/>
          <w:color w:val="auto"/>
        </w:rPr>
        <w:t>个工作日内，由招标代理机构无息退还；</w:t>
      </w:r>
    </w:p>
    <w:p>
      <w:pPr>
        <w:spacing w:line="360" w:lineRule="auto"/>
        <w:ind w:firstLine="480" w:firstLineChars="200"/>
        <w:rPr>
          <w:rFonts w:ascii="宋体" w:cs="宋体"/>
          <w:color w:val="auto"/>
        </w:rPr>
      </w:pPr>
      <w:r>
        <w:rPr>
          <w:rFonts w:hint="eastAsia" w:ascii="宋体" w:hAnsi="宋体" w:cs="宋体"/>
          <w:color w:val="auto"/>
        </w:rPr>
        <w:t>中标的投标人，其投标保证金将在签订合同并将合同原件送至招标代理机构后，</w:t>
      </w:r>
      <w:r>
        <w:rPr>
          <w:rFonts w:ascii="宋体" w:hAnsi="宋体" w:cs="宋体"/>
          <w:color w:val="auto"/>
        </w:rPr>
        <w:t>5</w:t>
      </w:r>
      <w:r>
        <w:rPr>
          <w:rFonts w:hint="eastAsia" w:ascii="宋体" w:hAnsi="宋体" w:cs="宋体"/>
          <w:color w:val="auto"/>
        </w:rPr>
        <w:t>个工作日内无息退还。</w:t>
      </w:r>
    </w:p>
    <w:p>
      <w:pPr>
        <w:spacing w:line="360" w:lineRule="auto"/>
        <w:ind w:firstLine="480" w:firstLineChars="200"/>
        <w:rPr>
          <w:rFonts w:ascii="宋体" w:cs="宋体"/>
          <w:color w:val="auto"/>
        </w:rPr>
      </w:pPr>
      <w:r>
        <w:rPr>
          <w:rFonts w:ascii="宋体" w:hAnsi="宋体" w:cs="宋体"/>
          <w:color w:val="auto"/>
        </w:rPr>
        <w:t>9.4</w:t>
      </w:r>
      <w:r>
        <w:rPr>
          <w:rFonts w:hint="eastAsia" w:ascii="宋体" w:hAnsi="宋体" w:cs="宋体"/>
          <w:color w:val="auto"/>
        </w:rPr>
        <w:t>发生下列情况之一，投标保证金将不予退还：</w:t>
      </w:r>
    </w:p>
    <w:p>
      <w:pPr>
        <w:spacing w:line="360" w:lineRule="auto"/>
        <w:ind w:firstLine="480" w:firstLineChars="200"/>
        <w:rPr>
          <w:rFonts w:ascii="宋体" w:cs="宋体"/>
          <w:color w:val="auto"/>
        </w:rPr>
      </w:pPr>
      <w:r>
        <w:rPr>
          <w:rFonts w:hint="eastAsia" w:ascii="宋体" w:hAnsi="宋体" w:cs="宋体"/>
          <w:color w:val="auto"/>
        </w:rPr>
        <w:t>（一）供应商在提交响应文件截止时间后撤回响应文件的；</w:t>
      </w:r>
    </w:p>
    <w:p>
      <w:pPr>
        <w:spacing w:line="360" w:lineRule="auto"/>
        <w:ind w:firstLine="480" w:firstLineChars="200"/>
        <w:rPr>
          <w:rFonts w:ascii="宋体" w:cs="宋体"/>
          <w:color w:val="auto"/>
        </w:rPr>
      </w:pPr>
      <w:r>
        <w:rPr>
          <w:rFonts w:hint="eastAsia" w:ascii="宋体" w:hAnsi="宋体" w:cs="宋体"/>
          <w:color w:val="auto"/>
        </w:rPr>
        <w:t>（二）供应商在响应文件中提供虚假材料的；</w:t>
      </w:r>
    </w:p>
    <w:p>
      <w:pPr>
        <w:spacing w:line="360" w:lineRule="auto"/>
        <w:ind w:firstLine="480" w:firstLineChars="200"/>
        <w:rPr>
          <w:rFonts w:ascii="宋体" w:cs="宋体"/>
          <w:color w:val="auto"/>
        </w:rPr>
      </w:pPr>
      <w:r>
        <w:rPr>
          <w:rFonts w:hint="eastAsia" w:ascii="宋体" w:hAnsi="宋体" w:cs="宋体"/>
          <w:color w:val="auto"/>
        </w:rPr>
        <w:t>（三）除因不可抗力或询价文件认可的情形以外，成交供应商不与采购人签订合同的；</w:t>
      </w:r>
    </w:p>
    <w:p>
      <w:pPr>
        <w:spacing w:line="360" w:lineRule="auto"/>
        <w:ind w:firstLine="480" w:firstLineChars="200"/>
        <w:rPr>
          <w:rFonts w:ascii="宋体" w:cs="宋体"/>
          <w:color w:val="auto"/>
        </w:rPr>
      </w:pPr>
      <w:r>
        <w:rPr>
          <w:rFonts w:hint="eastAsia" w:ascii="宋体" w:hAnsi="宋体" w:cs="宋体"/>
          <w:color w:val="auto"/>
        </w:rPr>
        <w:t>（四）供应商与采购人、其他供应商或者采购代理机构恶意串通的；</w:t>
      </w:r>
    </w:p>
    <w:p>
      <w:pPr>
        <w:spacing w:line="360" w:lineRule="auto"/>
        <w:ind w:firstLine="480" w:firstLineChars="200"/>
        <w:rPr>
          <w:rFonts w:ascii="宋体" w:cs="宋体"/>
          <w:color w:val="auto"/>
        </w:rPr>
      </w:pPr>
      <w:r>
        <w:rPr>
          <w:rFonts w:hint="eastAsia" w:ascii="宋体" w:hAnsi="宋体" w:cs="宋体"/>
          <w:color w:val="auto"/>
        </w:rPr>
        <w:t>（五）采购文件规定的其他情形。</w:t>
      </w:r>
    </w:p>
    <w:p>
      <w:pPr>
        <w:spacing w:line="360" w:lineRule="auto"/>
        <w:rPr>
          <w:rFonts w:ascii="宋体" w:cs="宋体"/>
          <w:bCs/>
          <w:color w:val="auto"/>
        </w:rPr>
      </w:pPr>
      <w:r>
        <w:rPr>
          <w:rFonts w:ascii="宋体" w:hAnsi="宋体" w:cs="宋体"/>
          <w:bCs/>
          <w:color w:val="auto"/>
        </w:rPr>
        <w:t>10</w:t>
      </w:r>
      <w:r>
        <w:rPr>
          <w:rFonts w:hint="eastAsia" w:ascii="宋体" w:hAnsi="宋体" w:cs="宋体"/>
          <w:bCs/>
          <w:color w:val="auto"/>
        </w:rPr>
        <w:t>．报价有效期</w:t>
      </w:r>
    </w:p>
    <w:p>
      <w:pPr>
        <w:spacing w:line="360" w:lineRule="auto"/>
        <w:ind w:firstLine="480" w:firstLineChars="200"/>
        <w:rPr>
          <w:rFonts w:ascii="宋体" w:cs="宋体"/>
          <w:color w:val="auto"/>
        </w:rPr>
      </w:pPr>
      <w:r>
        <w:rPr>
          <w:rFonts w:ascii="宋体" w:hAnsi="宋体" w:cs="宋体"/>
          <w:color w:val="auto"/>
        </w:rPr>
        <w:t xml:space="preserve">10.l </w:t>
      </w:r>
      <w:r>
        <w:rPr>
          <w:rFonts w:hint="eastAsia" w:ascii="宋体" w:hAnsi="宋体" w:cs="宋体"/>
          <w:color w:val="auto"/>
        </w:rPr>
        <w:t>报价有效期为从开标截止之日起计算的</w:t>
      </w:r>
      <w:r>
        <w:rPr>
          <w:rFonts w:ascii="宋体" w:hAnsi="宋体" w:cs="宋体"/>
          <w:color w:val="auto"/>
        </w:rPr>
        <w:t>60</w:t>
      </w:r>
      <w:r>
        <w:rPr>
          <w:rFonts w:hint="eastAsia" w:ascii="宋体" w:hAnsi="宋体" w:cs="宋体"/>
          <w:color w:val="auto"/>
        </w:rPr>
        <w:t>天，有效期短于此规定的报价文件将被视为无效。</w:t>
      </w:r>
    </w:p>
    <w:p>
      <w:pPr>
        <w:spacing w:line="360" w:lineRule="auto"/>
        <w:ind w:firstLine="480" w:firstLineChars="200"/>
        <w:rPr>
          <w:rFonts w:ascii="宋体" w:cs="宋体"/>
          <w:color w:val="auto"/>
        </w:rPr>
      </w:pPr>
      <w:r>
        <w:rPr>
          <w:rFonts w:ascii="宋体" w:hAnsi="宋体" w:cs="宋体"/>
          <w:color w:val="auto"/>
        </w:rPr>
        <w:t xml:space="preserve">10.2 </w:t>
      </w:r>
      <w:r>
        <w:rPr>
          <w:rFonts w:hint="eastAsia" w:ascii="宋体" w:hAnsi="宋体" w:cs="宋体"/>
          <w:bCs/>
          <w:color w:val="auto"/>
          <w:lang w:val="en-GB"/>
        </w:rPr>
        <w:t>特殊情况下，在原响应有效期截止之前，代理机构和采购人可要求供应商延长响应有效期。这种要求与答复均应以书面形式提交。供应商可拒绝代理机构和采购人的这种要求，但其响应文件在原响应有效期满后将不再有效。同意延长响应有效期的供应商将不会被要求和允许修正其响应文件。</w:t>
      </w:r>
    </w:p>
    <w:p>
      <w:pPr>
        <w:spacing w:line="360" w:lineRule="auto"/>
        <w:rPr>
          <w:rFonts w:ascii="宋体" w:cs="宋体"/>
          <w:color w:val="auto"/>
          <w:lang w:val="en-GB"/>
        </w:rPr>
      </w:pPr>
      <w:r>
        <w:rPr>
          <w:rFonts w:ascii="宋体" w:hAnsi="宋体" w:cs="宋体"/>
          <w:color w:val="auto"/>
        </w:rPr>
        <w:t>11</w:t>
      </w:r>
      <w:r>
        <w:rPr>
          <w:rFonts w:hint="eastAsia" w:ascii="宋体" w:hAnsi="宋体" w:cs="宋体"/>
          <w:color w:val="auto"/>
          <w:lang w:val="en-GB"/>
        </w:rPr>
        <w:t>．报价文件的数量、签署及形式</w:t>
      </w:r>
    </w:p>
    <w:p>
      <w:pPr>
        <w:spacing w:line="360" w:lineRule="auto"/>
        <w:ind w:firstLine="480" w:firstLineChars="200"/>
        <w:rPr>
          <w:rFonts w:ascii="宋体" w:cs="宋体"/>
          <w:bCs/>
          <w:color w:val="auto"/>
          <w:lang w:val="en-GB"/>
        </w:rPr>
      </w:pPr>
      <w:r>
        <w:rPr>
          <w:rFonts w:ascii="宋体" w:hAnsi="宋体" w:cs="宋体"/>
          <w:bCs/>
          <w:color w:val="auto"/>
        </w:rPr>
        <w:t>11</w:t>
      </w:r>
      <w:r>
        <w:rPr>
          <w:rFonts w:ascii="宋体" w:hAnsi="宋体" w:cs="宋体"/>
          <w:bCs/>
          <w:color w:val="auto"/>
          <w:lang w:val="en-GB"/>
        </w:rPr>
        <w:t>.1</w:t>
      </w:r>
      <w:r>
        <w:rPr>
          <w:rFonts w:hint="eastAsia" w:ascii="宋体" w:hAnsi="宋体" w:cs="宋体"/>
          <w:bCs/>
          <w:color w:val="auto"/>
          <w:lang w:val="en-GB"/>
        </w:rPr>
        <w:t>报价文件一式三份，正本壹份、副本贰份，电子版壹份（</w:t>
      </w:r>
      <w:r>
        <w:rPr>
          <w:rFonts w:ascii="宋体" w:hAnsi="宋体" w:cs="宋体"/>
          <w:bCs/>
          <w:color w:val="auto"/>
          <w:lang w:val="en-GB"/>
        </w:rPr>
        <w:t>U</w:t>
      </w:r>
      <w:r>
        <w:rPr>
          <w:rFonts w:hint="eastAsia" w:ascii="宋体" w:hAnsi="宋体" w:cs="宋体"/>
          <w:bCs/>
          <w:color w:val="auto"/>
          <w:lang w:val="en-GB"/>
        </w:rPr>
        <w:t>盘或光盘）。采用左侧胶装方式装订并装订成册，装订应牢固、不易拆散和换页，不得采用活页装订。以及用于开标唱标另单独提交的“开标一览表”（壹份）。报价文件的正本和副本应在其封面报价文件封面标明项目名称、采购编号、供应商名称及右上角清楚地标明“正本”、“副本”、“电子版”字样。“正本”和“副本”具有同等的法律效力；若正本和副本有不一致的内容，以正本书面投标文件为准。</w:t>
      </w:r>
    </w:p>
    <w:p>
      <w:pPr>
        <w:spacing w:line="360" w:lineRule="auto"/>
        <w:ind w:firstLine="480" w:firstLineChars="200"/>
        <w:rPr>
          <w:rFonts w:ascii="宋体" w:cs="宋体"/>
          <w:bCs/>
          <w:color w:val="auto"/>
          <w:lang w:val="en-GB"/>
        </w:rPr>
      </w:pPr>
      <w:r>
        <w:rPr>
          <w:rFonts w:ascii="宋体" w:hAnsi="宋体" w:cs="宋体"/>
          <w:bCs/>
          <w:color w:val="auto"/>
          <w:lang w:val="en-GB"/>
        </w:rPr>
        <w:t>1</w:t>
      </w:r>
      <w:r>
        <w:rPr>
          <w:rFonts w:ascii="宋体" w:hAnsi="宋体" w:cs="宋体"/>
          <w:bCs/>
          <w:color w:val="auto"/>
        </w:rPr>
        <w:t>1</w:t>
      </w:r>
      <w:r>
        <w:rPr>
          <w:rFonts w:ascii="宋体" w:hAnsi="宋体" w:cs="宋体"/>
          <w:bCs/>
          <w:color w:val="auto"/>
          <w:lang w:val="en-GB"/>
        </w:rPr>
        <w:t>.2</w:t>
      </w:r>
      <w:r>
        <w:rPr>
          <w:rFonts w:hint="eastAsia" w:ascii="宋体" w:hAnsi="宋体" w:cs="宋体"/>
          <w:bCs/>
          <w:color w:val="auto"/>
          <w:lang w:val="en-GB"/>
        </w:rPr>
        <w:t>投标文件应由投标单位法定代表人或经法定代表人正式授权的供应商代表按询价文件的要求签字或加盖公章。</w:t>
      </w:r>
    </w:p>
    <w:p>
      <w:pPr>
        <w:spacing w:line="360" w:lineRule="auto"/>
        <w:ind w:firstLine="480" w:firstLineChars="200"/>
        <w:rPr>
          <w:rFonts w:ascii="宋体" w:cs="宋体"/>
          <w:bCs/>
          <w:color w:val="auto"/>
          <w:lang w:val="en-GB"/>
        </w:rPr>
      </w:pPr>
      <w:r>
        <w:rPr>
          <w:rFonts w:ascii="宋体" w:hAnsi="宋体" w:cs="宋体"/>
          <w:bCs/>
          <w:color w:val="auto"/>
          <w:lang w:val="en-GB"/>
        </w:rPr>
        <w:t>1</w:t>
      </w:r>
      <w:r>
        <w:rPr>
          <w:rFonts w:ascii="宋体" w:hAnsi="宋体" w:cs="宋体"/>
          <w:bCs/>
          <w:color w:val="auto"/>
        </w:rPr>
        <w:t>1</w:t>
      </w:r>
      <w:r>
        <w:rPr>
          <w:rFonts w:ascii="宋体" w:cs="宋体"/>
          <w:bCs/>
          <w:color w:val="auto"/>
          <w:lang w:val="en-GB"/>
        </w:rPr>
        <w:t>.</w:t>
      </w:r>
      <w:r>
        <w:rPr>
          <w:rFonts w:ascii="宋体" w:hAnsi="宋体" w:cs="宋体"/>
          <w:bCs/>
          <w:color w:val="auto"/>
        </w:rPr>
        <w:t>3</w:t>
      </w:r>
      <w:r>
        <w:rPr>
          <w:rFonts w:hint="eastAsia" w:ascii="宋体" w:hAnsi="宋体" w:cs="宋体"/>
          <w:bCs/>
          <w:color w:val="auto"/>
          <w:lang w:val="en-GB"/>
        </w:rPr>
        <w:t>报价文件的正本和副本均需打印或用不褪色、不变质的墨水书写，报价文件封面标明项目名称、采购编号、供应商名称以及“正本”、“副本”、“电子版”字样。并由供应商的法定代表人或其授权代表在规定签章处签字和盖章。用于开标唱标单独提交的“开标一览表”应为原件。</w:t>
      </w:r>
    </w:p>
    <w:p>
      <w:pPr>
        <w:spacing w:line="360" w:lineRule="auto"/>
        <w:ind w:firstLine="480" w:firstLineChars="200"/>
        <w:rPr>
          <w:rFonts w:ascii="宋体" w:cs="宋体"/>
          <w:bCs/>
          <w:color w:val="auto"/>
          <w:lang w:val="en-GB"/>
        </w:rPr>
      </w:pPr>
      <w:r>
        <w:rPr>
          <w:rFonts w:ascii="宋体" w:hAnsi="宋体" w:cs="宋体"/>
          <w:bCs/>
          <w:color w:val="auto"/>
          <w:lang w:val="en-GB"/>
        </w:rPr>
        <w:t>1</w:t>
      </w:r>
      <w:r>
        <w:rPr>
          <w:rFonts w:ascii="宋体" w:hAnsi="宋体" w:cs="宋体"/>
          <w:bCs/>
          <w:color w:val="auto"/>
        </w:rPr>
        <w:t>1</w:t>
      </w:r>
      <w:r>
        <w:rPr>
          <w:rFonts w:ascii="宋体" w:cs="宋体"/>
          <w:bCs/>
          <w:color w:val="auto"/>
          <w:lang w:val="en-GB"/>
        </w:rPr>
        <w:t>.</w:t>
      </w:r>
      <w:r>
        <w:rPr>
          <w:rFonts w:ascii="宋体" w:hAnsi="宋体" w:cs="宋体"/>
          <w:bCs/>
          <w:color w:val="auto"/>
        </w:rPr>
        <w:t>4</w:t>
      </w:r>
      <w:r>
        <w:rPr>
          <w:rFonts w:hint="eastAsia" w:ascii="宋体" w:hAnsi="宋体" w:cs="宋体"/>
          <w:bCs/>
          <w:color w:val="auto"/>
          <w:lang w:val="en-GB"/>
        </w:rPr>
        <w:t>报价文件的打印和书写应清楚工整，任何行间插字、涂改或增删，必须由报价人的法定代表人或其授权代表签字或盖个人印鉴。字迹潦草、表达不清或可能导致非唯一理解的投标文件可能视为无效投标。</w:t>
      </w:r>
    </w:p>
    <w:p>
      <w:pPr>
        <w:spacing w:line="360" w:lineRule="auto"/>
        <w:rPr>
          <w:rFonts w:ascii="宋体" w:cs="宋体"/>
          <w:bCs/>
          <w:color w:val="auto"/>
        </w:rPr>
      </w:pPr>
      <w:r>
        <w:rPr>
          <w:rFonts w:ascii="宋体" w:hAnsi="宋体" w:cs="宋体"/>
          <w:color w:val="auto"/>
        </w:rPr>
        <w:t>12</w:t>
      </w:r>
      <w:r>
        <w:rPr>
          <w:rFonts w:hint="eastAsia" w:ascii="宋体" w:hAnsi="宋体" w:cs="宋体"/>
          <w:color w:val="auto"/>
        </w:rPr>
        <w:t>、</w:t>
      </w:r>
      <w:r>
        <w:rPr>
          <w:rFonts w:hint="eastAsia" w:ascii="宋体" w:hAnsi="宋体" w:cs="宋体"/>
          <w:bCs/>
          <w:color w:val="auto"/>
        </w:rPr>
        <w:t>报价文件的递交及密封</w:t>
      </w:r>
    </w:p>
    <w:p>
      <w:pPr>
        <w:shd w:val="clear" w:color="auto" w:fill="FFFFFF"/>
        <w:snapToGrid w:val="0"/>
        <w:spacing w:line="360" w:lineRule="auto"/>
        <w:ind w:firstLine="480" w:firstLineChars="200"/>
        <w:rPr>
          <w:rFonts w:ascii="宋体" w:cs="宋体"/>
          <w:bCs/>
          <w:color w:val="auto"/>
          <w:lang w:val="en-GB"/>
        </w:rPr>
      </w:pPr>
      <w:r>
        <w:rPr>
          <w:rFonts w:ascii="宋体" w:hAnsi="宋体" w:cs="宋体"/>
          <w:bCs/>
          <w:color w:val="auto"/>
          <w:lang w:val="en-GB"/>
        </w:rPr>
        <w:t>1</w:t>
      </w:r>
      <w:r>
        <w:rPr>
          <w:rFonts w:ascii="宋体" w:hAnsi="宋体" w:cs="宋体"/>
          <w:bCs/>
          <w:color w:val="auto"/>
        </w:rPr>
        <w:t>2</w:t>
      </w:r>
      <w:r>
        <w:rPr>
          <w:rFonts w:hint="eastAsia" w:ascii="宋体" w:hAnsi="宋体" w:cs="宋体"/>
          <w:bCs/>
          <w:color w:val="auto"/>
          <w:lang w:val="en-GB"/>
        </w:rPr>
        <w:t>．</w:t>
      </w:r>
      <w:r>
        <w:rPr>
          <w:rFonts w:ascii="宋体" w:hAnsi="宋体" w:cs="宋体"/>
          <w:bCs/>
          <w:color w:val="auto"/>
          <w:lang w:val="en-GB"/>
        </w:rPr>
        <w:t>1</w:t>
      </w:r>
      <w:r>
        <w:rPr>
          <w:rFonts w:hint="eastAsia" w:ascii="宋体" w:hAnsi="宋体" w:cs="宋体"/>
          <w:bCs/>
          <w:color w:val="auto"/>
          <w:lang w:val="en-GB"/>
        </w:rPr>
        <w:t>报价文件的密封及标记</w:t>
      </w:r>
    </w:p>
    <w:p>
      <w:pPr>
        <w:shd w:val="clear" w:color="auto" w:fill="FFFFFF"/>
        <w:snapToGrid w:val="0"/>
        <w:spacing w:line="360" w:lineRule="auto"/>
        <w:ind w:firstLine="480" w:firstLineChars="200"/>
        <w:rPr>
          <w:rFonts w:ascii="宋体" w:cs="宋体"/>
          <w:bCs/>
          <w:color w:val="auto"/>
          <w:lang w:val="en-GB"/>
        </w:rPr>
      </w:pPr>
      <w:r>
        <w:rPr>
          <w:rFonts w:hint="eastAsia" w:ascii="宋体" w:hAnsi="宋体" w:cs="宋体"/>
          <w:bCs/>
          <w:color w:val="auto"/>
          <w:lang w:val="en-GB"/>
        </w:rPr>
        <w:t>报价文件正本、所有副本、另单独提交的开标一览表，应分别封装于不同的密封袋内，密封袋上应分别标上“正本”、“副本”、“开标一览表”、字样，封口处应加盖骑缝章。封皮上均应写明：</w:t>
      </w:r>
    </w:p>
    <w:p>
      <w:pPr>
        <w:shd w:val="clear" w:color="auto" w:fill="FFFFFF"/>
        <w:snapToGrid w:val="0"/>
        <w:spacing w:line="360" w:lineRule="auto"/>
        <w:ind w:firstLine="720" w:firstLineChars="300"/>
        <w:rPr>
          <w:rFonts w:ascii="宋体" w:cs="宋体"/>
          <w:bCs/>
          <w:color w:val="auto"/>
          <w:lang w:val="en-GB"/>
        </w:rPr>
      </w:pPr>
      <w:r>
        <w:rPr>
          <w:rFonts w:hint="eastAsia" w:ascii="宋体" w:hAnsi="宋体" w:cs="宋体"/>
          <w:bCs/>
          <w:color w:val="auto"/>
          <w:lang w:val="en-GB"/>
        </w:rPr>
        <w:t>致：红城国际工程项目管理有限公司</w:t>
      </w:r>
    </w:p>
    <w:p>
      <w:pPr>
        <w:shd w:val="clear" w:color="auto" w:fill="FFFFFF"/>
        <w:snapToGrid w:val="0"/>
        <w:spacing w:line="360" w:lineRule="auto"/>
        <w:ind w:firstLine="720" w:firstLineChars="300"/>
        <w:rPr>
          <w:rFonts w:hint="eastAsia" w:ascii="宋体" w:eastAsia="宋体" w:cs="宋体"/>
          <w:bCs/>
          <w:color w:val="auto"/>
          <w:lang w:val="en-GB" w:eastAsia="zh-CN"/>
        </w:rPr>
      </w:pPr>
      <w:r>
        <w:rPr>
          <w:rFonts w:hint="eastAsia" w:ascii="宋体" w:hAnsi="宋体" w:cs="宋体"/>
          <w:bCs/>
          <w:color w:val="auto"/>
          <w:lang w:val="en-GB"/>
        </w:rPr>
        <w:t>项目名称：</w:t>
      </w:r>
      <w:r>
        <w:rPr>
          <w:rFonts w:hint="eastAsia" w:ascii="宋体" w:hAnsi="宋体" w:cs="宋体"/>
          <w:bCs/>
          <w:color w:val="auto"/>
          <w:lang w:val="en-GB" w:eastAsia="zh-CN"/>
        </w:rPr>
        <w:t>海棠湾车辆采购项目(二次招标)</w:t>
      </w:r>
    </w:p>
    <w:p>
      <w:pPr>
        <w:shd w:val="clear" w:color="auto" w:fill="FFFFFF"/>
        <w:snapToGrid w:val="0"/>
        <w:spacing w:line="360" w:lineRule="auto"/>
        <w:ind w:firstLine="720" w:firstLineChars="300"/>
        <w:rPr>
          <w:rFonts w:hint="eastAsia" w:ascii="宋体" w:eastAsia="宋体" w:cs="宋体"/>
          <w:bCs/>
          <w:color w:val="auto"/>
          <w:lang w:val="en-GB" w:eastAsia="zh-CN"/>
        </w:rPr>
      </w:pPr>
      <w:r>
        <w:rPr>
          <w:rFonts w:hint="eastAsia" w:ascii="宋体" w:hAnsi="宋体" w:cs="宋体"/>
          <w:bCs/>
          <w:color w:val="auto"/>
          <w:lang w:val="en-GB"/>
        </w:rPr>
        <w:t>项目编号：</w:t>
      </w:r>
      <w:r>
        <w:rPr>
          <w:rFonts w:hint="eastAsia" w:ascii="宋体" w:hAnsi="宋体" w:cs="宋体"/>
          <w:bCs/>
          <w:color w:val="auto"/>
          <w:lang w:val="en-GB" w:eastAsia="zh-CN"/>
        </w:rPr>
        <w:t>HCGJ18-215R</w:t>
      </w:r>
    </w:p>
    <w:p>
      <w:pPr>
        <w:shd w:val="clear" w:color="auto" w:fill="FFFFFF"/>
        <w:snapToGrid w:val="0"/>
        <w:spacing w:line="360" w:lineRule="auto"/>
        <w:ind w:firstLine="720" w:firstLineChars="300"/>
        <w:rPr>
          <w:rFonts w:ascii="宋体" w:cs="宋体"/>
          <w:bCs/>
          <w:color w:val="auto"/>
          <w:lang w:val="en-GB"/>
        </w:rPr>
      </w:pPr>
      <w:r>
        <w:rPr>
          <w:rFonts w:hint="eastAsia" w:ascii="宋体" w:hAnsi="宋体" w:cs="宋体"/>
          <w:bCs/>
          <w:color w:val="auto"/>
          <w:lang w:val="en-GB"/>
        </w:rPr>
        <w:t>注明：“请勿在开标时间之前启封”</w:t>
      </w:r>
    </w:p>
    <w:p>
      <w:pPr>
        <w:shd w:val="clear" w:color="auto" w:fill="FFFFFF"/>
        <w:snapToGrid w:val="0"/>
        <w:spacing w:line="360" w:lineRule="auto"/>
        <w:ind w:firstLine="720" w:firstLineChars="300"/>
        <w:rPr>
          <w:rFonts w:ascii="宋体" w:cs="宋体"/>
          <w:bCs/>
          <w:color w:val="auto"/>
          <w:lang w:val="en-GB"/>
        </w:rPr>
      </w:pPr>
      <w:r>
        <w:rPr>
          <w:rFonts w:hint="eastAsia" w:ascii="宋体" w:hAnsi="宋体" w:cs="宋体"/>
          <w:bCs/>
          <w:color w:val="auto"/>
          <w:lang w:val="en-GB"/>
        </w:rPr>
        <w:t>投标单位名称、联系人姓名和电话</w:t>
      </w:r>
    </w:p>
    <w:p>
      <w:pPr>
        <w:shd w:val="clear" w:color="auto" w:fill="FFFFFF"/>
        <w:snapToGrid w:val="0"/>
        <w:spacing w:line="360" w:lineRule="auto"/>
        <w:ind w:firstLine="720" w:firstLineChars="300"/>
        <w:rPr>
          <w:rFonts w:ascii="宋体" w:cs="宋体"/>
          <w:bCs/>
          <w:color w:val="auto"/>
          <w:lang w:val="en-GB"/>
        </w:rPr>
      </w:pPr>
      <w:r>
        <w:rPr>
          <w:rFonts w:hint="eastAsia" w:ascii="宋体" w:hAnsi="宋体" w:cs="宋体"/>
          <w:bCs/>
          <w:color w:val="auto"/>
          <w:lang w:val="en-GB"/>
        </w:rPr>
        <w:t>报价文件未按上述规定书写标记和密封者，招标代理机构不对报价文件被错放或先期启封负责。</w:t>
      </w:r>
    </w:p>
    <w:p>
      <w:pPr>
        <w:spacing w:line="360" w:lineRule="auto"/>
        <w:rPr>
          <w:rFonts w:ascii="宋体" w:cs="宋体"/>
          <w:color w:val="auto"/>
        </w:rPr>
      </w:pPr>
      <w:r>
        <w:rPr>
          <w:rFonts w:ascii="宋体" w:hAnsi="宋体" w:cs="宋体"/>
          <w:color w:val="auto"/>
        </w:rPr>
        <w:t>13</w:t>
      </w:r>
      <w:r>
        <w:rPr>
          <w:rFonts w:hint="eastAsia" w:ascii="宋体" w:hAnsi="宋体" w:cs="宋体"/>
          <w:color w:val="auto"/>
        </w:rPr>
        <w:t>、报价截止时间</w:t>
      </w:r>
    </w:p>
    <w:p>
      <w:pPr>
        <w:shd w:val="clear" w:color="auto" w:fill="FFFFFF"/>
        <w:snapToGrid w:val="0"/>
        <w:spacing w:line="360" w:lineRule="auto"/>
        <w:ind w:firstLine="480" w:firstLineChars="200"/>
        <w:rPr>
          <w:rFonts w:ascii="宋体" w:cs="宋体"/>
          <w:color w:val="auto"/>
        </w:rPr>
      </w:pPr>
      <w:r>
        <w:rPr>
          <w:rFonts w:ascii="宋体" w:hAnsi="宋体" w:cs="宋体"/>
          <w:color w:val="auto"/>
        </w:rPr>
        <w:t xml:space="preserve">13.l </w:t>
      </w:r>
      <w:r>
        <w:rPr>
          <w:rFonts w:hint="eastAsia" w:ascii="宋体" w:hAnsi="宋体" w:cs="宋体"/>
          <w:color w:val="auto"/>
        </w:rPr>
        <w:t>投标人须在投标截止时间前将投标文件送达招标代理机构规定的地点。</w:t>
      </w:r>
    </w:p>
    <w:p>
      <w:pPr>
        <w:shd w:val="clear" w:color="auto" w:fill="FFFFFF"/>
        <w:snapToGrid w:val="0"/>
        <w:spacing w:line="360" w:lineRule="auto"/>
        <w:ind w:firstLine="480" w:firstLineChars="200"/>
        <w:rPr>
          <w:rFonts w:ascii="宋体" w:cs="宋体"/>
          <w:color w:val="auto"/>
        </w:rPr>
      </w:pPr>
      <w:r>
        <w:rPr>
          <w:rFonts w:ascii="宋体" w:hAnsi="宋体" w:cs="宋体"/>
          <w:color w:val="auto"/>
        </w:rPr>
        <w:t xml:space="preserve">13.2 </w:t>
      </w:r>
      <w:r>
        <w:rPr>
          <w:rFonts w:hint="eastAsia" w:ascii="宋体" w:hAnsi="宋体" w:cs="宋体"/>
          <w:color w:val="auto"/>
        </w:rPr>
        <w:t>若招标代理机构推迟了投标截止时间，应以公告的形式通知所有投标人。在这种情况下，招标代理机构、采购人和投标人的权利和义务均应以新的截止时间为准。</w:t>
      </w:r>
    </w:p>
    <w:p>
      <w:pPr>
        <w:shd w:val="clear" w:color="auto" w:fill="FFFFFF"/>
        <w:snapToGrid w:val="0"/>
        <w:spacing w:line="360" w:lineRule="auto"/>
        <w:ind w:firstLine="480" w:firstLineChars="200"/>
        <w:rPr>
          <w:rFonts w:ascii="宋体" w:cs="宋体"/>
          <w:color w:val="auto"/>
        </w:rPr>
      </w:pPr>
      <w:r>
        <w:rPr>
          <w:rFonts w:ascii="宋体" w:hAnsi="宋体" w:cs="宋体"/>
          <w:color w:val="auto"/>
        </w:rPr>
        <w:t>13.3</w:t>
      </w:r>
      <w:r>
        <w:rPr>
          <w:rFonts w:hint="eastAsia" w:ascii="宋体" w:hAnsi="宋体" w:cs="宋体"/>
          <w:color w:val="auto"/>
        </w:rPr>
        <w:t>在投标截止时间后递交的投标文件，招标代理机构将拒绝接受。</w:t>
      </w:r>
    </w:p>
    <w:p>
      <w:pPr>
        <w:shd w:val="clear" w:color="auto" w:fill="FFFFFF"/>
        <w:snapToGrid w:val="0"/>
        <w:spacing w:line="360" w:lineRule="auto"/>
        <w:ind w:firstLine="480" w:firstLineChars="200"/>
        <w:rPr>
          <w:rFonts w:ascii="宋体" w:cs="宋体"/>
          <w:color w:val="auto"/>
        </w:rPr>
      </w:pPr>
      <w:r>
        <w:rPr>
          <w:rFonts w:ascii="宋体" w:hAnsi="宋体" w:cs="宋体"/>
          <w:color w:val="auto"/>
        </w:rPr>
        <w:t>13.4</w:t>
      </w:r>
      <w:r>
        <w:rPr>
          <w:rFonts w:hint="eastAsia" w:ascii="宋体" w:hAnsi="宋体" w:cs="宋体"/>
          <w:color w:val="auto"/>
        </w:rPr>
        <w:t>在规定时间内提交投标文件的投标人不足</w:t>
      </w:r>
      <w:r>
        <w:rPr>
          <w:rFonts w:ascii="宋体" w:hAnsi="宋体" w:cs="宋体"/>
          <w:color w:val="auto"/>
        </w:rPr>
        <w:t>3</w:t>
      </w:r>
      <w:r>
        <w:rPr>
          <w:rFonts w:hint="eastAsia" w:ascii="宋体" w:hAnsi="宋体" w:cs="宋体"/>
          <w:color w:val="auto"/>
        </w:rPr>
        <w:t>家，不得开标，本次招标失败。</w:t>
      </w:r>
    </w:p>
    <w:p>
      <w:pPr>
        <w:shd w:val="clear" w:color="auto" w:fill="FFFFFF"/>
        <w:snapToGrid w:val="0"/>
        <w:spacing w:line="360" w:lineRule="auto"/>
        <w:rPr>
          <w:rFonts w:ascii="宋体" w:cs="宋体"/>
          <w:bCs/>
          <w:color w:val="auto"/>
        </w:rPr>
      </w:pPr>
      <w:r>
        <w:rPr>
          <w:rFonts w:ascii="宋体" w:hAnsi="宋体" w:cs="宋体"/>
          <w:bCs/>
          <w:color w:val="auto"/>
        </w:rPr>
        <w:t>14</w:t>
      </w:r>
      <w:r>
        <w:rPr>
          <w:rFonts w:hint="eastAsia" w:ascii="宋体" w:hAnsi="宋体" w:cs="宋体"/>
          <w:bCs/>
          <w:color w:val="auto"/>
        </w:rPr>
        <w:t>、开标</w:t>
      </w:r>
    </w:p>
    <w:p>
      <w:pPr>
        <w:spacing w:before="120" w:line="360" w:lineRule="auto"/>
        <w:ind w:firstLine="480" w:firstLineChars="200"/>
        <w:rPr>
          <w:rFonts w:ascii="宋体" w:cs="宋体"/>
          <w:color w:val="auto"/>
        </w:rPr>
      </w:pPr>
      <w:r>
        <w:rPr>
          <w:rFonts w:ascii="宋体" w:hAnsi="宋体" w:cs="宋体"/>
          <w:color w:val="auto"/>
        </w:rPr>
        <w:t xml:space="preserve">14.1 </w:t>
      </w:r>
      <w:r>
        <w:rPr>
          <w:rFonts w:hint="eastAsia" w:ascii="宋体" w:hAnsi="宋体" w:cs="宋体"/>
          <w:color w:val="auto"/>
        </w:rPr>
        <w:t>采购代理机构在报价文件规定的时间和地点组织询价非公开招标开标，采购人、投标人须派代表参加并签到以证明其出席。</w:t>
      </w:r>
    </w:p>
    <w:p>
      <w:pPr>
        <w:spacing w:line="360" w:lineRule="auto"/>
        <w:ind w:firstLine="480" w:firstLineChars="200"/>
        <w:rPr>
          <w:rFonts w:ascii="宋体" w:cs="宋体"/>
          <w:bCs/>
          <w:color w:val="auto"/>
        </w:rPr>
      </w:pPr>
      <w:r>
        <w:rPr>
          <w:rFonts w:ascii="宋体" w:hAnsi="宋体" w:cs="宋体"/>
          <w:color w:val="auto"/>
        </w:rPr>
        <w:t>14.2</w:t>
      </w:r>
      <w:r>
        <w:rPr>
          <w:rFonts w:hint="eastAsia" w:ascii="宋体" w:hAnsi="宋体" w:cs="宋体"/>
          <w:bCs/>
          <w:color w:val="auto"/>
        </w:rPr>
        <w:t>参加开标仪式的投标人代表应携带本人身份证和法定代表人证明（或法定代表人授权委托书）签到，未携带以上证件的人员不得进入会场。每个投标人只能派出壹名代表进入开标仪式现场。投标人未参加开标的，视同认可开标结果。</w:t>
      </w:r>
    </w:p>
    <w:p>
      <w:pPr>
        <w:spacing w:line="360" w:lineRule="auto"/>
        <w:ind w:firstLine="480" w:firstLineChars="200"/>
        <w:rPr>
          <w:rFonts w:ascii="宋体" w:cs="宋体"/>
          <w:color w:val="auto"/>
        </w:rPr>
      </w:pPr>
      <w:r>
        <w:rPr>
          <w:rFonts w:ascii="宋体" w:hAnsi="宋体" w:cs="宋体"/>
          <w:color w:val="auto"/>
        </w:rPr>
        <w:t xml:space="preserve">14.3 </w:t>
      </w:r>
      <w:r>
        <w:rPr>
          <w:rFonts w:hint="eastAsia" w:ascii="宋体" w:hAnsi="宋体" w:cs="宋体"/>
          <w:color w:val="auto"/>
        </w:rPr>
        <w:t>开标时，采购代理机构请投标人对投标文件的密封情况进行检查。经确认无误后，由招标工作人员将投标人单独递交的“开标一览表”当众拆封，并由唱标人员按照招标文件规定的内容进行宣读。若投标文件未密封，采购代理机构将拒绝接受该投标人的投标文件。</w:t>
      </w:r>
    </w:p>
    <w:p>
      <w:pPr>
        <w:spacing w:before="120" w:line="360" w:lineRule="auto"/>
        <w:ind w:firstLine="480" w:firstLineChars="200"/>
        <w:rPr>
          <w:rFonts w:ascii="宋体" w:cs="宋体"/>
          <w:color w:val="auto"/>
        </w:rPr>
      </w:pPr>
      <w:r>
        <w:rPr>
          <w:rFonts w:ascii="宋体" w:hAnsi="宋体" w:cs="宋体"/>
          <w:color w:val="auto"/>
        </w:rPr>
        <w:t>14.4</w:t>
      </w:r>
      <w:r>
        <w:rPr>
          <w:rFonts w:hint="eastAsia" w:ascii="宋体" w:hAnsi="宋体" w:cs="宋体"/>
          <w:color w:val="auto"/>
        </w:rPr>
        <w:t>开标时，“开标一览表”中的大写金额与小写金额不一致的，以大写金额为准；总价金额与按单价计算的汇总金额不一致的，以单价计算的汇总金额为准；单价金额有明显小数点错误的，以总价为准，并修改单价。</w:t>
      </w:r>
    </w:p>
    <w:p>
      <w:pPr>
        <w:spacing w:before="120" w:line="360" w:lineRule="auto"/>
        <w:ind w:firstLine="480" w:firstLineChars="200"/>
        <w:rPr>
          <w:rFonts w:ascii="宋体" w:cs="宋体"/>
          <w:color w:val="auto"/>
        </w:rPr>
      </w:pPr>
      <w:r>
        <w:rPr>
          <w:rFonts w:ascii="宋体" w:hAnsi="宋体" w:cs="宋体"/>
          <w:color w:val="auto"/>
        </w:rPr>
        <w:t>14.5</w:t>
      </w:r>
      <w:r>
        <w:rPr>
          <w:rFonts w:hint="eastAsia" w:ascii="宋体" w:hAnsi="宋体" w:cs="宋体"/>
          <w:color w:val="auto"/>
        </w:rPr>
        <w:t>投标文件中有关明细表内容与“开标一览表”不一致的，以“开标一览表”为准。对不同文字文本投标文件的解释发生异议的，以中文文本为准。</w:t>
      </w:r>
    </w:p>
    <w:p>
      <w:pPr>
        <w:spacing w:before="120" w:line="360" w:lineRule="auto"/>
        <w:ind w:firstLine="480" w:firstLineChars="200"/>
        <w:rPr>
          <w:rFonts w:ascii="宋体" w:cs="宋体"/>
          <w:color w:val="auto"/>
        </w:rPr>
      </w:pPr>
      <w:r>
        <w:rPr>
          <w:rFonts w:ascii="宋体" w:hAnsi="宋体" w:cs="宋体"/>
          <w:color w:val="auto"/>
        </w:rPr>
        <w:t xml:space="preserve">14.6 </w:t>
      </w:r>
      <w:r>
        <w:rPr>
          <w:rFonts w:hint="eastAsia" w:ascii="宋体" w:hAnsi="宋体" w:cs="宋体"/>
          <w:color w:val="auto"/>
        </w:rPr>
        <w:t>所有投标唱标完毕，如投标人代表对宣读的“开标一览表”上的内容有异议的，应在获得开标会主持人同意后当场提出。如确实属于唱标人员宣读错了的，经现场监督人员核实后，当场予以更正。</w:t>
      </w:r>
    </w:p>
    <w:p>
      <w:pPr>
        <w:pStyle w:val="11"/>
        <w:spacing w:line="360" w:lineRule="auto"/>
        <w:rPr>
          <w:rFonts w:ascii="宋体" w:cs="宋体"/>
          <w:bCs/>
          <w:color w:val="auto"/>
        </w:rPr>
      </w:pPr>
      <w:r>
        <w:rPr>
          <w:rFonts w:ascii="宋体" w:hAnsi="宋体" w:cs="宋体"/>
          <w:bCs/>
          <w:color w:val="auto"/>
        </w:rPr>
        <w:t>15</w:t>
      </w:r>
      <w:r>
        <w:rPr>
          <w:rFonts w:hint="eastAsia" w:ascii="宋体" w:hAnsi="宋体" w:cs="宋体"/>
          <w:bCs/>
          <w:color w:val="auto"/>
        </w:rPr>
        <w:t>、询价小组</w:t>
      </w:r>
    </w:p>
    <w:p>
      <w:pPr>
        <w:pStyle w:val="11"/>
        <w:spacing w:line="360" w:lineRule="auto"/>
        <w:ind w:firstLine="480" w:firstLineChars="200"/>
        <w:rPr>
          <w:rFonts w:ascii="宋体" w:cs="宋体"/>
          <w:color w:val="auto"/>
        </w:rPr>
      </w:pPr>
      <w:r>
        <w:rPr>
          <w:rFonts w:hint="eastAsia" w:ascii="宋体" w:hAnsi="宋体" w:cs="宋体"/>
          <w:color w:val="auto"/>
        </w:rPr>
        <w:t>询价小组由采购人代表和评审专家共</w:t>
      </w:r>
      <w:r>
        <w:rPr>
          <w:rFonts w:ascii="宋体" w:hAnsi="宋体" w:cs="宋体"/>
          <w:color w:val="auto"/>
        </w:rPr>
        <w:t>3</w:t>
      </w:r>
      <w:r>
        <w:rPr>
          <w:rFonts w:hint="eastAsia" w:ascii="宋体" w:hAnsi="宋体" w:cs="宋体"/>
          <w:color w:val="auto"/>
        </w:rPr>
        <w:t>人组成，其中评审专家</w:t>
      </w:r>
      <w:r>
        <w:rPr>
          <w:rFonts w:ascii="宋体" w:hAnsi="宋体" w:cs="宋体"/>
          <w:color w:val="auto"/>
        </w:rPr>
        <w:t>2</w:t>
      </w:r>
      <w:r>
        <w:rPr>
          <w:rFonts w:hint="eastAsia" w:ascii="宋体" w:hAnsi="宋体" w:cs="宋体"/>
          <w:color w:val="auto"/>
        </w:rPr>
        <w:t>人，采购人代表</w:t>
      </w:r>
      <w:r>
        <w:rPr>
          <w:rFonts w:ascii="宋体" w:hAnsi="宋体" w:cs="宋体"/>
          <w:color w:val="auto"/>
        </w:rPr>
        <w:t>1</w:t>
      </w:r>
      <w:r>
        <w:rPr>
          <w:rFonts w:hint="eastAsia" w:ascii="宋体" w:hAnsi="宋体" w:cs="宋体"/>
          <w:color w:val="auto"/>
        </w:rPr>
        <w:t>人。</w:t>
      </w:r>
      <w:r>
        <w:rPr>
          <w:rFonts w:ascii="宋体" w:hAnsi="宋体" w:cs="宋体"/>
          <w:color w:val="auto"/>
        </w:rPr>
        <w:t>2</w:t>
      </w:r>
      <w:r>
        <w:rPr>
          <w:rFonts w:hint="eastAsia" w:ascii="宋体" w:hAnsi="宋体" w:cs="宋体"/>
          <w:color w:val="auto"/>
        </w:rPr>
        <w:t>名评审专家从政府采购评审专家库内相关专业的专家名单中随机抽取。采购人不得以评审专家身份参加本部门或本单位采购项目的评审。采购代理机构人员不得参加本机构代理的采购项目的评审。</w:t>
      </w:r>
    </w:p>
    <w:p>
      <w:pPr>
        <w:shd w:val="clear" w:color="auto" w:fill="FFFFFF"/>
        <w:snapToGrid w:val="0"/>
        <w:spacing w:line="360" w:lineRule="auto"/>
        <w:rPr>
          <w:rFonts w:ascii="宋体" w:cs="宋体"/>
          <w:bCs/>
          <w:color w:val="auto"/>
        </w:rPr>
      </w:pPr>
      <w:r>
        <w:rPr>
          <w:rFonts w:ascii="宋体" w:hAnsi="宋体" w:cs="宋体"/>
          <w:bCs/>
          <w:color w:val="auto"/>
        </w:rPr>
        <w:t>16</w:t>
      </w:r>
      <w:r>
        <w:rPr>
          <w:rFonts w:hint="eastAsia" w:ascii="宋体" w:hAnsi="宋体" w:cs="宋体"/>
          <w:bCs/>
          <w:color w:val="auto"/>
        </w:rPr>
        <w:t>、评标</w:t>
      </w:r>
    </w:p>
    <w:p>
      <w:pPr>
        <w:shd w:val="clear" w:color="auto" w:fill="FFFFFF"/>
        <w:snapToGrid w:val="0"/>
        <w:spacing w:line="360" w:lineRule="auto"/>
        <w:ind w:firstLine="480" w:firstLineChars="200"/>
        <w:rPr>
          <w:rFonts w:ascii="宋体" w:cs="宋体"/>
          <w:color w:val="auto"/>
        </w:rPr>
      </w:pPr>
      <w:r>
        <w:rPr>
          <w:rFonts w:hint="eastAsia" w:ascii="宋体" w:hAnsi="宋体" w:cs="宋体"/>
          <w:color w:val="auto"/>
        </w:rPr>
        <w:t>见“评审方法和程序”。除采购人代表、评标现场组织人员外，采购人的其他工作人员以及与评标工作无关的人员不得进入评标现场。</w:t>
      </w:r>
    </w:p>
    <w:p>
      <w:pPr>
        <w:spacing w:line="360" w:lineRule="auto"/>
        <w:jc w:val="both"/>
        <w:rPr>
          <w:rFonts w:ascii="宋体" w:cs="宋体"/>
          <w:bCs/>
          <w:color w:val="auto"/>
        </w:rPr>
      </w:pPr>
      <w:r>
        <w:rPr>
          <w:rFonts w:ascii="宋体" w:hAnsi="宋体" w:cs="宋体"/>
          <w:bCs/>
          <w:color w:val="auto"/>
        </w:rPr>
        <w:t>17</w:t>
      </w:r>
      <w:r>
        <w:rPr>
          <w:rFonts w:hint="eastAsia" w:ascii="宋体" w:hAnsi="宋体" w:cs="宋体"/>
          <w:bCs/>
          <w:color w:val="auto"/>
        </w:rPr>
        <w:t>、定标原则</w:t>
      </w:r>
    </w:p>
    <w:p>
      <w:pPr>
        <w:spacing w:line="360" w:lineRule="auto"/>
        <w:ind w:firstLine="480" w:firstLineChars="200"/>
        <w:rPr>
          <w:rFonts w:ascii="宋体" w:cs="宋体"/>
          <w:color w:val="auto"/>
        </w:rPr>
      </w:pPr>
      <w:r>
        <w:rPr>
          <w:rFonts w:hint="eastAsia" w:ascii="宋体" w:hAnsi="宋体" w:cs="宋体"/>
          <w:color w:val="auto"/>
        </w:rPr>
        <w:t>供应商有效报价达到</w:t>
      </w:r>
      <w:r>
        <w:rPr>
          <w:rFonts w:ascii="宋体" w:hAnsi="宋体" w:cs="宋体"/>
          <w:color w:val="auto"/>
        </w:rPr>
        <w:t>3</w:t>
      </w:r>
      <w:r>
        <w:rPr>
          <w:rFonts w:hint="eastAsia" w:ascii="宋体" w:hAnsi="宋体" w:cs="宋体"/>
          <w:color w:val="auto"/>
        </w:rPr>
        <w:t>家或以上，询价小组应当从质量和服务均能满足采购文件实质性响应要求的供应商中，按照最终报价由低到高的顺序推荐成交候选人。</w:t>
      </w:r>
    </w:p>
    <w:p>
      <w:pPr>
        <w:spacing w:line="360" w:lineRule="auto"/>
        <w:rPr>
          <w:rFonts w:ascii="宋体" w:cs="宋体"/>
          <w:bCs/>
          <w:color w:val="auto"/>
        </w:rPr>
      </w:pPr>
      <w:r>
        <w:rPr>
          <w:rFonts w:hint="eastAsia" w:ascii="宋体" w:hAnsi="宋体" w:cs="宋体"/>
          <w:bCs/>
          <w:color w:val="auto"/>
        </w:rPr>
        <w:t>注：“有效报价”是指通过文件初审的供应商最终报价经价格核对后的评审价格，且不超过采购人的预算。</w:t>
      </w:r>
    </w:p>
    <w:p>
      <w:pPr>
        <w:widowControl w:val="0"/>
        <w:tabs>
          <w:tab w:val="left" w:pos="0"/>
          <w:tab w:val="left" w:pos="1080"/>
        </w:tabs>
        <w:spacing w:line="360" w:lineRule="auto"/>
        <w:jc w:val="both"/>
        <w:rPr>
          <w:rFonts w:ascii="宋体" w:cs="宋体"/>
          <w:bCs/>
          <w:color w:val="auto"/>
        </w:rPr>
      </w:pPr>
      <w:r>
        <w:rPr>
          <w:rFonts w:ascii="宋体" w:hAnsi="宋体" w:cs="宋体"/>
          <w:color w:val="auto"/>
        </w:rPr>
        <w:t>16.2</w:t>
      </w:r>
      <w:r>
        <w:rPr>
          <w:rFonts w:hint="eastAsia" w:ascii="宋体" w:hAnsi="宋体" w:cs="宋体"/>
          <w:color w:val="auto"/>
        </w:rPr>
        <w:t>招标代理公司应当在成交供应商确定后在指定的网站上公告成交结果，同时向成交供应商发出成交通知书，并将询价文件和评审专家的推荐意见随成交结果同时公告</w:t>
      </w:r>
    </w:p>
    <w:p>
      <w:pPr>
        <w:widowControl w:val="0"/>
        <w:tabs>
          <w:tab w:val="left" w:pos="0"/>
          <w:tab w:val="left" w:pos="1080"/>
        </w:tabs>
        <w:spacing w:line="360" w:lineRule="auto"/>
        <w:jc w:val="both"/>
        <w:rPr>
          <w:rFonts w:ascii="宋体" w:cs="宋体"/>
          <w:color w:val="auto"/>
        </w:rPr>
      </w:pPr>
      <w:r>
        <w:rPr>
          <w:rFonts w:ascii="宋体" w:hAnsi="宋体" w:cs="宋体"/>
          <w:color w:val="auto"/>
        </w:rPr>
        <w:t>16.3</w:t>
      </w:r>
      <w:r>
        <w:rPr>
          <w:rFonts w:hint="eastAsia" w:ascii="宋体" w:hAnsi="宋体" w:cs="宋体"/>
          <w:color w:val="auto"/>
        </w:rPr>
        <w:t>成交候选供应商放弃成交的，且无其他非法目的的，应当说明理由，但其询价保证金将被没收。后一位成交候选供应商报价与其差额比例超过</w:t>
      </w:r>
      <w:r>
        <w:rPr>
          <w:rFonts w:ascii="宋体" w:hAnsi="宋体" w:cs="宋体"/>
          <w:color w:val="auto"/>
        </w:rPr>
        <w:t>15%</w:t>
      </w:r>
      <w:r>
        <w:rPr>
          <w:rFonts w:hint="eastAsia" w:ascii="宋体" w:hAnsi="宋体" w:cs="宋体"/>
          <w:color w:val="auto"/>
        </w:rPr>
        <w:t>的，采购人应当不予确定成交供应商，并重新组织采购。</w:t>
      </w:r>
    </w:p>
    <w:p>
      <w:pPr>
        <w:shd w:val="clear" w:color="auto" w:fill="FFFFFF"/>
        <w:snapToGrid w:val="0"/>
        <w:spacing w:line="360" w:lineRule="auto"/>
        <w:rPr>
          <w:rFonts w:ascii="宋体" w:cs="宋体"/>
          <w:bCs/>
          <w:color w:val="auto"/>
        </w:rPr>
      </w:pPr>
      <w:r>
        <w:rPr>
          <w:rFonts w:ascii="宋体" w:hAnsi="宋体" w:cs="宋体"/>
          <w:bCs/>
          <w:color w:val="auto"/>
        </w:rPr>
        <w:t xml:space="preserve">18. </w:t>
      </w:r>
      <w:r>
        <w:rPr>
          <w:rFonts w:hint="eastAsia" w:ascii="宋体" w:hAnsi="宋体" w:cs="宋体"/>
          <w:bCs/>
          <w:color w:val="auto"/>
        </w:rPr>
        <w:t>质疑处理</w:t>
      </w:r>
    </w:p>
    <w:p>
      <w:pPr>
        <w:shd w:val="clear" w:color="auto" w:fill="FFFFFF"/>
        <w:snapToGrid w:val="0"/>
        <w:spacing w:line="360" w:lineRule="auto"/>
        <w:ind w:firstLine="240" w:firstLineChars="100"/>
        <w:rPr>
          <w:rFonts w:ascii="宋体" w:cs="宋体"/>
          <w:color w:val="auto"/>
        </w:rPr>
      </w:pPr>
      <w:r>
        <w:rPr>
          <w:rFonts w:hint="eastAsia" w:ascii="宋体" w:hAnsi="宋体" w:cs="宋体"/>
          <w:color w:val="auto"/>
        </w:rPr>
        <w:t>报价人如认为询价文件、招标过程和成交供应商的选定使自己的权益受到损害的，应在知道或应知道其权益受到损害之日起七个工作日内以书面形式向招标代理机构提出质疑。匿名、非书面形式、七个工作日之外的质疑均不予受理。</w:t>
      </w:r>
    </w:p>
    <w:p>
      <w:pPr>
        <w:shd w:val="clear" w:color="auto" w:fill="FFFFFF"/>
        <w:snapToGrid w:val="0"/>
        <w:spacing w:line="360" w:lineRule="auto"/>
        <w:rPr>
          <w:rFonts w:ascii="宋体" w:cs="宋体"/>
          <w:bCs/>
          <w:color w:val="auto"/>
        </w:rPr>
      </w:pPr>
      <w:r>
        <w:rPr>
          <w:rFonts w:ascii="宋体" w:hAnsi="宋体" w:cs="宋体"/>
          <w:bCs/>
          <w:color w:val="auto"/>
        </w:rPr>
        <w:t>19</w:t>
      </w:r>
      <w:r>
        <w:rPr>
          <w:rFonts w:hint="eastAsia" w:ascii="宋体" w:hAnsi="宋体" w:cs="宋体"/>
          <w:bCs/>
          <w:color w:val="auto"/>
        </w:rPr>
        <w:t>．中标通知</w:t>
      </w:r>
    </w:p>
    <w:p>
      <w:pPr>
        <w:shd w:val="clear" w:color="auto" w:fill="FFFFFF"/>
        <w:snapToGrid w:val="0"/>
        <w:spacing w:line="360" w:lineRule="auto"/>
        <w:ind w:firstLine="480" w:firstLineChars="200"/>
        <w:rPr>
          <w:rFonts w:ascii="宋体" w:cs="宋体"/>
          <w:color w:val="auto"/>
        </w:rPr>
      </w:pPr>
      <w:r>
        <w:rPr>
          <w:rFonts w:ascii="宋体" w:hAnsi="宋体" w:cs="宋体"/>
          <w:color w:val="auto"/>
        </w:rPr>
        <w:t xml:space="preserve">19.l </w:t>
      </w:r>
      <w:r>
        <w:rPr>
          <w:rFonts w:hint="eastAsia" w:ascii="宋体" w:hAnsi="宋体" w:cs="宋体"/>
          <w:color w:val="auto"/>
        </w:rPr>
        <w:t>采购代理机构应当在评审结束后</w:t>
      </w:r>
      <w:r>
        <w:rPr>
          <w:rFonts w:ascii="宋体" w:hAnsi="宋体" w:cs="宋体"/>
          <w:color w:val="auto"/>
        </w:rPr>
        <w:t>2</w:t>
      </w:r>
      <w:r>
        <w:rPr>
          <w:rFonts w:hint="eastAsia" w:ascii="宋体" w:hAnsi="宋体" w:cs="宋体"/>
          <w:color w:val="auto"/>
        </w:rPr>
        <w:t>个工作日内将评审报告送采购人确认。采购人应当在收到评审报告后</w:t>
      </w:r>
      <w:r>
        <w:rPr>
          <w:rFonts w:ascii="宋体" w:hAnsi="宋体" w:cs="宋体"/>
          <w:color w:val="auto"/>
        </w:rPr>
        <w:t>5</w:t>
      </w:r>
      <w:r>
        <w:rPr>
          <w:rFonts w:hint="eastAsia" w:ascii="宋体" w:hAnsi="宋体" w:cs="宋体"/>
          <w:color w:val="auto"/>
        </w:rPr>
        <w:t>个工作日内，从评审报告提出的成交候选人中，根据质量和服务均能满足采购文件实质性响应要求且报价最低的原则确定成交供应商，也可以书面授权询价小组直接确定成交供应商。采购人逾期未确定成交供应商且不提出异议的，视为确定评审报告提出的最后报价最低的供应商为成交供应商。</w:t>
      </w:r>
    </w:p>
    <w:p>
      <w:pPr>
        <w:shd w:val="clear" w:color="auto" w:fill="FFFFFF"/>
        <w:snapToGrid w:val="0"/>
        <w:spacing w:line="360" w:lineRule="auto"/>
        <w:ind w:firstLine="480" w:firstLineChars="200"/>
        <w:rPr>
          <w:rFonts w:ascii="宋体" w:cs="宋体"/>
          <w:color w:val="auto"/>
        </w:rPr>
      </w:pPr>
      <w:r>
        <w:rPr>
          <w:rFonts w:ascii="宋体" w:hAnsi="宋体" w:cs="宋体"/>
          <w:color w:val="auto"/>
        </w:rPr>
        <w:t xml:space="preserve">19.2 </w:t>
      </w:r>
      <w:r>
        <w:rPr>
          <w:rFonts w:hint="eastAsia" w:ascii="宋体" w:hAnsi="宋体" w:cs="宋体"/>
          <w:color w:val="auto"/>
        </w:rPr>
        <w:t>中标供应商收到中标通知书，应在规定时间内到招标代理机构处领取中标通知书，并办理相关手续。</w:t>
      </w:r>
    </w:p>
    <w:p>
      <w:pPr>
        <w:shd w:val="clear" w:color="auto" w:fill="FFFFFF"/>
        <w:snapToGrid w:val="0"/>
        <w:spacing w:line="360" w:lineRule="auto"/>
        <w:ind w:firstLine="480" w:firstLineChars="200"/>
        <w:rPr>
          <w:rFonts w:ascii="宋体" w:cs="宋体"/>
          <w:color w:val="auto"/>
        </w:rPr>
      </w:pPr>
      <w:r>
        <w:rPr>
          <w:rFonts w:ascii="宋体" w:hAnsi="宋体" w:cs="宋体"/>
          <w:color w:val="auto"/>
        </w:rPr>
        <w:t xml:space="preserve">19.3 </w:t>
      </w:r>
      <w:r>
        <w:rPr>
          <w:rFonts w:hint="eastAsia" w:ascii="宋体" w:hAnsi="宋体" w:cs="宋体"/>
          <w:color w:val="auto"/>
        </w:rPr>
        <w:t>中标通知书将是合同的一个组成部分。</w:t>
      </w:r>
    </w:p>
    <w:p>
      <w:pPr>
        <w:shd w:val="clear" w:color="auto" w:fill="FFFFFF"/>
        <w:snapToGrid w:val="0"/>
        <w:spacing w:line="360" w:lineRule="auto"/>
        <w:rPr>
          <w:rFonts w:ascii="宋体" w:cs="宋体"/>
          <w:bCs/>
          <w:color w:val="auto"/>
        </w:rPr>
      </w:pPr>
      <w:r>
        <w:rPr>
          <w:rFonts w:ascii="宋体" w:hAnsi="宋体" w:cs="宋体"/>
          <w:bCs/>
          <w:color w:val="auto"/>
        </w:rPr>
        <w:t>20</w:t>
      </w:r>
      <w:r>
        <w:rPr>
          <w:rFonts w:hint="eastAsia" w:ascii="宋体" w:hAnsi="宋体" w:cs="宋体"/>
          <w:bCs/>
          <w:color w:val="auto"/>
        </w:rPr>
        <w:t>．签订合同</w:t>
      </w:r>
    </w:p>
    <w:p>
      <w:pPr>
        <w:adjustRightInd w:val="0"/>
        <w:snapToGrid w:val="0"/>
        <w:spacing w:line="360" w:lineRule="auto"/>
        <w:ind w:firstLine="480" w:firstLineChars="200"/>
        <w:rPr>
          <w:rFonts w:ascii="宋体" w:cs="宋体"/>
          <w:color w:val="auto"/>
          <w:lang w:val="en-GB"/>
        </w:rPr>
      </w:pPr>
      <w:r>
        <w:rPr>
          <w:rFonts w:ascii="宋体" w:hAnsi="宋体" w:cs="宋体"/>
          <w:color w:val="auto"/>
        </w:rPr>
        <w:t>20</w:t>
      </w:r>
      <w:r>
        <w:rPr>
          <w:rFonts w:ascii="宋体" w:hAnsi="宋体" w:cs="宋体"/>
          <w:color w:val="auto"/>
          <w:lang w:val="en-GB"/>
        </w:rPr>
        <w:t>.1</w:t>
      </w:r>
      <w:r>
        <w:rPr>
          <w:rFonts w:hint="eastAsia" w:ascii="宋体" w:hAnsi="宋体" w:cs="宋体"/>
          <w:color w:val="auto"/>
          <w:lang w:val="en-GB"/>
        </w:rPr>
        <w:t>采购人应按询价文件和成交供应商的响应文件订立书面合同，不得超出询价文件和成交供应商响应文件的范围，也不得另行订立背离合同实质性内容的其他协议。</w:t>
      </w:r>
    </w:p>
    <w:p>
      <w:pPr>
        <w:spacing w:line="360" w:lineRule="auto"/>
        <w:ind w:firstLine="480" w:firstLineChars="200"/>
        <w:jc w:val="both"/>
        <w:rPr>
          <w:rFonts w:ascii="宋体" w:cs="宋体"/>
          <w:color w:val="auto"/>
          <w:lang w:val="en-GB"/>
        </w:rPr>
      </w:pPr>
      <w:r>
        <w:rPr>
          <w:rFonts w:ascii="宋体" w:hAnsi="宋体" w:cs="宋体"/>
          <w:color w:val="auto"/>
        </w:rPr>
        <w:t>20</w:t>
      </w:r>
      <w:r>
        <w:rPr>
          <w:rFonts w:ascii="宋体" w:hAnsi="宋体" w:cs="宋体"/>
          <w:color w:val="auto"/>
          <w:lang w:val="en-GB"/>
        </w:rPr>
        <w:t>.2</w:t>
      </w:r>
      <w:r>
        <w:rPr>
          <w:rFonts w:hint="eastAsia" w:ascii="宋体" w:hAnsi="宋体" w:cs="宋体"/>
          <w:color w:val="auto"/>
          <w:lang w:val="en-GB"/>
        </w:rPr>
        <w:t>采购人应在成交通知书发出之日起</w:t>
      </w:r>
      <w:r>
        <w:rPr>
          <w:rFonts w:ascii="宋体" w:hAnsi="宋体" w:cs="宋体"/>
          <w:bCs/>
          <w:color w:val="auto"/>
          <w:u w:val="single"/>
          <w:lang w:val="en-GB"/>
        </w:rPr>
        <w:t>30</w:t>
      </w:r>
      <w:r>
        <w:rPr>
          <w:rFonts w:hint="eastAsia" w:ascii="宋体" w:hAnsi="宋体" w:cs="宋体"/>
          <w:bCs/>
          <w:color w:val="auto"/>
          <w:u w:val="single"/>
          <w:lang w:val="en-GB"/>
        </w:rPr>
        <w:t>天内</w:t>
      </w:r>
      <w:r>
        <w:rPr>
          <w:rFonts w:hint="eastAsia" w:ascii="宋体" w:hAnsi="宋体" w:cs="宋体"/>
          <w:color w:val="auto"/>
          <w:lang w:val="en-GB"/>
        </w:rPr>
        <w:t>与成交供应商签订政府采购合同。</w:t>
      </w:r>
    </w:p>
    <w:p>
      <w:pPr>
        <w:spacing w:line="360" w:lineRule="auto"/>
        <w:rPr>
          <w:rFonts w:ascii="宋体" w:cs="宋体"/>
          <w:bCs/>
          <w:color w:val="auto"/>
        </w:rPr>
      </w:pPr>
      <w:r>
        <w:rPr>
          <w:rFonts w:ascii="宋体" w:hAnsi="宋体" w:cs="宋体"/>
          <w:bCs/>
          <w:color w:val="auto"/>
        </w:rPr>
        <w:t>21.</w:t>
      </w:r>
      <w:r>
        <w:rPr>
          <w:rFonts w:hint="eastAsia" w:ascii="宋体" w:hAnsi="宋体" w:cs="宋体"/>
          <w:bCs/>
          <w:color w:val="auto"/>
        </w:rPr>
        <w:t>成交服务费</w:t>
      </w:r>
    </w:p>
    <w:p>
      <w:pPr>
        <w:widowControl w:val="0"/>
        <w:tabs>
          <w:tab w:val="left" w:pos="0"/>
          <w:tab w:val="left" w:pos="1080"/>
        </w:tabs>
        <w:spacing w:line="360" w:lineRule="auto"/>
        <w:ind w:firstLine="480"/>
        <w:jc w:val="both"/>
        <w:rPr>
          <w:rFonts w:ascii="宋体" w:cs="宋体"/>
          <w:color w:val="auto"/>
        </w:rPr>
      </w:pPr>
      <w:r>
        <w:rPr>
          <w:rFonts w:hint="eastAsia" w:ascii="宋体" w:hAnsi="宋体" w:cs="宋体"/>
          <w:color w:val="auto"/>
        </w:rPr>
        <w:t>招标代理服务费收费标准：根据《招标代理服务费收费管理暂行办法》（计价格</w:t>
      </w:r>
      <w:r>
        <w:rPr>
          <w:rFonts w:ascii="宋体" w:hAnsi="宋体" w:cs="宋体"/>
          <w:color w:val="auto"/>
        </w:rPr>
        <w:t>[2002]1980</w:t>
      </w:r>
      <w:r>
        <w:rPr>
          <w:rFonts w:hint="eastAsia" w:ascii="宋体" w:hAnsi="宋体" w:cs="宋体"/>
          <w:color w:val="auto"/>
        </w:rPr>
        <w:t>号）规定的差额定率累进法计算收取。本项目的代理费最终以成交金额计算收取。招标代理给予总招标代理费八五折的优惠。招标代理费最终由招标代理向成交方收取。</w:t>
      </w:r>
    </w:p>
    <w:p>
      <w:pPr>
        <w:numPr>
          <w:ilvl w:val="0"/>
          <w:numId w:val="2"/>
        </w:numPr>
        <w:shd w:val="clear" w:color="auto" w:fill="FFFFFF"/>
        <w:snapToGrid w:val="0"/>
        <w:spacing w:line="360" w:lineRule="auto"/>
        <w:rPr>
          <w:rFonts w:ascii="宋体" w:cs="宋体"/>
          <w:bCs/>
          <w:color w:val="auto"/>
        </w:rPr>
      </w:pPr>
      <w:r>
        <w:rPr>
          <w:rFonts w:hint="eastAsia" w:ascii="宋体" w:hAnsi="宋体" w:cs="宋体"/>
          <w:bCs/>
          <w:color w:val="auto"/>
        </w:rPr>
        <w:t>其它</w:t>
      </w:r>
    </w:p>
    <w:p>
      <w:pPr>
        <w:shd w:val="clear" w:color="auto" w:fill="FFFFFF"/>
        <w:snapToGrid w:val="0"/>
        <w:spacing w:line="360" w:lineRule="auto"/>
        <w:ind w:firstLine="480" w:firstLineChars="200"/>
        <w:rPr>
          <w:rFonts w:ascii="宋体" w:cs="宋体"/>
          <w:color w:val="auto"/>
        </w:rPr>
      </w:pPr>
      <w:r>
        <w:rPr>
          <w:rFonts w:hint="eastAsia" w:ascii="宋体" w:hAnsi="宋体" w:cs="宋体"/>
          <w:color w:val="auto"/>
        </w:rPr>
        <w:t>本项目不召开答疑会。</w:t>
      </w:r>
    </w:p>
    <w:p>
      <w:pPr>
        <w:pStyle w:val="25"/>
        <w:spacing w:line="360" w:lineRule="auto"/>
        <w:ind w:firstLine="0"/>
        <w:rPr>
          <w:rFonts w:ascii="宋体"/>
          <w:color w:val="auto"/>
          <w:sz w:val="24"/>
        </w:rPr>
      </w:pPr>
    </w:p>
    <w:p>
      <w:pPr>
        <w:spacing w:line="360" w:lineRule="auto"/>
        <w:rPr>
          <w:bCs/>
          <w:color w:val="auto"/>
        </w:rPr>
      </w:pPr>
      <w:r>
        <w:rPr>
          <w:color w:val="auto"/>
        </w:rPr>
        <w:br w:type="page"/>
      </w:r>
    </w:p>
    <w:p>
      <w:pPr>
        <w:pStyle w:val="9"/>
        <w:pBdr>
          <w:top w:val="none" w:color="auto" w:sz="0" w:space="0"/>
          <w:left w:val="none" w:color="auto" w:sz="0" w:space="0"/>
          <w:bottom w:val="none" w:color="auto" w:sz="0" w:space="0"/>
          <w:right w:val="none" w:color="auto" w:sz="0" w:space="0"/>
          <w:between w:val="none" w:color="auto" w:sz="0" w:space="0"/>
        </w:pBdr>
        <w:outlineLvl w:val="0"/>
        <w:rPr>
          <w:rFonts w:ascii="Times New Roman" w:hAnsi="Times New Roman"/>
          <w:bCs/>
          <w:color w:val="auto"/>
          <w:sz w:val="32"/>
          <w:szCs w:val="32"/>
        </w:rPr>
      </w:pPr>
      <w:bookmarkStart w:id="9" w:name="_Toc510949582"/>
      <w:bookmarkEnd w:id="9"/>
      <w:bookmarkStart w:id="10" w:name="_Toc17834"/>
      <w:r>
        <w:rPr>
          <w:rFonts w:hint="eastAsia" w:ascii="Times New Roman" w:hAnsi="Times New Roman"/>
          <w:b/>
          <w:color w:val="auto"/>
          <w:sz w:val="32"/>
          <w:szCs w:val="32"/>
        </w:rPr>
        <w:t>第三章供应商资格证明文件</w:t>
      </w:r>
      <w:bookmarkEnd w:id="10"/>
    </w:p>
    <w:p>
      <w:pPr>
        <w:numPr>
          <w:ilvl w:val="0"/>
          <w:numId w:val="3"/>
        </w:numPr>
        <w:spacing w:line="360" w:lineRule="auto"/>
        <w:jc w:val="both"/>
        <w:rPr>
          <w:rFonts w:ascii="宋体"/>
          <w:color w:val="auto"/>
        </w:rPr>
      </w:pPr>
      <w:r>
        <w:rPr>
          <w:rFonts w:hint="eastAsia" w:ascii="宋体" w:hAnsi="宋体"/>
          <w:color w:val="auto"/>
        </w:rPr>
        <w:t>供应商应提交的资格证明材料</w:t>
      </w:r>
      <w:r>
        <w:rPr>
          <w:rFonts w:ascii="宋体" w:hAnsi="宋体"/>
          <w:color w:val="auto"/>
        </w:rPr>
        <w:t>:</w:t>
      </w:r>
    </w:p>
    <w:p>
      <w:pPr>
        <w:spacing w:line="360" w:lineRule="auto"/>
        <w:ind w:firstLine="480"/>
        <w:rPr>
          <w:rFonts w:ascii="宋体" w:cs="宋体"/>
          <w:color w:val="auto"/>
        </w:rPr>
      </w:pPr>
      <w:r>
        <w:rPr>
          <w:rFonts w:ascii="宋体" w:hAnsi="宋体" w:cs="宋体"/>
          <w:color w:val="auto"/>
        </w:rPr>
        <w:t>1</w:t>
      </w:r>
      <w:r>
        <w:rPr>
          <w:rFonts w:hint="eastAsia" w:ascii="宋体" w:hAnsi="宋体" w:cs="宋体"/>
          <w:color w:val="auto"/>
        </w:rPr>
        <w:t>、在中华人民共和国注册，具有独立承担民事责任能力的法人（需提供营业执照副本复印件、组织机构代码证、税务登记证复印件或三证合一的营业执照副本复印件）须具备与本项目相关的营业范围</w:t>
      </w:r>
      <w:r>
        <w:rPr>
          <w:rFonts w:ascii="宋体" w:hAnsi="宋体" w:cs="宋体"/>
          <w:color w:val="auto"/>
        </w:rPr>
        <w:t>(</w:t>
      </w:r>
      <w:r>
        <w:rPr>
          <w:rFonts w:hint="eastAsia" w:ascii="宋体" w:hAnsi="宋体" w:cs="宋体"/>
          <w:color w:val="auto"/>
        </w:rPr>
        <w:t>提供原件现场备查</w:t>
      </w:r>
      <w:r>
        <w:rPr>
          <w:rFonts w:ascii="宋体" w:hAnsi="宋体" w:cs="宋体"/>
          <w:color w:val="auto"/>
        </w:rPr>
        <w:t>)</w:t>
      </w:r>
      <w:r>
        <w:rPr>
          <w:rFonts w:hint="eastAsia" w:ascii="宋体" w:hAnsi="宋体" w:cs="宋体"/>
          <w:color w:val="auto"/>
        </w:rPr>
        <w:t>；</w:t>
      </w:r>
    </w:p>
    <w:p>
      <w:pPr>
        <w:spacing w:line="360" w:lineRule="auto"/>
        <w:ind w:firstLine="480"/>
        <w:rPr>
          <w:rFonts w:ascii="宋体" w:cs="宋体"/>
          <w:color w:val="auto"/>
        </w:rPr>
      </w:pPr>
      <w:r>
        <w:rPr>
          <w:rFonts w:ascii="宋体" w:hAnsi="宋体" w:cs="宋体"/>
          <w:color w:val="auto"/>
        </w:rPr>
        <w:t>2</w:t>
      </w:r>
      <w:r>
        <w:rPr>
          <w:rFonts w:hint="eastAsia" w:ascii="宋体" w:hAnsi="宋体" w:cs="宋体"/>
          <w:color w:val="auto"/>
        </w:rPr>
        <w:t>、具有依法缴纳税收和社会保障资金的良好记录</w:t>
      </w:r>
      <w:r>
        <w:rPr>
          <w:rFonts w:ascii="宋体" w:hAnsi="宋体" w:cs="宋体"/>
          <w:color w:val="auto"/>
        </w:rPr>
        <w:t>(</w:t>
      </w:r>
      <w:r>
        <w:rPr>
          <w:rFonts w:hint="eastAsia" w:ascii="宋体" w:hAnsi="宋体" w:cs="宋体"/>
          <w:color w:val="auto"/>
        </w:rPr>
        <w:t>需提供</w:t>
      </w:r>
      <w:r>
        <w:rPr>
          <w:rFonts w:ascii="宋体" w:hAnsi="宋体" w:cs="宋体"/>
          <w:color w:val="auto"/>
        </w:rPr>
        <w:t>2018</w:t>
      </w:r>
      <w:r>
        <w:rPr>
          <w:rFonts w:hint="eastAsia" w:ascii="宋体" w:hAnsi="宋体" w:cs="宋体"/>
          <w:color w:val="auto"/>
        </w:rPr>
        <w:t>年至今连续</w:t>
      </w:r>
      <w:r>
        <w:rPr>
          <w:rFonts w:ascii="宋体" w:hAnsi="宋体" w:cs="宋体"/>
          <w:color w:val="auto"/>
        </w:rPr>
        <w:t>3</w:t>
      </w:r>
      <w:r>
        <w:rPr>
          <w:rFonts w:hint="eastAsia" w:ascii="宋体" w:hAnsi="宋体" w:cs="宋体"/>
          <w:color w:val="auto"/>
        </w:rPr>
        <w:t>个月的税收和社保记录凭证复印件加盖公章，提供原件现场备查）；</w:t>
      </w:r>
    </w:p>
    <w:p>
      <w:pPr>
        <w:spacing w:line="360" w:lineRule="auto"/>
        <w:ind w:firstLine="480" w:firstLineChars="200"/>
        <w:rPr>
          <w:rFonts w:ascii="宋体" w:cs="宋体"/>
          <w:color w:val="auto"/>
        </w:rPr>
      </w:pPr>
      <w:r>
        <w:rPr>
          <w:rFonts w:ascii="宋体" w:hAnsi="宋体" w:cs="宋体"/>
          <w:color w:val="auto"/>
        </w:rPr>
        <w:t>3</w:t>
      </w:r>
      <w:r>
        <w:rPr>
          <w:rFonts w:hint="eastAsia" w:ascii="宋体" w:hAnsi="宋体" w:cs="宋体"/>
          <w:color w:val="auto"/>
        </w:rPr>
        <w:t>、参加政府采购活动前三年内，在经营活动中没有重大违法记录（提供声明函）；</w:t>
      </w:r>
    </w:p>
    <w:p>
      <w:pPr>
        <w:spacing w:line="360" w:lineRule="auto"/>
        <w:ind w:firstLine="480"/>
        <w:rPr>
          <w:rFonts w:ascii="宋体" w:cs="宋体"/>
          <w:color w:val="auto"/>
        </w:rPr>
      </w:pPr>
      <w:r>
        <w:rPr>
          <w:rFonts w:ascii="宋体" w:hAnsi="宋体" w:cs="宋体"/>
          <w:color w:val="auto"/>
        </w:rPr>
        <w:t>4</w:t>
      </w:r>
      <w:r>
        <w:rPr>
          <w:rFonts w:hint="eastAsia" w:ascii="宋体" w:hAnsi="宋体" w:cs="宋体"/>
          <w:color w:val="auto"/>
        </w:rPr>
        <w:t>、根据《财政部关于在政府采购活动中查询及使用信用记录有关问题的通知》（财库〔</w:t>
      </w:r>
      <w:r>
        <w:rPr>
          <w:rFonts w:ascii="宋体" w:hAnsi="宋体" w:cs="宋体"/>
          <w:color w:val="auto"/>
        </w:rPr>
        <w:t>2016</w:t>
      </w:r>
      <w:r>
        <w:rPr>
          <w:rFonts w:hint="eastAsia" w:ascii="宋体" w:hAnsi="宋体" w:cs="宋体"/>
          <w:color w:val="auto"/>
        </w:rPr>
        <w:t>〕</w:t>
      </w:r>
      <w:r>
        <w:rPr>
          <w:rFonts w:ascii="宋体" w:hAnsi="宋体" w:cs="宋体"/>
          <w:color w:val="auto"/>
        </w:rPr>
        <w:t>125</w:t>
      </w:r>
      <w:r>
        <w:rPr>
          <w:rFonts w:hint="eastAsia" w:ascii="宋体" w:hAnsi="宋体" w:cs="宋体"/>
          <w:color w:val="auto"/>
        </w:rPr>
        <w:t>号）的要求，在政府采购活动中查询及使用信用记录。查询渠道：通过“信用中国”网站（</w:t>
      </w:r>
      <w:r>
        <w:rPr>
          <w:rFonts w:ascii="宋体" w:hAnsi="宋体" w:cs="宋体"/>
          <w:color w:val="auto"/>
        </w:rPr>
        <w:t>www.creditchina.gov.cn</w:t>
      </w:r>
      <w:r>
        <w:rPr>
          <w:rFonts w:hint="eastAsia" w:ascii="宋体" w:hAnsi="宋体" w:cs="宋体"/>
          <w:color w:val="auto"/>
        </w:rPr>
        <w:t>）或中国政府采购网（</w:t>
      </w:r>
      <w:r>
        <w:rPr>
          <w:rFonts w:ascii="宋体" w:hAnsi="宋体" w:cs="宋体"/>
          <w:color w:val="auto"/>
        </w:rPr>
        <w:t>www.ccgp.gov.cn</w:t>
      </w:r>
      <w:r>
        <w:rPr>
          <w:rFonts w:hint="eastAsia" w:ascii="宋体" w:hAnsi="宋体" w:cs="宋体"/>
          <w:color w:val="auto"/>
        </w:rPr>
        <w:t>）查询相关供应商的信用记录。</w:t>
      </w:r>
      <w:r>
        <w:rPr>
          <w:rFonts w:ascii="宋体" w:hAnsi="宋体" w:cs="宋体"/>
          <w:color w:val="auto"/>
        </w:rPr>
        <w:t>(</w:t>
      </w:r>
      <w:r>
        <w:rPr>
          <w:rFonts w:hint="eastAsia" w:ascii="宋体" w:hAnsi="宋体" w:cs="宋体"/>
          <w:color w:val="auto"/>
        </w:rPr>
        <w:t>投标时提供加盖公章的网上查询截图</w:t>
      </w:r>
      <w:r>
        <w:rPr>
          <w:rFonts w:ascii="宋体" w:hAnsi="宋体" w:cs="宋体"/>
          <w:color w:val="auto"/>
        </w:rPr>
        <w:t>)</w:t>
      </w:r>
      <w:r>
        <w:rPr>
          <w:rFonts w:hint="eastAsia" w:ascii="宋体" w:hAnsi="宋体" w:cs="宋体"/>
          <w:color w:val="auto"/>
        </w:rPr>
        <w:t>；</w:t>
      </w:r>
    </w:p>
    <w:p>
      <w:pPr>
        <w:spacing w:line="360" w:lineRule="auto"/>
        <w:ind w:firstLine="480" w:firstLineChars="200"/>
        <w:jc w:val="both"/>
        <w:rPr>
          <w:rFonts w:ascii="宋体" w:cs="宋体"/>
          <w:color w:val="auto"/>
        </w:rPr>
      </w:pPr>
      <w:r>
        <w:rPr>
          <w:rFonts w:ascii="宋体" w:hAnsi="宋体" w:cs="宋体"/>
          <w:color w:val="auto"/>
        </w:rPr>
        <w:t>5</w:t>
      </w:r>
      <w:r>
        <w:rPr>
          <w:rFonts w:hint="eastAsia" w:ascii="宋体" w:hAnsi="宋体" w:cs="宋体"/>
          <w:color w:val="auto"/>
        </w:rPr>
        <w:t>、</w:t>
      </w:r>
      <w:r>
        <w:rPr>
          <w:rFonts w:hint="eastAsia" w:ascii="宋体" w:hAnsi="宋体" w:cs="宋体"/>
          <w:bCs/>
          <w:color w:val="auto"/>
        </w:rPr>
        <w:t>购买本项目询价文件并按时缴纳保证金，</w:t>
      </w:r>
      <w:r>
        <w:rPr>
          <w:rFonts w:hint="eastAsia" w:ascii="宋体" w:hAnsi="宋体" w:cs="宋体"/>
          <w:color w:val="auto"/>
        </w:rPr>
        <w:t>提供缴纳保证金凭证的复印件；</w:t>
      </w:r>
    </w:p>
    <w:p>
      <w:pPr>
        <w:spacing w:line="360" w:lineRule="auto"/>
        <w:ind w:firstLine="480" w:firstLineChars="200"/>
        <w:rPr>
          <w:rFonts w:ascii="宋体" w:cs="宋体"/>
          <w:color w:val="auto"/>
        </w:rPr>
      </w:pPr>
      <w:r>
        <w:rPr>
          <w:rFonts w:ascii="宋体" w:hAnsi="宋体" w:cs="宋体"/>
          <w:color w:val="auto"/>
        </w:rPr>
        <w:t>6</w:t>
      </w:r>
      <w:r>
        <w:rPr>
          <w:rFonts w:hint="eastAsia" w:ascii="宋体" w:hAnsi="宋体" w:cs="宋体"/>
          <w:color w:val="auto"/>
        </w:rPr>
        <w:t>、本项目不接受联合体投标；</w:t>
      </w:r>
    </w:p>
    <w:p>
      <w:pPr>
        <w:spacing w:line="360" w:lineRule="auto"/>
        <w:ind w:firstLine="480" w:firstLineChars="200"/>
        <w:rPr>
          <w:rFonts w:ascii="宋体" w:cs="宋体"/>
          <w:color w:val="auto"/>
        </w:rPr>
      </w:pPr>
      <w:r>
        <w:rPr>
          <w:rFonts w:ascii="宋体" w:hAnsi="宋体" w:cs="宋体"/>
          <w:color w:val="auto"/>
        </w:rPr>
        <w:t>7</w:t>
      </w:r>
      <w:r>
        <w:rPr>
          <w:rFonts w:hint="eastAsia" w:ascii="宋体" w:hAnsi="宋体" w:cs="宋体"/>
          <w:color w:val="auto"/>
        </w:rPr>
        <w:t>、本项目禁止转包或分包。</w:t>
      </w:r>
    </w:p>
    <w:p>
      <w:pPr>
        <w:spacing w:line="360" w:lineRule="auto"/>
        <w:jc w:val="both"/>
        <w:rPr>
          <w:rFonts w:ascii="宋体"/>
          <w:color w:val="auto"/>
        </w:rPr>
      </w:pPr>
      <w:r>
        <w:rPr>
          <w:rFonts w:hint="eastAsia" w:ascii="宋体" w:hAnsi="宋体"/>
          <w:color w:val="auto"/>
        </w:rPr>
        <w:t>说明：</w:t>
      </w:r>
    </w:p>
    <w:p>
      <w:pPr>
        <w:shd w:val="clear" w:color="auto" w:fill="FFFFFF"/>
        <w:snapToGrid w:val="0"/>
        <w:spacing w:line="360" w:lineRule="auto"/>
        <w:ind w:firstLine="480" w:firstLineChars="200"/>
        <w:rPr>
          <w:rFonts w:ascii="宋体"/>
          <w:color w:val="auto"/>
        </w:rPr>
      </w:pPr>
      <w:r>
        <w:rPr>
          <w:rFonts w:ascii="宋体" w:hAnsi="宋体"/>
          <w:color w:val="auto"/>
        </w:rPr>
        <w:t>1</w:t>
      </w:r>
      <w:r>
        <w:rPr>
          <w:rFonts w:hint="eastAsia" w:ascii="宋体" w:hAnsi="宋体"/>
          <w:color w:val="auto"/>
        </w:rPr>
        <w:t>）如若三证合一，供应商只需提供营业执照副本复印件。</w:t>
      </w:r>
    </w:p>
    <w:p>
      <w:pPr>
        <w:shd w:val="clear" w:color="auto" w:fill="FFFFFF"/>
        <w:snapToGrid w:val="0"/>
        <w:spacing w:line="360" w:lineRule="auto"/>
        <w:ind w:firstLine="480" w:firstLineChars="200"/>
        <w:rPr>
          <w:rFonts w:ascii="宋体"/>
          <w:color w:val="auto"/>
        </w:rPr>
      </w:pPr>
      <w:r>
        <w:rPr>
          <w:rFonts w:ascii="宋体" w:hAnsi="宋体"/>
          <w:color w:val="auto"/>
        </w:rPr>
        <w:t>2</w:t>
      </w:r>
      <w:r>
        <w:rPr>
          <w:rFonts w:hint="eastAsia" w:ascii="宋体" w:hAnsi="宋体"/>
          <w:color w:val="auto"/>
        </w:rPr>
        <w:t>）供应商提供的以上资格证明材料为复印件的均应加盖供应商公章。</w:t>
      </w:r>
    </w:p>
    <w:p>
      <w:pPr>
        <w:shd w:val="clear" w:color="auto" w:fill="FFFFFF"/>
        <w:snapToGrid w:val="0"/>
        <w:spacing w:line="360" w:lineRule="auto"/>
        <w:ind w:firstLine="480" w:firstLineChars="200"/>
        <w:rPr>
          <w:color w:val="auto"/>
        </w:rPr>
        <w:sectPr>
          <w:headerReference r:id="rId5" w:type="default"/>
          <w:footerReference r:id="rId6" w:type="default"/>
          <w:endnotePr>
            <w:numFmt w:val="decimal"/>
          </w:endnotePr>
          <w:pgSz w:w="11906" w:h="16838"/>
          <w:pgMar w:top="1417" w:right="1417" w:bottom="1417" w:left="1417" w:header="851" w:footer="992" w:gutter="0"/>
          <w:pgNumType w:fmt="numberInDash"/>
          <w:cols w:space="720" w:num="1"/>
          <w:rtlGutter w:val="1"/>
        </w:sectPr>
      </w:pPr>
      <w:r>
        <w:rPr>
          <w:rFonts w:ascii="宋体" w:hAnsi="宋体"/>
          <w:color w:val="auto"/>
        </w:rPr>
        <w:t>3</w:t>
      </w:r>
      <w:r>
        <w:rPr>
          <w:rFonts w:hint="eastAsia" w:ascii="宋体" w:hAnsi="宋体"/>
          <w:color w:val="auto"/>
        </w:rPr>
        <w:t>）供应商应对其所提供的资格证明材料来源的合法性、真实性。</w:t>
      </w:r>
    </w:p>
    <w:p>
      <w:pPr>
        <w:shd w:val="clear" w:color="auto" w:fill="FFFFFF"/>
        <w:snapToGrid w:val="0"/>
        <w:spacing w:afterAutospacing="1" w:line="360" w:lineRule="auto"/>
        <w:jc w:val="center"/>
        <w:rPr>
          <w:rFonts w:hint="eastAsia" w:ascii="宋体" w:hAnsi="宋体" w:cs="宋体"/>
          <w:color w:val="auto"/>
          <w:sz w:val="36"/>
          <w:szCs w:val="36"/>
          <w:shd w:val="clear" w:color="auto" w:fill="FFFFFF"/>
        </w:rPr>
      </w:pPr>
      <w:r>
        <w:rPr>
          <w:rFonts w:hint="eastAsia" w:ascii="宋体" w:hAnsi="宋体" w:cs="宋体"/>
          <w:color w:val="auto"/>
          <w:sz w:val="36"/>
          <w:szCs w:val="36"/>
          <w:shd w:val="clear" w:color="auto" w:fill="FFFFFF"/>
        </w:rPr>
        <w:t>资格性审查表</w:t>
      </w:r>
    </w:p>
    <w:p>
      <w:pPr>
        <w:shd w:val="clear" w:color="auto" w:fill="FFFFFF"/>
        <w:snapToGrid w:val="0"/>
        <w:spacing w:afterAutospacing="1" w:line="360" w:lineRule="auto"/>
        <w:jc w:val="both"/>
        <w:rPr>
          <w:rFonts w:hint="eastAsia" w:ascii="宋体" w:eastAsia="宋体" w:cs="宋体"/>
          <w:color w:val="auto"/>
          <w:shd w:val="clear" w:color="auto" w:fill="FFFFFF"/>
          <w:lang w:eastAsia="zh-CN"/>
        </w:rPr>
      </w:pPr>
      <w:r>
        <w:rPr>
          <w:rFonts w:hint="eastAsia" w:ascii="宋体" w:hAnsi="宋体" w:cs="宋体"/>
          <w:color w:val="auto"/>
          <w:shd w:val="clear" w:color="auto" w:fill="FFFFFF"/>
        </w:rPr>
        <w:t>项目名称：</w:t>
      </w:r>
      <w:r>
        <w:rPr>
          <w:rFonts w:hint="eastAsia" w:ascii="宋体" w:hAnsi="宋体" w:cs="宋体"/>
          <w:color w:val="auto"/>
          <w:u w:val="single"/>
          <w:lang w:eastAsia="zh-CN"/>
        </w:rPr>
        <w:t>海棠湾车辆采购项目(二次招标)</w:t>
      </w:r>
    </w:p>
    <w:p>
      <w:pPr>
        <w:shd w:val="clear" w:color="auto" w:fill="FFFFFF"/>
        <w:spacing w:line="360" w:lineRule="auto"/>
        <w:rPr>
          <w:rFonts w:hint="eastAsia" w:ascii="宋体" w:eastAsia="宋体" w:cs="宋体"/>
          <w:color w:val="auto"/>
          <w:u w:val="single"/>
          <w:lang w:eastAsia="zh-CN"/>
        </w:rPr>
      </w:pPr>
      <w:r>
        <w:rPr>
          <w:rFonts w:hint="eastAsia" w:ascii="宋体" w:hAnsi="宋体" w:cs="宋体"/>
          <w:color w:val="auto"/>
          <w:shd w:val="clear" w:color="auto" w:fill="FFFFFF"/>
        </w:rPr>
        <w:t>项目编号：</w:t>
      </w:r>
      <w:r>
        <w:rPr>
          <w:rFonts w:hint="eastAsia" w:ascii="宋体" w:hAnsi="宋体" w:cs="宋体"/>
          <w:color w:val="auto"/>
          <w:u w:val="single"/>
          <w:shd w:val="clear" w:color="auto" w:fill="FFFFFF"/>
          <w:lang w:eastAsia="zh-CN"/>
        </w:rPr>
        <w:t>HCGJ18-215R</w:t>
      </w:r>
    </w:p>
    <w:tbl>
      <w:tblPr>
        <w:tblStyle w:val="16"/>
        <w:tblW w:w="10020" w:type="dxa"/>
        <w:tblInd w:w="-3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5"/>
        <w:gridCol w:w="1185"/>
        <w:gridCol w:w="4652"/>
        <w:gridCol w:w="1093"/>
        <w:gridCol w:w="1125"/>
        <w:gridCol w:w="11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5" w:type="dxa"/>
            <w:vAlign w:val="center"/>
          </w:tcPr>
          <w:p>
            <w:pPr>
              <w:spacing w:line="360" w:lineRule="auto"/>
              <w:jc w:val="center"/>
              <w:rPr>
                <w:rFonts w:ascii="宋体" w:cs="宋体"/>
                <w:bCs/>
                <w:color w:val="auto"/>
                <w:szCs w:val="21"/>
              </w:rPr>
            </w:pPr>
            <w:r>
              <w:rPr>
                <w:rFonts w:hint="eastAsia" w:ascii="宋体" w:hAnsi="宋体" w:cs="宋体"/>
                <w:bCs/>
                <w:color w:val="auto"/>
                <w:szCs w:val="21"/>
              </w:rPr>
              <w:t>序号</w:t>
            </w:r>
          </w:p>
        </w:tc>
        <w:tc>
          <w:tcPr>
            <w:tcW w:w="1185" w:type="dxa"/>
            <w:vAlign w:val="center"/>
          </w:tcPr>
          <w:p>
            <w:pPr>
              <w:spacing w:line="360" w:lineRule="auto"/>
              <w:jc w:val="center"/>
              <w:rPr>
                <w:rFonts w:ascii="宋体" w:cs="宋体"/>
                <w:bCs/>
                <w:color w:val="auto"/>
                <w:szCs w:val="21"/>
              </w:rPr>
            </w:pPr>
            <w:r>
              <w:rPr>
                <w:rFonts w:hint="eastAsia" w:ascii="宋体" w:hAnsi="宋体" w:cs="宋体"/>
                <w:bCs/>
                <w:color w:val="auto"/>
                <w:szCs w:val="21"/>
              </w:rPr>
              <w:t>审查项目</w:t>
            </w:r>
          </w:p>
        </w:tc>
        <w:tc>
          <w:tcPr>
            <w:tcW w:w="4652" w:type="dxa"/>
          </w:tcPr>
          <w:p>
            <w:pPr>
              <w:spacing w:line="360" w:lineRule="auto"/>
              <w:jc w:val="center"/>
              <w:rPr>
                <w:rFonts w:ascii="宋体" w:cs="宋体"/>
                <w:bCs/>
                <w:color w:val="auto"/>
                <w:szCs w:val="21"/>
              </w:rPr>
            </w:pPr>
            <w:r>
              <w:rPr>
                <w:rFonts w:hint="eastAsia" w:ascii="宋体" w:hAnsi="宋体" w:cs="宋体"/>
                <w:bCs/>
                <w:color w:val="auto"/>
                <w:szCs w:val="21"/>
              </w:rPr>
              <w:t>评议内容</w:t>
            </w:r>
          </w:p>
        </w:tc>
        <w:tc>
          <w:tcPr>
            <w:tcW w:w="1093" w:type="dxa"/>
          </w:tcPr>
          <w:p>
            <w:pPr>
              <w:spacing w:line="360" w:lineRule="auto"/>
              <w:jc w:val="both"/>
              <w:rPr>
                <w:rFonts w:ascii="宋体" w:cs="宋体"/>
                <w:bCs/>
                <w:color w:val="auto"/>
                <w:szCs w:val="21"/>
              </w:rPr>
            </w:pPr>
            <w:r>
              <w:rPr>
                <w:rFonts w:hint="eastAsia" w:ascii="宋体" w:hAnsi="宋体" w:cs="宋体"/>
                <w:bCs/>
                <w:color w:val="auto"/>
                <w:szCs w:val="21"/>
              </w:rPr>
              <w:t>投标人</w:t>
            </w:r>
            <w:r>
              <w:rPr>
                <w:rFonts w:ascii="宋体" w:hAnsi="宋体" w:cs="宋体"/>
                <w:bCs/>
                <w:color w:val="auto"/>
                <w:szCs w:val="21"/>
              </w:rPr>
              <w:t>1</w:t>
            </w:r>
          </w:p>
        </w:tc>
        <w:tc>
          <w:tcPr>
            <w:tcW w:w="1125" w:type="dxa"/>
          </w:tcPr>
          <w:p>
            <w:pPr>
              <w:spacing w:line="360" w:lineRule="auto"/>
              <w:jc w:val="center"/>
              <w:rPr>
                <w:rFonts w:ascii="宋体" w:cs="宋体"/>
                <w:bCs/>
                <w:color w:val="auto"/>
                <w:szCs w:val="21"/>
              </w:rPr>
            </w:pPr>
            <w:r>
              <w:rPr>
                <w:rFonts w:hint="eastAsia" w:ascii="宋体" w:hAnsi="宋体" w:cs="宋体"/>
                <w:bCs/>
                <w:color w:val="auto"/>
                <w:szCs w:val="21"/>
              </w:rPr>
              <w:t>投标人</w:t>
            </w:r>
            <w:r>
              <w:rPr>
                <w:rFonts w:ascii="宋体" w:hAnsi="宋体" w:cs="宋体"/>
                <w:bCs/>
                <w:color w:val="auto"/>
                <w:szCs w:val="21"/>
              </w:rPr>
              <w:t>2</w:t>
            </w:r>
          </w:p>
        </w:tc>
        <w:tc>
          <w:tcPr>
            <w:tcW w:w="1140" w:type="dxa"/>
          </w:tcPr>
          <w:p>
            <w:pPr>
              <w:spacing w:line="360" w:lineRule="auto"/>
              <w:jc w:val="center"/>
              <w:rPr>
                <w:rFonts w:ascii="宋体" w:cs="宋体"/>
                <w:bCs/>
                <w:color w:val="auto"/>
                <w:szCs w:val="21"/>
              </w:rPr>
            </w:pPr>
            <w:r>
              <w:rPr>
                <w:rFonts w:hint="eastAsia" w:ascii="宋体" w:hAnsi="宋体" w:cs="宋体"/>
                <w:bCs/>
                <w:color w:val="auto"/>
                <w:szCs w:val="21"/>
              </w:rPr>
              <w:t>投标人</w:t>
            </w:r>
            <w:r>
              <w:rPr>
                <w:rFonts w:ascii="宋体" w:hAnsi="宋体" w:cs="宋体"/>
                <w:bCs/>
                <w:color w:val="auto"/>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89" w:hRule="atLeast"/>
        </w:trPr>
        <w:tc>
          <w:tcPr>
            <w:tcW w:w="825" w:type="dxa"/>
            <w:vAlign w:val="center"/>
          </w:tcPr>
          <w:p>
            <w:pPr>
              <w:adjustRightInd w:val="0"/>
              <w:snapToGrid w:val="0"/>
              <w:spacing w:line="360" w:lineRule="auto"/>
              <w:jc w:val="center"/>
              <w:rPr>
                <w:rFonts w:ascii="宋体" w:cs="宋体"/>
                <w:color w:val="auto"/>
                <w:szCs w:val="21"/>
              </w:rPr>
            </w:pPr>
            <w:r>
              <w:rPr>
                <w:rFonts w:ascii="宋体" w:hAnsi="宋体" w:cs="宋体"/>
                <w:color w:val="auto"/>
                <w:szCs w:val="21"/>
              </w:rPr>
              <w:t>1</w:t>
            </w:r>
          </w:p>
        </w:tc>
        <w:tc>
          <w:tcPr>
            <w:tcW w:w="1185" w:type="dxa"/>
            <w:vMerge w:val="restart"/>
            <w:vAlign w:val="center"/>
          </w:tcPr>
          <w:p>
            <w:pPr>
              <w:adjustRightInd w:val="0"/>
              <w:snapToGrid w:val="0"/>
              <w:spacing w:line="360" w:lineRule="auto"/>
              <w:rPr>
                <w:rFonts w:ascii="宋体" w:cs="宋体"/>
                <w:color w:val="auto"/>
                <w:szCs w:val="21"/>
              </w:rPr>
            </w:pPr>
            <w:r>
              <w:rPr>
                <w:rFonts w:hint="eastAsia" w:ascii="宋体" w:hAnsi="宋体" w:cs="宋体"/>
                <w:color w:val="auto"/>
                <w:szCs w:val="21"/>
              </w:rPr>
              <w:t>资格审查</w:t>
            </w:r>
          </w:p>
        </w:tc>
        <w:tc>
          <w:tcPr>
            <w:tcW w:w="4652" w:type="dxa"/>
            <w:vAlign w:val="center"/>
          </w:tcPr>
          <w:p>
            <w:pPr>
              <w:adjustRightInd w:val="0"/>
              <w:snapToGrid w:val="0"/>
              <w:spacing w:line="360" w:lineRule="auto"/>
              <w:rPr>
                <w:rFonts w:ascii="宋体" w:cs="宋体"/>
                <w:color w:val="auto"/>
                <w:szCs w:val="21"/>
              </w:rPr>
            </w:pPr>
            <w:r>
              <w:rPr>
                <w:rFonts w:hint="eastAsia" w:ascii="宋体" w:cs="宋体"/>
                <w:color w:val="auto"/>
                <w:szCs w:val="21"/>
              </w:rPr>
              <w:t>在中华人民共和国注册，具有独立承担民事责任能力的法人（需提供营业执照副本复印件、组织机构代码证、税务登记证复印件或三证合一的营业执照副本复印件）须具备与本项目相关的营业范围</w:t>
            </w:r>
            <w:r>
              <w:rPr>
                <w:rFonts w:ascii="宋体" w:cs="宋体"/>
                <w:color w:val="auto"/>
                <w:szCs w:val="21"/>
              </w:rPr>
              <w:t>(</w:t>
            </w:r>
            <w:r>
              <w:rPr>
                <w:rFonts w:hint="eastAsia" w:ascii="宋体" w:cs="宋体"/>
                <w:color w:val="auto"/>
                <w:szCs w:val="21"/>
              </w:rPr>
              <w:t>提供原件现场备查</w:t>
            </w:r>
            <w:r>
              <w:rPr>
                <w:rFonts w:ascii="宋体" w:cs="宋体"/>
                <w:color w:val="auto"/>
                <w:szCs w:val="21"/>
              </w:rPr>
              <w:t>)</w:t>
            </w:r>
          </w:p>
        </w:tc>
        <w:tc>
          <w:tcPr>
            <w:tcW w:w="1093" w:type="dxa"/>
            <w:vAlign w:val="center"/>
          </w:tcPr>
          <w:p>
            <w:pPr>
              <w:adjustRightInd w:val="0"/>
              <w:snapToGrid w:val="0"/>
              <w:spacing w:line="360" w:lineRule="auto"/>
              <w:rPr>
                <w:rFonts w:ascii="宋体" w:cs="宋体"/>
                <w:color w:val="auto"/>
                <w:szCs w:val="21"/>
              </w:rPr>
            </w:pPr>
          </w:p>
        </w:tc>
        <w:tc>
          <w:tcPr>
            <w:tcW w:w="1125" w:type="dxa"/>
            <w:vAlign w:val="center"/>
          </w:tcPr>
          <w:p>
            <w:pPr>
              <w:adjustRightInd w:val="0"/>
              <w:snapToGrid w:val="0"/>
              <w:spacing w:line="360" w:lineRule="auto"/>
              <w:rPr>
                <w:rFonts w:ascii="宋体" w:cs="宋体"/>
                <w:color w:val="auto"/>
                <w:szCs w:val="21"/>
              </w:rPr>
            </w:pPr>
          </w:p>
        </w:tc>
        <w:tc>
          <w:tcPr>
            <w:tcW w:w="1140" w:type="dxa"/>
            <w:vAlign w:val="center"/>
          </w:tcPr>
          <w:p>
            <w:pPr>
              <w:adjustRightInd w:val="0"/>
              <w:snapToGrid w:val="0"/>
              <w:spacing w:line="360" w:lineRule="auto"/>
              <w:rPr>
                <w:rFonts w:asci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5" w:type="dxa"/>
            <w:vAlign w:val="center"/>
          </w:tcPr>
          <w:p>
            <w:pPr>
              <w:adjustRightInd w:val="0"/>
              <w:snapToGrid w:val="0"/>
              <w:spacing w:line="360" w:lineRule="auto"/>
              <w:jc w:val="center"/>
              <w:rPr>
                <w:rFonts w:ascii="宋体" w:cs="宋体"/>
                <w:color w:val="auto"/>
                <w:szCs w:val="21"/>
              </w:rPr>
            </w:pPr>
            <w:r>
              <w:rPr>
                <w:rFonts w:ascii="宋体" w:hAnsi="宋体" w:cs="宋体"/>
                <w:color w:val="auto"/>
                <w:szCs w:val="21"/>
              </w:rPr>
              <w:t>2</w:t>
            </w:r>
          </w:p>
        </w:tc>
        <w:tc>
          <w:tcPr>
            <w:tcW w:w="1185" w:type="dxa"/>
            <w:vMerge w:val="continue"/>
            <w:vAlign w:val="center"/>
          </w:tcPr>
          <w:p>
            <w:pPr>
              <w:adjustRightInd w:val="0"/>
              <w:snapToGrid w:val="0"/>
              <w:spacing w:line="360" w:lineRule="auto"/>
              <w:rPr>
                <w:rFonts w:ascii="宋体" w:cs="宋体"/>
                <w:color w:val="auto"/>
                <w:szCs w:val="21"/>
              </w:rPr>
            </w:pPr>
          </w:p>
        </w:tc>
        <w:tc>
          <w:tcPr>
            <w:tcW w:w="4652" w:type="dxa"/>
            <w:vAlign w:val="center"/>
          </w:tcPr>
          <w:p>
            <w:pPr>
              <w:adjustRightInd w:val="0"/>
              <w:snapToGrid w:val="0"/>
              <w:spacing w:line="360" w:lineRule="auto"/>
              <w:rPr>
                <w:rFonts w:ascii="宋体" w:cs="宋体"/>
                <w:color w:val="auto"/>
                <w:szCs w:val="21"/>
              </w:rPr>
            </w:pPr>
            <w:r>
              <w:rPr>
                <w:rFonts w:hint="eastAsia" w:ascii="宋体" w:hAnsi="宋体" w:cs="宋体"/>
                <w:color w:val="auto"/>
              </w:rPr>
              <w:t>具有依法缴纳税收和社会保障资金的良好记录</w:t>
            </w:r>
            <w:r>
              <w:rPr>
                <w:rFonts w:ascii="宋体" w:hAnsi="宋体" w:cs="宋体"/>
                <w:color w:val="auto"/>
              </w:rPr>
              <w:t>(</w:t>
            </w:r>
            <w:r>
              <w:rPr>
                <w:rFonts w:hint="eastAsia" w:ascii="宋体" w:hAnsi="宋体" w:cs="宋体"/>
                <w:color w:val="auto"/>
              </w:rPr>
              <w:t>需提供</w:t>
            </w:r>
            <w:r>
              <w:rPr>
                <w:rFonts w:ascii="宋体" w:hAnsi="宋体" w:cs="宋体"/>
                <w:color w:val="auto"/>
              </w:rPr>
              <w:t>2018</w:t>
            </w:r>
            <w:r>
              <w:rPr>
                <w:rFonts w:hint="eastAsia" w:ascii="宋体" w:hAnsi="宋体" w:cs="宋体"/>
                <w:color w:val="auto"/>
              </w:rPr>
              <w:t>年至今连续</w:t>
            </w:r>
            <w:r>
              <w:rPr>
                <w:rFonts w:ascii="宋体" w:hAnsi="宋体" w:cs="宋体"/>
                <w:color w:val="auto"/>
              </w:rPr>
              <w:t>3</w:t>
            </w:r>
            <w:r>
              <w:rPr>
                <w:rFonts w:hint="eastAsia" w:ascii="宋体" w:hAnsi="宋体" w:cs="宋体"/>
                <w:color w:val="auto"/>
              </w:rPr>
              <w:t>个月的税收和社保记录凭证复印件加盖公章，提供原件现场备查）</w:t>
            </w:r>
          </w:p>
        </w:tc>
        <w:tc>
          <w:tcPr>
            <w:tcW w:w="1093" w:type="dxa"/>
            <w:vAlign w:val="center"/>
          </w:tcPr>
          <w:p>
            <w:pPr>
              <w:adjustRightInd w:val="0"/>
              <w:snapToGrid w:val="0"/>
              <w:spacing w:line="360" w:lineRule="auto"/>
              <w:rPr>
                <w:rFonts w:ascii="宋体" w:cs="宋体"/>
                <w:color w:val="auto"/>
                <w:szCs w:val="21"/>
              </w:rPr>
            </w:pPr>
          </w:p>
        </w:tc>
        <w:tc>
          <w:tcPr>
            <w:tcW w:w="1125" w:type="dxa"/>
            <w:vAlign w:val="center"/>
          </w:tcPr>
          <w:p>
            <w:pPr>
              <w:adjustRightInd w:val="0"/>
              <w:snapToGrid w:val="0"/>
              <w:spacing w:line="360" w:lineRule="auto"/>
              <w:rPr>
                <w:rFonts w:ascii="宋体" w:cs="宋体"/>
                <w:color w:val="auto"/>
                <w:szCs w:val="21"/>
              </w:rPr>
            </w:pPr>
          </w:p>
        </w:tc>
        <w:tc>
          <w:tcPr>
            <w:tcW w:w="1140" w:type="dxa"/>
            <w:vAlign w:val="center"/>
          </w:tcPr>
          <w:p>
            <w:pPr>
              <w:adjustRightInd w:val="0"/>
              <w:snapToGrid w:val="0"/>
              <w:spacing w:line="360" w:lineRule="auto"/>
              <w:rPr>
                <w:rFonts w:asci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5" w:type="dxa"/>
            <w:vAlign w:val="center"/>
          </w:tcPr>
          <w:p>
            <w:pPr>
              <w:adjustRightInd w:val="0"/>
              <w:snapToGrid w:val="0"/>
              <w:spacing w:line="360" w:lineRule="auto"/>
              <w:jc w:val="center"/>
              <w:rPr>
                <w:rFonts w:ascii="宋体" w:cs="宋体"/>
                <w:color w:val="auto"/>
                <w:szCs w:val="21"/>
              </w:rPr>
            </w:pPr>
            <w:r>
              <w:rPr>
                <w:rFonts w:ascii="宋体" w:hAnsi="宋体" w:cs="宋体"/>
                <w:color w:val="auto"/>
                <w:szCs w:val="21"/>
              </w:rPr>
              <w:t>3</w:t>
            </w:r>
          </w:p>
        </w:tc>
        <w:tc>
          <w:tcPr>
            <w:tcW w:w="1185" w:type="dxa"/>
            <w:vMerge w:val="continue"/>
            <w:vAlign w:val="center"/>
          </w:tcPr>
          <w:p>
            <w:pPr>
              <w:adjustRightInd w:val="0"/>
              <w:snapToGrid w:val="0"/>
              <w:spacing w:line="360" w:lineRule="auto"/>
              <w:rPr>
                <w:rFonts w:ascii="宋体" w:cs="宋体"/>
                <w:color w:val="auto"/>
                <w:szCs w:val="21"/>
              </w:rPr>
            </w:pPr>
          </w:p>
        </w:tc>
        <w:tc>
          <w:tcPr>
            <w:tcW w:w="4652" w:type="dxa"/>
            <w:vAlign w:val="center"/>
          </w:tcPr>
          <w:p>
            <w:pPr>
              <w:adjustRightInd w:val="0"/>
              <w:snapToGrid w:val="0"/>
              <w:spacing w:line="360" w:lineRule="auto"/>
              <w:rPr>
                <w:rFonts w:ascii="宋体" w:cs="宋体"/>
                <w:color w:val="auto"/>
                <w:szCs w:val="21"/>
              </w:rPr>
            </w:pPr>
            <w:r>
              <w:rPr>
                <w:rFonts w:hint="eastAsia" w:ascii="宋体" w:hAnsi="宋体" w:cs="宋体"/>
                <w:color w:val="auto"/>
                <w:szCs w:val="21"/>
              </w:rPr>
              <w:t>参加政府采购活动前三年内，在经营活动中没有重大违法记录（提供声明函）</w:t>
            </w:r>
          </w:p>
        </w:tc>
        <w:tc>
          <w:tcPr>
            <w:tcW w:w="1093" w:type="dxa"/>
            <w:vAlign w:val="center"/>
          </w:tcPr>
          <w:p>
            <w:pPr>
              <w:adjustRightInd w:val="0"/>
              <w:snapToGrid w:val="0"/>
              <w:spacing w:line="360" w:lineRule="auto"/>
              <w:rPr>
                <w:rFonts w:ascii="宋体" w:cs="宋体"/>
                <w:color w:val="auto"/>
                <w:szCs w:val="21"/>
              </w:rPr>
            </w:pPr>
          </w:p>
        </w:tc>
        <w:tc>
          <w:tcPr>
            <w:tcW w:w="1125" w:type="dxa"/>
            <w:vAlign w:val="center"/>
          </w:tcPr>
          <w:p>
            <w:pPr>
              <w:adjustRightInd w:val="0"/>
              <w:snapToGrid w:val="0"/>
              <w:spacing w:line="360" w:lineRule="auto"/>
              <w:rPr>
                <w:rFonts w:ascii="宋体" w:cs="宋体"/>
                <w:color w:val="auto"/>
                <w:szCs w:val="21"/>
              </w:rPr>
            </w:pPr>
          </w:p>
        </w:tc>
        <w:tc>
          <w:tcPr>
            <w:tcW w:w="1140" w:type="dxa"/>
            <w:vAlign w:val="center"/>
          </w:tcPr>
          <w:p>
            <w:pPr>
              <w:adjustRightInd w:val="0"/>
              <w:snapToGrid w:val="0"/>
              <w:spacing w:line="360" w:lineRule="auto"/>
              <w:rPr>
                <w:rFonts w:asci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825" w:type="dxa"/>
            <w:vAlign w:val="center"/>
          </w:tcPr>
          <w:p>
            <w:pPr>
              <w:adjustRightInd w:val="0"/>
              <w:snapToGrid w:val="0"/>
              <w:spacing w:line="360" w:lineRule="auto"/>
              <w:jc w:val="center"/>
              <w:rPr>
                <w:rFonts w:ascii="宋体" w:cs="宋体"/>
                <w:color w:val="auto"/>
                <w:szCs w:val="21"/>
              </w:rPr>
            </w:pPr>
            <w:r>
              <w:rPr>
                <w:rFonts w:ascii="宋体" w:hAnsi="宋体" w:cs="宋体"/>
                <w:color w:val="auto"/>
                <w:szCs w:val="21"/>
              </w:rPr>
              <w:t>4</w:t>
            </w:r>
          </w:p>
        </w:tc>
        <w:tc>
          <w:tcPr>
            <w:tcW w:w="1185" w:type="dxa"/>
            <w:vMerge w:val="continue"/>
            <w:vAlign w:val="center"/>
          </w:tcPr>
          <w:p>
            <w:pPr>
              <w:adjustRightInd w:val="0"/>
              <w:snapToGrid w:val="0"/>
              <w:spacing w:line="360" w:lineRule="auto"/>
              <w:rPr>
                <w:rFonts w:ascii="宋体" w:cs="宋体"/>
                <w:color w:val="auto"/>
                <w:szCs w:val="21"/>
              </w:rPr>
            </w:pPr>
          </w:p>
        </w:tc>
        <w:tc>
          <w:tcPr>
            <w:tcW w:w="4652" w:type="dxa"/>
            <w:vAlign w:val="center"/>
          </w:tcPr>
          <w:p>
            <w:pPr>
              <w:adjustRightInd w:val="0"/>
              <w:snapToGrid w:val="0"/>
              <w:spacing w:line="360" w:lineRule="auto"/>
              <w:rPr>
                <w:rFonts w:ascii="宋体" w:cs="宋体"/>
                <w:color w:val="auto"/>
                <w:szCs w:val="21"/>
              </w:rPr>
            </w:pPr>
            <w:r>
              <w:rPr>
                <w:rFonts w:hint="eastAsia" w:ascii="宋体" w:hAnsi="宋体" w:cs="宋体"/>
                <w:color w:val="auto"/>
                <w:szCs w:val="21"/>
              </w:rPr>
              <w:t>根据《财政部关于在政府采购活动中查询及使用信用记录有关问题的通知》（财库〔</w:t>
            </w:r>
            <w:r>
              <w:rPr>
                <w:rFonts w:ascii="宋体" w:hAnsi="宋体" w:cs="宋体"/>
                <w:color w:val="auto"/>
                <w:szCs w:val="21"/>
              </w:rPr>
              <w:t>2016</w:t>
            </w:r>
            <w:r>
              <w:rPr>
                <w:rFonts w:hint="eastAsia" w:ascii="宋体" w:hAnsi="宋体" w:cs="宋体"/>
                <w:color w:val="auto"/>
                <w:szCs w:val="21"/>
              </w:rPr>
              <w:t>〕</w:t>
            </w:r>
            <w:r>
              <w:rPr>
                <w:rFonts w:ascii="宋体" w:hAnsi="宋体" w:cs="宋体"/>
                <w:color w:val="auto"/>
                <w:szCs w:val="21"/>
              </w:rPr>
              <w:t>125</w:t>
            </w:r>
            <w:r>
              <w:rPr>
                <w:rFonts w:hint="eastAsia" w:ascii="宋体" w:hAnsi="宋体" w:cs="宋体"/>
                <w:color w:val="auto"/>
                <w:szCs w:val="21"/>
              </w:rPr>
              <w:t>号）的要求，在政府采购活动中查询及使用信用记录。查询渠道：通过“信用中国”网站（</w:t>
            </w:r>
            <w:r>
              <w:rPr>
                <w:rFonts w:ascii="宋体" w:hAnsi="宋体" w:cs="宋体"/>
                <w:color w:val="auto"/>
                <w:szCs w:val="21"/>
              </w:rPr>
              <w:t>www.creditchina.gov.cn</w:t>
            </w:r>
            <w:r>
              <w:rPr>
                <w:rFonts w:hint="eastAsia" w:ascii="宋体" w:hAnsi="宋体" w:cs="宋体"/>
                <w:color w:val="auto"/>
                <w:szCs w:val="21"/>
              </w:rPr>
              <w:t>）或中国政府采购网（</w:t>
            </w:r>
            <w:r>
              <w:rPr>
                <w:rFonts w:ascii="宋体" w:hAnsi="宋体" w:cs="宋体"/>
                <w:color w:val="auto"/>
                <w:szCs w:val="21"/>
              </w:rPr>
              <w:t>www.ccgp.gov.cn</w:t>
            </w:r>
            <w:r>
              <w:rPr>
                <w:rFonts w:hint="eastAsia" w:ascii="宋体" w:hAnsi="宋体" w:cs="宋体"/>
                <w:color w:val="auto"/>
                <w:szCs w:val="21"/>
              </w:rPr>
              <w:t>）查询相关供应商的信用记录。</w:t>
            </w:r>
            <w:r>
              <w:rPr>
                <w:rFonts w:ascii="宋体" w:hAnsi="宋体" w:cs="宋体"/>
                <w:color w:val="auto"/>
                <w:szCs w:val="21"/>
              </w:rPr>
              <w:t>(</w:t>
            </w:r>
            <w:r>
              <w:rPr>
                <w:rFonts w:hint="eastAsia" w:ascii="宋体" w:hAnsi="宋体" w:cs="宋体"/>
                <w:color w:val="auto"/>
                <w:szCs w:val="21"/>
              </w:rPr>
              <w:t>投标时提供加盖公章的网上查询截图</w:t>
            </w:r>
            <w:r>
              <w:rPr>
                <w:rFonts w:ascii="宋体" w:hAnsi="宋体" w:cs="宋体"/>
                <w:color w:val="auto"/>
                <w:szCs w:val="21"/>
              </w:rPr>
              <w:t>)</w:t>
            </w:r>
          </w:p>
        </w:tc>
        <w:tc>
          <w:tcPr>
            <w:tcW w:w="1093" w:type="dxa"/>
            <w:vAlign w:val="center"/>
          </w:tcPr>
          <w:p>
            <w:pPr>
              <w:adjustRightInd w:val="0"/>
              <w:snapToGrid w:val="0"/>
              <w:spacing w:line="360" w:lineRule="auto"/>
              <w:rPr>
                <w:rFonts w:ascii="宋体" w:cs="宋体"/>
                <w:color w:val="auto"/>
                <w:szCs w:val="21"/>
              </w:rPr>
            </w:pPr>
          </w:p>
        </w:tc>
        <w:tc>
          <w:tcPr>
            <w:tcW w:w="1125" w:type="dxa"/>
            <w:vAlign w:val="center"/>
          </w:tcPr>
          <w:p>
            <w:pPr>
              <w:adjustRightInd w:val="0"/>
              <w:snapToGrid w:val="0"/>
              <w:spacing w:line="360" w:lineRule="auto"/>
              <w:rPr>
                <w:rFonts w:ascii="宋体" w:cs="宋体"/>
                <w:color w:val="auto"/>
                <w:szCs w:val="21"/>
              </w:rPr>
            </w:pPr>
          </w:p>
        </w:tc>
        <w:tc>
          <w:tcPr>
            <w:tcW w:w="1140" w:type="dxa"/>
            <w:vAlign w:val="center"/>
          </w:tcPr>
          <w:p>
            <w:pPr>
              <w:adjustRightInd w:val="0"/>
              <w:snapToGrid w:val="0"/>
              <w:spacing w:line="360" w:lineRule="auto"/>
              <w:rPr>
                <w:rFonts w:asci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825" w:type="dxa"/>
            <w:vAlign w:val="center"/>
          </w:tcPr>
          <w:p>
            <w:pPr>
              <w:adjustRightInd w:val="0"/>
              <w:snapToGrid w:val="0"/>
              <w:spacing w:line="360" w:lineRule="auto"/>
              <w:jc w:val="center"/>
              <w:rPr>
                <w:rFonts w:ascii="宋体" w:cs="宋体"/>
                <w:color w:val="auto"/>
                <w:szCs w:val="21"/>
              </w:rPr>
            </w:pPr>
            <w:r>
              <w:rPr>
                <w:rFonts w:ascii="宋体" w:hAnsi="宋体" w:cs="宋体"/>
                <w:color w:val="auto"/>
                <w:szCs w:val="21"/>
              </w:rPr>
              <w:t>5</w:t>
            </w:r>
          </w:p>
        </w:tc>
        <w:tc>
          <w:tcPr>
            <w:tcW w:w="1185" w:type="dxa"/>
            <w:vMerge w:val="continue"/>
            <w:vAlign w:val="center"/>
          </w:tcPr>
          <w:p>
            <w:pPr>
              <w:adjustRightInd w:val="0"/>
              <w:snapToGrid w:val="0"/>
              <w:spacing w:line="360" w:lineRule="auto"/>
              <w:rPr>
                <w:rFonts w:ascii="宋体" w:cs="宋体"/>
                <w:color w:val="auto"/>
                <w:szCs w:val="21"/>
              </w:rPr>
            </w:pPr>
          </w:p>
        </w:tc>
        <w:tc>
          <w:tcPr>
            <w:tcW w:w="4652" w:type="dxa"/>
            <w:vAlign w:val="center"/>
          </w:tcPr>
          <w:p>
            <w:pPr>
              <w:adjustRightInd w:val="0"/>
              <w:snapToGrid w:val="0"/>
              <w:spacing w:line="360" w:lineRule="auto"/>
              <w:rPr>
                <w:rFonts w:ascii="宋体" w:cs="宋体"/>
                <w:color w:val="auto"/>
                <w:szCs w:val="21"/>
              </w:rPr>
            </w:pPr>
            <w:r>
              <w:rPr>
                <w:rFonts w:hint="eastAsia" w:ascii="宋体" w:hAnsi="宋体" w:cs="宋体"/>
                <w:color w:val="auto"/>
                <w:szCs w:val="21"/>
              </w:rPr>
              <w:t>购买本项目询价文件并按时缴纳保证金，提供缴纳保证金凭证的复印件</w:t>
            </w:r>
          </w:p>
        </w:tc>
        <w:tc>
          <w:tcPr>
            <w:tcW w:w="1093" w:type="dxa"/>
            <w:vAlign w:val="center"/>
          </w:tcPr>
          <w:p>
            <w:pPr>
              <w:adjustRightInd w:val="0"/>
              <w:snapToGrid w:val="0"/>
              <w:spacing w:line="360" w:lineRule="auto"/>
              <w:rPr>
                <w:rFonts w:ascii="宋体" w:cs="宋体"/>
                <w:color w:val="auto"/>
                <w:szCs w:val="21"/>
              </w:rPr>
            </w:pPr>
          </w:p>
        </w:tc>
        <w:tc>
          <w:tcPr>
            <w:tcW w:w="1125" w:type="dxa"/>
            <w:vAlign w:val="center"/>
          </w:tcPr>
          <w:p>
            <w:pPr>
              <w:adjustRightInd w:val="0"/>
              <w:snapToGrid w:val="0"/>
              <w:spacing w:line="360" w:lineRule="auto"/>
              <w:rPr>
                <w:rFonts w:ascii="宋体" w:cs="宋体"/>
                <w:color w:val="auto"/>
                <w:szCs w:val="21"/>
              </w:rPr>
            </w:pPr>
          </w:p>
        </w:tc>
        <w:tc>
          <w:tcPr>
            <w:tcW w:w="1140" w:type="dxa"/>
            <w:vAlign w:val="center"/>
          </w:tcPr>
          <w:p>
            <w:pPr>
              <w:adjustRightInd w:val="0"/>
              <w:snapToGrid w:val="0"/>
              <w:spacing w:line="360" w:lineRule="auto"/>
              <w:rPr>
                <w:rFonts w:asci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62" w:type="dxa"/>
            <w:gridSpan w:val="3"/>
            <w:vAlign w:val="center"/>
          </w:tcPr>
          <w:p>
            <w:pPr>
              <w:adjustRightInd w:val="0"/>
              <w:snapToGrid w:val="0"/>
              <w:spacing w:line="360" w:lineRule="auto"/>
              <w:jc w:val="center"/>
              <w:rPr>
                <w:rFonts w:ascii="宋体" w:cs="宋体"/>
                <w:color w:val="auto"/>
                <w:szCs w:val="21"/>
              </w:rPr>
            </w:pPr>
            <w:r>
              <w:rPr>
                <w:rFonts w:hint="eastAsia" w:ascii="宋体" w:hAnsi="宋体" w:cs="宋体"/>
                <w:color w:val="auto"/>
                <w:szCs w:val="21"/>
              </w:rPr>
              <w:t>结论</w:t>
            </w:r>
          </w:p>
        </w:tc>
        <w:tc>
          <w:tcPr>
            <w:tcW w:w="1093" w:type="dxa"/>
            <w:vAlign w:val="center"/>
          </w:tcPr>
          <w:p>
            <w:pPr>
              <w:adjustRightInd w:val="0"/>
              <w:snapToGrid w:val="0"/>
              <w:spacing w:line="360" w:lineRule="auto"/>
              <w:rPr>
                <w:rFonts w:ascii="宋体" w:cs="宋体"/>
                <w:color w:val="auto"/>
                <w:szCs w:val="21"/>
              </w:rPr>
            </w:pPr>
          </w:p>
        </w:tc>
        <w:tc>
          <w:tcPr>
            <w:tcW w:w="1125" w:type="dxa"/>
            <w:vAlign w:val="center"/>
          </w:tcPr>
          <w:p>
            <w:pPr>
              <w:adjustRightInd w:val="0"/>
              <w:snapToGrid w:val="0"/>
              <w:spacing w:line="360" w:lineRule="auto"/>
              <w:rPr>
                <w:rFonts w:ascii="宋体" w:cs="宋体"/>
                <w:color w:val="auto"/>
                <w:szCs w:val="21"/>
              </w:rPr>
            </w:pPr>
          </w:p>
        </w:tc>
        <w:tc>
          <w:tcPr>
            <w:tcW w:w="1140" w:type="dxa"/>
            <w:vAlign w:val="center"/>
          </w:tcPr>
          <w:p>
            <w:pPr>
              <w:adjustRightInd w:val="0"/>
              <w:snapToGrid w:val="0"/>
              <w:spacing w:line="360" w:lineRule="auto"/>
              <w:rPr>
                <w:rFonts w:ascii="宋体" w:cs="宋体"/>
                <w:color w:val="auto"/>
                <w:szCs w:val="21"/>
              </w:rPr>
            </w:pPr>
          </w:p>
        </w:tc>
      </w:tr>
    </w:tbl>
    <w:p>
      <w:pPr>
        <w:shd w:val="clear" w:color="auto" w:fill="FFFFFF"/>
        <w:spacing w:line="360" w:lineRule="auto"/>
        <w:rPr>
          <w:rFonts w:ascii="宋体" w:cs="宋体"/>
          <w:color w:val="auto"/>
          <w:szCs w:val="21"/>
          <w:shd w:val="clear" w:color="auto" w:fill="FFFFFF"/>
        </w:rPr>
      </w:pPr>
      <w:r>
        <w:rPr>
          <w:rFonts w:ascii="宋体" w:hAnsi="宋体" w:cs="宋体"/>
          <w:color w:val="auto"/>
          <w:szCs w:val="21"/>
          <w:shd w:val="clear" w:color="auto" w:fill="FFFFFF"/>
        </w:rPr>
        <w:t>1</w:t>
      </w:r>
      <w:r>
        <w:rPr>
          <w:rFonts w:hint="eastAsia" w:ascii="宋体" w:hAnsi="宋体" w:cs="宋体"/>
          <w:color w:val="auto"/>
          <w:szCs w:val="21"/>
          <w:shd w:val="clear" w:color="auto" w:fill="FFFFFF"/>
        </w:rPr>
        <w:t>、表中只需填写“√</w:t>
      </w:r>
      <w:r>
        <w:rPr>
          <w:rFonts w:ascii="宋体" w:hAnsi="宋体" w:cs="宋体"/>
          <w:color w:val="auto"/>
          <w:szCs w:val="21"/>
          <w:shd w:val="clear" w:color="auto" w:fill="FFFFFF"/>
        </w:rPr>
        <w:t>/</w:t>
      </w:r>
      <w:r>
        <w:rPr>
          <w:rFonts w:hint="eastAsia" w:ascii="宋体" w:hAnsi="宋体" w:cs="宋体"/>
          <w:color w:val="auto"/>
          <w:szCs w:val="21"/>
          <w:shd w:val="clear" w:color="auto" w:fill="FFFFFF"/>
        </w:rPr>
        <w:t>通过”或“×</w:t>
      </w:r>
      <w:r>
        <w:rPr>
          <w:rFonts w:ascii="宋体" w:hAnsi="宋体" w:cs="宋体"/>
          <w:color w:val="auto"/>
          <w:szCs w:val="21"/>
          <w:shd w:val="clear" w:color="auto" w:fill="FFFFFF"/>
        </w:rPr>
        <w:t>/</w:t>
      </w:r>
      <w:r>
        <w:rPr>
          <w:rFonts w:hint="eastAsia" w:ascii="宋体" w:hAnsi="宋体" w:cs="宋体"/>
          <w:color w:val="auto"/>
          <w:szCs w:val="21"/>
          <w:shd w:val="clear" w:color="auto" w:fill="FFFFFF"/>
        </w:rPr>
        <w:t>不通过”。</w:t>
      </w:r>
    </w:p>
    <w:p>
      <w:pPr>
        <w:shd w:val="clear" w:color="auto" w:fill="FFFFFF"/>
        <w:spacing w:line="360" w:lineRule="auto"/>
        <w:rPr>
          <w:rFonts w:ascii="宋体" w:cs="宋体"/>
          <w:color w:val="auto"/>
          <w:szCs w:val="21"/>
          <w:shd w:val="clear" w:color="auto" w:fill="FFFFFF"/>
        </w:rPr>
      </w:pPr>
      <w:r>
        <w:rPr>
          <w:rFonts w:ascii="宋体" w:hAnsi="宋体" w:cs="宋体"/>
          <w:color w:val="auto"/>
          <w:szCs w:val="21"/>
          <w:shd w:val="clear" w:color="auto" w:fill="FFFFFF"/>
        </w:rPr>
        <w:t>2</w:t>
      </w:r>
      <w:r>
        <w:rPr>
          <w:rFonts w:hint="eastAsia" w:ascii="宋体" w:hAnsi="宋体" w:cs="宋体"/>
          <w:color w:val="auto"/>
          <w:szCs w:val="21"/>
          <w:shd w:val="clear" w:color="auto" w:fill="FFFFFF"/>
        </w:rPr>
        <w:t>、在结论中按“一项否决”的原则，只有全部是√</w:t>
      </w:r>
      <w:r>
        <w:rPr>
          <w:rFonts w:ascii="宋体" w:hAnsi="宋体" w:cs="宋体"/>
          <w:color w:val="auto"/>
          <w:szCs w:val="21"/>
          <w:shd w:val="clear" w:color="auto" w:fill="FFFFFF"/>
        </w:rPr>
        <w:t>/</w:t>
      </w:r>
      <w:r>
        <w:rPr>
          <w:rFonts w:hint="eastAsia" w:ascii="宋体" w:hAnsi="宋体" w:cs="宋体"/>
          <w:color w:val="auto"/>
          <w:szCs w:val="21"/>
          <w:shd w:val="clear" w:color="auto" w:fill="FFFFFF"/>
        </w:rPr>
        <w:t>通过的，填写“合格”；只要其中有一项是×</w:t>
      </w:r>
      <w:r>
        <w:rPr>
          <w:rFonts w:ascii="宋体" w:hAnsi="宋体" w:cs="宋体"/>
          <w:color w:val="auto"/>
          <w:szCs w:val="21"/>
          <w:shd w:val="clear" w:color="auto" w:fill="FFFFFF"/>
        </w:rPr>
        <w:t>/</w:t>
      </w:r>
      <w:r>
        <w:rPr>
          <w:rFonts w:hint="eastAsia" w:ascii="宋体" w:hAnsi="宋体" w:cs="宋体"/>
          <w:color w:val="auto"/>
          <w:szCs w:val="21"/>
          <w:shd w:val="clear" w:color="auto" w:fill="FFFFFF"/>
        </w:rPr>
        <w:t>不通过的，填写“不合格”。</w:t>
      </w:r>
    </w:p>
    <w:p>
      <w:pPr>
        <w:shd w:val="clear" w:color="auto" w:fill="FFFFFF"/>
        <w:spacing w:line="360" w:lineRule="auto"/>
        <w:rPr>
          <w:rFonts w:ascii="宋体" w:cs="宋体"/>
          <w:color w:val="auto"/>
          <w:szCs w:val="21"/>
          <w:shd w:val="clear" w:color="auto" w:fill="FFFFFF"/>
        </w:rPr>
      </w:pPr>
      <w:r>
        <w:rPr>
          <w:rFonts w:ascii="宋体" w:hAnsi="宋体" w:cs="宋体"/>
          <w:color w:val="auto"/>
          <w:szCs w:val="21"/>
          <w:shd w:val="clear" w:color="auto" w:fill="FFFFFF"/>
        </w:rPr>
        <w:t>3</w:t>
      </w:r>
      <w:r>
        <w:rPr>
          <w:rFonts w:hint="eastAsia" w:ascii="宋体" w:hAnsi="宋体" w:cs="宋体"/>
          <w:color w:val="auto"/>
          <w:szCs w:val="21"/>
          <w:shd w:val="clear" w:color="auto" w:fill="FFFFFF"/>
        </w:rPr>
        <w:t>、结论是合格的，才能进入下一轮；不合格的被淘汰。</w:t>
      </w:r>
    </w:p>
    <w:p>
      <w:pPr>
        <w:shd w:val="clear" w:color="auto" w:fill="FFFFFF"/>
        <w:spacing w:line="360" w:lineRule="auto"/>
        <w:rPr>
          <w:rFonts w:hint="eastAsia" w:ascii="宋体" w:hAnsi="宋体" w:cs="宋体"/>
          <w:color w:val="auto"/>
          <w:sz w:val="36"/>
          <w:szCs w:val="36"/>
          <w:shd w:val="clear" w:color="auto" w:fill="FFFFFF"/>
        </w:rPr>
      </w:pPr>
      <w:r>
        <w:rPr>
          <w:rFonts w:hint="eastAsia" w:ascii="宋体" w:hAnsi="宋体" w:cs="宋体"/>
          <w:color w:val="auto"/>
          <w:sz w:val="28"/>
          <w:szCs w:val="28"/>
        </w:rPr>
        <w:t>询价小组签名：</w:t>
      </w:r>
    </w:p>
    <w:p>
      <w:pPr>
        <w:shd w:val="clear" w:color="auto" w:fill="FFFFFF"/>
        <w:snapToGrid w:val="0"/>
        <w:spacing w:after="100" w:afterAutospacing="1" w:line="360" w:lineRule="auto"/>
        <w:jc w:val="center"/>
        <w:rPr>
          <w:rFonts w:hint="eastAsia" w:ascii="宋体" w:hAnsi="宋体" w:cs="宋体"/>
          <w:color w:val="auto"/>
          <w:sz w:val="36"/>
          <w:szCs w:val="36"/>
          <w:shd w:val="clear" w:color="auto" w:fill="FFFFFF"/>
        </w:rPr>
      </w:pPr>
      <w:bookmarkStart w:id="27" w:name="_GoBack"/>
      <w:bookmarkEnd w:id="27"/>
    </w:p>
    <w:p>
      <w:pPr>
        <w:shd w:val="clear" w:color="auto" w:fill="FFFFFF"/>
        <w:snapToGrid w:val="0"/>
        <w:spacing w:after="100" w:afterAutospacing="1" w:line="360" w:lineRule="auto"/>
        <w:jc w:val="center"/>
        <w:rPr>
          <w:rFonts w:hint="eastAsia" w:ascii="宋体" w:hAnsi="宋体" w:cs="宋体"/>
          <w:color w:val="auto"/>
          <w:sz w:val="36"/>
          <w:szCs w:val="36"/>
          <w:shd w:val="clear" w:color="auto" w:fill="FFFFFF"/>
        </w:rPr>
      </w:pPr>
    </w:p>
    <w:p>
      <w:pPr>
        <w:shd w:val="clear" w:color="auto" w:fill="FFFFFF"/>
        <w:snapToGrid w:val="0"/>
        <w:spacing w:after="100" w:afterAutospacing="1" w:line="360" w:lineRule="auto"/>
        <w:jc w:val="center"/>
        <w:rPr>
          <w:rFonts w:hint="eastAsia" w:ascii="宋体" w:hAnsi="宋体" w:cs="宋体"/>
          <w:color w:val="auto"/>
          <w:sz w:val="36"/>
          <w:szCs w:val="36"/>
          <w:shd w:val="clear" w:color="auto" w:fill="FFFFFF"/>
        </w:rPr>
      </w:pPr>
    </w:p>
    <w:p>
      <w:pPr>
        <w:shd w:val="clear" w:color="auto" w:fill="FFFFFF"/>
        <w:snapToGrid w:val="0"/>
        <w:spacing w:after="100" w:afterAutospacing="1" w:line="360" w:lineRule="auto"/>
        <w:jc w:val="center"/>
        <w:rPr>
          <w:rFonts w:hint="eastAsia" w:ascii="宋体" w:hAnsi="宋体" w:cs="宋体"/>
          <w:color w:val="auto"/>
          <w:sz w:val="36"/>
          <w:szCs w:val="36"/>
          <w:shd w:val="clear" w:color="auto" w:fill="FFFFFF"/>
        </w:rPr>
      </w:pPr>
    </w:p>
    <w:p>
      <w:pPr>
        <w:shd w:val="clear" w:color="auto" w:fill="FFFFFF"/>
        <w:snapToGrid w:val="0"/>
        <w:spacing w:after="100" w:afterAutospacing="1" w:line="360" w:lineRule="auto"/>
        <w:jc w:val="center"/>
        <w:rPr>
          <w:rFonts w:hint="eastAsia" w:ascii="宋体" w:hAnsi="宋体" w:cs="宋体"/>
          <w:color w:val="auto"/>
          <w:sz w:val="36"/>
          <w:szCs w:val="36"/>
          <w:shd w:val="clear" w:color="auto" w:fill="FFFFFF"/>
        </w:rPr>
      </w:pPr>
    </w:p>
    <w:p>
      <w:pPr>
        <w:shd w:val="clear" w:color="auto" w:fill="FFFFFF"/>
        <w:snapToGrid w:val="0"/>
        <w:spacing w:after="100" w:afterAutospacing="1" w:line="360" w:lineRule="auto"/>
        <w:jc w:val="center"/>
        <w:rPr>
          <w:rFonts w:hint="eastAsia" w:ascii="宋体" w:hAnsi="宋体" w:cs="宋体"/>
          <w:color w:val="auto"/>
          <w:sz w:val="36"/>
          <w:szCs w:val="36"/>
          <w:shd w:val="clear" w:color="auto" w:fill="FFFFFF"/>
        </w:rPr>
      </w:pPr>
    </w:p>
    <w:p>
      <w:pPr>
        <w:shd w:val="clear" w:color="auto" w:fill="FFFFFF"/>
        <w:snapToGrid w:val="0"/>
        <w:spacing w:after="100" w:afterAutospacing="1" w:line="360" w:lineRule="auto"/>
        <w:jc w:val="center"/>
        <w:rPr>
          <w:rFonts w:hint="eastAsia" w:ascii="宋体" w:hAnsi="宋体" w:cs="宋体"/>
          <w:color w:val="auto"/>
          <w:sz w:val="36"/>
          <w:szCs w:val="36"/>
          <w:shd w:val="clear" w:color="auto" w:fill="FFFFFF"/>
        </w:rPr>
      </w:pPr>
    </w:p>
    <w:p>
      <w:pPr>
        <w:shd w:val="clear" w:color="auto" w:fill="FFFFFF"/>
        <w:snapToGrid w:val="0"/>
        <w:spacing w:after="100" w:afterAutospacing="1" w:line="360" w:lineRule="auto"/>
        <w:jc w:val="center"/>
        <w:rPr>
          <w:rFonts w:hint="eastAsia" w:ascii="宋体" w:hAnsi="宋体" w:cs="宋体"/>
          <w:color w:val="auto"/>
          <w:sz w:val="36"/>
          <w:szCs w:val="36"/>
          <w:shd w:val="clear" w:color="auto" w:fill="FFFFFF"/>
        </w:rPr>
      </w:pPr>
    </w:p>
    <w:p>
      <w:pPr>
        <w:shd w:val="clear" w:color="auto" w:fill="FFFFFF"/>
        <w:snapToGrid w:val="0"/>
        <w:spacing w:after="100" w:afterAutospacing="1" w:line="360" w:lineRule="auto"/>
        <w:jc w:val="center"/>
        <w:rPr>
          <w:rFonts w:hint="eastAsia" w:ascii="宋体" w:hAnsi="宋体" w:cs="宋体"/>
          <w:color w:val="auto"/>
          <w:sz w:val="36"/>
          <w:szCs w:val="36"/>
          <w:shd w:val="clear" w:color="auto" w:fill="FFFFFF"/>
        </w:rPr>
      </w:pPr>
    </w:p>
    <w:p>
      <w:pPr>
        <w:shd w:val="clear" w:color="auto" w:fill="FFFFFF"/>
        <w:snapToGrid w:val="0"/>
        <w:spacing w:after="100" w:afterAutospacing="1" w:line="360" w:lineRule="auto"/>
        <w:jc w:val="center"/>
        <w:rPr>
          <w:rFonts w:hint="eastAsia" w:ascii="宋体" w:hAnsi="宋体" w:cs="宋体"/>
          <w:color w:val="auto"/>
          <w:sz w:val="36"/>
          <w:szCs w:val="36"/>
          <w:shd w:val="clear" w:color="auto" w:fill="FFFFFF"/>
        </w:rPr>
      </w:pPr>
    </w:p>
    <w:p>
      <w:pPr>
        <w:shd w:val="clear" w:color="auto" w:fill="FFFFFF"/>
        <w:snapToGrid w:val="0"/>
        <w:spacing w:after="100" w:afterAutospacing="1" w:line="360" w:lineRule="auto"/>
        <w:jc w:val="center"/>
        <w:rPr>
          <w:rFonts w:hint="eastAsia" w:ascii="宋体" w:hAnsi="宋体" w:cs="宋体"/>
          <w:color w:val="auto"/>
          <w:sz w:val="36"/>
          <w:szCs w:val="36"/>
          <w:shd w:val="clear" w:color="auto" w:fill="FFFFFF"/>
        </w:rPr>
      </w:pPr>
    </w:p>
    <w:p>
      <w:pPr>
        <w:shd w:val="clear" w:color="auto" w:fill="FFFFFF"/>
        <w:snapToGrid w:val="0"/>
        <w:spacing w:after="100" w:afterAutospacing="1" w:line="360" w:lineRule="auto"/>
        <w:jc w:val="center"/>
        <w:rPr>
          <w:rFonts w:hint="eastAsia" w:ascii="宋体" w:hAnsi="宋体" w:cs="宋体"/>
          <w:color w:val="auto"/>
          <w:sz w:val="36"/>
          <w:szCs w:val="36"/>
          <w:shd w:val="clear" w:color="auto" w:fill="FFFFFF"/>
        </w:rPr>
      </w:pPr>
    </w:p>
    <w:p>
      <w:pPr>
        <w:shd w:val="clear" w:color="auto" w:fill="FFFFFF"/>
        <w:snapToGrid w:val="0"/>
        <w:spacing w:after="100" w:afterAutospacing="1" w:line="360" w:lineRule="auto"/>
        <w:jc w:val="center"/>
        <w:rPr>
          <w:rFonts w:ascii="宋体" w:cs="宋体"/>
          <w:color w:val="auto"/>
          <w:sz w:val="32"/>
          <w:szCs w:val="36"/>
        </w:rPr>
      </w:pPr>
      <w:r>
        <w:rPr>
          <w:rFonts w:hint="eastAsia" w:ascii="宋体" w:hAnsi="宋体" w:cs="宋体"/>
          <w:color w:val="auto"/>
          <w:sz w:val="36"/>
          <w:szCs w:val="36"/>
          <w:shd w:val="clear" w:color="auto" w:fill="FFFFFF"/>
        </w:rPr>
        <w:t>符合性审查表</w:t>
      </w:r>
    </w:p>
    <w:p>
      <w:pPr>
        <w:shd w:val="clear" w:color="auto" w:fill="FFFFFF"/>
        <w:spacing w:line="360" w:lineRule="auto"/>
        <w:rPr>
          <w:rFonts w:hint="eastAsia" w:ascii="宋体" w:eastAsia="宋体" w:cs="宋体"/>
          <w:color w:val="auto"/>
          <w:lang w:eastAsia="zh-CN"/>
        </w:rPr>
      </w:pPr>
      <w:r>
        <w:rPr>
          <w:rFonts w:hint="eastAsia" w:ascii="宋体" w:hAnsi="宋体" w:cs="宋体"/>
          <w:color w:val="auto"/>
        </w:rPr>
        <w:t>项目名称：</w:t>
      </w:r>
      <w:r>
        <w:rPr>
          <w:rFonts w:hint="eastAsia" w:ascii="宋体" w:hAnsi="宋体" w:cs="宋体"/>
          <w:color w:val="auto"/>
          <w:u w:val="single"/>
          <w:lang w:eastAsia="zh-CN"/>
        </w:rPr>
        <w:t>海棠湾车辆采购项目(二次招标)</w:t>
      </w:r>
    </w:p>
    <w:p>
      <w:pPr>
        <w:shd w:val="clear" w:color="auto" w:fill="FFFFFF"/>
        <w:spacing w:line="360" w:lineRule="auto"/>
        <w:rPr>
          <w:rFonts w:hint="eastAsia" w:ascii="宋体" w:eastAsia="宋体" w:cs="宋体"/>
          <w:color w:val="auto"/>
          <w:u w:val="single"/>
          <w:lang w:eastAsia="zh-CN"/>
        </w:rPr>
      </w:pPr>
      <w:r>
        <w:rPr>
          <w:rFonts w:hint="eastAsia" w:ascii="宋体" w:hAnsi="宋体" w:cs="宋体"/>
          <w:color w:val="auto"/>
        </w:rPr>
        <w:t>项目编号：</w:t>
      </w:r>
      <w:r>
        <w:rPr>
          <w:rFonts w:hint="eastAsia" w:ascii="宋体" w:hAnsi="宋体" w:cs="宋体"/>
          <w:color w:val="auto"/>
          <w:u w:val="single"/>
          <w:lang w:eastAsia="zh-CN"/>
        </w:rPr>
        <w:t>HCGJ18-215R</w:t>
      </w:r>
    </w:p>
    <w:tbl>
      <w:tblPr>
        <w:tblStyle w:val="16"/>
        <w:tblW w:w="10020" w:type="dxa"/>
        <w:tblInd w:w="-3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5"/>
        <w:gridCol w:w="1485"/>
        <w:gridCol w:w="4194"/>
        <w:gridCol w:w="1251"/>
        <w:gridCol w:w="1125"/>
        <w:gridCol w:w="11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5" w:type="dxa"/>
            <w:vAlign w:val="center"/>
          </w:tcPr>
          <w:p>
            <w:pPr>
              <w:spacing w:line="360" w:lineRule="auto"/>
              <w:jc w:val="center"/>
              <w:rPr>
                <w:rFonts w:ascii="宋体" w:cs="宋体"/>
                <w:bCs/>
                <w:color w:val="auto"/>
                <w:szCs w:val="21"/>
              </w:rPr>
            </w:pPr>
            <w:r>
              <w:rPr>
                <w:rFonts w:hint="eastAsia" w:ascii="宋体" w:hAnsi="宋体" w:cs="宋体"/>
                <w:bCs/>
                <w:color w:val="auto"/>
                <w:szCs w:val="21"/>
              </w:rPr>
              <w:t>序号</w:t>
            </w:r>
          </w:p>
        </w:tc>
        <w:tc>
          <w:tcPr>
            <w:tcW w:w="1485" w:type="dxa"/>
          </w:tcPr>
          <w:p>
            <w:pPr>
              <w:spacing w:line="360" w:lineRule="auto"/>
              <w:jc w:val="center"/>
              <w:rPr>
                <w:rFonts w:ascii="宋体" w:cs="宋体"/>
                <w:bCs/>
                <w:color w:val="auto"/>
                <w:szCs w:val="21"/>
              </w:rPr>
            </w:pPr>
            <w:r>
              <w:rPr>
                <w:rFonts w:hint="eastAsia" w:ascii="宋体" w:hAnsi="宋体" w:cs="宋体"/>
                <w:bCs/>
                <w:color w:val="auto"/>
                <w:szCs w:val="21"/>
              </w:rPr>
              <w:t>审查项目</w:t>
            </w:r>
          </w:p>
        </w:tc>
        <w:tc>
          <w:tcPr>
            <w:tcW w:w="4194" w:type="dxa"/>
          </w:tcPr>
          <w:p>
            <w:pPr>
              <w:spacing w:line="360" w:lineRule="auto"/>
              <w:jc w:val="center"/>
              <w:rPr>
                <w:rFonts w:ascii="宋体" w:cs="宋体"/>
                <w:bCs/>
                <w:color w:val="auto"/>
                <w:szCs w:val="21"/>
              </w:rPr>
            </w:pPr>
            <w:r>
              <w:rPr>
                <w:rFonts w:hint="eastAsia" w:ascii="宋体" w:hAnsi="宋体" w:cs="宋体"/>
                <w:bCs/>
                <w:color w:val="auto"/>
                <w:szCs w:val="21"/>
              </w:rPr>
              <w:t>评议内容</w:t>
            </w:r>
          </w:p>
        </w:tc>
        <w:tc>
          <w:tcPr>
            <w:tcW w:w="1251" w:type="dxa"/>
          </w:tcPr>
          <w:p>
            <w:pPr>
              <w:spacing w:line="360" w:lineRule="auto"/>
              <w:jc w:val="center"/>
              <w:rPr>
                <w:rFonts w:ascii="宋体" w:cs="宋体"/>
                <w:bCs/>
                <w:color w:val="auto"/>
                <w:szCs w:val="21"/>
              </w:rPr>
            </w:pPr>
            <w:r>
              <w:rPr>
                <w:rFonts w:hint="eastAsia" w:ascii="宋体" w:hAnsi="宋体" w:cs="宋体"/>
                <w:bCs/>
                <w:color w:val="auto"/>
                <w:szCs w:val="21"/>
              </w:rPr>
              <w:t>投标人</w:t>
            </w:r>
            <w:r>
              <w:rPr>
                <w:rFonts w:ascii="宋体" w:hAnsi="宋体" w:cs="宋体"/>
                <w:bCs/>
                <w:color w:val="auto"/>
                <w:szCs w:val="21"/>
              </w:rPr>
              <w:t>1</w:t>
            </w:r>
          </w:p>
        </w:tc>
        <w:tc>
          <w:tcPr>
            <w:tcW w:w="1125" w:type="dxa"/>
          </w:tcPr>
          <w:p>
            <w:pPr>
              <w:spacing w:line="360" w:lineRule="auto"/>
              <w:jc w:val="center"/>
              <w:rPr>
                <w:rFonts w:ascii="宋体" w:cs="宋体"/>
                <w:bCs/>
                <w:color w:val="auto"/>
                <w:szCs w:val="21"/>
              </w:rPr>
            </w:pPr>
            <w:r>
              <w:rPr>
                <w:rFonts w:hint="eastAsia" w:ascii="宋体" w:hAnsi="宋体" w:cs="宋体"/>
                <w:bCs/>
                <w:color w:val="auto"/>
                <w:szCs w:val="21"/>
              </w:rPr>
              <w:t>投标人</w:t>
            </w:r>
            <w:r>
              <w:rPr>
                <w:rFonts w:ascii="宋体" w:hAnsi="宋体" w:cs="宋体"/>
                <w:bCs/>
                <w:color w:val="auto"/>
                <w:szCs w:val="21"/>
              </w:rPr>
              <w:t>2</w:t>
            </w:r>
          </w:p>
        </w:tc>
        <w:tc>
          <w:tcPr>
            <w:tcW w:w="1140" w:type="dxa"/>
          </w:tcPr>
          <w:p>
            <w:pPr>
              <w:spacing w:line="360" w:lineRule="auto"/>
              <w:jc w:val="center"/>
              <w:rPr>
                <w:rFonts w:ascii="宋体" w:cs="宋体"/>
                <w:bCs/>
                <w:color w:val="auto"/>
                <w:szCs w:val="21"/>
              </w:rPr>
            </w:pPr>
            <w:r>
              <w:rPr>
                <w:rFonts w:hint="eastAsia" w:ascii="宋体" w:hAnsi="宋体" w:cs="宋体"/>
                <w:bCs/>
                <w:color w:val="auto"/>
                <w:szCs w:val="21"/>
              </w:rPr>
              <w:t>投标人</w:t>
            </w:r>
            <w:r>
              <w:rPr>
                <w:rFonts w:ascii="宋体" w:hAnsi="宋体" w:cs="宋体"/>
                <w:bCs/>
                <w:color w:val="auto"/>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5" w:type="dxa"/>
            <w:vAlign w:val="center"/>
          </w:tcPr>
          <w:p>
            <w:pPr>
              <w:spacing w:beforeLines="30" w:afterLines="30" w:line="360" w:lineRule="auto"/>
              <w:jc w:val="center"/>
              <w:rPr>
                <w:rFonts w:ascii="宋体" w:cs="宋体"/>
                <w:color w:val="auto"/>
              </w:rPr>
            </w:pPr>
            <w:r>
              <w:rPr>
                <w:rFonts w:ascii="宋体" w:hAnsi="宋体" w:cs="宋体"/>
                <w:color w:val="auto"/>
              </w:rPr>
              <w:t>1</w:t>
            </w:r>
          </w:p>
        </w:tc>
        <w:tc>
          <w:tcPr>
            <w:tcW w:w="1485" w:type="dxa"/>
            <w:vAlign w:val="center"/>
          </w:tcPr>
          <w:p>
            <w:pPr>
              <w:spacing w:beforeLines="30" w:afterLines="30" w:line="360" w:lineRule="auto"/>
              <w:rPr>
                <w:rFonts w:ascii="宋体" w:cs="宋体"/>
                <w:color w:val="auto"/>
                <w:szCs w:val="21"/>
                <w:highlight w:val="yellow"/>
              </w:rPr>
            </w:pPr>
            <w:r>
              <w:rPr>
                <w:rFonts w:hint="eastAsia" w:ascii="宋体" w:hAnsi="宋体" w:cs="宋体"/>
                <w:color w:val="auto"/>
              </w:rPr>
              <w:t>响应文件的有效性、完整性</w:t>
            </w:r>
          </w:p>
        </w:tc>
        <w:tc>
          <w:tcPr>
            <w:tcW w:w="4194" w:type="dxa"/>
            <w:vAlign w:val="center"/>
          </w:tcPr>
          <w:p>
            <w:pPr>
              <w:spacing w:beforeLines="30" w:afterLines="30" w:line="360" w:lineRule="auto"/>
              <w:rPr>
                <w:rFonts w:ascii="宋体" w:cs="宋体"/>
                <w:color w:val="auto"/>
                <w:szCs w:val="21"/>
                <w:highlight w:val="yellow"/>
              </w:rPr>
            </w:pPr>
            <w:r>
              <w:rPr>
                <w:rFonts w:hint="eastAsia" w:ascii="宋体" w:hAnsi="宋体" w:cs="宋体"/>
                <w:color w:val="auto"/>
              </w:rPr>
              <w:t>是否符合询价文件的样式和签署要求且内容完整无缺漏</w:t>
            </w:r>
          </w:p>
        </w:tc>
        <w:tc>
          <w:tcPr>
            <w:tcW w:w="1251" w:type="dxa"/>
            <w:vAlign w:val="center"/>
          </w:tcPr>
          <w:p>
            <w:pPr>
              <w:spacing w:line="360" w:lineRule="auto"/>
              <w:jc w:val="center"/>
              <w:rPr>
                <w:rFonts w:ascii="宋体" w:cs="宋体"/>
                <w:color w:val="auto"/>
                <w:szCs w:val="21"/>
                <w:highlight w:val="yellow"/>
              </w:rPr>
            </w:pPr>
          </w:p>
        </w:tc>
        <w:tc>
          <w:tcPr>
            <w:tcW w:w="1125" w:type="dxa"/>
            <w:vAlign w:val="center"/>
          </w:tcPr>
          <w:p>
            <w:pPr>
              <w:spacing w:line="360" w:lineRule="auto"/>
              <w:jc w:val="center"/>
              <w:rPr>
                <w:rFonts w:ascii="宋体" w:cs="宋体"/>
                <w:color w:val="auto"/>
                <w:szCs w:val="21"/>
                <w:highlight w:val="yellow"/>
              </w:rPr>
            </w:pPr>
          </w:p>
        </w:tc>
        <w:tc>
          <w:tcPr>
            <w:tcW w:w="1140" w:type="dxa"/>
            <w:vAlign w:val="center"/>
          </w:tcPr>
          <w:p>
            <w:pPr>
              <w:spacing w:line="360" w:lineRule="auto"/>
              <w:jc w:val="center"/>
              <w:rPr>
                <w:rFonts w:ascii="宋体" w:cs="宋体"/>
                <w:color w:val="auto"/>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5" w:type="dxa"/>
            <w:vAlign w:val="center"/>
          </w:tcPr>
          <w:p>
            <w:pPr>
              <w:spacing w:beforeLines="30" w:afterLines="30" w:line="360" w:lineRule="auto"/>
              <w:jc w:val="center"/>
              <w:rPr>
                <w:rFonts w:ascii="宋体" w:cs="宋体"/>
                <w:color w:val="auto"/>
              </w:rPr>
            </w:pPr>
            <w:r>
              <w:rPr>
                <w:rFonts w:ascii="宋体" w:hAnsi="宋体" w:cs="宋体"/>
                <w:color w:val="auto"/>
              </w:rPr>
              <w:t>2</w:t>
            </w:r>
          </w:p>
        </w:tc>
        <w:tc>
          <w:tcPr>
            <w:tcW w:w="1485" w:type="dxa"/>
            <w:vAlign w:val="center"/>
          </w:tcPr>
          <w:p>
            <w:pPr>
              <w:spacing w:line="360" w:lineRule="auto"/>
              <w:jc w:val="center"/>
              <w:rPr>
                <w:rFonts w:ascii="宋体" w:cs="宋体"/>
                <w:color w:val="auto"/>
                <w:szCs w:val="21"/>
                <w:highlight w:val="yellow"/>
              </w:rPr>
            </w:pPr>
            <w:r>
              <w:rPr>
                <w:rFonts w:hint="eastAsia" w:ascii="宋体" w:hAnsi="宋体" w:cs="宋体"/>
                <w:color w:val="auto"/>
              </w:rPr>
              <w:t>报价项目完整性</w:t>
            </w:r>
          </w:p>
        </w:tc>
        <w:tc>
          <w:tcPr>
            <w:tcW w:w="4194" w:type="dxa"/>
            <w:vAlign w:val="center"/>
          </w:tcPr>
          <w:p>
            <w:pPr>
              <w:adjustRightInd w:val="0"/>
              <w:snapToGrid w:val="0"/>
              <w:spacing w:line="360" w:lineRule="auto"/>
              <w:rPr>
                <w:rFonts w:ascii="宋体" w:cs="宋体"/>
                <w:color w:val="auto"/>
                <w:szCs w:val="21"/>
                <w:highlight w:val="yellow"/>
              </w:rPr>
            </w:pPr>
            <w:r>
              <w:rPr>
                <w:rFonts w:hint="eastAsia" w:ascii="宋体" w:hAnsi="宋体" w:cs="宋体"/>
                <w:color w:val="auto"/>
              </w:rPr>
              <w:t>是否对本项目内所有的内容进行响应，漏报其响应文件将被拒绝</w:t>
            </w:r>
          </w:p>
        </w:tc>
        <w:tc>
          <w:tcPr>
            <w:tcW w:w="1251" w:type="dxa"/>
            <w:vAlign w:val="center"/>
          </w:tcPr>
          <w:p>
            <w:pPr>
              <w:spacing w:line="360" w:lineRule="auto"/>
              <w:jc w:val="center"/>
              <w:rPr>
                <w:rFonts w:ascii="宋体" w:cs="宋体"/>
                <w:color w:val="auto"/>
                <w:szCs w:val="21"/>
                <w:highlight w:val="yellow"/>
              </w:rPr>
            </w:pPr>
          </w:p>
        </w:tc>
        <w:tc>
          <w:tcPr>
            <w:tcW w:w="1125" w:type="dxa"/>
            <w:vAlign w:val="center"/>
          </w:tcPr>
          <w:p>
            <w:pPr>
              <w:spacing w:line="360" w:lineRule="auto"/>
              <w:jc w:val="center"/>
              <w:rPr>
                <w:rFonts w:ascii="宋体" w:cs="宋体"/>
                <w:color w:val="auto"/>
                <w:szCs w:val="21"/>
                <w:highlight w:val="yellow"/>
              </w:rPr>
            </w:pPr>
          </w:p>
        </w:tc>
        <w:tc>
          <w:tcPr>
            <w:tcW w:w="1140" w:type="dxa"/>
            <w:vAlign w:val="center"/>
          </w:tcPr>
          <w:p>
            <w:pPr>
              <w:spacing w:line="360" w:lineRule="auto"/>
              <w:jc w:val="center"/>
              <w:rPr>
                <w:rFonts w:ascii="宋体" w:cs="宋体"/>
                <w:color w:val="auto"/>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5" w:type="dxa"/>
            <w:vAlign w:val="center"/>
          </w:tcPr>
          <w:p>
            <w:pPr>
              <w:spacing w:beforeLines="30" w:afterLines="30" w:line="360" w:lineRule="auto"/>
              <w:jc w:val="center"/>
              <w:rPr>
                <w:rFonts w:ascii="宋体" w:cs="宋体"/>
                <w:color w:val="auto"/>
              </w:rPr>
            </w:pPr>
            <w:r>
              <w:rPr>
                <w:rFonts w:ascii="宋体" w:hAnsi="宋体" w:cs="宋体"/>
                <w:color w:val="auto"/>
              </w:rPr>
              <w:t>3</w:t>
            </w:r>
          </w:p>
        </w:tc>
        <w:tc>
          <w:tcPr>
            <w:tcW w:w="1485" w:type="dxa"/>
            <w:vAlign w:val="center"/>
          </w:tcPr>
          <w:p>
            <w:pPr>
              <w:spacing w:beforeLines="30" w:afterLines="30" w:line="360" w:lineRule="auto"/>
              <w:rPr>
                <w:rFonts w:ascii="宋体" w:cs="宋体"/>
                <w:color w:val="auto"/>
                <w:szCs w:val="21"/>
                <w:highlight w:val="yellow"/>
              </w:rPr>
            </w:pPr>
            <w:r>
              <w:rPr>
                <w:rFonts w:hint="eastAsia" w:ascii="宋体" w:hAnsi="宋体" w:cs="宋体"/>
                <w:color w:val="auto"/>
              </w:rPr>
              <w:t>响应有效期</w:t>
            </w:r>
          </w:p>
        </w:tc>
        <w:tc>
          <w:tcPr>
            <w:tcW w:w="4194" w:type="dxa"/>
            <w:vAlign w:val="center"/>
          </w:tcPr>
          <w:p>
            <w:pPr>
              <w:spacing w:beforeLines="30" w:afterLines="30" w:line="360" w:lineRule="auto"/>
              <w:rPr>
                <w:rFonts w:ascii="宋体" w:cs="宋体"/>
                <w:color w:val="auto"/>
                <w:szCs w:val="21"/>
                <w:highlight w:val="yellow"/>
              </w:rPr>
            </w:pPr>
            <w:r>
              <w:rPr>
                <w:rFonts w:hint="eastAsia" w:ascii="宋体" w:hAnsi="宋体" w:cs="宋体"/>
                <w:color w:val="auto"/>
              </w:rPr>
              <w:t>是否满足询价文件要求</w:t>
            </w:r>
          </w:p>
        </w:tc>
        <w:tc>
          <w:tcPr>
            <w:tcW w:w="1251" w:type="dxa"/>
            <w:vAlign w:val="center"/>
          </w:tcPr>
          <w:p>
            <w:pPr>
              <w:spacing w:line="360" w:lineRule="auto"/>
              <w:jc w:val="center"/>
              <w:rPr>
                <w:rFonts w:ascii="宋体" w:cs="宋体"/>
                <w:color w:val="auto"/>
                <w:szCs w:val="21"/>
                <w:highlight w:val="yellow"/>
              </w:rPr>
            </w:pPr>
          </w:p>
        </w:tc>
        <w:tc>
          <w:tcPr>
            <w:tcW w:w="1125" w:type="dxa"/>
            <w:vAlign w:val="center"/>
          </w:tcPr>
          <w:p>
            <w:pPr>
              <w:spacing w:line="360" w:lineRule="auto"/>
              <w:jc w:val="center"/>
              <w:rPr>
                <w:rFonts w:ascii="宋体" w:cs="宋体"/>
                <w:color w:val="auto"/>
                <w:szCs w:val="21"/>
                <w:highlight w:val="yellow"/>
              </w:rPr>
            </w:pPr>
          </w:p>
        </w:tc>
        <w:tc>
          <w:tcPr>
            <w:tcW w:w="1140" w:type="dxa"/>
            <w:vAlign w:val="center"/>
          </w:tcPr>
          <w:p>
            <w:pPr>
              <w:spacing w:line="360" w:lineRule="auto"/>
              <w:jc w:val="center"/>
              <w:rPr>
                <w:rFonts w:ascii="宋体" w:cs="宋体"/>
                <w:color w:val="auto"/>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5" w:type="dxa"/>
            <w:vAlign w:val="center"/>
          </w:tcPr>
          <w:p>
            <w:pPr>
              <w:spacing w:beforeLines="30" w:afterLines="30" w:line="360" w:lineRule="auto"/>
              <w:jc w:val="center"/>
              <w:rPr>
                <w:rFonts w:ascii="宋体" w:cs="宋体"/>
                <w:color w:val="auto"/>
              </w:rPr>
            </w:pPr>
            <w:r>
              <w:rPr>
                <w:rFonts w:ascii="宋体" w:hAnsi="宋体" w:cs="宋体"/>
                <w:color w:val="auto"/>
              </w:rPr>
              <w:t>4</w:t>
            </w:r>
          </w:p>
        </w:tc>
        <w:tc>
          <w:tcPr>
            <w:tcW w:w="1485" w:type="dxa"/>
            <w:vAlign w:val="center"/>
          </w:tcPr>
          <w:p>
            <w:pPr>
              <w:spacing w:beforeLines="30" w:afterLines="30" w:line="360" w:lineRule="auto"/>
              <w:rPr>
                <w:rFonts w:ascii="宋体" w:cs="宋体"/>
                <w:color w:val="auto"/>
                <w:szCs w:val="21"/>
                <w:highlight w:val="yellow"/>
              </w:rPr>
            </w:pPr>
            <w:r>
              <w:rPr>
                <w:rFonts w:hint="eastAsia" w:ascii="宋体" w:hAnsi="宋体" w:cs="宋体"/>
                <w:color w:val="auto"/>
              </w:rPr>
              <w:t>响应保证金</w:t>
            </w:r>
          </w:p>
        </w:tc>
        <w:tc>
          <w:tcPr>
            <w:tcW w:w="4194" w:type="dxa"/>
            <w:vAlign w:val="center"/>
          </w:tcPr>
          <w:p>
            <w:pPr>
              <w:spacing w:beforeLines="30" w:afterLines="30" w:line="360" w:lineRule="auto"/>
              <w:rPr>
                <w:rFonts w:ascii="宋体" w:cs="宋体"/>
                <w:color w:val="auto"/>
                <w:szCs w:val="21"/>
                <w:highlight w:val="yellow"/>
              </w:rPr>
            </w:pPr>
            <w:r>
              <w:rPr>
                <w:rFonts w:hint="eastAsia" w:ascii="宋体" w:hAnsi="宋体" w:cs="宋体"/>
                <w:color w:val="auto"/>
              </w:rPr>
              <w:t>是否满足询价文件要求</w:t>
            </w:r>
          </w:p>
        </w:tc>
        <w:tc>
          <w:tcPr>
            <w:tcW w:w="1251" w:type="dxa"/>
            <w:vAlign w:val="center"/>
          </w:tcPr>
          <w:p>
            <w:pPr>
              <w:spacing w:line="360" w:lineRule="auto"/>
              <w:jc w:val="center"/>
              <w:rPr>
                <w:rFonts w:ascii="宋体" w:cs="宋体"/>
                <w:color w:val="auto"/>
                <w:szCs w:val="21"/>
                <w:highlight w:val="yellow"/>
              </w:rPr>
            </w:pPr>
          </w:p>
        </w:tc>
        <w:tc>
          <w:tcPr>
            <w:tcW w:w="1125" w:type="dxa"/>
            <w:vAlign w:val="center"/>
          </w:tcPr>
          <w:p>
            <w:pPr>
              <w:spacing w:line="360" w:lineRule="auto"/>
              <w:jc w:val="center"/>
              <w:rPr>
                <w:rFonts w:ascii="宋体" w:cs="宋体"/>
                <w:color w:val="auto"/>
                <w:szCs w:val="21"/>
                <w:highlight w:val="yellow"/>
              </w:rPr>
            </w:pPr>
          </w:p>
        </w:tc>
        <w:tc>
          <w:tcPr>
            <w:tcW w:w="1140" w:type="dxa"/>
            <w:vAlign w:val="center"/>
          </w:tcPr>
          <w:p>
            <w:pPr>
              <w:spacing w:line="360" w:lineRule="auto"/>
              <w:jc w:val="center"/>
              <w:rPr>
                <w:rFonts w:ascii="宋体" w:cs="宋体"/>
                <w:color w:val="auto"/>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5" w:type="dxa"/>
            <w:vAlign w:val="center"/>
          </w:tcPr>
          <w:p>
            <w:pPr>
              <w:spacing w:beforeLines="30" w:afterLines="30" w:line="360" w:lineRule="auto"/>
              <w:jc w:val="center"/>
              <w:rPr>
                <w:rFonts w:ascii="宋体" w:cs="宋体"/>
                <w:color w:val="auto"/>
              </w:rPr>
            </w:pPr>
            <w:r>
              <w:rPr>
                <w:rFonts w:ascii="宋体" w:hAnsi="宋体" w:cs="宋体"/>
                <w:color w:val="auto"/>
              </w:rPr>
              <w:t>5</w:t>
            </w:r>
          </w:p>
        </w:tc>
        <w:tc>
          <w:tcPr>
            <w:tcW w:w="1485" w:type="dxa"/>
            <w:vAlign w:val="center"/>
          </w:tcPr>
          <w:p>
            <w:pPr>
              <w:spacing w:beforeLines="30" w:afterLines="30" w:line="360" w:lineRule="auto"/>
              <w:rPr>
                <w:rFonts w:ascii="宋体" w:cs="宋体"/>
                <w:color w:val="auto"/>
              </w:rPr>
            </w:pPr>
            <w:r>
              <w:rPr>
                <w:rFonts w:hint="eastAsia" w:ascii="宋体" w:hAnsi="宋体" w:cs="宋体"/>
                <w:color w:val="auto"/>
              </w:rPr>
              <w:t>工期或交货期</w:t>
            </w:r>
          </w:p>
        </w:tc>
        <w:tc>
          <w:tcPr>
            <w:tcW w:w="4194" w:type="dxa"/>
            <w:vAlign w:val="center"/>
          </w:tcPr>
          <w:p>
            <w:pPr>
              <w:spacing w:beforeLines="30" w:afterLines="30" w:line="360" w:lineRule="auto"/>
              <w:rPr>
                <w:rFonts w:ascii="宋体" w:cs="宋体"/>
                <w:color w:val="auto"/>
              </w:rPr>
            </w:pPr>
            <w:r>
              <w:rPr>
                <w:rFonts w:hint="eastAsia" w:ascii="宋体" w:hAnsi="宋体" w:cs="宋体"/>
                <w:color w:val="auto"/>
              </w:rPr>
              <w:t>是否满足询价文件要求</w:t>
            </w:r>
          </w:p>
        </w:tc>
        <w:tc>
          <w:tcPr>
            <w:tcW w:w="1251" w:type="dxa"/>
            <w:vAlign w:val="center"/>
          </w:tcPr>
          <w:p>
            <w:pPr>
              <w:spacing w:line="360" w:lineRule="auto"/>
              <w:jc w:val="center"/>
              <w:rPr>
                <w:rFonts w:ascii="宋体" w:cs="宋体"/>
                <w:color w:val="auto"/>
                <w:szCs w:val="21"/>
                <w:highlight w:val="yellow"/>
              </w:rPr>
            </w:pPr>
          </w:p>
        </w:tc>
        <w:tc>
          <w:tcPr>
            <w:tcW w:w="1125" w:type="dxa"/>
            <w:vAlign w:val="center"/>
          </w:tcPr>
          <w:p>
            <w:pPr>
              <w:spacing w:line="360" w:lineRule="auto"/>
              <w:jc w:val="center"/>
              <w:rPr>
                <w:rFonts w:ascii="宋体" w:cs="宋体"/>
                <w:color w:val="auto"/>
                <w:szCs w:val="21"/>
                <w:highlight w:val="yellow"/>
              </w:rPr>
            </w:pPr>
          </w:p>
        </w:tc>
        <w:tc>
          <w:tcPr>
            <w:tcW w:w="1140" w:type="dxa"/>
            <w:vAlign w:val="center"/>
          </w:tcPr>
          <w:p>
            <w:pPr>
              <w:spacing w:line="360" w:lineRule="auto"/>
              <w:jc w:val="center"/>
              <w:rPr>
                <w:rFonts w:ascii="宋体" w:cs="宋体"/>
                <w:color w:val="auto"/>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5" w:type="dxa"/>
            <w:vAlign w:val="center"/>
          </w:tcPr>
          <w:p>
            <w:pPr>
              <w:spacing w:beforeLines="30" w:afterLines="30" w:line="360" w:lineRule="auto"/>
              <w:jc w:val="center"/>
              <w:rPr>
                <w:rFonts w:ascii="宋体" w:cs="宋体"/>
                <w:color w:val="auto"/>
              </w:rPr>
            </w:pPr>
            <w:r>
              <w:rPr>
                <w:rFonts w:ascii="宋体" w:hAnsi="宋体" w:cs="宋体"/>
                <w:color w:val="auto"/>
              </w:rPr>
              <w:t>6</w:t>
            </w:r>
          </w:p>
        </w:tc>
        <w:tc>
          <w:tcPr>
            <w:tcW w:w="1485" w:type="dxa"/>
            <w:vAlign w:val="center"/>
          </w:tcPr>
          <w:p>
            <w:pPr>
              <w:spacing w:beforeLines="30" w:afterLines="30" w:line="360" w:lineRule="auto"/>
              <w:rPr>
                <w:rFonts w:ascii="宋体" w:cs="宋体"/>
                <w:color w:val="auto"/>
                <w:szCs w:val="21"/>
                <w:highlight w:val="yellow"/>
              </w:rPr>
            </w:pPr>
            <w:r>
              <w:rPr>
                <w:rFonts w:hint="eastAsia" w:ascii="宋体" w:hAnsi="宋体" w:cs="宋体"/>
                <w:color w:val="auto"/>
              </w:rPr>
              <w:t>响应文件数量</w:t>
            </w:r>
          </w:p>
        </w:tc>
        <w:tc>
          <w:tcPr>
            <w:tcW w:w="4194" w:type="dxa"/>
            <w:vAlign w:val="center"/>
          </w:tcPr>
          <w:p>
            <w:pPr>
              <w:spacing w:beforeLines="30" w:afterLines="30" w:line="360" w:lineRule="auto"/>
              <w:rPr>
                <w:rFonts w:ascii="宋体" w:cs="宋体"/>
                <w:color w:val="auto"/>
                <w:szCs w:val="21"/>
                <w:highlight w:val="yellow"/>
              </w:rPr>
            </w:pPr>
            <w:r>
              <w:rPr>
                <w:rFonts w:hint="eastAsia" w:ascii="宋体" w:hAnsi="宋体" w:cs="宋体"/>
                <w:color w:val="auto"/>
              </w:rPr>
              <w:t>是否满足询价文件要求</w:t>
            </w:r>
          </w:p>
        </w:tc>
        <w:tc>
          <w:tcPr>
            <w:tcW w:w="1251" w:type="dxa"/>
            <w:vAlign w:val="center"/>
          </w:tcPr>
          <w:p>
            <w:pPr>
              <w:spacing w:line="360" w:lineRule="auto"/>
              <w:jc w:val="center"/>
              <w:rPr>
                <w:rFonts w:ascii="宋体" w:cs="宋体"/>
                <w:color w:val="auto"/>
                <w:szCs w:val="21"/>
                <w:highlight w:val="yellow"/>
              </w:rPr>
            </w:pPr>
          </w:p>
        </w:tc>
        <w:tc>
          <w:tcPr>
            <w:tcW w:w="1125" w:type="dxa"/>
            <w:vAlign w:val="center"/>
          </w:tcPr>
          <w:p>
            <w:pPr>
              <w:spacing w:line="360" w:lineRule="auto"/>
              <w:jc w:val="center"/>
              <w:rPr>
                <w:rFonts w:ascii="宋体" w:cs="宋体"/>
                <w:color w:val="auto"/>
                <w:szCs w:val="21"/>
                <w:highlight w:val="yellow"/>
              </w:rPr>
            </w:pPr>
          </w:p>
        </w:tc>
        <w:tc>
          <w:tcPr>
            <w:tcW w:w="1140" w:type="dxa"/>
            <w:vAlign w:val="center"/>
          </w:tcPr>
          <w:p>
            <w:pPr>
              <w:spacing w:line="360" w:lineRule="auto"/>
              <w:jc w:val="center"/>
              <w:rPr>
                <w:rFonts w:ascii="宋体" w:cs="宋体"/>
                <w:color w:val="auto"/>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5" w:type="dxa"/>
            <w:vAlign w:val="center"/>
          </w:tcPr>
          <w:p>
            <w:pPr>
              <w:spacing w:beforeLines="30" w:afterLines="30" w:line="360" w:lineRule="auto"/>
              <w:jc w:val="center"/>
              <w:rPr>
                <w:rFonts w:ascii="宋体" w:cs="宋体"/>
                <w:color w:val="auto"/>
              </w:rPr>
            </w:pPr>
            <w:r>
              <w:rPr>
                <w:rFonts w:ascii="宋体" w:hAnsi="宋体" w:cs="宋体"/>
                <w:color w:val="auto"/>
              </w:rPr>
              <w:t>7</w:t>
            </w:r>
          </w:p>
        </w:tc>
        <w:tc>
          <w:tcPr>
            <w:tcW w:w="1485" w:type="dxa"/>
            <w:vAlign w:val="center"/>
          </w:tcPr>
          <w:p>
            <w:pPr>
              <w:spacing w:beforeLines="30" w:afterLines="30" w:line="360" w:lineRule="auto"/>
              <w:rPr>
                <w:rFonts w:ascii="宋体" w:cs="宋体"/>
                <w:color w:val="auto"/>
              </w:rPr>
            </w:pPr>
            <w:r>
              <w:rPr>
                <w:rFonts w:hint="eastAsia" w:ascii="宋体" w:hAnsi="宋体" w:cs="宋体"/>
                <w:color w:val="auto"/>
              </w:rPr>
              <w:t>其它</w:t>
            </w:r>
          </w:p>
        </w:tc>
        <w:tc>
          <w:tcPr>
            <w:tcW w:w="4194" w:type="dxa"/>
            <w:vAlign w:val="center"/>
          </w:tcPr>
          <w:p>
            <w:pPr>
              <w:spacing w:beforeLines="30" w:afterLines="30" w:line="360" w:lineRule="auto"/>
              <w:rPr>
                <w:rFonts w:ascii="宋体" w:cs="宋体"/>
                <w:color w:val="auto"/>
              </w:rPr>
            </w:pPr>
            <w:r>
              <w:rPr>
                <w:rFonts w:hint="eastAsia" w:ascii="宋体" w:hAnsi="宋体" w:cs="宋体"/>
                <w:color w:val="auto"/>
              </w:rPr>
              <w:t>是否无其它无效响应认定条件</w:t>
            </w:r>
          </w:p>
        </w:tc>
        <w:tc>
          <w:tcPr>
            <w:tcW w:w="1251" w:type="dxa"/>
            <w:vAlign w:val="center"/>
          </w:tcPr>
          <w:p>
            <w:pPr>
              <w:spacing w:line="360" w:lineRule="auto"/>
              <w:jc w:val="center"/>
              <w:rPr>
                <w:rFonts w:ascii="宋体" w:cs="宋体"/>
                <w:color w:val="auto"/>
                <w:szCs w:val="21"/>
                <w:highlight w:val="yellow"/>
              </w:rPr>
            </w:pPr>
          </w:p>
        </w:tc>
        <w:tc>
          <w:tcPr>
            <w:tcW w:w="1125" w:type="dxa"/>
            <w:vAlign w:val="center"/>
          </w:tcPr>
          <w:p>
            <w:pPr>
              <w:spacing w:line="360" w:lineRule="auto"/>
              <w:jc w:val="center"/>
              <w:rPr>
                <w:rFonts w:ascii="宋体" w:cs="宋体"/>
                <w:color w:val="auto"/>
                <w:szCs w:val="21"/>
                <w:highlight w:val="yellow"/>
              </w:rPr>
            </w:pPr>
          </w:p>
        </w:tc>
        <w:tc>
          <w:tcPr>
            <w:tcW w:w="1140" w:type="dxa"/>
            <w:vAlign w:val="center"/>
          </w:tcPr>
          <w:p>
            <w:pPr>
              <w:spacing w:line="360" w:lineRule="auto"/>
              <w:jc w:val="center"/>
              <w:rPr>
                <w:rFonts w:ascii="宋体" w:cs="宋体"/>
                <w:color w:val="auto"/>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504" w:type="dxa"/>
            <w:gridSpan w:val="3"/>
            <w:vAlign w:val="center"/>
          </w:tcPr>
          <w:p>
            <w:pPr>
              <w:spacing w:beforeLines="30" w:afterLines="30" w:line="360" w:lineRule="auto"/>
              <w:jc w:val="center"/>
              <w:rPr>
                <w:rFonts w:ascii="宋体" w:cs="宋体"/>
                <w:color w:val="auto"/>
              </w:rPr>
            </w:pPr>
            <w:r>
              <w:rPr>
                <w:rFonts w:hint="eastAsia" w:ascii="宋体" w:hAnsi="宋体" w:cs="宋体"/>
                <w:color w:val="auto"/>
              </w:rPr>
              <w:t>结论</w:t>
            </w:r>
          </w:p>
        </w:tc>
        <w:tc>
          <w:tcPr>
            <w:tcW w:w="1251" w:type="dxa"/>
            <w:vAlign w:val="center"/>
          </w:tcPr>
          <w:p>
            <w:pPr>
              <w:spacing w:beforeLines="30" w:afterLines="30" w:line="360" w:lineRule="auto"/>
              <w:rPr>
                <w:rFonts w:ascii="宋体" w:cs="宋体"/>
                <w:color w:val="auto"/>
              </w:rPr>
            </w:pPr>
          </w:p>
        </w:tc>
        <w:tc>
          <w:tcPr>
            <w:tcW w:w="1125" w:type="dxa"/>
            <w:vAlign w:val="center"/>
          </w:tcPr>
          <w:p>
            <w:pPr>
              <w:spacing w:beforeLines="30" w:afterLines="30" w:line="360" w:lineRule="auto"/>
              <w:rPr>
                <w:rFonts w:ascii="宋体" w:cs="宋体"/>
                <w:color w:val="auto"/>
              </w:rPr>
            </w:pPr>
          </w:p>
        </w:tc>
        <w:tc>
          <w:tcPr>
            <w:tcW w:w="1140" w:type="dxa"/>
            <w:vAlign w:val="center"/>
          </w:tcPr>
          <w:p>
            <w:pPr>
              <w:spacing w:beforeLines="30" w:afterLines="30" w:line="360" w:lineRule="auto"/>
              <w:rPr>
                <w:rFonts w:ascii="宋体" w:cs="宋体"/>
                <w:color w:val="auto"/>
              </w:rPr>
            </w:pPr>
          </w:p>
        </w:tc>
      </w:tr>
    </w:tbl>
    <w:p>
      <w:pPr>
        <w:spacing w:beforeLines="30" w:afterLines="30" w:line="360" w:lineRule="auto"/>
        <w:rPr>
          <w:rFonts w:ascii="宋体" w:cs="宋体"/>
          <w:color w:val="auto"/>
        </w:rPr>
      </w:pPr>
      <w:r>
        <w:rPr>
          <w:rFonts w:ascii="宋体" w:hAnsi="宋体" w:cs="宋体"/>
          <w:color w:val="auto"/>
        </w:rPr>
        <w:t>1</w:t>
      </w:r>
      <w:r>
        <w:rPr>
          <w:rFonts w:hint="eastAsia" w:ascii="宋体" w:hAnsi="宋体" w:cs="宋体"/>
          <w:color w:val="auto"/>
        </w:rPr>
        <w:t>、表中只需填写“√</w:t>
      </w:r>
      <w:r>
        <w:rPr>
          <w:rFonts w:ascii="宋体" w:hAnsi="宋体" w:cs="宋体"/>
          <w:color w:val="auto"/>
        </w:rPr>
        <w:t>/</w:t>
      </w:r>
      <w:r>
        <w:rPr>
          <w:rFonts w:hint="eastAsia" w:ascii="宋体" w:hAnsi="宋体" w:cs="宋体"/>
          <w:color w:val="auto"/>
        </w:rPr>
        <w:t>通过”或“×</w:t>
      </w:r>
      <w:r>
        <w:rPr>
          <w:rFonts w:ascii="宋体" w:hAnsi="宋体" w:cs="宋体"/>
          <w:color w:val="auto"/>
        </w:rPr>
        <w:t>/</w:t>
      </w:r>
      <w:r>
        <w:rPr>
          <w:rFonts w:hint="eastAsia" w:ascii="宋体" w:hAnsi="宋体" w:cs="宋体"/>
          <w:color w:val="auto"/>
        </w:rPr>
        <w:t>不通过”。</w:t>
      </w:r>
    </w:p>
    <w:p>
      <w:pPr>
        <w:spacing w:beforeLines="30" w:afterLines="30" w:line="360" w:lineRule="auto"/>
        <w:rPr>
          <w:rFonts w:ascii="宋体" w:cs="宋体"/>
          <w:color w:val="auto"/>
        </w:rPr>
      </w:pPr>
      <w:r>
        <w:rPr>
          <w:rFonts w:ascii="宋体" w:hAnsi="宋体" w:cs="宋体"/>
          <w:color w:val="auto"/>
        </w:rPr>
        <w:t>2</w:t>
      </w:r>
      <w:r>
        <w:rPr>
          <w:rFonts w:hint="eastAsia" w:ascii="宋体" w:hAnsi="宋体" w:cs="宋体"/>
          <w:color w:val="auto"/>
        </w:rPr>
        <w:t>、在结论中按“一项否决”的原则，只有全部是√</w:t>
      </w:r>
      <w:r>
        <w:rPr>
          <w:rFonts w:ascii="宋体" w:hAnsi="宋体" w:cs="宋体"/>
          <w:color w:val="auto"/>
        </w:rPr>
        <w:t>/</w:t>
      </w:r>
      <w:r>
        <w:rPr>
          <w:rFonts w:hint="eastAsia" w:ascii="宋体" w:hAnsi="宋体" w:cs="宋体"/>
          <w:color w:val="auto"/>
        </w:rPr>
        <w:t>通过的，填写“合格”；只要其中有一项是×</w:t>
      </w:r>
      <w:r>
        <w:rPr>
          <w:rFonts w:ascii="宋体" w:hAnsi="宋体" w:cs="宋体"/>
          <w:color w:val="auto"/>
        </w:rPr>
        <w:t>/</w:t>
      </w:r>
      <w:r>
        <w:rPr>
          <w:rFonts w:hint="eastAsia" w:ascii="宋体" w:hAnsi="宋体" w:cs="宋体"/>
          <w:color w:val="auto"/>
        </w:rPr>
        <w:t>不通过的，填写“不合格”。</w:t>
      </w:r>
    </w:p>
    <w:p>
      <w:pPr>
        <w:spacing w:beforeLines="30" w:afterLines="30" w:line="360" w:lineRule="auto"/>
        <w:rPr>
          <w:rFonts w:ascii="宋体" w:cs="宋体"/>
          <w:color w:val="auto"/>
        </w:rPr>
      </w:pPr>
      <w:r>
        <w:rPr>
          <w:rFonts w:ascii="宋体" w:hAnsi="宋体" w:cs="宋体"/>
          <w:color w:val="auto"/>
        </w:rPr>
        <w:t>3</w:t>
      </w:r>
      <w:r>
        <w:rPr>
          <w:rFonts w:hint="eastAsia" w:ascii="宋体" w:hAnsi="宋体" w:cs="宋体"/>
          <w:color w:val="auto"/>
        </w:rPr>
        <w:t>、结论是合格的，才能进入下一轮；不合格的被淘汰。</w:t>
      </w:r>
    </w:p>
    <w:p>
      <w:pPr>
        <w:shd w:val="clear" w:color="auto" w:fill="FFFFFF"/>
        <w:spacing w:line="360" w:lineRule="auto"/>
        <w:rPr>
          <w:rFonts w:ascii="黑体" w:hAnsi="黑体" w:eastAsia="黑体"/>
          <w:color w:val="auto"/>
        </w:rPr>
      </w:pPr>
      <w:r>
        <w:rPr>
          <w:rFonts w:hint="eastAsia" w:ascii="宋体" w:hAnsi="宋体" w:cs="宋体"/>
          <w:color w:val="auto"/>
          <w:sz w:val="28"/>
          <w:szCs w:val="28"/>
        </w:rPr>
        <w:t>询价小组签名：</w:t>
      </w:r>
    </w:p>
    <w:p>
      <w:pPr>
        <w:shd w:val="clear" w:color="auto" w:fill="FFFFFF"/>
        <w:rPr>
          <w:rFonts w:ascii="黑体" w:hAnsi="黑体" w:eastAsia="黑体"/>
          <w:color w:val="auto"/>
        </w:rPr>
      </w:pPr>
    </w:p>
    <w:p>
      <w:pPr>
        <w:rPr>
          <w:color w:val="auto"/>
        </w:rPr>
      </w:pPr>
      <w:bookmarkStart w:id="11" w:name="_Toc510949583"/>
      <w:bookmarkEnd w:id="11"/>
      <w:bookmarkStart w:id="12" w:name="_Toc327324319"/>
      <w:bookmarkEnd w:id="12"/>
    </w:p>
    <w:p>
      <w:pPr>
        <w:pStyle w:val="9"/>
        <w:pBdr>
          <w:top w:val="none" w:color="auto" w:sz="0" w:space="0"/>
          <w:left w:val="none" w:color="auto" w:sz="0" w:space="0"/>
          <w:bottom w:val="none" w:color="auto" w:sz="0" w:space="0"/>
          <w:right w:val="none" w:color="auto" w:sz="0" w:space="0"/>
          <w:between w:val="none" w:color="auto" w:sz="0" w:space="0"/>
        </w:pBdr>
        <w:jc w:val="both"/>
        <w:outlineLvl w:val="0"/>
        <w:rPr>
          <w:rFonts w:hint="eastAsia" w:ascii="Times New Roman" w:hAnsi="Times New Roman"/>
          <w:b/>
          <w:color w:val="auto"/>
          <w:sz w:val="32"/>
          <w:szCs w:val="32"/>
        </w:rPr>
      </w:pPr>
      <w:bookmarkStart w:id="13" w:name="_Toc5304"/>
    </w:p>
    <w:p>
      <w:pPr>
        <w:pStyle w:val="9"/>
        <w:pBdr>
          <w:top w:val="none" w:color="auto" w:sz="0" w:space="0"/>
          <w:left w:val="none" w:color="auto" w:sz="0" w:space="0"/>
          <w:bottom w:val="none" w:color="auto" w:sz="0" w:space="0"/>
          <w:right w:val="none" w:color="auto" w:sz="0" w:space="0"/>
          <w:between w:val="none" w:color="auto" w:sz="0" w:space="0"/>
        </w:pBdr>
        <w:outlineLvl w:val="0"/>
        <w:rPr>
          <w:rFonts w:hint="eastAsia" w:ascii="Times New Roman" w:hAnsi="Times New Roman" w:eastAsia="宋体"/>
          <w:b/>
          <w:color w:val="auto"/>
          <w:sz w:val="32"/>
          <w:szCs w:val="32"/>
          <w:lang w:eastAsia="zh-CN"/>
        </w:rPr>
      </w:pPr>
      <w:r>
        <w:rPr>
          <w:rFonts w:hint="eastAsia" w:ascii="Times New Roman" w:hAnsi="Times New Roman"/>
          <w:b/>
          <w:color w:val="auto"/>
          <w:sz w:val="32"/>
          <w:szCs w:val="32"/>
        </w:rPr>
        <w:t>第四章</w:t>
      </w:r>
      <w:bookmarkEnd w:id="13"/>
      <w:r>
        <w:rPr>
          <w:rFonts w:hint="eastAsia" w:ascii="Times New Roman" w:hAnsi="Times New Roman"/>
          <w:b/>
          <w:color w:val="auto"/>
          <w:sz w:val="32"/>
          <w:szCs w:val="32"/>
          <w:lang w:val="en-US" w:eastAsia="zh-CN"/>
        </w:rPr>
        <w:t xml:space="preserve"> </w:t>
      </w:r>
      <w:r>
        <w:rPr>
          <w:rFonts w:hint="eastAsia" w:ascii="Times New Roman" w:hAnsi="Times New Roman"/>
          <w:b/>
          <w:color w:val="auto"/>
          <w:sz w:val="32"/>
          <w:szCs w:val="32"/>
          <w:lang w:eastAsia="zh-CN"/>
        </w:rPr>
        <w:t>用户需求书</w:t>
      </w:r>
    </w:p>
    <w:p>
      <w:pPr>
        <w:jc w:val="center"/>
        <w:rPr>
          <w:rFonts w:ascii="宋体"/>
          <w:color w:val="auto"/>
          <w:sz w:val="30"/>
          <w:szCs w:val="30"/>
        </w:rPr>
      </w:pPr>
    </w:p>
    <w:p>
      <w:pPr>
        <w:jc w:val="center"/>
        <w:rPr>
          <w:rFonts w:ascii="宋体"/>
          <w:color w:val="auto"/>
        </w:rPr>
      </w:pPr>
    </w:p>
    <w:p>
      <w:pPr>
        <w:spacing w:line="360" w:lineRule="auto"/>
        <w:ind w:firstLine="480"/>
        <w:rPr>
          <w:rFonts w:ascii="宋体" w:cs="宋体"/>
          <w:color w:val="auto"/>
        </w:rPr>
      </w:pPr>
      <w:bookmarkStart w:id="14" w:name="_Toc327324320"/>
      <w:bookmarkEnd w:id="14"/>
      <w:r>
        <w:rPr>
          <w:rFonts w:hint="eastAsia" w:ascii="宋体" w:hAnsi="宋体" w:cs="宋体"/>
          <w:color w:val="auto"/>
        </w:rPr>
        <w:t>一、本项目采购预算总额：人民币</w:t>
      </w:r>
      <w:r>
        <w:rPr>
          <w:rFonts w:ascii="宋体" w:hAnsi="宋体" w:cs="宋体"/>
          <w:color w:val="auto"/>
        </w:rPr>
        <w:t>103.2633</w:t>
      </w:r>
      <w:r>
        <w:rPr>
          <w:rFonts w:hint="eastAsia" w:ascii="宋体" w:hAnsi="宋体" w:cs="宋体"/>
          <w:color w:val="auto"/>
        </w:rPr>
        <w:t>万元。</w:t>
      </w:r>
    </w:p>
    <w:p>
      <w:pPr>
        <w:spacing w:line="360" w:lineRule="auto"/>
        <w:ind w:firstLine="482"/>
        <w:rPr>
          <w:rFonts w:ascii="宋体" w:cs="宋体"/>
          <w:color w:val="auto"/>
        </w:rPr>
      </w:pPr>
      <w:r>
        <w:rPr>
          <w:rFonts w:hint="eastAsia" w:ascii="宋体" w:hAnsi="宋体" w:cs="宋体"/>
          <w:color w:val="auto"/>
        </w:rPr>
        <w:t>二、采购项目概况：</w:t>
      </w:r>
    </w:p>
    <w:tbl>
      <w:tblPr>
        <w:tblStyle w:val="16"/>
        <w:tblW w:w="8360" w:type="dxa"/>
        <w:jc w:val="center"/>
        <w:tblInd w:w="0" w:type="dxa"/>
        <w:tblLayout w:type="fixed"/>
        <w:tblCellMar>
          <w:top w:w="0" w:type="dxa"/>
          <w:left w:w="10" w:type="dxa"/>
          <w:bottom w:w="0" w:type="dxa"/>
          <w:right w:w="10" w:type="dxa"/>
        </w:tblCellMar>
      </w:tblPr>
      <w:tblGrid>
        <w:gridCol w:w="494"/>
        <w:gridCol w:w="743"/>
        <w:gridCol w:w="2916"/>
        <w:gridCol w:w="2055"/>
        <w:gridCol w:w="2152"/>
      </w:tblGrid>
      <w:tr>
        <w:tblPrEx>
          <w:tblLayout w:type="fixed"/>
          <w:tblCellMar>
            <w:top w:w="0" w:type="dxa"/>
            <w:left w:w="10" w:type="dxa"/>
            <w:bottom w:w="0" w:type="dxa"/>
            <w:right w:w="10" w:type="dxa"/>
          </w:tblCellMar>
        </w:tblPrEx>
        <w:trPr>
          <w:trHeight w:val="643" w:hRule="atLeast"/>
          <w:jc w:val="center"/>
        </w:trPr>
        <w:tc>
          <w:tcPr>
            <w:tcW w:w="49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360" w:lineRule="auto"/>
              <w:jc w:val="center"/>
              <w:rPr>
                <w:rFonts w:ascii="宋体" w:cs="宋体"/>
                <w:color w:val="auto"/>
                <w:kern w:val="1"/>
              </w:rPr>
            </w:pPr>
            <w:r>
              <w:rPr>
                <w:rFonts w:hint="eastAsia" w:ascii="宋体" w:hAnsi="宋体" w:cs="宋体"/>
                <w:color w:val="auto"/>
                <w:kern w:val="1"/>
              </w:rPr>
              <w:t>序号</w:t>
            </w:r>
          </w:p>
        </w:tc>
        <w:tc>
          <w:tcPr>
            <w:tcW w:w="743"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360" w:lineRule="auto"/>
              <w:jc w:val="center"/>
              <w:rPr>
                <w:rFonts w:ascii="宋体" w:cs="宋体"/>
                <w:color w:val="auto"/>
                <w:kern w:val="1"/>
              </w:rPr>
            </w:pPr>
            <w:r>
              <w:rPr>
                <w:rFonts w:hint="eastAsia" w:ascii="宋体" w:hAnsi="宋体" w:cs="宋体"/>
                <w:color w:val="auto"/>
                <w:kern w:val="1"/>
              </w:rPr>
              <w:t>类别</w:t>
            </w:r>
          </w:p>
        </w:tc>
        <w:tc>
          <w:tcPr>
            <w:tcW w:w="291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360" w:lineRule="auto"/>
              <w:jc w:val="center"/>
              <w:rPr>
                <w:rFonts w:ascii="宋体" w:cs="宋体"/>
                <w:color w:val="auto"/>
                <w:kern w:val="1"/>
              </w:rPr>
            </w:pPr>
            <w:r>
              <w:rPr>
                <w:rFonts w:hint="eastAsia" w:ascii="宋体" w:hAnsi="宋体" w:cs="宋体"/>
                <w:color w:val="auto"/>
                <w:kern w:val="1"/>
              </w:rPr>
              <w:t>器材名称</w:t>
            </w:r>
          </w:p>
        </w:tc>
        <w:tc>
          <w:tcPr>
            <w:tcW w:w="205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360" w:lineRule="auto"/>
              <w:jc w:val="center"/>
              <w:rPr>
                <w:rFonts w:ascii="宋体" w:cs="宋体"/>
                <w:color w:val="auto"/>
                <w:kern w:val="1"/>
              </w:rPr>
            </w:pPr>
            <w:r>
              <w:rPr>
                <w:rFonts w:hint="eastAsia" w:ascii="宋体" w:hAnsi="宋体" w:cs="宋体"/>
                <w:color w:val="auto"/>
                <w:kern w:val="1"/>
              </w:rPr>
              <w:t>数量</w:t>
            </w:r>
          </w:p>
        </w:tc>
        <w:tc>
          <w:tcPr>
            <w:tcW w:w="2152"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360" w:lineRule="auto"/>
              <w:jc w:val="center"/>
              <w:rPr>
                <w:rFonts w:ascii="宋体" w:cs="宋体"/>
                <w:color w:val="auto"/>
                <w:kern w:val="1"/>
              </w:rPr>
            </w:pPr>
            <w:r>
              <w:rPr>
                <w:rFonts w:hint="eastAsia" w:ascii="宋体" w:hAnsi="宋体" w:cs="宋体"/>
                <w:color w:val="auto"/>
                <w:kern w:val="1"/>
              </w:rPr>
              <w:t>单位</w:t>
            </w:r>
          </w:p>
        </w:tc>
      </w:tr>
      <w:tr>
        <w:tblPrEx>
          <w:tblLayout w:type="fixed"/>
          <w:tblCellMar>
            <w:top w:w="0" w:type="dxa"/>
            <w:left w:w="10" w:type="dxa"/>
            <w:bottom w:w="0" w:type="dxa"/>
            <w:right w:w="10" w:type="dxa"/>
          </w:tblCellMar>
        </w:tblPrEx>
        <w:trPr>
          <w:trHeight w:val="596" w:hRule="atLeast"/>
          <w:jc w:val="center"/>
        </w:trPr>
        <w:tc>
          <w:tcPr>
            <w:tcW w:w="49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360" w:lineRule="auto"/>
              <w:jc w:val="center"/>
              <w:rPr>
                <w:rFonts w:ascii="宋体" w:cs="宋体"/>
                <w:color w:val="auto"/>
              </w:rPr>
            </w:pPr>
            <w:r>
              <w:rPr>
                <w:rFonts w:ascii="宋体" w:hAnsi="宋体" w:cs="宋体"/>
                <w:color w:val="auto"/>
                <w:kern w:val="1"/>
              </w:rPr>
              <w:t>1</w:t>
            </w:r>
          </w:p>
        </w:tc>
        <w:tc>
          <w:tcPr>
            <w:tcW w:w="743"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360" w:lineRule="auto"/>
              <w:jc w:val="center"/>
              <w:rPr>
                <w:rFonts w:ascii="宋体" w:cs="宋体"/>
                <w:color w:val="auto"/>
              </w:rPr>
            </w:pPr>
            <w:r>
              <w:rPr>
                <w:rFonts w:hint="eastAsia" w:ascii="宋体" w:hAnsi="宋体" w:cs="宋体"/>
                <w:color w:val="auto"/>
                <w:kern w:val="1"/>
              </w:rPr>
              <w:t>消防车</w:t>
            </w:r>
          </w:p>
        </w:tc>
        <w:tc>
          <w:tcPr>
            <w:tcW w:w="291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360" w:lineRule="auto"/>
              <w:jc w:val="center"/>
              <w:rPr>
                <w:rFonts w:ascii="宋体" w:cs="宋体"/>
                <w:color w:val="auto"/>
              </w:rPr>
            </w:pPr>
            <w:r>
              <w:rPr>
                <w:rFonts w:hint="eastAsia" w:ascii="宋体" w:hAnsi="宋体" w:cs="宋体"/>
                <w:color w:val="auto"/>
                <w:kern w:val="1"/>
              </w:rPr>
              <w:t>小型消防车</w:t>
            </w:r>
          </w:p>
        </w:tc>
        <w:tc>
          <w:tcPr>
            <w:tcW w:w="205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360" w:lineRule="auto"/>
              <w:jc w:val="center"/>
              <w:rPr>
                <w:rFonts w:ascii="宋体" w:cs="宋体"/>
                <w:color w:val="auto"/>
              </w:rPr>
            </w:pPr>
            <w:r>
              <w:rPr>
                <w:rFonts w:ascii="宋体" w:hAnsi="宋体" w:cs="宋体"/>
                <w:color w:val="auto"/>
                <w:kern w:val="1"/>
              </w:rPr>
              <w:t>3</w:t>
            </w:r>
          </w:p>
        </w:tc>
        <w:tc>
          <w:tcPr>
            <w:tcW w:w="2152"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360" w:lineRule="auto"/>
              <w:jc w:val="center"/>
              <w:rPr>
                <w:rFonts w:ascii="宋体" w:cs="宋体"/>
                <w:color w:val="auto"/>
              </w:rPr>
            </w:pPr>
            <w:r>
              <w:rPr>
                <w:rFonts w:hint="eastAsia" w:ascii="宋体" w:hAnsi="宋体" w:cs="宋体"/>
                <w:color w:val="auto"/>
                <w:kern w:val="1"/>
              </w:rPr>
              <w:t>辆</w:t>
            </w:r>
          </w:p>
        </w:tc>
      </w:tr>
      <w:tr>
        <w:tblPrEx>
          <w:tblLayout w:type="fixed"/>
          <w:tblCellMar>
            <w:top w:w="0" w:type="dxa"/>
            <w:left w:w="10" w:type="dxa"/>
            <w:bottom w:w="0" w:type="dxa"/>
            <w:right w:w="10" w:type="dxa"/>
          </w:tblCellMar>
        </w:tblPrEx>
        <w:trPr>
          <w:trHeight w:val="487" w:hRule="atLeast"/>
          <w:jc w:val="center"/>
        </w:trPr>
        <w:tc>
          <w:tcPr>
            <w:tcW w:w="49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360" w:lineRule="auto"/>
              <w:jc w:val="center"/>
              <w:rPr>
                <w:rFonts w:ascii="宋体" w:cs="宋体"/>
                <w:color w:val="auto"/>
              </w:rPr>
            </w:pPr>
            <w:r>
              <w:rPr>
                <w:rFonts w:ascii="宋体" w:hAnsi="宋体" w:cs="宋体"/>
                <w:color w:val="auto"/>
                <w:kern w:val="1"/>
              </w:rPr>
              <w:t>2</w:t>
            </w:r>
          </w:p>
        </w:tc>
        <w:tc>
          <w:tcPr>
            <w:tcW w:w="743"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360" w:lineRule="auto"/>
              <w:jc w:val="center"/>
              <w:rPr>
                <w:rFonts w:ascii="宋体" w:cs="宋体"/>
                <w:color w:val="auto"/>
              </w:rPr>
            </w:pPr>
            <w:r>
              <w:rPr>
                <w:rFonts w:hint="eastAsia" w:ascii="宋体" w:hAnsi="宋体" w:cs="宋体"/>
                <w:color w:val="auto"/>
                <w:kern w:val="1"/>
              </w:rPr>
              <w:t>灭火</w:t>
            </w:r>
            <w:r>
              <w:rPr>
                <w:rFonts w:ascii="宋体" w:cs="宋体"/>
                <w:color w:val="auto"/>
                <w:kern w:val="1"/>
              </w:rPr>
              <w:br w:type="textWrapping"/>
            </w:r>
            <w:r>
              <w:rPr>
                <w:rFonts w:hint="eastAsia" w:ascii="宋体" w:hAnsi="宋体" w:cs="宋体"/>
                <w:color w:val="auto"/>
                <w:kern w:val="1"/>
              </w:rPr>
              <w:t>器材</w:t>
            </w:r>
          </w:p>
        </w:tc>
        <w:tc>
          <w:tcPr>
            <w:tcW w:w="291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360" w:lineRule="auto"/>
              <w:jc w:val="center"/>
              <w:rPr>
                <w:rFonts w:ascii="宋体" w:cs="宋体"/>
                <w:color w:val="auto"/>
              </w:rPr>
            </w:pPr>
            <w:r>
              <w:rPr>
                <w:rFonts w:hint="eastAsia" w:ascii="宋体" w:hAnsi="宋体" w:cs="宋体"/>
                <w:color w:val="auto"/>
                <w:kern w:val="1"/>
              </w:rPr>
              <w:t>多功能水枪</w:t>
            </w:r>
          </w:p>
        </w:tc>
        <w:tc>
          <w:tcPr>
            <w:tcW w:w="205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360" w:lineRule="auto"/>
              <w:jc w:val="center"/>
              <w:rPr>
                <w:rFonts w:ascii="宋体" w:cs="宋体"/>
                <w:color w:val="auto"/>
              </w:rPr>
            </w:pPr>
            <w:r>
              <w:rPr>
                <w:rFonts w:ascii="宋体" w:hAnsi="宋体" w:cs="宋体"/>
                <w:color w:val="auto"/>
                <w:kern w:val="1"/>
              </w:rPr>
              <w:t>6</w:t>
            </w:r>
          </w:p>
        </w:tc>
        <w:tc>
          <w:tcPr>
            <w:tcW w:w="2152"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360" w:lineRule="auto"/>
              <w:jc w:val="center"/>
              <w:rPr>
                <w:rFonts w:ascii="宋体" w:cs="宋体"/>
                <w:color w:val="auto"/>
              </w:rPr>
            </w:pPr>
            <w:r>
              <w:rPr>
                <w:rFonts w:hint="eastAsia" w:ascii="宋体" w:hAnsi="宋体" w:cs="宋体"/>
                <w:color w:val="auto"/>
                <w:kern w:val="1"/>
              </w:rPr>
              <w:t>支</w:t>
            </w:r>
          </w:p>
        </w:tc>
      </w:tr>
      <w:tr>
        <w:tblPrEx>
          <w:tblLayout w:type="fixed"/>
          <w:tblCellMar>
            <w:top w:w="0" w:type="dxa"/>
            <w:left w:w="10" w:type="dxa"/>
            <w:bottom w:w="0" w:type="dxa"/>
            <w:right w:w="10" w:type="dxa"/>
          </w:tblCellMar>
        </w:tblPrEx>
        <w:trPr>
          <w:trHeight w:val="579" w:hRule="atLeast"/>
          <w:jc w:val="center"/>
        </w:trPr>
        <w:tc>
          <w:tcPr>
            <w:tcW w:w="49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360" w:lineRule="auto"/>
              <w:jc w:val="center"/>
              <w:rPr>
                <w:rFonts w:ascii="宋体" w:cs="宋体"/>
                <w:color w:val="auto"/>
              </w:rPr>
            </w:pPr>
            <w:r>
              <w:rPr>
                <w:rFonts w:ascii="宋体" w:hAnsi="宋体" w:cs="宋体"/>
                <w:color w:val="auto"/>
                <w:kern w:val="1"/>
              </w:rPr>
              <w:t>3</w:t>
            </w:r>
          </w:p>
        </w:tc>
        <w:tc>
          <w:tcPr>
            <w:tcW w:w="743"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360" w:lineRule="auto"/>
              <w:rPr>
                <w:rFonts w:ascii="宋体" w:cs="宋体"/>
                <w:color w:val="auto"/>
              </w:rPr>
            </w:pPr>
          </w:p>
        </w:tc>
        <w:tc>
          <w:tcPr>
            <w:tcW w:w="291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360" w:lineRule="auto"/>
              <w:jc w:val="center"/>
              <w:rPr>
                <w:rFonts w:ascii="宋体" w:cs="宋体"/>
                <w:color w:val="auto"/>
              </w:rPr>
            </w:pPr>
            <w:r>
              <w:rPr>
                <w:rFonts w:ascii="宋体" w:hAnsi="宋体" w:cs="宋体"/>
                <w:color w:val="auto"/>
                <w:kern w:val="1"/>
              </w:rPr>
              <w:t>ABC</w:t>
            </w:r>
            <w:r>
              <w:rPr>
                <w:rFonts w:hint="eastAsia" w:ascii="宋体" w:hAnsi="宋体" w:cs="宋体"/>
                <w:color w:val="auto"/>
                <w:kern w:val="1"/>
              </w:rPr>
              <w:t>型干粉灭火器（≥</w:t>
            </w:r>
            <w:r>
              <w:rPr>
                <w:rFonts w:ascii="宋体" w:hAnsi="宋体" w:cs="宋体"/>
                <w:color w:val="auto"/>
                <w:kern w:val="1"/>
              </w:rPr>
              <w:t>4</w:t>
            </w:r>
            <w:r>
              <w:rPr>
                <w:rFonts w:hint="eastAsia" w:ascii="宋体" w:hAnsi="宋体" w:cs="宋体"/>
                <w:color w:val="auto"/>
                <w:kern w:val="1"/>
              </w:rPr>
              <w:t>公斤）</w:t>
            </w:r>
          </w:p>
        </w:tc>
        <w:tc>
          <w:tcPr>
            <w:tcW w:w="205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360" w:lineRule="auto"/>
              <w:jc w:val="center"/>
              <w:rPr>
                <w:rFonts w:ascii="宋体" w:cs="宋体"/>
                <w:color w:val="auto"/>
              </w:rPr>
            </w:pPr>
            <w:r>
              <w:rPr>
                <w:rFonts w:ascii="宋体" w:hAnsi="宋体" w:cs="宋体"/>
                <w:color w:val="auto"/>
                <w:kern w:val="1"/>
              </w:rPr>
              <w:t>15</w:t>
            </w:r>
          </w:p>
        </w:tc>
        <w:tc>
          <w:tcPr>
            <w:tcW w:w="2152"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360" w:lineRule="auto"/>
              <w:jc w:val="center"/>
              <w:rPr>
                <w:rFonts w:ascii="宋体" w:cs="宋体"/>
                <w:color w:val="auto"/>
              </w:rPr>
            </w:pPr>
            <w:r>
              <w:rPr>
                <w:rFonts w:hint="eastAsia" w:ascii="宋体" w:hAnsi="宋体" w:cs="宋体"/>
                <w:color w:val="auto"/>
                <w:kern w:val="1"/>
              </w:rPr>
              <w:t>个</w:t>
            </w:r>
          </w:p>
        </w:tc>
      </w:tr>
      <w:tr>
        <w:tblPrEx>
          <w:tblLayout w:type="fixed"/>
          <w:tblCellMar>
            <w:top w:w="0" w:type="dxa"/>
            <w:left w:w="10" w:type="dxa"/>
            <w:bottom w:w="0" w:type="dxa"/>
            <w:right w:w="10" w:type="dxa"/>
          </w:tblCellMar>
        </w:tblPrEx>
        <w:trPr>
          <w:trHeight w:val="558" w:hRule="atLeast"/>
          <w:jc w:val="center"/>
        </w:trPr>
        <w:tc>
          <w:tcPr>
            <w:tcW w:w="49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360" w:lineRule="auto"/>
              <w:jc w:val="center"/>
              <w:rPr>
                <w:rFonts w:ascii="宋体" w:cs="宋体"/>
                <w:color w:val="auto"/>
              </w:rPr>
            </w:pPr>
            <w:r>
              <w:rPr>
                <w:rFonts w:ascii="宋体" w:hAnsi="宋体" w:cs="宋体"/>
                <w:color w:val="auto"/>
                <w:kern w:val="1"/>
              </w:rPr>
              <w:t>4</w:t>
            </w:r>
          </w:p>
        </w:tc>
        <w:tc>
          <w:tcPr>
            <w:tcW w:w="743"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360" w:lineRule="auto"/>
              <w:rPr>
                <w:rFonts w:ascii="宋体" w:cs="宋体"/>
                <w:color w:val="auto"/>
              </w:rPr>
            </w:pPr>
          </w:p>
        </w:tc>
        <w:tc>
          <w:tcPr>
            <w:tcW w:w="291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360" w:lineRule="auto"/>
              <w:jc w:val="center"/>
              <w:rPr>
                <w:rFonts w:ascii="宋体" w:cs="宋体"/>
                <w:color w:val="auto"/>
              </w:rPr>
            </w:pPr>
            <w:r>
              <w:rPr>
                <w:rFonts w:hint="eastAsia" w:ascii="宋体" w:hAnsi="宋体" w:cs="宋体"/>
                <w:color w:val="auto"/>
                <w:kern w:val="1"/>
              </w:rPr>
              <w:t>强光照明灯</w:t>
            </w:r>
          </w:p>
        </w:tc>
        <w:tc>
          <w:tcPr>
            <w:tcW w:w="205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360" w:lineRule="auto"/>
              <w:jc w:val="center"/>
              <w:rPr>
                <w:rFonts w:ascii="宋体" w:cs="宋体"/>
                <w:color w:val="auto"/>
              </w:rPr>
            </w:pPr>
            <w:r>
              <w:rPr>
                <w:rFonts w:ascii="宋体" w:hAnsi="宋体" w:cs="宋体"/>
                <w:color w:val="auto"/>
                <w:kern w:val="1"/>
              </w:rPr>
              <w:t>6</w:t>
            </w:r>
          </w:p>
        </w:tc>
        <w:tc>
          <w:tcPr>
            <w:tcW w:w="2152"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360" w:lineRule="auto"/>
              <w:jc w:val="center"/>
              <w:rPr>
                <w:rFonts w:ascii="宋体" w:cs="宋体"/>
                <w:color w:val="auto"/>
              </w:rPr>
            </w:pPr>
            <w:r>
              <w:rPr>
                <w:rFonts w:hint="eastAsia" w:ascii="宋体" w:hAnsi="宋体" w:cs="宋体"/>
                <w:color w:val="auto"/>
                <w:kern w:val="1"/>
              </w:rPr>
              <w:t>个</w:t>
            </w:r>
          </w:p>
        </w:tc>
      </w:tr>
      <w:tr>
        <w:tblPrEx>
          <w:tblLayout w:type="fixed"/>
          <w:tblCellMar>
            <w:top w:w="0" w:type="dxa"/>
            <w:left w:w="10" w:type="dxa"/>
            <w:bottom w:w="0" w:type="dxa"/>
            <w:right w:w="10" w:type="dxa"/>
          </w:tblCellMar>
        </w:tblPrEx>
        <w:trPr>
          <w:trHeight w:val="590" w:hRule="atLeast"/>
          <w:jc w:val="center"/>
        </w:trPr>
        <w:tc>
          <w:tcPr>
            <w:tcW w:w="49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360" w:lineRule="auto"/>
              <w:jc w:val="center"/>
              <w:rPr>
                <w:rFonts w:ascii="宋体" w:cs="宋体"/>
                <w:color w:val="auto"/>
              </w:rPr>
            </w:pPr>
            <w:r>
              <w:rPr>
                <w:rFonts w:ascii="宋体" w:hAnsi="宋体" w:cs="宋体"/>
                <w:color w:val="auto"/>
                <w:kern w:val="1"/>
              </w:rPr>
              <w:t>5</w:t>
            </w:r>
          </w:p>
        </w:tc>
        <w:tc>
          <w:tcPr>
            <w:tcW w:w="743"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360" w:lineRule="auto"/>
              <w:rPr>
                <w:rFonts w:ascii="宋体" w:cs="宋体"/>
                <w:color w:val="auto"/>
              </w:rPr>
            </w:pPr>
          </w:p>
        </w:tc>
        <w:tc>
          <w:tcPr>
            <w:tcW w:w="291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360" w:lineRule="auto"/>
              <w:jc w:val="center"/>
              <w:rPr>
                <w:rFonts w:ascii="宋体" w:cs="宋体"/>
                <w:color w:val="auto"/>
              </w:rPr>
            </w:pPr>
            <w:r>
              <w:rPr>
                <w:rFonts w:hint="eastAsia" w:ascii="宋体" w:hAnsi="宋体" w:cs="宋体"/>
                <w:color w:val="auto"/>
                <w:kern w:val="1"/>
              </w:rPr>
              <w:t>水带</w:t>
            </w:r>
          </w:p>
        </w:tc>
        <w:tc>
          <w:tcPr>
            <w:tcW w:w="205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360" w:lineRule="auto"/>
              <w:jc w:val="center"/>
              <w:rPr>
                <w:rFonts w:ascii="宋体" w:cs="宋体"/>
                <w:color w:val="auto"/>
              </w:rPr>
            </w:pPr>
            <w:r>
              <w:rPr>
                <w:rFonts w:ascii="宋体" w:hAnsi="宋体" w:cs="宋体"/>
                <w:color w:val="auto"/>
                <w:kern w:val="1"/>
              </w:rPr>
              <w:t>30</w:t>
            </w:r>
          </w:p>
        </w:tc>
        <w:tc>
          <w:tcPr>
            <w:tcW w:w="2152"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360" w:lineRule="auto"/>
              <w:jc w:val="center"/>
              <w:rPr>
                <w:rFonts w:ascii="宋体" w:cs="宋体"/>
                <w:color w:val="auto"/>
              </w:rPr>
            </w:pPr>
            <w:r>
              <w:rPr>
                <w:rFonts w:hint="eastAsia" w:ascii="宋体" w:hAnsi="宋体" w:cs="宋体"/>
                <w:color w:val="auto"/>
                <w:kern w:val="1"/>
              </w:rPr>
              <w:t>盘</w:t>
            </w:r>
          </w:p>
        </w:tc>
      </w:tr>
      <w:tr>
        <w:tblPrEx>
          <w:tblLayout w:type="fixed"/>
          <w:tblCellMar>
            <w:top w:w="0" w:type="dxa"/>
            <w:left w:w="10" w:type="dxa"/>
            <w:bottom w:w="0" w:type="dxa"/>
            <w:right w:w="10" w:type="dxa"/>
          </w:tblCellMar>
        </w:tblPrEx>
        <w:trPr>
          <w:trHeight w:val="513" w:hRule="atLeast"/>
          <w:jc w:val="center"/>
        </w:trPr>
        <w:tc>
          <w:tcPr>
            <w:tcW w:w="49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360" w:lineRule="auto"/>
              <w:jc w:val="center"/>
              <w:rPr>
                <w:rFonts w:ascii="宋体" w:cs="宋体"/>
                <w:color w:val="auto"/>
              </w:rPr>
            </w:pPr>
            <w:r>
              <w:rPr>
                <w:rFonts w:ascii="宋体" w:hAnsi="宋体" w:cs="宋体"/>
                <w:color w:val="auto"/>
                <w:kern w:val="1"/>
              </w:rPr>
              <w:t>6</w:t>
            </w:r>
          </w:p>
        </w:tc>
        <w:tc>
          <w:tcPr>
            <w:tcW w:w="743"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360" w:lineRule="auto"/>
              <w:rPr>
                <w:rFonts w:ascii="宋体" w:cs="宋体"/>
                <w:color w:val="auto"/>
              </w:rPr>
            </w:pPr>
          </w:p>
        </w:tc>
        <w:tc>
          <w:tcPr>
            <w:tcW w:w="2916"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360" w:lineRule="auto"/>
              <w:jc w:val="center"/>
              <w:rPr>
                <w:rFonts w:ascii="宋体" w:cs="宋体"/>
                <w:color w:val="auto"/>
              </w:rPr>
            </w:pPr>
            <w:r>
              <w:rPr>
                <w:rFonts w:hint="eastAsia" w:ascii="宋体" w:hAnsi="宋体" w:cs="宋体"/>
                <w:color w:val="auto"/>
                <w:kern w:val="1"/>
              </w:rPr>
              <w:t>分水器</w:t>
            </w:r>
          </w:p>
        </w:tc>
        <w:tc>
          <w:tcPr>
            <w:tcW w:w="205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360" w:lineRule="auto"/>
              <w:jc w:val="center"/>
              <w:rPr>
                <w:rFonts w:ascii="宋体" w:cs="宋体"/>
                <w:color w:val="auto"/>
              </w:rPr>
            </w:pPr>
            <w:r>
              <w:rPr>
                <w:rFonts w:ascii="宋体" w:hAnsi="宋体" w:cs="宋体"/>
                <w:color w:val="auto"/>
                <w:kern w:val="1"/>
              </w:rPr>
              <w:t>4</w:t>
            </w:r>
          </w:p>
        </w:tc>
        <w:tc>
          <w:tcPr>
            <w:tcW w:w="2152"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360" w:lineRule="auto"/>
              <w:jc w:val="center"/>
              <w:rPr>
                <w:rFonts w:ascii="宋体" w:cs="宋体"/>
                <w:color w:val="auto"/>
              </w:rPr>
            </w:pPr>
            <w:r>
              <w:rPr>
                <w:rFonts w:hint="eastAsia" w:ascii="宋体" w:hAnsi="宋体" w:cs="宋体"/>
                <w:color w:val="auto"/>
                <w:kern w:val="1"/>
              </w:rPr>
              <w:t>个</w:t>
            </w:r>
          </w:p>
        </w:tc>
      </w:tr>
      <w:tr>
        <w:tblPrEx>
          <w:tblLayout w:type="fixed"/>
          <w:tblCellMar>
            <w:top w:w="0" w:type="dxa"/>
            <w:left w:w="10" w:type="dxa"/>
            <w:bottom w:w="0" w:type="dxa"/>
            <w:right w:w="10" w:type="dxa"/>
          </w:tblCellMar>
        </w:tblPrEx>
        <w:trPr>
          <w:trHeight w:val="471" w:hRule="atLeast"/>
          <w:jc w:val="center"/>
        </w:trPr>
        <w:tc>
          <w:tcPr>
            <w:tcW w:w="49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360" w:lineRule="auto"/>
              <w:jc w:val="center"/>
              <w:rPr>
                <w:rFonts w:ascii="宋体" w:cs="宋体"/>
                <w:color w:val="auto"/>
              </w:rPr>
            </w:pPr>
            <w:r>
              <w:rPr>
                <w:rFonts w:ascii="宋体" w:hAnsi="宋体" w:cs="宋体"/>
                <w:color w:val="auto"/>
                <w:kern w:val="1"/>
              </w:rPr>
              <w:t>7</w:t>
            </w:r>
          </w:p>
        </w:tc>
        <w:tc>
          <w:tcPr>
            <w:tcW w:w="743"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360" w:lineRule="auto"/>
              <w:rPr>
                <w:rFonts w:ascii="宋体" w:cs="宋体"/>
                <w:color w:val="auto"/>
              </w:rPr>
            </w:pPr>
          </w:p>
        </w:tc>
        <w:tc>
          <w:tcPr>
            <w:tcW w:w="2916"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360" w:lineRule="auto"/>
              <w:rPr>
                <w:rFonts w:ascii="宋体" w:cs="宋体"/>
                <w:color w:val="auto"/>
              </w:rPr>
            </w:pPr>
          </w:p>
        </w:tc>
        <w:tc>
          <w:tcPr>
            <w:tcW w:w="205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360" w:lineRule="auto"/>
              <w:jc w:val="center"/>
              <w:rPr>
                <w:rFonts w:ascii="宋体" w:cs="宋体"/>
                <w:color w:val="auto"/>
              </w:rPr>
            </w:pPr>
            <w:r>
              <w:rPr>
                <w:rFonts w:ascii="宋体" w:hAnsi="宋体" w:cs="宋体"/>
                <w:color w:val="auto"/>
                <w:kern w:val="1"/>
              </w:rPr>
              <w:t>2</w:t>
            </w:r>
          </w:p>
        </w:tc>
        <w:tc>
          <w:tcPr>
            <w:tcW w:w="2152"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360" w:lineRule="auto"/>
              <w:jc w:val="center"/>
              <w:rPr>
                <w:rFonts w:ascii="宋体" w:cs="宋体"/>
                <w:color w:val="auto"/>
              </w:rPr>
            </w:pPr>
            <w:r>
              <w:rPr>
                <w:rFonts w:hint="eastAsia" w:ascii="宋体" w:hAnsi="宋体" w:cs="宋体"/>
                <w:color w:val="auto"/>
                <w:kern w:val="1"/>
              </w:rPr>
              <w:t>个</w:t>
            </w:r>
          </w:p>
        </w:tc>
      </w:tr>
      <w:tr>
        <w:tblPrEx>
          <w:tblLayout w:type="fixed"/>
          <w:tblCellMar>
            <w:top w:w="0" w:type="dxa"/>
            <w:left w:w="10" w:type="dxa"/>
            <w:bottom w:w="0" w:type="dxa"/>
            <w:right w:w="10" w:type="dxa"/>
          </w:tblCellMar>
        </w:tblPrEx>
        <w:trPr>
          <w:trHeight w:val="420" w:hRule="atLeast"/>
          <w:jc w:val="center"/>
        </w:trPr>
        <w:tc>
          <w:tcPr>
            <w:tcW w:w="49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360" w:lineRule="auto"/>
              <w:jc w:val="center"/>
              <w:rPr>
                <w:rFonts w:ascii="宋体" w:cs="宋体"/>
                <w:color w:val="auto"/>
              </w:rPr>
            </w:pPr>
            <w:r>
              <w:rPr>
                <w:rFonts w:ascii="宋体" w:hAnsi="宋体" w:cs="宋体"/>
                <w:color w:val="auto"/>
                <w:kern w:val="1"/>
              </w:rPr>
              <w:t>8</w:t>
            </w:r>
          </w:p>
        </w:tc>
        <w:tc>
          <w:tcPr>
            <w:tcW w:w="743"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360" w:lineRule="auto"/>
              <w:rPr>
                <w:rFonts w:ascii="宋体" w:cs="宋体"/>
                <w:color w:val="auto"/>
              </w:rPr>
            </w:pPr>
          </w:p>
        </w:tc>
        <w:tc>
          <w:tcPr>
            <w:tcW w:w="291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360" w:lineRule="auto"/>
              <w:jc w:val="center"/>
              <w:rPr>
                <w:rFonts w:ascii="宋体" w:cs="宋体"/>
                <w:color w:val="auto"/>
              </w:rPr>
            </w:pPr>
            <w:r>
              <w:rPr>
                <w:rFonts w:hint="eastAsia" w:ascii="宋体" w:hAnsi="宋体" w:cs="宋体"/>
                <w:color w:val="auto"/>
                <w:kern w:val="1"/>
              </w:rPr>
              <w:t>手抬机动消防泵</w:t>
            </w:r>
          </w:p>
        </w:tc>
        <w:tc>
          <w:tcPr>
            <w:tcW w:w="205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360" w:lineRule="auto"/>
              <w:jc w:val="center"/>
              <w:rPr>
                <w:rFonts w:ascii="宋体" w:cs="宋体"/>
                <w:color w:val="auto"/>
              </w:rPr>
            </w:pPr>
            <w:r>
              <w:rPr>
                <w:rFonts w:ascii="宋体" w:hAnsi="宋体" w:cs="宋体"/>
                <w:color w:val="auto"/>
                <w:kern w:val="1"/>
              </w:rPr>
              <w:t>3</w:t>
            </w:r>
          </w:p>
        </w:tc>
        <w:tc>
          <w:tcPr>
            <w:tcW w:w="2152"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360" w:lineRule="auto"/>
              <w:jc w:val="center"/>
              <w:rPr>
                <w:rFonts w:ascii="宋体" w:cs="宋体"/>
                <w:color w:val="auto"/>
              </w:rPr>
            </w:pPr>
            <w:r>
              <w:rPr>
                <w:rFonts w:hint="eastAsia" w:ascii="宋体" w:hAnsi="宋体" w:cs="宋体"/>
                <w:color w:val="auto"/>
                <w:kern w:val="1"/>
              </w:rPr>
              <w:t>台</w:t>
            </w:r>
          </w:p>
        </w:tc>
      </w:tr>
      <w:tr>
        <w:tblPrEx>
          <w:tblLayout w:type="fixed"/>
          <w:tblCellMar>
            <w:top w:w="0" w:type="dxa"/>
            <w:left w:w="10" w:type="dxa"/>
            <w:bottom w:w="0" w:type="dxa"/>
            <w:right w:w="10" w:type="dxa"/>
          </w:tblCellMar>
        </w:tblPrEx>
        <w:trPr>
          <w:trHeight w:val="490" w:hRule="atLeast"/>
          <w:jc w:val="center"/>
        </w:trPr>
        <w:tc>
          <w:tcPr>
            <w:tcW w:w="49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360" w:lineRule="auto"/>
              <w:jc w:val="center"/>
              <w:rPr>
                <w:rFonts w:ascii="宋体" w:cs="宋体"/>
                <w:color w:val="auto"/>
              </w:rPr>
            </w:pPr>
            <w:r>
              <w:rPr>
                <w:rFonts w:ascii="宋体" w:hAnsi="宋体" w:cs="宋体"/>
                <w:color w:val="auto"/>
                <w:kern w:val="1"/>
              </w:rPr>
              <w:t>9</w:t>
            </w:r>
          </w:p>
        </w:tc>
        <w:tc>
          <w:tcPr>
            <w:tcW w:w="743"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360" w:lineRule="auto"/>
              <w:rPr>
                <w:rFonts w:ascii="宋体" w:cs="宋体"/>
                <w:color w:val="auto"/>
              </w:rPr>
            </w:pPr>
          </w:p>
        </w:tc>
        <w:tc>
          <w:tcPr>
            <w:tcW w:w="291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360" w:lineRule="auto"/>
              <w:jc w:val="center"/>
              <w:rPr>
                <w:rFonts w:ascii="宋体" w:cs="宋体"/>
                <w:color w:val="auto"/>
              </w:rPr>
            </w:pPr>
            <w:r>
              <w:rPr>
                <w:rFonts w:ascii="宋体" w:hAnsi="宋体" w:cs="宋体"/>
                <w:color w:val="auto"/>
                <w:kern w:val="1"/>
              </w:rPr>
              <w:t>6</w:t>
            </w:r>
            <w:r>
              <w:rPr>
                <w:rFonts w:hint="eastAsia" w:ascii="宋体" w:hAnsi="宋体" w:cs="宋体"/>
                <w:color w:val="auto"/>
                <w:kern w:val="1"/>
              </w:rPr>
              <w:t>米拉梯</w:t>
            </w:r>
          </w:p>
        </w:tc>
        <w:tc>
          <w:tcPr>
            <w:tcW w:w="205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360" w:lineRule="auto"/>
              <w:jc w:val="center"/>
              <w:rPr>
                <w:rFonts w:ascii="宋体" w:cs="宋体"/>
                <w:color w:val="auto"/>
              </w:rPr>
            </w:pPr>
            <w:r>
              <w:rPr>
                <w:rFonts w:ascii="宋体" w:hAnsi="宋体" w:cs="宋体"/>
                <w:color w:val="auto"/>
                <w:kern w:val="1"/>
              </w:rPr>
              <w:t>3</w:t>
            </w:r>
          </w:p>
        </w:tc>
        <w:tc>
          <w:tcPr>
            <w:tcW w:w="2152"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360" w:lineRule="auto"/>
              <w:jc w:val="center"/>
              <w:rPr>
                <w:rFonts w:ascii="宋体" w:cs="宋体"/>
                <w:color w:val="auto"/>
              </w:rPr>
            </w:pPr>
            <w:r>
              <w:rPr>
                <w:rFonts w:hint="eastAsia" w:ascii="宋体" w:hAnsi="宋体" w:cs="宋体"/>
                <w:color w:val="auto"/>
                <w:kern w:val="1"/>
              </w:rPr>
              <w:t>把</w:t>
            </w:r>
          </w:p>
        </w:tc>
      </w:tr>
      <w:tr>
        <w:tblPrEx>
          <w:tblLayout w:type="fixed"/>
          <w:tblCellMar>
            <w:top w:w="0" w:type="dxa"/>
            <w:left w:w="10" w:type="dxa"/>
            <w:bottom w:w="0" w:type="dxa"/>
            <w:right w:w="10" w:type="dxa"/>
          </w:tblCellMar>
        </w:tblPrEx>
        <w:trPr>
          <w:trHeight w:val="507" w:hRule="atLeast"/>
          <w:jc w:val="center"/>
        </w:trPr>
        <w:tc>
          <w:tcPr>
            <w:tcW w:w="49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360" w:lineRule="auto"/>
              <w:jc w:val="center"/>
              <w:rPr>
                <w:rFonts w:ascii="宋体" w:cs="宋体"/>
                <w:color w:val="auto"/>
              </w:rPr>
            </w:pPr>
            <w:r>
              <w:rPr>
                <w:rFonts w:ascii="宋体" w:hAnsi="宋体" w:cs="宋体"/>
                <w:color w:val="auto"/>
                <w:kern w:val="1"/>
              </w:rPr>
              <w:t>10</w:t>
            </w:r>
          </w:p>
        </w:tc>
        <w:tc>
          <w:tcPr>
            <w:tcW w:w="743"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360" w:lineRule="auto"/>
              <w:rPr>
                <w:rFonts w:ascii="宋体" w:cs="宋体"/>
                <w:color w:val="auto"/>
              </w:rPr>
            </w:pPr>
          </w:p>
        </w:tc>
        <w:tc>
          <w:tcPr>
            <w:tcW w:w="291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360" w:lineRule="auto"/>
              <w:jc w:val="center"/>
              <w:rPr>
                <w:rFonts w:ascii="宋体" w:cs="宋体"/>
                <w:color w:val="auto"/>
              </w:rPr>
            </w:pPr>
            <w:r>
              <w:rPr>
                <w:rFonts w:hint="eastAsia" w:ascii="宋体" w:hAnsi="宋体" w:cs="宋体"/>
                <w:color w:val="auto"/>
                <w:kern w:val="1"/>
              </w:rPr>
              <w:t>单杠梯</w:t>
            </w:r>
          </w:p>
        </w:tc>
        <w:tc>
          <w:tcPr>
            <w:tcW w:w="205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360" w:lineRule="auto"/>
              <w:jc w:val="center"/>
              <w:rPr>
                <w:rFonts w:ascii="宋体" w:cs="宋体"/>
                <w:color w:val="auto"/>
              </w:rPr>
            </w:pPr>
            <w:r>
              <w:rPr>
                <w:rFonts w:ascii="宋体" w:hAnsi="宋体" w:cs="宋体"/>
                <w:color w:val="auto"/>
                <w:kern w:val="1"/>
              </w:rPr>
              <w:t>3</w:t>
            </w:r>
          </w:p>
        </w:tc>
        <w:tc>
          <w:tcPr>
            <w:tcW w:w="2152"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360" w:lineRule="auto"/>
              <w:jc w:val="center"/>
              <w:rPr>
                <w:rFonts w:ascii="宋体" w:cs="宋体"/>
                <w:color w:val="auto"/>
              </w:rPr>
            </w:pPr>
            <w:r>
              <w:rPr>
                <w:rFonts w:hint="eastAsia" w:ascii="宋体" w:hAnsi="宋体" w:cs="宋体"/>
                <w:color w:val="auto"/>
                <w:kern w:val="1"/>
              </w:rPr>
              <w:t>把</w:t>
            </w:r>
          </w:p>
        </w:tc>
      </w:tr>
      <w:tr>
        <w:tblPrEx>
          <w:tblLayout w:type="fixed"/>
          <w:tblCellMar>
            <w:top w:w="0" w:type="dxa"/>
            <w:left w:w="10" w:type="dxa"/>
            <w:bottom w:w="0" w:type="dxa"/>
            <w:right w:w="10" w:type="dxa"/>
          </w:tblCellMar>
        </w:tblPrEx>
        <w:trPr>
          <w:trHeight w:val="528" w:hRule="atLeast"/>
          <w:jc w:val="center"/>
        </w:trPr>
        <w:tc>
          <w:tcPr>
            <w:tcW w:w="49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360" w:lineRule="auto"/>
              <w:jc w:val="center"/>
              <w:rPr>
                <w:rFonts w:ascii="宋体" w:cs="宋体"/>
                <w:color w:val="auto"/>
              </w:rPr>
            </w:pPr>
            <w:r>
              <w:rPr>
                <w:rFonts w:ascii="宋体" w:hAnsi="宋体" w:cs="宋体"/>
                <w:color w:val="auto"/>
                <w:kern w:val="1"/>
              </w:rPr>
              <w:t>11</w:t>
            </w:r>
          </w:p>
        </w:tc>
        <w:tc>
          <w:tcPr>
            <w:tcW w:w="743"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360" w:lineRule="auto"/>
              <w:rPr>
                <w:rFonts w:ascii="宋体" w:cs="宋体"/>
                <w:color w:val="auto"/>
              </w:rPr>
            </w:pPr>
          </w:p>
        </w:tc>
        <w:tc>
          <w:tcPr>
            <w:tcW w:w="291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360" w:lineRule="auto"/>
              <w:jc w:val="center"/>
              <w:rPr>
                <w:rFonts w:ascii="宋体" w:cs="宋体"/>
                <w:color w:val="auto"/>
              </w:rPr>
            </w:pPr>
            <w:r>
              <w:rPr>
                <w:rFonts w:hint="eastAsia" w:ascii="宋体" w:hAnsi="宋体" w:cs="宋体"/>
                <w:color w:val="auto"/>
                <w:kern w:val="1"/>
              </w:rPr>
              <w:t>室外消火栓扳手</w:t>
            </w:r>
          </w:p>
        </w:tc>
        <w:tc>
          <w:tcPr>
            <w:tcW w:w="205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360" w:lineRule="auto"/>
              <w:jc w:val="center"/>
              <w:rPr>
                <w:rFonts w:ascii="宋体" w:cs="宋体"/>
                <w:color w:val="auto"/>
              </w:rPr>
            </w:pPr>
            <w:r>
              <w:rPr>
                <w:rFonts w:ascii="宋体" w:hAnsi="宋体" w:cs="宋体"/>
                <w:color w:val="auto"/>
                <w:kern w:val="1"/>
              </w:rPr>
              <w:t>6</w:t>
            </w:r>
          </w:p>
        </w:tc>
        <w:tc>
          <w:tcPr>
            <w:tcW w:w="2152"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360" w:lineRule="auto"/>
              <w:jc w:val="center"/>
              <w:rPr>
                <w:rFonts w:ascii="宋体" w:cs="宋体"/>
                <w:color w:val="auto"/>
              </w:rPr>
            </w:pPr>
            <w:r>
              <w:rPr>
                <w:rFonts w:hint="eastAsia" w:ascii="宋体" w:hAnsi="宋体" w:cs="宋体"/>
                <w:color w:val="auto"/>
                <w:kern w:val="1"/>
              </w:rPr>
              <w:t>把</w:t>
            </w:r>
          </w:p>
        </w:tc>
      </w:tr>
      <w:tr>
        <w:tblPrEx>
          <w:tblLayout w:type="fixed"/>
          <w:tblCellMar>
            <w:top w:w="0" w:type="dxa"/>
            <w:left w:w="10" w:type="dxa"/>
            <w:bottom w:w="0" w:type="dxa"/>
            <w:right w:w="10" w:type="dxa"/>
          </w:tblCellMar>
        </w:tblPrEx>
        <w:trPr>
          <w:trHeight w:val="420" w:hRule="atLeast"/>
          <w:jc w:val="center"/>
        </w:trPr>
        <w:tc>
          <w:tcPr>
            <w:tcW w:w="49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360" w:lineRule="auto"/>
              <w:jc w:val="center"/>
              <w:rPr>
                <w:rFonts w:ascii="宋体" w:cs="宋体"/>
                <w:color w:val="auto"/>
              </w:rPr>
            </w:pPr>
            <w:r>
              <w:rPr>
                <w:rFonts w:ascii="宋体" w:hAnsi="宋体" w:cs="宋体"/>
                <w:color w:val="auto"/>
                <w:kern w:val="1"/>
              </w:rPr>
              <w:t>12</w:t>
            </w:r>
          </w:p>
        </w:tc>
        <w:tc>
          <w:tcPr>
            <w:tcW w:w="743"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360" w:lineRule="auto"/>
              <w:jc w:val="center"/>
              <w:rPr>
                <w:rFonts w:ascii="宋体" w:cs="宋体"/>
                <w:color w:val="auto"/>
              </w:rPr>
            </w:pPr>
            <w:r>
              <w:rPr>
                <w:rFonts w:hint="eastAsia" w:ascii="宋体" w:hAnsi="宋体" w:cs="宋体"/>
                <w:color w:val="auto"/>
                <w:kern w:val="1"/>
              </w:rPr>
              <w:t>破拆</w:t>
            </w:r>
            <w:r>
              <w:rPr>
                <w:rFonts w:ascii="宋体" w:cs="宋体"/>
                <w:color w:val="auto"/>
                <w:kern w:val="1"/>
              </w:rPr>
              <w:br w:type="textWrapping"/>
            </w:r>
            <w:r>
              <w:rPr>
                <w:rFonts w:hint="eastAsia" w:ascii="宋体" w:hAnsi="宋体" w:cs="宋体"/>
                <w:color w:val="auto"/>
                <w:kern w:val="1"/>
              </w:rPr>
              <w:t>器材</w:t>
            </w:r>
          </w:p>
        </w:tc>
        <w:tc>
          <w:tcPr>
            <w:tcW w:w="291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360" w:lineRule="auto"/>
              <w:jc w:val="center"/>
              <w:rPr>
                <w:rFonts w:ascii="宋体" w:cs="宋体"/>
                <w:color w:val="auto"/>
              </w:rPr>
            </w:pPr>
            <w:r>
              <w:rPr>
                <w:rFonts w:hint="eastAsia" w:ascii="宋体" w:hAnsi="宋体" w:cs="宋体"/>
                <w:color w:val="auto"/>
                <w:kern w:val="1"/>
              </w:rPr>
              <w:t>大斧</w:t>
            </w:r>
          </w:p>
        </w:tc>
        <w:tc>
          <w:tcPr>
            <w:tcW w:w="205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360" w:lineRule="auto"/>
              <w:jc w:val="center"/>
              <w:rPr>
                <w:rFonts w:ascii="宋体" w:cs="宋体"/>
                <w:color w:val="auto"/>
              </w:rPr>
            </w:pPr>
            <w:r>
              <w:rPr>
                <w:rFonts w:ascii="宋体" w:hAnsi="宋体" w:cs="宋体"/>
                <w:color w:val="auto"/>
                <w:kern w:val="1"/>
              </w:rPr>
              <w:t>6</w:t>
            </w:r>
          </w:p>
        </w:tc>
        <w:tc>
          <w:tcPr>
            <w:tcW w:w="2152"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360" w:lineRule="auto"/>
              <w:jc w:val="center"/>
              <w:rPr>
                <w:rFonts w:ascii="宋体" w:cs="宋体"/>
                <w:color w:val="auto"/>
              </w:rPr>
            </w:pPr>
            <w:r>
              <w:rPr>
                <w:rFonts w:hint="eastAsia" w:ascii="宋体" w:hAnsi="宋体" w:cs="宋体"/>
                <w:color w:val="auto"/>
                <w:kern w:val="1"/>
              </w:rPr>
              <w:t>把</w:t>
            </w:r>
          </w:p>
        </w:tc>
      </w:tr>
      <w:tr>
        <w:tblPrEx>
          <w:tblLayout w:type="fixed"/>
          <w:tblCellMar>
            <w:top w:w="0" w:type="dxa"/>
            <w:left w:w="10" w:type="dxa"/>
            <w:bottom w:w="0" w:type="dxa"/>
            <w:right w:w="10" w:type="dxa"/>
          </w:tblCellMar>
        </w:tblPrEx>
        <w:trPr>
          <w:trHeight w:val="420" w:hRule="atLeast"/>
          <w:jc w:val="center"/>
        </w:trPr>
        <w:tc>
          <w:tcPr>
            <w:tcW w:w="49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360" w:lineRule="auto"/>
              <w:jc w:val="center"/>
              <w:rPr>
                <w:rFonts w:ascii="宋体" w:cs="宋体"/>
                <w:color w:val="auto"/>
              </w:rPr>
            </w:pPr>
            <w:r>
              <w:rPr>
                <w:rFonts w:ascii="宋体" w:hAnsi="宋体" w:cs="宋体"/>
                <w:color w:val="auto"/>
                <w:kern w:val="1"/>
              </w:rPr>
              <w:t>13</w:t>
            </w:r>
          </w:p>
        </w:tc>
        <w:tc>
          <w:tcPr>
            <w:tcW w:w="743"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360" w:lineRule="auto"/>
              <w:rPr>
                <w:rFonts w:ascii="宋体" w:cs="宋体"/>
                <w:color w:val="auto"/>
              </w:rPr>
            </w:pPr>
          </w:p>
        </w:tc>
        <w:tc>
          <w:tcPr>
            <w:tcW w:w="291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360" w:lineRule="auto"/>
              <w:jc w:val="center"/>
              <w:rPr>
                <w:rFonts w:ascii="宋体" w:cs="宋体"/>
                <w:color w:val="auto"/>
              </w:rPr>
            </w:pPr>
            <w:r>
              <w:rPr>
                <w:rFonts w:hint="eastAsia" w:ascii="宋体" w:hAnsi="宋体" w:cs="宋体"/>
                <w:color w:val="auto"/>
                <w:kern w:val="1"/>
              </w:rPr>
              <w:t>绝缘剪断钳</w:t>
            </w:r>
          </w:p>
        </w:tc>
        <w:tc>
          <w:tcPr>
            <w:tcW w:w="205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360" w:lineRule="auto"/>
              <w:jc w:val="center"/>
              <w:rPr>
                <w:rFonts w:ascii="宋体" w:cs="宋体"/>
                <w:color w:val="auto"/>
              </w:rPr>
            </w:pPr>
            <w:r>
              <w:rPr>
                <w:rFonts w:ascii="宋体" w:hAnsi="宋体" w:cs="宋体"/>
                <w:color w:val="auto"/>
                <w:kern w:val="1"/>
              </w:rPr>
              <w:t>6</w:t>
            </w:r>
          </w:p>
        </w:tc>
        <w:tc>
          <w:tcPr>
            <w:tcW w:w="2152"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360" w:lineRule="auto"/>
              <w:jc w:val="center"/>
              <w:rPr>
                <w:rFonts w:ascii="宋体" w:cs="宋体"/>
                <w:color w:val="auto"/>
              </w:rPr>
            </w:pPr>
            <w:r>
              <w:rPr>
                <w:rFonts w:hint="eastAsia" w:ascii="宋体" w:hAnsi="宋体" w:cs="宋体"/>
                <w:color w:val="auto"/>
                <w:kern w:val="1"/>
              </w:rPr>
              <w:t>把</w:t>
            </w:r>
          </w:p>
        </w:tc>
      </w:tr>
      <w:tr>
        <w:tblPrEx>
          <w:tblLayout w:type="fixed"/>
          <w:tblCellMar>
            <w:top w:w="0" w:type="dxa"/>
            <w:left w:w="10" w:type="dxa"/>
            <w:bottom w:w="0" w:type="dxa"/>
            <w:right w:w="10" w:type="dxa"/>
          </w:tblCellMar>
        </w:tblPrEx>
        <w:trPr>
          <w:trHeight w:val="420" w:hRule="atLeast"/>
          <w:jc w:val="center"/>
        </w:trPr>
        <w:tc>
          <w:tcPr>
            <w:tcW w:w="49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360" w:lineRule="auto"/>
              <w:jc w:val="center"/>
              <w:rPr>
                <w:rFonts w:ascii="宋体" w:cs="宋体"/>
                <w:color w:val="auto"/>
              </w:rPr>
            </w:pPr>
            <w:r>
              <w:rPr>
                <w:rFonts w:ascii="宋体" w:hAnsi="宋体" w:cs="宋体"/>
                <w:color w:val="auto"/>
                <w:kern w:val="1"/>
              </w:rPr>
              <w:t>14</w:t>
            </w:r>
          </w:p>
        </w:tc>
        <w:tc>
          <w:tcPr>
            <w:tcW w:w="743"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360" w:lineRule="auto"/>
              <w:rPr>
                <w:rFonts w:ascii="宋体" w:cs="宋体"/>
                <w:color w:val="auto"/>
              </w:rPr>
            </w:pPr>
          </w:p>
        </w:tc>
        <w:tc>
          <w:tcPr>
            <w:tcW w:w="2916"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bottom w:w="15" w:type="dxa"/>
              <w:right w:w="15" w:type="dxa"/>
            </w:tcMar>
            <w:vAlign w:val="center"/>
          </w:tcPr>
          <w:p>
            <w:pPr>
              <w:spacing w:line="360" w:lineRule="auto"/>
              <w:jc w:val="center"/>
              <w:rPr>
                <w:rFonts w:ascii="宋体" w:cs="宋体"/>
                <w:color w:val="auto"/>
              </w:rPr>
            </w:pPr>
            <w:r>
              <w:rPr>
                <w:rFonts w:hint="eastAsia" w:ascii="宋体" w:hAnsi="宋体" w:cs="宋体"/>
                <w:color w:val="auto"/>
                <w:kern w:val="1"/>
              </w:rPr>
              <w:t>铁铤</w:t>
            </w:r>
          </w:p>
        </w:tc>
        <w:tc>
          <w:tcPr>
            <w:tcW w:w="205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360" w:lineRule="auto"/>
              <w:jc w:val="center"/>
              <w:rPr>
                <w:rFonts w:ascii="宋体" w:cs="宋体"/>
                <w:color w:val="auto"/>
              </w:rPr>
            </w:pPr>
            <w:r>
              <w:rPr>
                <w:rFonts w:ascii="宋体" w:hAnsi="宋体" w:cs="宋体"/>
                <w:color w:val="auto"/>
                <w:kern w:val="1"/>
              </w:rPr>
              <w:t>6</w:t>
            </w:r>
          </w:p>
        </w:tc>
        <w:tc>
          <w:tcPr>
            <w:tcW w:w="2152"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360" w:lineRule="auto"/>
              <w:jc w:val="center"/>
              <w:rPr>
                <w:rFonts w:ascii="宋体" w:cs="宋体"/>
                <w:color w:val="auto"/>
              </w:rPr>
            </w:pPr>
            <w:r>
              <w:rPr>
                <w:rFonts w:hint="eastAsia" w:ascii="宋体" w:hAnsi="宋体" w:cs="宋体"/>
                <w:color w:val="auto"/>
                <w:kern w:val="1"/>
              </w:rPr>
              <w:t>把</w:t>
            </w:r>
          </w:p>
        </w:tc>
      </w:tr>
      <w:tr>
        <w:tblPrEx>
          <w:tblLayout w:type="fixed"/>
          <w:tblCellMar>
            <w:top w:w="0" w:type="dxa"/>
            <w:left w:w="10" w:type="dxa"/>
            <w:bottom w:w="0" w:type="dxa"/>
            <w:right w:w="10" w:type="dxa"/>
          </w:tblCellMar>
        </w:tblPrEx>
        <w:trPr>
          <w:trHeight w:val="420" w:hRule="atLeast"/>
          <w:jc w:val="center"/>
        </w:trPr>
        <w:tc>
          <w:tcPr>
            <w:tcW w:w="49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360" w:lineRule="auto"/>
              <w:jc w:val="center"/>
              <w:rPr>
                <w:rFonts w:ascii="宋体" w:cs="宋体"/>
                <w:color w:val="auto"/>
              </w:rPr>
            </w:pPr>
            <w:r>
              <w:rPr>
                <w:rFonts w:ascii="宋体" w:hAnsi="宋体" w:cs="宋体"/>
                <w:color w:val="auto"/>
                <w:kern w:val="1"/>
              </w:rPr>
              <w:t>15</w:t>
            </w:r>
          </w:p>
        </w:tc>
        <w:tc>
          <w:tcPr>
            <w:tcW w:w="743"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360" w:lineRule="auto"/>
              <w:rPr>
                <w:rFonts w:ascii="宋体" w:cs="宋体"/>
                <w:color w:val="auto"/>
              </w:rPr>
            </w:pPr>
          </w:p>
        </w:tc>
        <w:tc>
          <w:tcPr>
            <w:tcW w:w="2916"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bottom w:w="15" w:type="dxa"/>
              <w:right w:w="15" w:type="dxa"/>
            </w:tcMar>
            <w:vAlign w:val="center"/>
          </w:tcPr>
          <w:p>
            <w:pPr>
              <w:spacing w:line="360" w:lineRule="auto"/>
              <w:jc w:val="center"/>
              <w:rPr>
                <w:rFonts w:ascii="宋体" w:cs="宋体"/>
                <w:color w:val="auto"/>
              </w:rPr>
            </w:pPr>
            <w:r>
              <w:rPr>
                <w:rFonts w:hint="eastAsia" w:ascii="宋体" w:hAnsi="宋体" w:cs="宋体"/>
                <w:color w:val="auto"/>
                <w:kern w:val="1"/>
              </w:rPr>
              <w:t>机动链锯</w:t>
            </w:r>
          </w:p>
        </w:tc>
        <w:tc>
          <w:tcPr>
            <w:tcW w:w="205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360" w:lineRule="auto"/>
              <w:jc w:val="center"/>
              <w:rPr>
                <w:rFonts w:ascii="宋体" w:cs="宋体"/>
                <w:color w:val="auto"/>
              </w:rPr>
            </w:pPr>
            <w:r>
              <w:rPr>
                <w:rFonts w:ascii="宋体" w:hAnsi="宋体" w:cs="宋体"/>
                <w:color w:val="auto"/>
                <w:kern w:val="1"/>
              </w:rPr>
              <w:t>3</w:t>
            </w:r>
          </w:p>
        </w:tc>
        <w:tc>
          <w:tcPr>
            <w:tcW w:w="2152"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360" w:lineRule="auto"/>
              <w:jc w:val="center"/>
              <w:rPr>
                <w:rFonts w:ascii="宋体" w:cs="宋体"/>
                <w:color w:val="auto"/>
              </w:rPr>
            </w:pPr>
            <w:r>
              <w:rPr>
                <w:rFonts w:hint="eastAsia" w:ascii="宋体" w:hAnsi="宋体" w:cs="宋体"/>
                <w:color w:val="auto"/>
                <w:kern w:val="1"/>
              </w:rPr>
              <w:t>台</w:t>
            </w:r>
          </w:p>
        </w:tc>
      </w:tr>
      <w:tr>
        <w:tblPrEx>
          <w:tblLayout w:type="fixed"/>
          <w:tblCellMar>
            <w:top w:w="0" w:type="dxa"/>
            <w:left w:w="10" w:type="dxa"/>
            <w:bottom w:w="0" w:type="dxa"/>
            <w:right w:w="10" w:type="dxa"/>
          </w:tblCellMar>
        </w:tblPrEx>
        <w:trPr>
          <w:trHeight w:val="516" w:hRule="atLeast"/>
          <w:jc w:val="center"/>
        </w:trPr>
        <w:tc>
          <w:tcPr>
            <w:tcW w:w="49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360" w:lineRule="auto"/>
              <w:jc w:val="center"/>
              <w:rPr>
                <w:rFonts w:ascii="宋体" w:cs="宋体"/>
                <w:color w:val="auto"/>
              </w:rPr>
            </w:pPr>
            <w:r>
              <w:rPr>
                <w:rFonts w:ascii="宋体" w:hAnsi="宋体" w:cs="宋体"/>
                <w:color w:val="auto"/>
                <w:kern w:val="1"/>
              </w:rPr>
              <w:t>16</w:t>
            </w:r>
          </w:p>
        </w:tc>
        <w:tc>
          <w:tcPr>
            <w:tcW w:w="743"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360" w:lineRule="auto"/>
              <w:rPr>
                <w:rFonts w:ascii="宋体" w:cs="宋体"/>
                <w:color w:val="auto"/>
              </w:rPr>
            </w:pPr>
          </w:p>
        </w:tc>
        <w:tc>
          <w:tcPr>
            <w:tcW w:w="2916"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bottom w:w="15" w:type="dxa"/>
              <w:right w:w="15" w:type="dxa"/>
            </w:tcMar>
            <w:vAlign w:val="center"/>
          </w:tcPr>
          <w:p>
            <w:pPr>
              <w:spacing w:line="360" w:lineRule="auto"/>
              <w:jc w:val="center"/>
              <w:rPr>
                <w:rFonts w:ascii="宋体" w:cs="宋体"/>
                <w:color w:val="auto"/>
              </w:rPr>
            </w:pPr>
            <w:r>
              <w:rPr>
                <w:rFonts w:hint="eastAsia" w:ascii="宋体" w:hAnsi="宋体" w:cs="宋体"/>
                <w:color w:val="auto"/>
                <w:kern w:val="1"/>
              </w:rPr>
              <w:t>无齿锯</w:t>
            </w:r>
          </w:p>
        </w:tc>
        <w:tc>
          <w:tcPr>
            <w:tcW w:w="205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360" w:lineRule="auto"/>
              <w:jc w:val="center"/>
              <w:rPr>
                <w:rFonts w:ascii="宋体" w:cs="宋体"/>
                <w:color w:val="auto"/>
              </w:rPr>
            </w:pPr>
            <w:r>
              <w:rPr>
                <w:rFonts w:ascii="宋体" w:hAnsi="宋体" w:cs="宋体"/>
                <w:color w:val="auto"/>
                <w:kern w:val="1"/>
              </w:rPr>
              <w:t>3</w:t>
            </w:r>
          </w:p>
        </w:tc>
        <w:tc>
          <w:tcPr>
            <w:tcW w:w="2152"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360" w:lineRule="auto"/>
              <w:jc w:val="center"/>
              <w:rPr>
                <w:rFonts w:ascii="宋体" w:cs="宋体"/>
                <w:color w:val="auto"/>
              </w:rPr>
            </w:pPr>
            <w:r>
              <w:rPr>
                <w:rFonts w:hint="eastAsia" w:ascii="宋体" w:hAnsi="宋体" w:cs="宋体"/>
                <w:color w:val="auto"/>
                <w:kern w:val="1"/>
              </w:rPr>
              <w:t>台</w:t>
            </w:r>
          </w:p>
        </w:tc>
      </w:tr>
      <w:tr>
        <w:tblPrEx>
          <w:tblLayout w:type="fixed"/>
          <w:tblCellMar>
            <w:top w:w="0" w:type="dxa"/>
            <w:left w:w="10" w:type="dxa"/>
            <w:bottom w:w="0" w:type="dxa"/>
            <w:right w:w="10" w:type="dxa"/>
          </w:tblCellMar>
        </w:tblPrEx>
        <w:trPr>
          <w:trHeight w:val="551" w:hRule="atLeast"/>
          <w:jc w:val="center"/>
        </w:trPr>
        <w:tc>
          <w:tcPr>
            <w:tcW w:w="49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360" w:lineRule="auto"/>
              <w:jc w:val="center"/>
              <w:rPr>
                <w:rFonts w:ascii="宋体" w:cs="宋体"/>
                <w:color w:val="auto"/>
              </w:rPr>
            </w:pPr>
            <w:r>
              <w:rPr>
                <w:rFonts w:ascii="宋体" w:hAnsi="宋体" w:cs="宋体"/>
                <w:color w:val="auto"/>
                <w:kern w:val="1"/>
              </w:rPr>
              <w:t>17</w:t>
            </w:r>
          </w:p>
        </w:tc>
        <w:tc>
          <w:tcPr>
            <w:tcW w:w="3659"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360" w:lineRule="auto"/>
              <w:jc w:val="center"/>
              <w:rPr>
                <w:rFonts w:ascii="宋体" w:cs="宋体"/>
                <w:color w:val="auto"/>
              </w:rPr>
            </w:pPr>
            <w:r>
              <w:rPr>
                <w:rFonts w:hint="eastAsia" w:ascii="宋体" w:hAnsi="宋体" w:cs="宋体"/>
                <w:color w:val="auto"/>
                <w:kern w:val="1"/>
              </w:rPr>
              <w:t>消防专用救生衣</w:t>
            </w:r>
          </w:p>
        </w:tc>
        <w:tc>
          <w:tcPr>
            <w:tcW w:w="205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360" w:lineRule="auto"/>
              <w:jc w:val="center"/>
              <w:rPr>
                <w:rFonts w:ascii="宋体" w:cs="宋体"/>
                <w:color w:val="auto"/>
              </w:rPr>
            </w:pPr>
            <w:r>
              <w:rPr>
                <w:rFonts w:ascii="宋体" w:hAnsi="宋体" w:cs="宋体"/>
                <w:color w:val="auto"/>
                <w:kern w:val="1"/>
              </w:rPr>
              <w:t>27</w:t>
            </w:r>
          </w:p>
        </w:tc>
        <w:tc>
          <w:tcPr>
            <w:tcW w:w="2152"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360" w:lineRule="auto"/>
              <w:jc w:val="center"/>
              <w:rPr>
                <w:rFonts w:ascii="宋体" w:cs="宋体"/>
                <w:color w:val="auto"/>
              </w:rPr>
            </w:pPr>
            <w:r>
              <w:rPr>
                <w:rFonts w:hint="eastAsia" w:ascii="宋体" w:hAnsi="宋体" w:cs="宋体"/>
                <w:color w:val="auto"/>
                <w:kern w:val="1"/>
              </w:rPr>
              <w:t>套</w:t>
            </w:r>
          </w:p>
        </w:tc>
      </w:tr>
      <w:tr>
        <w:tblPrEx>
          <w:tblLayout w:type="fixed"/>
          <w:tblCellMar>
            <w:top w:w="0" w:type="dxa"/>
            <w:left w:w="10" w:type="dxa"/>
            <w:bottom w:w="0" w:type="dxa"/>
            <w:right w:w="10" w:type="dxa"/>
          </w:tblCellMar>
        </w:tblPrEx>
        <w:trPr>
          <w:trHeight w:val="454" w:hRule="atLeast"/>
          <w:jc w:val="center"/>
        </w:trPr>
        <w:tc>
          <w:tcPr>
            <w:tcW w:w="49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360" w:lineRule="auto"/>
              <w:jc w:val="center"/>
              <w:rPr>
                <w:rFonts w:ascii="宋体" w:cs="宋体"/>
                <w:color w:val="auto"/>
              </w:rPr>
            </w:pPr>
            <w:r>
              <w:rPr>
                <w:rFonts w:ascii="宋体" w:hAnsi="宋体" w:cs="宋体"/>
                <w:color w:val="auto"/>
                <w:kern w:val="1"/>
              </w:rPr>
              <w:t>18</w:t>
            </w:r>
          </w:p>
        </w:tc>
        <w:tc>
          <w:tcPr>
            <w:tcW w:w="3659"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360" w:lineRule="auto"/>
              <w:jc w:val="center"/>
              <w:rPr>
                <w:rFonts w:ascii="宋体" w:cs="宋体"/>
                <w:color w:val="auto"/>
              </w:rPr>
            </w:pPr>
            <w:r>
              <w:rPr>
                <w:rFonts w:hint="eastAsia" w:ascii="宋体" w:hAnsi="宋体" w:cs="宋体"/>
                <w:color w:val="auto"/>
                <w:kern w:val="1"/>
              </w:rPr>
              <w:t>消防荧光棒</w:t>
            </w:r>
          </w:p>
        </w:tc>
        <w:tc>
          <w:tcPr>
            <w:tcW w:w="205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tcPr>
          <w:p>
            <w:pPr>
              <w:spacing w:line="360" w:lineRule="auto"/>
              <w:jc w:val="center"/>
              <w:rPr>
                <w:rFonts w:ascii="宋体" w:cs="宋体"/>
                <w:color w:val="auto"/>
              </w:rPr>
            </w:pPr>
            <w:r>
              <w:rPr>
                <w:rFonts w:ascii="宋体" w:hAnsi="宋体" w:cs="宋体"/>
                <w:color w:val="auto"/>
                <w:kern w:val="1"/>
              </w:rPr>
              <w:t>54</w:t>
            </w:r>
          </w:p>
        </w:tc>
        <w:tc>
          <w:tcPr>
            <w:tcW w:w="2152"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360" w:lineRule="auto"/>
              <w:jc w:val="center"/>
              <w:rPr>
                <w:rFonts w:ascii="宋体" w:cs="宋体"/>
                <w:color w:val="auto"/>
              </w:rPr>
            </w:pPr>
            <w:r>
              <w:rPr>
                <w:rFonts w:hint="eastAsia" w:ascii="宋体" w:hAnsi="宋体" w:cs="宋体"/>
                <w:color w:val="auto"/>
                <w:kern w:val="1"/>
              </w:rPr>
              <w:t>根</w:t>
            </w:r>
          </w:p>
        </w:tc>
      </w:tr>
      <w:tr>
        <w:tblPrEx>
          <w:tblLayout w:type="fixed"/>
          <w:tblCellMar>
            <w:top w:w="0" w:type="dxa"/>
            <w:left w:w="10" w:type="dxa"/>
            <w:bottom w:w="0" w:type="dxa"/>
            <w:right w:w="10" w:type="dxa"/>
          </w:tblCellMar>
        </w:tblPrEx>
        <w:trPr>
          <w:trHeight w:val="1280" w:hRule="atLeast"/>
          <w:jc w:val="center"/>
        </w:trPr>
        <w:tc>
          <w:tcPr>
            <w:tcW w:w="49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360" w:lineRule="auto"/>
              <w:jc w:val="center"/>
              <w:rPr>
                <w:rFonts w:ascii="宋体" w:cs="宋体"/>
                <w:color w:val="auto"/>
                <w:kern w:val="1"/>
              </w:rPr>
            </w:pPr>
            <w:r>
              <w:rPr>
                <w:rFonts w:ascii="宋体" w:hAnsi="宋体" w:cs="宋体"/>
                <w:color w:val="auto"/>
                <w:kern w:val="1"/>
              </w:rPr>
              <w:t>19</w:t>
            </w:r>
          </w:p>
        </w:tc>
        <w:tc>
          <w:tcPr>
            <w:tcW w:w="3659"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360" w:lineRule="auto"/>
              <w:jc w:val="center"/>
              <w:rPr>
                <w:rFonts w:ascii="宋体" w:cs="宋体"/>
                <w:color w:val="auto"/>
                <w:kern w:val="1"/>
              </w:rPr>
            </w:pPr>
            <w:r>
              <w:rPr>
                <w:rFonts w:hint="eastAsia" w:ascii="宋体" w:hAnsi="宋体" w:cs="宋体"/>
                <w:color w:val="auto"/>
                <w:kern w:val="1"/>
              </w:rPr>
              <w:t>其他常规灭火器材</w:t>
            </w:r>
          </w:p>
        </w:tc>
        <w:tc>
          <w:tcPr>
            <w:tcW w:w="4207"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tcPr>
          <w:p>
            <w:pPr>
              <w:spacing w:line="360" w:lineRule="auto"/>
              <w:rPr>
                <w:rFonts w:ascii="宋体" w:cs="宋体"/>
                <w:color w:val="auto"/>
                <w:kern w:val="1"/>
              </w:rPr>
            </w:pPr>
            <w:r>
              <w:rPr>
                <w:rFonts w:hint="eastAsia" w:ascii="宋体" w:hAnsi="宋体" w:cs="宋体"/>
                <w:color w:val="auto"/>
                <w:kern w:val="1"/>
              </w:rPr>
              <w:t>吸水管、滤水器、集水器、异径接口、水带包布、水带挂钩、地下消火栓扳手、消防桶、灭火器（</w:t>
            </w:r>
            <w:r>
              <w:rPr>
                <w:rFonts w:ascii="宋体" w:hAnsi="宋体" w:cs="宋体"/>
                <w:color w:val="auto"/>
                <w:kern w:val="1"/>
              </w:rPr>
              <w:t>3kg</w:t>
            </w:r>
            <w:r>
              <w:rPr>
                <w:rFonts w:hint="eastAsia" w:ascii="宋体" w:hAnsi="宋体" w:cs="宋体"/>
                <w:color w:val="auto"/>
                <w:kern w:val="1"/>
              </w:rPr>
              <w:t>）各</w:t>
            </w:r>
            <w:r>
              <w:rPr>
                <w:rFonts w:ascii="宋体" w:hAnsi="宋体" w:cs="宋体"/>
                <w:color w:val="auto"/>
                <w:kern w:val="1"/>
              </w:rPr>
              <w:t>6</w:t>
            </w:r>
            <w:r>
              <w:rPr>
                <w:rFonts w:hint="eastAsia" w:ascii="宋体" w:hAnsi="宋体" w:cs="宋体"/>
                <w:color w:val="auto"/>
                <w:kern w:val="1"/>
              </w:rPr>
              <w:t>个</w:t>
            </w:r>
          </w:p>
        </w:tc>
      </w:tr>
    </w:tbl>
    <w:p>
      <w:pPr>
        <w:spacing w:line="360" w:lineRule="auto"/>
        <w:ind w:right="571"/>
        <w:rPr>
          <w:rFonts w:ascii="宋体" w:cs="宋体"/>
          <w:bCs/>
          <w:color w:val="auto"/>
        </w:rPr>
      </w:pPr>
    </w:p>
    <w:p>
      <w:pPr>
        <w:spacing w:before="120" w:after="120" w:line="360" w:lineRule="auto"/>
        <w:rPr>
          <w:rFonts w:ascii="宋体" w:cs="宋体"/>
          <w:color w:val="auto"/>
        </w:rPr>
      </w:pPr>
      <w:r>
        <w:rPr>
          <w:rFonts w:hint="eastAsia" w:ascii="宋体" w:hAnsi="宋体" w:cs="宋体"/>
          <w:color w:val="auto"/>
        </w:rPr>
        <w:t>三、技术参数</w:t>
      </w:r>
    </w:p>
    <w:tbl>
      <w:tblPr>
        <w:tblStyle w:val="16"/>
        <w:tblW w:w="8480" w:type="dxa"/>
        <w:tblInd w:w="-15" w:type="dxa"/>
        <w:tblLayout w:type="fixed"/>
        <w:tblCellMar>
          <w:top w:w="0" w:type="dxa"/>
          <w:left w:w="10" w:type="dxa"/>
          <w:bottom w:w="0" w:type="dxa"/>
          <w:right w:w="10" w:type="dxa"/>
        </w:tblCellMar>
      </w:tblPr>
      <w:tblGrid>
        <w:gridCol w:w="386"/>
        <w:gridCol w:w="306"/>
        <w:gridCol w:w="525"/>
        <w:gridCol w:w="7263"/>
      </w:tblGrid>
      <w:tr>
        <w:tblPrEx>
          <w:tblLayout w:type="fixed"/>
          <w:tblCellMar>
            <w:top w:w="0" w:type="dxa"/>
            <w:left w:w="10" w:type="dxa"/>
            <w:bottom w:w="0" w:type="dxa"/>
            <w:right w:w="10" w:type="dxa"/>
          </w:tblCellMar>
        </w:tblPrEx>
        <w:trPr>
          <w:trHeight w:val="1117" w:hRule="atLeast"/>
        </w:trPr>
        <w:tc>
          <w:tcPr>
            <w:tcW w:w="38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360" w:lineRule="auto"/>
              <w:jc w:val="center"/>
              <w:rPr>
                <w:rFonts w:ascii="宋体" w:cs="宋体"/>
                <w:color w:val="auto"/>
                <w:kern w:val="1"/>
              </w:rPr>
            </w:pPr>
            <w:r>
              <w:rPr>
                <w:rFonts w:hint="eastAsia" w:ascii="宋体" w:hAnsi="宋体" w:cs="宋体"/>
                <w:color w:val="auto"/>
                <w:kern w:val="1"/>
              </w:rPr>
              <w:t>序号</w:t>
            </w:r>
          </w:p>
        </w:tc>
        <w:tc>
          <w:tcPr>
            <w:tcW w:w="30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360" w:lineRule="auto"/>
              <w:jc w:val="center"/>
              <w:rPr>
                <w:rFonts w:ascii="宋体" w:cs="宋体"/>
                <w:color w:val="auto"/>
                <w:kern w:val="1"/>
              </w:rPr>
            </w:pPr>
            <w:r>
              <w:rPr>
                <w:rFonts w:hint="eastAsia" w:ascii="宋体" w:hAnsi="宋体" w:cs="宋体"/>
                <w:color w:val="auto"/>
                <w:kern w:val="1"/>
              </w:rPr>
              <w:t>类别</w:t>
            </w:r>
          </w:p>
        </w:tc>
        <w:tc>
          <w:tcPr>
            <w:tcW w:w="52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360" w:lineRule="auto"/>
              <w:jc w:val="center"/>
              <w:rPr>
                <w:rFonts w:ascii="宋体" w:cs="宋体"/>
                <w:color w:val="auto"/>
                <w:kern w:val="1"/>
              </w:rPr>
            </w:pPr>
            <w:r>
              <w:rPr>
                <w:rFonts w:hint="eastAsia" w:ascii="宋体" w:hAnsi="宋体" w:cs="宋体"/>
                <w:color w:val="auto"/>
                <w:kern w:val="1"/>
              </w:rPr>
              <w:t>器材名称</w:t>
            </w:r>
          </w:p>
        </w:tc>
        <w:tc>
          <w:tcPr>
            <w:tcW w:w="7263"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360" w:lineRule="auto"/>
              <w:jc w:val="center"/>
              <w:rPr>
                <w:rFonts w:ascii="宋体" w:cs="宋体"/>
                <w:color w:val="auto"/>
                <w:kern w:val="1"/>
              </w:rPr>
            </w:pPr>
            <w:r>
              <w:rPr>
                <w:rFonts w:hint="eastAsia" w:ascii="宋体" w:hAnsi="宋体" w:cs="宋体"/>
                <w:color w:val="auto"/>
                <w:kern w:val="1"/>
              </w:rPr>
              <w:t>标准</w:t>
            </w:r>
          </w:p>
        </w:tc>
      </w:tr>
      <w:tr>
        <w:tblPrEx>
          <w:tblLayout w:type="fixed"/>
          <w:tblCellMar>
            <w:top w:w="0" w:type="dxa"/>
            <w:left w:w="10" w:type="dxa"/>
            <w:bottom w:w="0" w:type="dxa"/>
            <w:right w:w="10" w:type="dxa"/>
          </w:tblCellMar>
        </w:tblPrEx>
        <w:trPr>
          <w:trHeight w:val="2770" w:hRule="atLeast"/>
        </w:trPr>
        <w:tc>
          <w:tcPr>
            <w:tcW w:w="38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360" w:lineRule="auto"/>
              <w:jc w:val="center"/>
              <w:rPr>
                <w:rFonts w:ascii="宋体" w:cs="宋体"/>
                <w:color w:val="auto"/>
              </w:rPr>
            </w:pPr>
            <w:r>
              <w:rPr>
                <w:rFonts w:ascii="宋体" w:hAnsi="宋体" w:cs="宋体"/>
                <w:color w:val="auto"/>
                <w:kern w:val="1"/>
              </w:rPr>
              <w:t>1</w:t>
            </w:r>
          </w:p>
        </w:tc>
        <w:tc>
          <w:tcPr>
            <w:tcW w:w="30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360" w:lineRule="auto"/>
              <w:jc w:val="center"/>
              <w:rPr>
                <w:rFonts w:ascii="宋体" w:cs="宋体"/>
                <w:color w:val="auto"/>
              </w:rPr>
            </w:pPr>
            <w:r>
              <w:rPr>
                <w:rFonts w:hint="eastAsia" w:ascii="宋体" w:hAnsi="宋体" w:cs="宋体"/>
                <w:color w:val="auto"/>
                <w:kern w:val="1"/>
              </w:rPr>
              <w:t>消防</w:t>
            </w:r>
            <w:r>
              <w:rPr>
                <w:rFonts w:ascii="宋体" w:cs="宋体"/>
                <w:color w:val="auto"/>
                <w:kern w:val="1"/>
              </w:rPr>
              <w:br w:type="textWrapping"/>
            </w:r>
            <w:r>
              <w:rPr>
                <w:rFonts w:hint="eastAsia" w:ascii="宋体" w:hAnsi="宋体" w:cs="宋体"/>
                <w:color w:val="auto"/>
                <w:kern w:val="1"/>
              </w:rPr>
              <w:t>车</w:t>
            </w:r>
          </w:p>
        </w:tc>
        <w:tc>
          <w:tcPr>
            <w:tcW w:w="52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360" w:lineRule="auto"/>
              <w:jc w:val="center"/>
              <w:rPr>
                <w:rFonts w:ascii="宋体" w:cs="宋体"/>
                <w:color w:val="auto"/>
              </w:rPr>
            </w:pPr>
            <w:r>
              <w:rPr>
                <w:rFonts w:hint="eastAsia" w:ascii="宋体" w:hAnsi="宋体" w:cs="宋体"/>
                <w:color w:val="auto"/>
                <w:kern w:val="1"/>
              </w:rPr>
              <w:t>小型消防车</w:t>
            </w:r>
          </w:p>
        </w:tc>
        <w:tc>
          <w:tcPr>
            <w:tcW w:w="7263"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360" w:lineRule="auto"/>
              <w:rPr>
                <w:rFonts w:ascii="宋体" w:cs="宋体"/>
                <w:color w:val="auto"/>
                <w:kern w:val="1"/>
              </w:rPr>
            </w:pPr>
            <w:r>
              <w:rPr>
                <w:rFonts w:hint="eastAsia" w:ascii="宋体" w:hAnsi="宋体" w:cs="宋体"/>
                <w:color w:val="auto"/>
                <w:kern w:val="1"/>
              </w:rPr>
              <w:t>汽车底盘</w:t>
            </w:r>
            <w:r>
              <w:rPr>
                <w:rFonts w:ascii="宋体" w:cs="宋体"/>
                <w:color w:val="auto"/>
                <w:kern w:val="1"/>
              </w:rPr>
              <w:br w:type="textWrapping"/>
            </w:r>
            <w:r>
              <w:rPr>
                <w:rFonts w:ascii="宋体" w:hAnsi="宋体" w:cs="宋体"/>
                <w:color w:val="auto"/>
                <w:kern w:val="1"/>
              </w:rPr>
              <w:t>1.</w:t>
            </w:r>
            <w:r>
              <w:rPr>
                <w:rFonts w:hint="eastAsia" w:ascii="宋体" w:hAnsi="宋体" w:cs="宋体"/>
                <w:color w:val="auto"/>
                <w:kern w:val="1"/>
              </w:rPr>
              <w:t>型号：采用国内企业品牌底盘</w:t>
            </w:r>
            <w:r>
              <w:rPr>
                <w:rFonts w:ascii="宋体" w:cs="宋体"/>
                <w:color w:val="auto"/>
                <w:kern w:val="1"/>
              </w:rPr>
              <w:br w:type="textWrapping"/>
            </w:r>
            <w:r>
              <w:rPr>
                <w:rFonts w:ascii="宋体" w:hAnsi="宋体" w:cs="宋体"/>
                <w:color w:val="auto"/>
                <w:kern w:val="1"/>
              </w:rPr>
              <w:t>2.</w:t>
            </w:r>
            <w:r>
              <w:rPr>
                <w:rFonts w:hint="eastAsia" w:ascii="宋体" w:hAnsi="宋体" w:cs="宋体"/>
                <w:color w:val="auto"/>
                <w:kern w:val="1"/>
              </w:rPr>
              <w:t>轴距：≤</w:t>
            </w:r>
            <w:r>
              <w:rPr>
                <w:rFonts w:ascii="宋体" w:hAnsi="宋体" w:cs="宋体"/>
                <w:color w:val="auto"/>
                <w:kern w:val="1"/>
              </w:rPr>
              <w:t xml:space="preserve">3500mm </w:t>
            </w:r>
            <w:r>
              <w:rPr>
                <w:rFonts w:hint="eastAsia" w:ascii="宋体" w:hAnsi="宋体" w:cs="宋体"/>
                <w:color w:val="auto"/>
                <w:kern w:val="1"/>
              </w:rPr>
              <w:t>，驱动：</w:t>
            </w:r>
            <w:r>
              <w:rPr>
                <w:rFonts w:ascii="宋体" w:hAnsi="宋体" w:cs="宋体"/>
                <w:color w:val="auto"/>
                <w:kern w:val="1"/>
              </w:rPr>
              <w:t>4*2</w:t>
            </w:r>
            <w:r>
              <w:rPr>
                <w:rFonts w:ascii="宋体" w:hAnsi="宋体" w:cs="宋体"/>
                <w:color w:val="auto"/>
                <w:kern w:val="1"/>
              </w:rPr>
              <w:br w:type="textWrapping"/>
            </w:r>
            <w:r>
              <w:rPr>
                <w:rFonts w:ascii="宋体" w:hAnsi="宋体" w:cs="宋体"/>
                <w:color w:val="auto"/>
                <w:kern w:val="1"/>
              </w:rPr>
              <w:t>3.</w:t>
            </w:r>
            <w:r>
              <w:rPr>
                <w:rFonts w:hint="eastAsia" w:ascii="宋体" w:hAnsi="宋体" w:cs="宋体"/>
                <w:color w:val="auto"/>
                <w:kern w:val="1"/>
              </w:rPr>
              <w:t>最高车速：≥</w:t>
            </w:r>
            <w:r>
              <w:rPr>
                <w:rFonts w:ascii="宋体" w:hAnsi="宋体" w:cs="宋体"/>
                <w:color w:val="auto"/>
                <w:kern w:val="1"/>
              </w:rPr>
              <w:t>90km/h</w:t>
            </w:r>
            <w:r>
              <w:rPr>
                <w:rFonts w:hint="eastAsia" w:ascii="宋体" w:hAnsi="宋体" w:cs="宋体"/>
                <w:color w:val="auto"/>
                <w:kern w:val="1"/>
              </w:rPr>
              <w:t>，比功率≥</w:t>
            </w:r>
            <w:r>
              <w:rPr>
                <w:rFonts w:ascii="宋体" w:hAnsi="宋体" w:cs="宋体"/>
                <w:color w:val="auto"/>
                <w:kern w:val="1"/>
              </w:rPr>
              <w:t>10</w:t>
            </w:r>
            <w:r>
              <w:rPr>
                <w:rFonts w:ascii="宋体" w:hAnsi="宋体" w:cs="宋体"/>
                <w:color w:val="auto"/>
                <w:kern w:val="1"/>
              </w:rPr>
              <w:br w:type="textWrapping"/>
            </w:r>
            <w:r>
              <w:rPr>
                <w:rFonts w:ascii="宋体" w:hAnsi="宋体" w:cs="宋体"/>
                <w:color w:val="auto"/>
                <w:kern w:val="1"/>
              </w:rPr>
              <w:t>4.</w:t>
            </w:r>
            <w:r>
              <w:rPr>
                <w:rFonts w:hint="eastAsia" w:ascii="宋体" w:hAnsi="宋体" w:cs="宋体"/>
                <w:color w:val="auto"/>
                <w:kern w:val="1"/>
              </w:rPr>
              <w:t>发动机：直列四缸、水冷、高压共轨、增压中冷柴油发动机（</w:t>
            </w:r>
            <w:r>
              <w:rPr>
                <w:rFonts w:ascii="宋体" w:hAnsi="宋体" w:cs="宋体"/>
                <w:color w:val="auto"/>
                <w:kern w:val="1"/>
              </w:rPr>
              <w:t>3</w:t>
            </w:r>
            <w:r>
              <w:rPr>
                <w:rFonts w:hint="eastAsia" w:ascii="宋体" w:hAnsi="宋体" w:cs="宋体"/>
                <w:color w:val="auto"/>
                <w:kern w:val="1"/>
              </w:rPr>
              <w:t>）功率：≥</w:t>
            </w:r>
            <w:r>
              <w:rPr>
                <w:rFonts w:ascii="宋体" w:hAnsi="宋体" w:cs="宋体"/>
                <w:color w:val="auto"/>
                <w:kern w:val="1"/>
              </w:rPr>
              <w:t>80KW</w:t>
            </w:r>
            <w:r>
              <w:rPr>
                <w:rFonts w:ascii="宋体" w:hAnsi="宋体" w:cs="宋体"/>
                <w:color w:val="auto"/>
                <w:kern w:val="1"/>
              </w:rPr>
              <w:br w:type="textWrapping"/>
            </w:r>
            <w:r>
              <w:rPr>
                <w:rFonts w:ascii="宋体" w:hAnsi="宋体" w:cs="宋体"/>
                <w:color w:val="auto"/>
                <w:kern w:val="1"/>
              </w:rPr>
              <w:t>5.</w:t>
            </w:r>
            <w:r>
              <w:rPr>
                <w:rFonts w:hint="eastAsia" w:ascii="宋体" w:hAnsi="宋体" w:cs="宋体"/>
                <w:color w:val="auto"/>
                <w:kern w:val="1"/>
              </w:rPr>
              <w:t>离合器：助力式</w:t>
            </w:r>
            <w:r>
              <w:rPr>
                <w:rFonts w:ascii="宋体" w:cs="宋体"/>
                <w:color w:val="auto"/>
                <w:kern w:val="1"/>
              </w:rPr>
              <w:br w:type="textWrapping"/>
            </w:r>
            <w:r>
              <w:rPr>
                <w:rFonts w:ascii="宋体" w:hAnsi="宋体" w:cs="宋体"/>
                <w:color w:val="auto"/>
                <w:kern w:val="1"/>
              </w:rPr>
              <w:t>6.</w:t>
            </w:r>
            <w:r>
              <w:rPr>
                <w:rFonts w:hint="eastAsia" w:ascii="宋体" w:hAnsi="宋体" w:cs="宋体"/>
                <w:color w:val="auto"/>
                <w:kern w:val="1"/>
              </w:rPr>
              <w:t>变速器：机械式手动变速器，标准：国Ⅴ</w:t>
            </w:r>
            <w:r>
              <w:rPr>
                <w:rFonts w:ascii="宋体" w:cs="宋体"/>
                <w:color w:val="auto"/>
                <w:kern w:val="1"/>
              </w:rPr>
              <w:t>.</w:t>
            </w:r>
            <w:r>
              <w:rPr>
                <w:rFonts w:ascii="宋体" w:cs="宋体"/>
                <w:color w:val="auto"/>
                <w:kern w:val="1"/>
              </w:rPr>
              <w:br w:type="textWrapping"/>
            </w:r>
            <w:r>
              <w:rPr>
                <w:rFonts w:ascii="宋体" w:hAnsi="宋体" w:cs="宋体"/>
                <w:color w:val="auto"/>
                <w:kern w:val="1"/>
              </w:rPr>
              <w:t>7.</w:t>
            </w:r>
            <w:r>
              <w:rPr>
                <w:rFonts w:hint="eastAsia" w:ascii="宋体" w:hAnsi="宋体" w:cs="宋体"/>
                <w:color w:val="auto"/>
                <w:kern w:val="1"/>
              </w:rPr>
              <w:t>传动轴：传动轴传动。</w:t>
            </w:r>
            <w:r>
              <w:rPr>
                <w:rFonts w:ascii="宋体" w:cs="宋体"/>
                <w:color w:val="auto"/>
                <w:kern w:val="1"/>
              </w:rPr>
              <w:br w:type="textWrapping"/>
            </w:r>
            <w:r>
              <w:rPr>
                <w:rFonts w:ascii="宋体" w:hAnsi="宋体" w:cs="宋体"/>
                <w:color w:val="auto"/>
                <w:kern w:val="1"/>
              </w:rPr>
              <w:t>8.</w:t>
            </w:r>
            <w:r>
              <w:rPr>
                <w:rFonts w:hint="eastAsia" w:ascii="宋体" w:hAnsi="宋体" w:cs="宋体"/>
                <w:color w:val="auto"/>
                <w:kern w:val="1"/>
              </w:rPr>
              <w:t>后桥：由左右半轴总成和差速器组成，与变速箱连成一体，将变速箱输入的动力最后传给驱动轮。</w:t>
            </w:r>
            <w:r>
              <w:rPr>
                <w:rFonts w:ascii="宋体" w:cs="宋体"/>
                <w:color w:val="auto"/>
                <w:kern w:val="1"/>
              </w:rPr>
              <w:br w:type="textWrapping"/>
            </w:r>
            <w:r>
              <w:rPr>
                <w:rFonts w:ascii="宋体" w:hAnsi="宋体" w:cs="宋体"/>
                <w:color w:val="auto"/>
                <w:kern w:val="1"/>
              </w:rPr>
              <w:t>9.</w:t>
            </w:r>
            <w:r>
              <w:rPr>
                <w:rFonts w:hint="eastAsia" w:ascii="宋体" w:hAnsi="宋体" w:cs="宋体"/>
                <w:color w:val="auto"/>
                <w:kern w:val="1"/>
              </w:rPr>
              <w:t>轮胎：钢丝胎≥</w:t>
            </w:r>
            <w:r>
              <w:rPr>
                <w:rFonts w:ascii="宋体" w:hAnsi="宋体" w:cs="宋体"/>
                <w:color w:val="auto"/>
                <w:kern w:val="1"/>
              </w:rPr>
              <w:t>6</w:t>
            </w:r>
            <w:r>
              <w:rPr>
                <w:rFonts w:hint="eastAsia" w:ascii="宋体" w:hAnsi="宋体" w:cs="宋体"/>
                <w:color w:val="auto"/>
                <w:kern w:val="1"/>
              </w:rPr>
              <w:t>个</w:t>
            </w:r>
            <w:r>
              <w:rPr>
                <w:rFonts w:ascii="宋体" w:cs="宋体"/>
                <w:color w:val="auto"/>
                <w:kern w:val="1"/>
              </w:rPr>
              <w:br w:type="textWrapping"/>
            </w:r>
            <w:r>
              <w:rPr>
                <w:rFonts w:ascii="宋体" w:hAnsi="宋体" w:cs="宋体"/>
                <w:color w:val="auto"/>
                <w:kern w:val="1"/>
              </w:rPr>
              <w:t>10.</w:t>
            </w:r>
            <w:r>
              <w:rPr>
                <w:rFonts w:hint="eastAsia" w:ascii="宋体" w:hAnsi="宋体" w:cs="宋体"/>
                <w:color w:val="auto"/>
                <w:kern w:val="1"/>
              </w:rPr>
              <w:t>悬架：前悬架由前板簧总成和减振器与相应的连接件组成；后悬架由复式钢板弹簧和相应的连接件组成。</w:t>
            </w:r>
            <w:r>
              <w:rPr>
                <w:rFonts w:ascii="宋体" w:cs="宋体"/>
                <w:color w:val="auto"/>
                <w:kern w:val="1"/>
              </w:rPr>
              <w:br w:type="textWrapping"/>
            </w:r>
            <w:r>
              <w:rPr>
                <w:rFonts w:ascii="宋体" w:hAnsi="宋体" w:cs="宋体"/>
                <w:color w:val="auto"/>
                <w:kern w:val="1"/>
              </w:rPr>
              <w:t>11.</w:t>
            </w:r>
            <w:r>
              <w:rPr>
                <w:rFonts w:hint="eastAsia" w:ascii="宋体" w:hAnsi="宋体" w:cs="宋体"/>
                <w:color w:val="auto"/>
                <w:kern w:val="1"/>
              </w:rPr>
              <w:t>转向系统：动力转向系统，方向助力；</w:t>
            </w:r>
            <w:r>
              <w:rPr>
                <w:rFonts w:ascii="宋体" w:hAnsi="宋体" w:cs="宋体"/>
                <w:color w:val="auto"/>
                <w:kern w:val="1"/>
              </w:rPr>
              <w:t>ABS</w:t>
            </w:r>
            <w:r>
              <w:rPr>
                <w:rFonts w:hint="eastAsia" w:ascii="宋体" w:hAnsi="宋体" w:cs="宋体"/>
                <w:color w:val="auto"/>
                <w:kern w:val="1"/>
              </w:rPr>
              <w:t>、中控锁、电动玻璃。</w:t>
            </w:r>
            <w:r>
              <w:rPr>
                <w:rFonts w:ascii="宋体" w:cs="宋体"/>
                <w:color w:val="auto"/>
                <w:kern w:val="1"/>
              </w:rPr>
              <w:br w:type="textWrapping"/>
            </w:r>
            <w:r>
              <w:rPr>
                <w:rFonts w:ascii="宋体" w:hAnsi="宋体" w:cs="宋体"/>
                <w:color w:val="auto"/>
                <w:kern w:val="1"/>
              </w:rPr>
              <w:t>12.</w:t>
            </w:r>
            <w:r>
              <w:rPr>
                <w:rFonts w:hint="eastAsia" w:ascii="宋体" w:hAnsi="宋体" w:cs="宋体"/>
                <w:color w:val="auto"/>
                <w:kern w:val="1"/>
              </w:rPr>
              <w:t>制动系统：双管路液压制动系统。</w:t>
            </w:r>
            <w:r>
              <w:rPr>
                <w:rFonts w:ascii="宋体" w:cs="宋体"/>
                <w:color w:val="auto"/>
                <w:kern w:val="1"/>
              </w:rPr>
              <w:br w:type="textWrapping"/>
            </w:r>
            <w:r>
              <w:rPr>
                <w:rFonts w:ascii="宋体" w:hAnsi="宋体" w:cs="宋体"/>
                <w:color w:val="auto"/>
                <w:kern w:val="1"/>
              </w:rPr>
              <w:t>14.</w:t>
            </w:r>
            <w:r>
              <w:rPr>
                <w:rFonts w:hint="eastAsia" w:ascii="宋体" w:hAnsi="宋体" w:cs="宋体"/>
                <w:color w:val="auto"/>
                <w:kern w:val="1"/>
              </w:rPr>
              <w:t>取力器：推进式侧取，全功率，手动控制</w:t>
            </w:r>
          </w:p>
          <w:p>
            <w:pPr>
              <w:spacing w:line="360" w:lineRule="auto"/>
              <w:rPr>
                <w:rFonts w:ascii="宋体" w:cs="宋体"/>
                <w:color w:val="auto"/>
                <w:kern w:val="1"/>
              </w:rPr>
            </w:pPr>
            <w:r>
              <w:rPr>
                <w:rFonts w:ascii="宋体" w:hAnsi="宋体" w:cs="宋体"/>
                <w:color w:val="auto"/>
                <w:kern w:val="1"/>
              </w:rPr>
              <w:t>15.</w:t>
            </w:r>
            <w:r>
              <w:rPr>
                <w:rFonts w:hint="eastAsia" w:ascii="宋体" w:hAnsi="宋体" w:cs="宋体"/>
                <w:color w:val="auto"/>
                <w:kern w:val="1"/>
              </w:rPr>
              <w:t>外形尺寸：≤长×宽×高</w:t>
            </w:r>
            <w:r>
              <w:rPr>
                <w:rFonts w:ascii="宋体" w:hAnsi="宋体" w:cs="宋体"/>
                <w:color w:val="auto"/>
                <w:kern w:val="1"/>
              </w:rPr>
              <w:t xml:space="preserve"> = 6400mm</w:t>
            </w:r>
            <w:r>
              <w:rPr>
                <w:rFonts w:hint="eastAsia" w:ascii="宋体" w:hAnsi="宋体" w:cs="宋体"/>
                <w:color w:val="auto"/>
                <w:kern w:val="1"/>
              </w:rPr>
              <w:t>×</w:t>
            </w:r>
            <w:r>
              <w:rPr>
                <w:rFonts w:ascii="宋体" w:hAnsi="宋体" w:cs="宋体"/>
                <w:color w:val="auto"/>
                <w:kern w:val="1"/>
              </w:rPr>
              <w:t>2000mm</w:t>
            </w:r>
            <w:r>
              <w:rPr>
                <w:rFonts w:hint="eastAsia" w:ascii="宋体" w:hAnsi="宋体" w:cs="宋体"/>
                <w:color w:val="auto"/>
                <w:kern w:val="1"/>
              </w:rPr>
              <w:t>×</w:t>
            </w:r>
            <w:r>
              <w:rPr>
                <w:rFonts w:ascii="宋体" w:hAnsi="宋体" w:cs="宋体"/>
                <w:color w:val="auto"/>
                <w:kern w:val="1"/>
              </w:rPr>
              <w:t>2700mm(</w:t>
            </w:r>
            <w:r>
              <w:rPr>
                <w:rFonts w:hint="eastAsia" w:ascii="宋体" w:hAnsi="宋体" w:cs="宋体"/>
                <w:color w:val="auto"/>
                <w:kern w:val="1"/>
              </w:rPr>
              <w:t>优先考虑高度最低</w:t>
            </w:r>
            <w:r>
              <w:rPr>
                <w:rFonts w:ascii="宋体" w:hAnsi="宋体" w:cs="宋体"/>
                <w:color w:val="auto"/>
                <w:kern w:val="1"/>
              </w:rPr>
              <w:t>)</w:t>
            </w:r>
            <w:r>
              <w:rPr>
                <w:rFonts w:hint="eastAsia" w:ascii="宋体" w:hAnsi="宋体" w:cs="宋体"/>
                <w:color w:val="auto"/>
                <w:kern w:val="1"/>
              </w:rPr>
              <w:t>，最小转弯半径≤</w:t>
            </w:r>
            <w:r>
              <w:rPr>
                <w:rFonts w:ascii="宋体" w:hAnsi="宋体" w:cs="宋体"/>
                <w:color w:val="auto"/>
                <w:kern w:val="1"/>
              </w:rPr>
              <w:t>14m</w:t>
            </w:r>
            <w:r>
              <w:rPr>
                <w:rFonts w:hint="eastAsia" w:ascii="宋体" w:hAnsi="宋体" w:cs="宋体"/>
                <w:color w:val="auto"/>
                <w:kern w:val="1"/>
              </w:rPr>
              <w:t>，最大总重量≤</w:t>
            </w:r>
            <w:r>
              <w:rPr>
                <w:rFonts w:ascii="宋体" w:hAnsi="宋体" w:cs="宋体"/>
                <w:color w:val="auto"/>
                <w:kern w:val="1"/>
              </w:rPr>
              <w:t>8500kg</w:t>
            </w:r>
            <w:r>
              <w:rPr>
                <w:rFonts w:ascii="宋体" w:hAnsi="宋体" w:cs="宋体"/>
                <w:color w:val="auto"/>
                <w:kern w:val="1"/>
              </w:rPr>
              <w:br w:type="textWrapping"/>
            </w:r>
            <w:r>
              <w:rPr>
                <w:rFonts w:hint="eastAsia" w:ascii="宋体" w:hAnsi="宋体" w:cs="宋体"/>
                <w:color w:val="auto"/>
                <w:kern w:val="1"/>
              </w:rPr>
              <w:t>二、驾驶室</w:t>
            </w:r>
            <w:r>
              <w:rPr>
                <w:rFonts w:ascii="宋体" w:cs="宋体"/>
                <w:color w:val="auto"/>
                <w:kern w:val="1"/>
              </w:rPr>
              <w:br w:type="textWrapping"/>
            </w:r>
            <w:r>
              <w:rPr>
                <w:rFonts w:ascii="宋体" w:hAnsi="宋体" w:cs="宋体"/>
                <w:color w:val="auto"/>
                <w:kern w:val="1"/>
              </w:rPr>
              <w:t>1.</w:t>
            </w:r>
            <w:r>
              <w:rPr>
                <w:rFonts w:hint="eastAsia" w:ascii="宋体" w:hAnsi="宋体" w:cs="宋体"/>
                <w:color w:val="auto"/>
                <w:kern w:val="1"/>
              </w:rPr>
              <w:t>结构：平头、四门，原装双排。</w:t>
            </w:r>
            <w:r>
              <w:rPr>
                <w:rFonts w:ascii="宋体" w:cs="宋体"/>
                <w:color w:val="auto"/>
                <w:kern w:val="1"/>
              </w:rPr>
              <w:br w:type="textWrapping"/>
            </w:r>
            <w:r>
              <w:rPr>
                <w:rFonts w:ascii="宋体" w:hAnsi="宋体" w:cs="宋体"/>
                <w:color w:val="auto"/>
                <w:kern w:val="1"/>
              </w:rPr>
              <w:t>2.</w:t>
            </w:r>
            <w:r>
              <w:rPr>
                <w:rFonts w:hint="eastAsia" w:ascii="宋体" w:hAnsi="宋体" w:cs="宋体"/>
                <w:color w:val="auto"/>
                <w:kern w:val="1"/>
              </w:rPr>
              <w:t>布局：驾驶室可乘坐</w:t>
            </w:r>
            <w:r>
              <w:rPr>
                <w:rFonts w:ascii="宋体" w:hAnsi="宋体" w:cs="宋体"/>
                <w:color w:val="auto"/>
                <w:kern w:val="1"/>
              </w:rPr>
              <w:t>5</w:t>
            </w:r>
            <w:r>
              <w:rPr>
                <w:rFonts w:hint="eastAsia" w:ascii="宋体" w:hAnsi="宋体" w:cs="宋体"/>
                <w:color w:val="auto"/>
                <w:kern w:val="1"/>
              </w:rPr>
              <w:t>人以上双排驾驶室，便于投入战斗。</w:t>
            </w:r>
            <w:r>
              <w:rPr>
                <w:rFonts w:ascii="宋体" w:cs="宋体"/>
                <w:color w:val="auto"/>
                <w:kern w:val="1"/>
              </w:rPr>
              <w:br w:type="textWrapping"/>
            </w:r>
            <w:r>
              <w:rPr>
                <w:rFonts w:ascii="宋体" w:hAnsi="宋体" w:cs="宋体"/>
                <w:color w:val="auto"/>
                <w:kern w:val="1"/>
              </w:rPr>
              <w:t>3.</w:t>
            </w:r>
            <w:r>
              <w:rPr>
                <w:rFonts w:hint="eastAsia" w:ascii="宋体" w:hAnsi="宋体" w:cs="宋体"/>
                <w:color w:val="auto"/>
                <w:kern w:val="1"/>
              </w:rPr>
              <w:t>设备：除原车设备外，加装有警灯、警报器、器材箱灯及取力器控制开关及指示灯等开关</w:t>
            </w:r>
            <w:r>
              <w:rPr>
                <w:rFonts w:ascii="宋体" w:cs="宋体"/>
                <w:color w:val="auto"/>
                <w:kern w:val="1"/>
              </w:rPr>
              <w:br w:type="textWrapping"/>
            </w:r>
            <w:r>
              <w:rPr>
                <w:rFonts w:hint="eastAsia" w:ascii="宋体" w:hAnsi="宋体" w:cs="宋体"/>
                <w:color w:val="auto"/>
                <w:kern w:val="1"/>
              </w:rPr>
              <w:t>三、液罐</w:t>
            </w:r>
            <w:r>
              <w:rPr>
                <w:rFonts w:ascii="宋体" w:cs="宋体"/>
                <w:color w:val="auto"/>
                <w:kern w:val="1"/>
              </w:rPr>
              <w:br w:type="textWrapping"/>
            </w:r>
            <w:r>
              <w:rPr>
                <w:rFonts w:ascii="宋体" w:hAnsi="宋体" w:cs="宋体"/>
                <w:color w:val="auto"/>
                <w:kern w:val="1"/>
              </w:rPr>
              <w:t>1.</w:t>
            </w:r>
            <w:r>
              <w:rPr>
                <w:rFonts w:hint="eastAsia" w:ascii="宋体" w:hAnsi="宋体" w:cs="宋体"/>
                <w:color w:val="auto"/>
                <w:kern w:val="1"/>
              </w:rPr>
              <w:t>容量：≥水</w:t>
            </w:r>
            <w:r>
              <w:rPr>
                <w:rFonts w:ascii="宋体" w:hAnsi="宋体" w:cs="宋体"/>
                <w:color w:val="auto"/>
                <w:kern w:val="1"/>
              </w:rPr>
              <w:t>2500kg</w:t>
            </w:r>
            <w:r>
              <w:rPr>
                <w:rFonts w:ascii="宋体" w:cs="宋体"/>
                <w:color w:val="auto"/>
                <w:kern w:val="1"/>
              </w:rPr>
              <w:br w:type="textWrapping"/>
            </w:r>
            <w:r>
              <w:rPr>
                <w:rFonts w:ascii="宋体" w:hAnsi="宋体" w:cs="宋体"/>
                <w:color w:val="auto"/>
                <w:kern w:val="1"/>
              </w:rPr>
              <w:t>2.</w:t>
            </w:r>
            <w:r>
              <w:rPr>
                <w:rFonts w:hint="eastAsia" w:ascii="宋体" w:hAnsi="宋体" w:cs="宋体"/>
                <w:color w:val="auto"/>
                <w:kern w:val="1"/>
              </w:rPr>
              <w:t>材质：优质碳钢板，经特殊防腐处理，顶板和侧板厚度≥</w:t>
            </w:r>
            <w:r>
              <w:rPr>
                <w:rFonts w:ascii="宋体" w:hAnsi="宋体" w:cs="宋体"/>
                <w:color w:val="auto"/>
                <w:kern w:val="1"/>
              </w:rPr>
              <w:t>3 mm</w:t>
            </w:r>
            <w:r>
              <w:rPr>
                <w:rFonts w:hint="eastAsia" w:ascii="宋体" w:hAnsi="宋体" w:cs="宋体"/>
                <w:color w:val="auto"/>
                <w:kern w:val="1"/>
              </w:rPr>
              <w:t>、底板厚度≥</w:t>
            </w:r>
            <w:r>
              <w:rPr>
                <w:rFonts w:ascii="宋体" w:hAnsi="宋体" w:cs="宋体"/>
                <w:color w:val="auto"/>
                <w:kern w:val="1"/>
              </w:rPr>
              <w:t>3mm</w:t>
            </w:r>
            <w:r>
              <w:rPr>
                <w:rFonts w:hint="eastAsia" w:ascii="宋体" w:hAnsi="宋体" w:cs="宋体"/>
                <w:color w:val="auto"/>
                <w:kern w:val="1"/>
              </w:rPr>
              <w:t>。</w:t>
            </w:r>
            <w:r>
              <w:rPr>
                <w:rFonts w:ascii="宋体" w:cs="宋体"/>
                <w:color w:val="auto"/>
                <w:kern w:val="1"/>
              </w:rPr>
              <w:br w:type="textWrapping"/>
            </w:r>
            <w:r>
              <w:rPr>
                <w:rFonts w:ascii="宋体" w:hAnsi="宋体" w:cs="宋体"/>
                <w:color w:val="auto"/>
                <w:kern w:val="1"/>
              </w:rPr>
              <w:t>3.</w:t>
            </w:r>
            <w:r>
              <w:rPr>
                <w:rFonts w:hint="eastAsia" w:ascii="宋体" w:hAnsi="宋体" w:cs="宋体"/>
                <w:color w:val="auto"/>
                <w:kern w:val="1"/>
              </w:rPr>
              <w:t>结构：内设防浪板。</w:t>
            </w:r>
            <w:r>
              <w:rPr>
                <w:rFonts w:ascii="宋体" w:cs="宋体"/>
                <w:color w:val="auto"/>
                <w:kern w:val="1"/>
              </w:rPr>
              <w:br w:type="textWrapping"/>
            </w:r>
            <w:r>
              <w:rPr>
                <w:rFonts w:ascii="宋体" w:hAnsi="宋体" w:cs="宋体"/>
                <w:color w:val="auto"/>
                <w:kern w:val="1"/>
              </w:rPr>
              <w:t>4.</w:t>
            </w:r>
            <w:r>
              <w:rPr>
                <w:rFonts w:hint="eastAsia" w:ascii="宋体" w:hAnsi="宋体" w:cs="宋体"/>
                <w:color w:val="auto"/>
                <w:kern w:val="1"/>
              </w:rPr>
              <w:t>设备：水罐设不少于</w:t>
            </w:r>
            <w:r>
              <w:rPr>
                <w:rFonts w:ascii="宋体" w:hAnsi="宋体" w:cs="宋体"/>
                <w:color w:val="auto"/>
                <w:kern w:val="1"/>
              </w:rPr>
              <w:t>1</w:t>
            </w:r>
            <w:r>
              <w:rPr>
                <w:rFonts w:hint="eastAsia" w:ascii="宋体" w:hAnsi="宋体" w:cs="宋体"/>
                <w:color w:val="auto"/>
                <w:kern w:val="1"/>
              </w:rPr>
              <w:t>个人孔；设不少于</w:t>
            </w:r>
            <w:r>
              <w:rPr>
                <w:rFonts w:ascii="宋体" w:hAnsi="宋体" w:cs="宋体"/>
                <w:color w:val="auto"/>
                <w:kern w:val="1"/>
              </w:rPr>
              <w:t>1</w:t>
            </w:r>
            <w:r>
              <w:rPr>
                <w:rFonts w:hint="eastAsia" w:ascii="宋体" w:hAnsi="宋体" w:cs="宋体"/>
                <w:color w:val="auto"/>
                <w:kern w:val="1"/>
              </w:rPr>
              <w:t>个排污口（带球阀启闭装置）；设在水罐左右各设不少于</w:t>
            </w:r>
            <w:r>
              <w:rPr>
                <w:rFonts w:ascii="宋体" w:hAnsi="宋体" w:cs="宋体"/>
                <w:color w:val="auto"/>
                <w:kern w:val="1"/>
              </w:rPr>
              <w:t>1</w:t>
            </w:r>
            <w:r>
              <w:rPr>
                <w:rFonts w:hint="eastAsia" w:ascii="宋体" w:hAnsi="宋体" w:cs="宋体"/>
                <w:color w:val="auto"/>
                <w:kern w:val="1"/>
              </w:rPr>
              <w:t>个单向注水口，设不少于</w:t>
            </w:r>
            <w:r>
              <w:rPr>
                <w:rFonts w:ascii="宋体" w:hAnsi="宋体" w:cs="宋体"/>
                <w:color w:val="auto"/>
                <w:kern w:val="1"/>
              </w:rPr>
              <w:t>1</w:t>
            </w:r>
            <w:r>
              <w:rPr>
                <w:rFonts w:hint="eastAsia" w:ascii="宋体" w:hAnsi="宋体" w:cs="宋体"/>
                <w:color w:val="auto"/>
                <w:kern w:val="1"/>
              </w:rPr>
              <w:t>个水罐到水泵进水管，</w:t>
            </w:r>
            <w:r>
              <w:rPr>
                <w:rFonts w:ascii="宋体" w:hAnsi="宋体" w:cs="宋体"/>
                <w:color w:val="auto"/>
                <w:kern w:val="1"/>
              </w:rPr>
              <w:t>DN100</w:t>
            </w:r>
            <w:r>
              <w:rPr>
                <w:rFonts w:hint="eastAsia" w:ascii="宋体" w:hAnsi="宋体" w:cs="宋体"/>
                <w:color w:val="auto"/>
                <w:kern w:val="1"/>
              </w:rPr>
              <w:t>阀门，可气动、手动控制，设不少于</w:t>
            </w:r>
            <w:r>
              <w:rPr>
                <w:rFonts w:ascii="宋体" w:hAnsi="宋体" w:cs="宋体"/>
                <w:color w:val="auto"/>
                <w:kern w:val="1"/>
              </w:rPr>
              <w:t>1</w:t>
            </w:r>
            <w:r>
              <w:rPr>
                <w:rFonts w:hint="eastAsia" w:ascii="宋体" w:hAnsi="宋体" w:cs="宋体"/>
                <w:color w:val="auto"/>
                <w:kern w:val="1"/>
              </w:rPr>
              <w:t>个水泵至水罐充水管，</w:t>
            </w:r>
            <w:r>
              <w:rPr>
                <w:rFonts w:ascii="宋体" w:hAnsi="宋体" w:cs="宋体"/>
                <w:color w:val="auto"/>
                <w:kern w:val="1"/>
              </w:rPr>
              <w:t>DN40</w:t>
            </w:r>
            <w:r>
              <w:rPr>
                <w:rFonts w:hint="eastAsia" w:ascii="宋体" w:hAnsi="宋体" w:cs="宋体"/>
                <w:color w:val="auto"/>
                <w:kern w:val="1"/>
              </w:rPr>
              <w:t>阀门，可气动、手动控制</w:t>
            </w:r>
            <w:r>
              <w:rPr>
                <w:rFonts w:ascii="宋体" w:cs="宋体"/>
                <w:color w:val="auto"/>
                <w:kern w:val="1"/>
              </w:rPr>
              <w:br w:type="textWrapping"/>
            </w:r>
            <w:r>
              <w:rPr>
                <w:rFonts w:ascii="宋体" w:hAnsi="宋体" w:cs="宋体"/>
                <w:color w:val="auto"/>
                <w:kern w:val="1"/>
              </w:rPr>
              <w:t>5.</w:t>
            </w:r>
            <w:r>
              <w:rPr>
                <w:rFonts w:hint="eastAsia" w:ascii="宋体" w:hAnsi="宋体" w:cs="宋体"/>
                <w:color w:val="auto"/>
                <w:kern w:val="1"/>
              </w:rPr>
              <w:t>联接：罐体通过管路系统与消防泵合理联接：与水罐有不少于</w:t>
            </w:r>
            <w:r>
              <w:rPr>
                <w:rFonts w:ascii="宋体" w:hAnsi="宋体" w:cs="宋体"/>
                <w:color w:val="auto"/>
                <w:kern w:val="1"/>
              </w:rPr>
              <w:t>1</w:t>
            </w:r>
            <w:r>
              <w:rPr>
                <w:rFonts w:hint="eastAsia" w:ascii="宋体" w:hAnsi="宋体" w:cs="宋体"/>
                <w:color w:val="auto"/>
                <w:kern w:val="1"/>
              </w:rPr>
              <w:t>个注水口。</w:t>
            </w:r>
            <w:r>
              <w:rPr>
                <w:rFonts w:ascii="宋体" w:cs="宋体"/>
                <w:color w:val="auto"/>
                <w:kern w:val="1"/>
              </w:rPr>
              <w:br w:type="textWrapping"/>
            </w:r>
            <w:r>
              <w:rPr>
                <w:rFonts w:hint="eastAsia" w:ascii="宋体" w:hAnsi="宋体" w:cs="宋体"/>
                <w:color w:val="auto"/>
                <w:kern w:val="1"/>
              </w:rPr>
              <w:t>四、器材箱：</w:t>
            </w:r>
            <w:r>
              <w:rPr>
                <w:rFonts w:ascii="宋体" w:hAnsi="宋体" w:cs="宋体"/>
                <w:color w:val="auto"/>
                <w:kern w:val="1"/>
              </w:rPr>
              <w:t>1.</w:t>
            </w:r>
            <w:r>
              <w:rPr>
                <w:rFonts w:hint="eastAsia" w:ascii="宋体" w:hAnsi="宋体" w:cs="宋体"/>
                <w:color w:val="auto"/>
                <w:kern w:val="1"/>
              </w:rPr>
              <w:t>结构：泵室框架为优质方管焊接结构，内蒙皮为轻合金花纹铝板。</w:t>
            </w:r>
            <w:r>
              <w:rPr>
                <w:rFonts w:ascii="宋体" w:hAnsi="宋体" w:cs="宋体"/>
                <w:color w:val="auto"/>
                <w:kern w:val="1"/>
              </w:rPr>
              <w:t>2.</w:t>
            </w:r>
            <w:r>
              <w:rPr>
                <w:rFonts w:hint="eastAsia" w:ascii="宋体" w:hAnsi="宋体" w:cs="宋体"/>
                <w:color w:val="auto"/>
                <w:kern w:val="1"/>
              </w:rPr>
              <w:t>材质：主框架结构采用优质方管焊接，外装饰板采用碳钢板焊接。</w:t>
            </w:r>
            <w:r>
              <w:rPr>
                <w:rFonts w:ascii="宋体" w:hAnsi="宋体" w:cs="宋体"/>
                <w:color w:val="auto"/>
                <w:kern w:val="1"/>
              </w:rPr>
              <w:t>3.</w:t>
            </w:r>
            <w:r>
              <w:rPr>
                <w:rFonts w:hint="eastAsia" w:ascii="宋体" w:hAnsi="宋体" w:cs="宋体"/>
                <w:color w:val="auto"/>
                <w:kern w:val="1"/>
              </w:rPr>
              <w:t>卷帘门：材质为轻合金卷帘门，质量轻，防腐性能好。卷帘门的特殊结构确保了外部雨水很难渗入，密封性能良好。</w:t>
            </w:r>
            <w:r>
              <w:rPr>
                <w:rFonts w:ascii="宋体" w:hAnsi="宋体" w:cs="宋体"/>
                <w:color w:val="auto"/>
                <w:kern w:val="1"/>
              </w:rPr>
              <w:t>4.</w:t>
            </w:r>
            <w:r>
              <w:rPr>
                <w:rFonts w:hint="eastAsia" w:ascii="宋体" w:hAnsi="宋体" w:cs="宋体"/>
                <w:color w:val="auto"/>
                <w:kern w:val="1"/>
              </w:rPr>
              <w:t>顶部：采用具有防滑作用的花纹板，确保人员安全。</w:t>
            </w:r>
            <w:r>
              <w:rPr>
                <w:rFonts w:ascii="宋体" w:hAnsi="宋体" w:cs="宋体"/>
                <w:color w:val="auto"/>
                <w:kern w:val="1"/>
              </w:rPr>
              <w:t>5.</w:t>
            </w:r>
            <w:r>
              <w:rPr>
                <w:rFonts w:hint="eastAsia" w:ascii="宋体" w:hAnsi="宋体" w:cs="宋体"/>
                <w:color w:val="auto"/>
                <w:kern w:val="1"/>
              </w:rPr>
              <w:t>尾部：配备可供消防人员上下的爬梯。</w:t>
            </w:r>
            <w:r>
              <w:rPr>
                <w:rFonts w:ascii="宋体" w:cs="宋体"/>
                <w:color w:val="auto"/>
                <w:kern w:val="1"/>
              </w:rPr>
              <w:br w:type="textWrapping"/>
            </w:r>
            <w:r>
              <w:rPr>
                <w:rFonts w:hint="eastAsia" w:ascii="宋体" w:hAnsi="宋体" w:cs="宋体"/>
                <w:color w:val="auto"/>
                <w:kern w:val="1"/>
              </w:rPr>
              <w:t>五、消防泵及管路系统：</w:t>
            </w:r>
            <w:r>
              <w:rPr>
                <w:rFonts w:ascii="宋体" w:hAnsi="宋体" w:cs="宋体"/>
                <w:color w:val="auto"/>
                <w:kern w:val="1"/>
              </w:rPr>
              <w:t>1</w:t>
            </w:r>
            <w:r>
              <w:rPr>
                <w:rFonts w:hint="eastAsia" w:ascii="宋体" w:hAnsi="宋体" w:cs="宋体"/>
                <w:color w:val="auto"/>
                <w:kern w:val="1"/>
              </w:rPr>
              <w:t>．型号：采用国产低压车用泵，额定流量：出口压力</w:t>
            </w:r>
            <w:r>
              <w:rPr>
                <w:rFonts w:ascii="宋体" w:hAnsi="宋体" w:cs="宋体"/>
                <w:color w:val="auto"/>
                <w:kern w:val="1"/>
              </w:rPr>
              <w:t>1MP</w:t>
            </w:r>
            <w:r>
              <w:rPr>
                <w:rFonts w:hint="eastAsia" w:ascii="宋体" w:hAnsi="宋体" w:cs="宋体"/>
                <w:color w:val="auto"/>
                <w:kern w:val="1"/>
              </w:rPr>
              <w:t>时，额定流量≥</w:t>
            </w:r>
            <w:r>
              <w:rPr>
                <w:rFonts w:ascii="宋体" w:hAnsi="宋体" w:cs="宋体"/>
                <w:color w:val="auto"/>
                <w:kern w:val="1"/>
              </w:rPr>
              <w:t>18L/S</w:t>
            </w:r>
            <w:r>
              <w:rPr>
                <w:rFonts w:hint="eastAsia" w:ascii="宋体" w:hAnsi="宋体" w:cs="宋体"/>
                <w:color w:val="auto"/>
                <w:kern w:val="1"/>
              </w:rPr>
              <w:t>，最大吸深≥</w:t>
            </w:r>
            <w:r>
              <w:rPr>
                <w:rFonts w:ascii="宋体" w:hAnsi="宋体" w:cs="宋体"/>
                <w:color w:val="auto"/>
                <w:kern w:val="1"/>
              </w:rPr>
              <w:t>7m</w:t>
            </w:r>
            <w:r>
              <w:rPr>
                <w:rFonts w:hint="eastAsia" w:ascii="宋体" w:hAnsi="宋体" w:cs="宋体"/>
                <w:color w:val="auto"/>
                <w:kern w:val="1"/>
              </w:rPr>
              <w:t>，最大吸水深度：≤</w:t>
            </w:r>
            <w:r>
              <w:rPr>
                <w:rFonts w:ascii="宋体" w:hAnsi="宋体" w:cs="宋体"/>
                <w:color w:val="auto"/>
                <w:kern w:val="1"/>
              </w:rPr>
              <w:t>35s</w:t>
            </w:r>
            <w:r>
              <w:rPr>
                <w:rFonts w:hint="eastAsia" w:ascii="宋体" w:hAnsi="宋体" w:cs="宋体"/>
                <w:color w:val="auto"/>
                <w:kern w:val="1"/>
              </w:rPr>
              <w:t>；管理材质：优质无缝钢管，吸水管路泵房后侧设不少于</w:t>
            </w:r>
            <w:r>
              <w:rPr>
                <w:rFonts w:ascii="宋体" w:hAnsi="宋体" w:cs="宋体"/>
                <w:color w:val="auto"/>
                <w:kern w:val="1"/>
              </w:rPr>
              <w:t>1</w:t>
            </w:r>
            <w:r>
              <w:rPr>
                <w:rFonts w:hint="eastAsia" w:ascii="宋体" w:hAnsi="宋体" w:cs="宋体"/>
                <w:color w:val="auto"/>
                <w:kern w:val="1"/>
              </w:rPr>
              <w:t>个</w:t>
            </w:r>
            <w:r>
              <w:rPr>
                <w:rFonts w:ascii="宋体" w:hAnsi="宋体" w:cs="宋体"/>
                <w:color w:val="auto"/>
                <w:kern w:val="1"/>
              </w:rPr>
              <w:t>100</w:t>
            </w:r>
            <w:r>
              <w:rPr>
                <w:rFonts w:hint="eastAsia" w:ascii="宋体" w:hAnsi="宋体" w:cs="宋体"/>
                <w:color w:val="auto"/>
                <w:kern w:val="1"/>
              </w:rPr>
              <w:t>的吸水口，水罐左右两侧各设不少于一个</w:t>
            </w:r>
            <w:r>
              <w:rPr>
                <w:rFonts w:ascii="宋体" w:hAnsi="宋体" w:cs="宋体"/>
                <w:color w:val="auto"/>
                <w:kern w:val="1"/>
              </w:rPr>
              <w:t>DN65</w:t>
            </w:r>
            <w:r>
              <w:rPr>
                <w:rFonts w:hint="eastAsia" w:ascii="宋体" w:hAnsi="宋体" w:cs="宋体"/>
                <w:color w:val="auto"/>
                <w:kern w:val="1"/>
              </w:rPr>
              <w:t>注水口，泵房内设置不少</w:t>
            </w:r>
            <w:r>
              <w:rPr>
                <w:rFonts w:ascii="宋体" w:hAnsi="宋体" w:cs="宋体"/>
                <w:color w:val="auto"/>
                <w:kern w:val="1"/>
              </w:rPr>
              <w:t>1</w:t>
            </w:r>
            <w:r>
              <w:rPr>
                <w:rFonts w:hint="eastAsia" w:ascii="宋体" w:hAnsi="宋体" w:cs="宋体"/>
                <w:color w:val="auto"/>
                <w:kern w:val="1"/>
              </w:rPr>
              <w:t>个</w:t>
            </w:r>
            <w:r>
              <w:rPr>
                <w:rFonts w:ascii="宋体" w:hAnsi="宋体" w:cs="宋体"/>
                <w:color w:val="auto"/>
                <w:kern w:val="1"/>
              </w:rPr>
              <w:t>DN65</w:t>
            </w:r>
            <w:r>
              <w:rPr>
                <w:rFonts w:hint="eastAsia" w:ascii="宋体" w:hAnsi="宋体" w:cs="宋体"/>
                <w:color w:val="auto"/>
                <w:kern w:val="1"/>
              </w:rPr>
              <w:t>水泵向罐内注水管路，泵房左右两侧各设不少于</w:t>
            </w:r>
            <w:r>
              <w:rPr>
                <w:rFonts w:ascii="宋体" w:hAnsi="宋体" w:cs="宋体"/>
                <w:color w:val="auto"/>
                <w:kern w:val="1"/>
              </w:rPr>
              <w:t>1</w:t>
            </w:r>
            <w:r>
              <w:rPr>
                <w:rFonts w:hint="eastAsia" w:ascii="宋体" w:hAnsi="宋体" w:cs="宋体"/>
                <w:color w:val="auto"/>
                <w:kern w:val="1"/>
              </w:rPr>
              <w:t>个</w:t>
            </w:r>
            <w:r>
              <w:rPr>
                <w:rFonts w:ascii="宋体" w:hAnsi="宋体" w:cs="宋体"/>
                <w:color w:val="auto"/>
                <w:kern w:val="1"/>
              </w:rPr>
              <w:t>DN65</w:t>
            </w:r>
            <w:r>
              <w:rPr>
                <w:rFonts w:hint="eastAsia" w:ascii="宋体" w:hAnsi="宋体" w:cs="宋体"/>
                <w:color w:val="auto"/>
                <w:kern w:val="1"/>
              </w:rPr>
              <w:t>出水口，带截止阀和扪盖。</w:t>
            </w:r>
            <w:r>
              <w:rPr>
                <w:rFonts w:ascii="宋体" w:cs="宋体"/>
                <w:color w:val="auto"/>
                <w:kern w:val="1"/>
              </w:rPr>
              <w:br w:type="textWrapping"/>
            </w:r>
            <w:r>
              <w:rPr>
                <w:rFonts w:hint="eastAsia" w:ascii="宋体" w:hAnsi="宋体" w:cs="宋体"/>
                <w:color w:val="auto"/>
                <w:kern w:val="1"/>
              </w:rPr>
              <w:t>六、水炮</w:t>
            </w:r>
            <w:r>
              <w:rPr>
                <w:rFonts w:ascii="宋体" w:cs="宋体"/>
                <w:color w:val="auto"/>
                <w:kern w:val="1"/>
              </w:rPr>
              <w:br w:type="textWrapping"/>
            </w:r>
            <w:r>
              <w:rPr>
                <w:rFonts w:ascii="宋体" w:hAnsi="宋体" w:cs="宋体"/>
                <w:color w:val="auto"/>
                <w:kern w:val="1"/>
              </w:rPr>
              <w:t>1.</w:t>
            </w:r>
            <w:r>
              <w:rPr>
                <w:rFonts w:hint="eastAsia" w:ascii="宋体" w:hAnsi="宋体" w:cs="宋体"/>
                <w:color w:val="auto"/>
                <w:kern w:val="1"/>
              </w:rPr>
              <w:t>类型：可调式水炮；</w:t>
            </w:r>
            <w:r>
              <w:rPr>
                <w:rFonts w:ascii="宋体" w:hAnsi="宋体" w:cs="宋体"/>
                <w:color w:val="auto"/>
                <w:kern w:val="1"/>
              </w:rPr>
              <w:t>2.</w:t>
            </w:r>
            <w:r>
              <w:rPr>
                <w:rFonts w:hint="eastAsia" w:ascii="宋体" w:hAnsi="宋体" w:cs="宋体"/>
                <w:color w:val="auto"/>
                <w:kern w:val="1"/>
              </w:rPr>
              <w:t>安装位置：水罐顶部；</w:t>
            </w:r>
            <w:r>
              <w:rPr>
                <w:rFonts w:ascii="宋体" w:hAnsi="宋体" w:cs="宋体"/>
                <w:color w:val="auto"/>
                <w:kern w:val="1"/>
              </w:rPr>
              <w:t>3.</w:t>
            </w:r>
            <w:r>
              <w:rPr>
                <w:rFonts w:hint="eastAsia" w:ascii="宋体" w:hAnsi="宋体" w:cs="宋体"/>
                <w:color w:val="auto"/>
                <w:kern w:val="1"/>
              </w:rPr>
              <w:t>水炮水平回转角：</w:t>
            </w:r>
            <w:r>
              <w:rPr>
                <w:rFonts w:ascii="宋体" w:hAnsi="宋体" w:cs="宋体"/>
                <w:color w:val="auto"/>
                <w:kern w:val="1"/>
              </w:rPr>
              <w:t>360</w:t>
            </w:r>
            <w:r>
              <w:rPr>
                <w:rFonts w:hint="eastAsia" w:ascii="宋体" w:hAnsi="宋体" w:cs="宋体"/>
                <w:color w:val="auto"/>
                <w:kern w:val="1"/>
              </w:rPr>
              <w:t>°水平回转；</w:t>
            </w:r>
            <w:r>
              <w:rPr>
                <w:rFonts w:ascii="宋体" w:hAnsi="宋体" w:cs="宋体"/>
                <w:color w:val="auto"/>
                <w:kern w:val="1"/>
              </w:rPr>
              <w:t>4.</w:t>
            </w:r>
            <w:r>
              <w:rPr>
                <w:rFonts w:hint="eastAsia" w:ascii="宋体" w:hAnsi="宋体" w:cs="宋体"/>
                <w:color w:val="auto"/>
                <w:kern w:val="1"/>
              </w:rPr>
              <w:t>水炮最大俯仰角：≤</w:t>
            </w:r>
            <w:r>
              <w:rPr>
                <w:rFonts w:ascii="宋体" w:cs="宋体"/>
                <w:color w:val="auto"/>
                <w:kern w:val="1"/>
              </w:rPr>
              <w:t>-</w:t>
            </w:r>
            <w:r>
              <w:rPr>
                <w:rFonts w:ascii="宋体" w:hAnsi="宋体" w:cs="宋体"/>
                <w:color w:val="auto"/>
                <w:kern w:val="1"/>
              </w:rPr>
              <w:t>15</w:t>
            </w:r>
            <w:r>
              <w:rPr>
                <w:rFonts w:hint="eastAsia" w:ascii="宋体" w:hAnsi="宋体" w:cs="宋体"/>
                <w:color w:val="auto"/>
                <w:kern w:val="1"/>
              </w:rPr>
              <w:t>°，≥</w:t>
            </w:r>
            <w:r>
              <w:rPr>
                <w:rFonts w:ascii="宋体" w:hAnsi="宋体" w:cs="宋体"/>
                <w:color w:val="auto"/>
                <w:kern w:val="1"/>
              </w:rPr>
              <w:t>+45</w:t>
            </w:r>
            <w:r>
              <w:rPr>
                <w:rFonts w:hint="eastAsia" w:ascii="宋体" w:hAnsi="宋体" w:cs="宋体"/>
                <w:color w:val="auto"/>
                <w:kern w:val="1"/>
              </w:rPr>
              <w:t>°</w:t>
            </w:r>
            <w:r>
              <w:rPr>
                <w:rFonts w:ascii="宋体" w:hAnsi="宋体" w:cs="宋体"/>
                <w:color w:val="auto"/>
                <w:kern w:val="1"/>
              </w:rPr>
              <w:t>5.</w:t>
            </w:r>
            <w:r>
              <w:rPr>
                <w:rFonts w:hint="eastAsia" w:ascii="宋体" w:hAnsi="宋体" w:cs="宋体"/>
                <w:color w:val="auto"/>
                <w:kern w:val="1"/>
              </w:rPr>
              <w:t>射程：水射程≥</w:t>
            </w:r>
            <w:r>
              <w:rPr>
                <w:rFonts w:ascii="宋体" w:hAnsi="宋体" w:cs="宋体"/>
                <w:color w:val="auto"/>
                <w:kern w:val="1"/>
              </w:rPr>
              <w:t>40m</w:t>
            </w:r>
            <w:r>
              <w:rPr>
                <w:rFonts w:ascii="宋体" w:hAnsi="宋体" w:cs="宋体"/>
                <w:color w:val="auto"/>
                <w:kern w:val="1"/>
              </w:rPr>
              <w:br w:type="textWrapping"/>
            </w:r>
            <w:r>
              <w:rPr>
                <w:rFonts w:hint="eastAsia" w:ascii="宋体" w:hAnsi="宋体" w:cs="宋体"/>
                <w:color w:val="auto"/>
                <w:kern w:val="1"/>
              </w:rPr>
              <w:t>七、整车涂装：消防车的外表喷涂大红色；消防泵管路喷涂大红色；整车消防性能符合</w:t>
            </w:r>
            <w:r>
              <w:rPr>
                <w:rFonts w:ascii="宋体" w:hAnsi="宋体" w:cs="宋体"/>
                <w:color w:val="auto"/>
                <w:kern w:val="1"/>
              </w:rPr>
              <w:t>GB7956-2014</w:t>
            </w:r>
            <w:r>
              <w:rPr>
                <w:rFonts w:hint="eastAsia" w:ascii="宋体" w:hAnsi="宋体" w:cs="宋体"/>
                <w:color w:val="auto"/>
                <w:kern w:val="1"/>
              </w:rPr>
              <w:t>标准要求；发动机排放符合</w:t>
            </w:r>
            <w:r>
              <w:rPr>
                <w:rFonts w:ascii="宋体" w:hAnsi="宋体" w:cs="宋体"/>
                <w:color w:val="auto"/>
                <w:kern w:val="1"/>
              </w:rPr>
              <w:t>GB17691-2005</w:t>
            </w:r>
            <w:r>
              <w:rPr>
                <w:rFonts w:hint="eastAsia" w:ascii="宋体" w:hAnsi="宋体" w:cs="宋体"/>
                <w:color w:val="auto"/>
                <w:kern w:val="1"/>
              </w:rPr>
              <w:t>第五阶段限值的规定要求（国Ⅴ标准）；带空调具备上军牌、警牌或者地方牌照条件。</w:t>
            </w:r>
            <w:r>
              <w:rPr>
                <w:rFonts w:ascii="宋体" w:cs="宋体"/>
                <w:color w:val="auto"/>
                <w:kern w:val="1"/>
              </w:rPr>
              <w:br w:type="textWrapping"/>
            </w:r>
            <w:r>
              <w:rPr>
                <w:rFonts w:hint="eastAsia" w:ascii="宋体" w:hAnsi="宋体" w:cs="宋体"/>
                <w:color w:val="auto"/>
                <w:kern w:val="1"/>
              </w:rPr>
              <w:t>八、底盘全免费维护保养</w:t>
            </w:r>
            <w:r>
              <w:rPr>
                <w:rFonts w:ascii="宋体" w:hAnsi="宋体" w:cs="宋体"/>
                <w:color w:val="auto"/>
                <w:kern w:val="1"/>
              </w:rPr>
              <w:t>2</w:t>
            </w:r>
            <w:r>
              <w:rPr>
                <w:rFonts w:hint="eastAsia" w:ascii="宋体" w:hAnsi="宋体" w:cs="宋体"/>
                <w:color w:val="auto"/>
                <w:kern w:val="1"/>
              </w:rPr>
              <w:t>年，终身免费维修（不包材料），不包括车辆配件费用。</w:t>
            </w:r>
          </w:p>
          <w:p>
            <w:pPr>
              <w:spacing w:line="360" w:lineRule="auto"/>
              <w:rPr>
                <w:rFonts w:ascii="宋体" w:cs="宋体"/>
                <w:color w:val="auto"/>
                <w:kern w:val="1"/>
              </w:rPr>
            </w:pPr>
            <w:r>
              <w:rPr>
                <w:rFonts w:hint="eastAsia" w:ascii="宋体" w:hAnsi="宋体" w:cs="宋体"/>
                <w:color w:val="auto"/>
                <w:kern w:val="1"/>
              </w:rPr>
              <w:t>九、</w:t>
            </w:r>
            <w:r>
              <w:rPr>
                <w:rFonts w:ascii="宋体" w:hAnsi="宋体" w:cs="宋体"/>
                <w:color w:val="auto"/>
                <w:kern w:val="1"/>
              </w:rPr>
              <w:t>1</w:t>
            </w:r>
            <w:r>
              <w:rPr>
                <w:rFonts w:hint="eastAsia" w:ascii="宋体" w:hAnsi="宋体" w:cs="宋体"/>
                <w:color w:val="auto"/>
                <w:kern w:val="1"/>
              </w:rPr>
              <w:t>、底盘操作手册；</w:t>
            </w:r>
            <w:r>
              <w:rPr>
                <w:rFonts w:ascii="宋体" w:hAnsi="宋体" w:cs="宋体"/>
                <w:color w:val="auto"/>
                <w:kern w:val="1"/>
              </w:rPr>
              <w:t>2</w:t>
            </w:r>
            <w:r>
              <w:rPr>
                <w:rFonts w:hint="eastAsia" w:ascii="宋体" w:hAnsi="宋体" w:cs="宋体"/>
                <w:color w:val="auto"/>
                <w:kern w:val="1"/>
              </w:rPr>
              <w:t>、消防车电气原理图；</w:t>
            </w:r>
            <w:r>
              <w:rPr>
                <w:rFonts w:ascii="宋体" w:hAnsi="宋体" w:cs="宋体"/>
                <w:color w:val="auto"/>
                <w:kern w:val="1"/>
              </w:rPr>
              <w:t>3</w:t>
            </w:r>
            <w:r>
              <w:rPr>
                <w:rFonts w:hint="eastAsia" w:ascii="宋体" w:hAnsi="宋体" w:cs="宋体"/>
                <w:color w:val="auto"/>
                <w:kern w:val="1"/>
              </w:rPr>
              <w:t>、消防车使用说明书；</w:t>
            </w:r>
          </w:p>
          <w:p>
            <w:pPr>
              <w:spacing w:line="360" w:lineRule="auto"/>
              <w:jc w:val="both"/>
              <w:rPr>
                <w:rFonts w:ascii="宋体" w:cs="宋体"/>
                <w:color w:val="auto"/>
                <w:kern w:val="1"/>
              </w:rPr>
            </w:pPr>
            <w:r>
              <w:rPr>
                <w:rFonts w:ascii="宋体" w:hAnsi="宋体" w:cs="宋体"/>
                <w:color w:val="auto"/>
                <w:kern w:val="1"/>
              </w:rPr>
              <w:t>4</w:t>
            </w:r>
            <w:r>
              <w:rPr>
                <w:rFonts w:hint="eastAsia" w:ascii="宋体" w:hAnsi="宋体" w:cs="宋体"/>
                <w:color w:val="auto"/>
                <w:kern w:val="1"/>
              </w:rPr>
              <w:t>、底盘车架及发动机拓印号；</w:t>
            </w:r>
            <w:r>
              <w:rPr>
                <w:rFonts w:ascii="宋体" w:hAnsi="宋体" w:cs="宋体"/>
                <w:color w:val="auto"/>
                <w:kern w:val="1"/>
              </w:rPr>
              <w:t>5</w:t>
            </w:r>
            <w:r>
              <w:rPr>
                <w:rFonts w:hint="eastAsia" w:ascii="宋体" w:hAnsi="宋体" w:cs="宋体"/>
                <w:color w:val="auto"/>
                <w:kern w:val="1"/>
              </w:rPr>
              <w:t>、消防车合格证和</w:t>
            </w:r>
            <w:r>
              <w:rPr>
                <w:rFonts w:ascii="宋体" w:hAnsi="宋体" w:cs="宋体"/>
                <w:color w:val="auto"/>
                <w:kern w:val="1"/>
              </w:rPr>
              <w:t>3C</w:t>
            </w:r>
            <w:r>
              <w:rPr>
                <w:rFonts w:hint="eastAsia" w:ascii="宋体" w:hAnsi="宋体" w:cs="宋体"/>
                <w:color w:val="auto"/>
                <w:kern w:val="1"/>
              </w:rPr>
              <w:t>。</w:t>
            </w:r>
            <w:r>
              <w:rPr>
                <w:rFonts w:ascii="宋体" w:hAnsi="宋体" w:cs="宋体"/>
                <w:color w:val="auto"/>
                <w:kern w:val="1"/>
              </w:rPr>
              <w:t>6</w:t>
            </w:r>
            <w:r>
              <w:rPr>
                <w:rFonts w:hint="eastAsia" w:ascii="宋体" w:hAnsi="宋体" w:cs="宋体"/>
                <w:color w:val="auto"/>
                <w:kern w:val="1"/>
              </w:rPr>
              <w:t>、底盘合格证相关手续。</w:t>
            </w:r>
            <w:r>
              <w:rPr>
                <w:rFonts w:ascii="宋体" w:hAnsi="宋体" w:cs="宋体"/>
                <w:color w:val="auto"/>
                <w:kern w:val="1"/>
              </w:rPr>
              <w:t>7</w:t>
            </w:r>
            <w:r>
              <w:rPr>
                <w:rFonts w:hint="eastAsia" w:ascii="宋体" w:hAnsi="宋体" w:cs="宋体"/>
                <w:color w:val="auto"/>
                <w:kern w:val="1"/>
              </w:rPr>
              <w:t>、随车主要装备的使用说明书和售后手续。</w:t>
            </w:r>
            <w:r>
              <w:rPr>
                <w:rFonts w:ascii="宋体" w:hAnsi="宋体" w:cs="宋体"/>
                <w:color w:val="auto"/>
                <w:kern w:val="1"/>
              </w:rPr>
              <w:t>8</w:t>
            </w:r>
            <w:r>
              <w:rPr>
                <w:rFonts w:hint="eastAsia" w:ascii="宋体" w:hAnsi="宋体" w:cs="宋体"/>
                <w:color w:val="auto"/>
                <w:kern w:val="1"/>
              </w:rPr>
              <w:t>、整车检测报告</w:t>
            </w:r>
          </w:p>
          <w:p>
            <w:pPr>
              <w:spacing w:line="360" w:lineRule="auto"/>
              <w:jc w:val="both"/>
              <w:rPr>
                <w:rFonts w:ascii="宋体" w:cs="宋体"/>
                <w:color w:val="auto"/>
              </w:rPr>
            </w:pPr>
            <w:r>
              <w:rPr>
                <w:rFonts w:hint="eastAsia" w:ascii="宋体" w:hAnsi="宋体" w:cs="宋体"/>
                <w:color w:val="auto"/>
                <w:kern w:val="1"/>
              </w:rPr>
              <w:t>十、配置基本的随车器材：三亚支队海棠区消防大队消防车上装备配置表</w:t>
            </w:r>
          </w:p>
        </w:tc>
      </w:tr>
      <w:tr>
        <w:tblPrEx>
          <w:tblLayout w:type="fixed"/>
          <w:tblCellMar>
            <w:top w:w="0" w:type="dxa"/>
            <w:left w:w="10" w:type="dxa"/>
            <w:bottom w:w="0" w:type="dxa"/>
            <w:right w:w="10" w:type="dxa"/>
          </w:tblCellMar>
        </w:tblPrEx>
        <w:trPr>
          <w:trHeight w:val="1539" w:hRule="atLeast"/>
        </w:trPr>
        <w:tc>
          <w:tcPr>
            <w:tcW w:w="38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360" w:lineRule="auto"/>
              <w:jc w:val="center"/>
              <w:rPr>
                <w:rFonts w:ascii="宋体" w:cs="宋体"/>
                <w:color w:val="auto"/>
              </w:rPr>
            </w:pPr>
            <w:r>
              <w:rPr>
                <w:rFonts w:ascii="宋体" w:hAnsi="宋体" w:cs="宋体"/>
                <w:color w:val="auto"/>
                <w:kern w:val="1"/>
              </w:rPr>
              <w:t>2</w:t>
            </w:r>
          </w:p>
        </w:tc>
        <w:tc>
          <w:tcPr>
            <w:tcW w:w="306"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360" w:lineRule="auto"/>
              <w:jc w:val="center"/>
              <w:rPr>
                <w:rFonts w:ascii="宋体" w:cs="宋体"/>
                <w:color w:val="auto"/>
              </w:rPr>
            </w:pPr>
            <w:r>
              <w:rPr>
                <w:rFonts w:hint="eastAsia" w:ascii="宋体" w:hAnsi="宋体" w:cs="宋体"/>
                <w:color w:val="auto"/>
                <w:kern w:val="1"/>
              </w:rPr>
              <w:t>灭火</w:t>
            </w:r>
            <w:r>
              <w:rPr>
                <w:rFonts w:ascii="宋体" w:cs="宋体"/>
                <w:color w:val="auto"/>
                <w:kern w:val="1"/>
              </w:rPr>
              <w:br w:type="textWrapping"/>
            </w:r>
            <w:r>
              <w:rPr>
                <w:rFonts w:hint="eastAsia" w:ascii="宋体" w:hAnsi="宋体" w:cs="宋体"/>
                <w:color w:val="auto"/>
                <w:kern w:val="1"/>
              </w:rPr>
              <w:t>器材</w:t>
            </w:r>
          </w:p>
        </w:tc>
        <w:tc>
          <w:tcPr>
            <w:tcW w:w="52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360" w:lineRule="auto"/>
              <w:jc w:val="center"/>
              <w:rPr>
                <w:rFonts w:ascii="宋体" w:cs="宋体"/>
                <w:color w:val="auto"/>
              </w:rPr>
            </w:pPr>
            <w:r>
              <w:rPr>
                <w:rFonts w:hint="eastAsia" w:ascii="宋体" w:hAnsi="宋体" w:cs="宋体"/>
                <w:color w:val="auto"/>
                <w:kern w:val="1"/>
              </w:rPr>
              <w:t>多功能水枪</w:t>
            </w:r>
          </w:p>
        </w:tc>
        <w:tc>
          <w:tcPr>
            <w:tcW w:w="7263"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360" w:lineRule="auto"/>
              <w:rPr>
                <w:rFonts w:ascii="宋体" w:cs="宋体"/>
                <w:color w:val="auto"/>
              </w:rPr>
            </w:pPr>
            <w:r>
              <w:rPr>
                <w:rFonts w:hint="eastAsia" w:ascii="宋体" w:hAnsi="宋体" w:cs="宋体"/>
                <w:color w:val="auto"/>
                <w:kern w:val="1"/>
              </w:rPr>
              <w:t>符合</w:t>
            </w:r>
            <w:r>
              <w:rPr>
                <w:rFonts w:ascii="宋体" w:hAnsi="宋体" w:cs="宋体"/>
                <w:color w:val="auto"/>
                <w:kern w:val="1"/>
              </w:rPr>
              <w:t>GB8181-2005</w:t>
            </w:r>
            <w:r>
              <w:rPr>
                <w:rFonts w:hint="eastAsia" w:ascii="宋体" w:hAnsi="宋体" w:cs="宋体"/>
                <w:color w:val="auto"/>
                <w:kern w:val="1"/>
              </w:rPr>
              <w:t>《消防水枪》标准中多功能水枪相关性能要求，工作压力：</w:t>
            </w:r>
            <w:r>
              <w:rPr>
                <w:rFonts w:ascii="宋体" w:hAnsi="宋体" w:cs="宋体"/>
                <w:color w:val="auto"/>
                <w:kern w:val="1"/>
              </w:rPr>
              <w:t>0.2MPa-0.7MPa</w:t>
            </w:r>
            <w:r>
              <w:rPr>
                <w:rFonts w:hint="eastAsia" w:ascii="宋体" w:hAnsi="宋体" w:cs="宋体"/>
                <w:color w:val="auto"/>
                <w:kern w:val="1"/>
              </w:rPr>
              <w:t>，工作流量：</w:t>
            </w:r>
            <w:r>
              <w:rPr>
                <w:rFonts w:ascii="宋体" w:hAnsi="宋体" w:cs="宋体"/>
                <w:color w:val="auto"/>
                <w:kern w:val="1"/>
              </w:rPr>
              <w:t>2.5-8L/S</w:t>
            </w:r>
            <w:r>
              <w:rPr>
                <w:rFonts w:hint="eastAsia" w:ascii="宋体" w:hAnsi="宋体" w:cs="宋体"/>
                <w:color w:val="auto"/>
                <w:kern w:val="1"/>
              </w:rPr>
              <w:t>，可调流量泡沫一体多功能水枪，可快速转换泡沫、直流、喷雾三种射流，可调节水枪出水流量，如分</w:t>
            </w:r>
            <w:r>
              <w:rPr>
                <w:rFonts w:ascii="宋体" w:hAnsi="宋体" w:cs="宋体"/>
                <w:color w:val="auto"/>
                <w:kern w:val="1"/>
              </w:rPr>
              <w:t>2L/S</w:t>
            </w:r>
            <w:r>
              <w:rPr>
                <w:rFonts w:hint="eastAsia" w:ascii="宋体" w:hAnsi="宋体" w:cs="宋体"/>
                <w:color w:val="auto"/>
                <w:kern w:val="1"/>
              </w:rPr>
              <w:t>、</w:t>
            </w:r>
            <w:r>
              <w:rPr>
                <w:rFonts w:ascii="宋体" w:hAnsi="宋体" w:cs="宋体"/>
                <w:color w:val="auto"/>
                <w:kern w:val="1"/>
              </w:rPr>
              <w:t>4L/S</w:t>
            </w:r>
            <w:r>
              <w:rPr>
                <w:rFonts w:hint="eastAsia" w:ascii="宋体" w:hAnsi="宋体" w:cs="宋体"/>
                <w:color w:val="auto"/>
                <w:kern w:val="1"/>
              </w:rPr>
              <w:t>、</w:t>
            </w:r>
            <w:r>
              <w:rPr>
                <w:rFonts w:ascii="宋体" w:hAnsi="宋体" w:cs="宋体"/>
                <w:color w:val="auto"/>
                <w:kern w:val="1"/>
              </w:rPr>
              <w:t>6L/S</w:t>
            </w:r>
            <w:r>
              <w:rPr>
                <w:rFonts w:hint="eastAsia" w:ascii="宋体" w:hAnsi="宋体" w:cs="宋体"/>
                <w:color w:val="auto"/>
                <w:kern w:val="1"/>
              </w:rPr>
              <w:t>、</w:t>
            </w:r>
            <w:r>
              <w:rPr>
                <w:rFonts w:ascii="宋体" w:hAnsi="宋体" w:cs="宋体"/>
                <w:color w:val="auto"/>
                <w:kern w:val="1"/>
              </w:rPr>
              <w:t>8L/S</w:t>
            </w:r>
            <w:r>
              <w:rPr>
                <w:rFonts w:hint="eastAsia" w:ascii="宋体" w:hAnsi="宋体" w:cs="宋体"/>
                <w:color w:val="auto"/>
                <w:kern w:val="1"/>
              </w:rPr>
              <w:t>等档位，采用旋转卡式接口，不锈钢球阀，金属固定雾化齿，枪体表面经氧化处理。</w:t>
            </w:r>
          </w:p>
        </w:tc>
      </w:tr>
      <w:tr>
        <w:tblPrEx>
          <w:tblLayout w:type="fixed"/>
          <w:tblCellMar>
            <w:top w:w="0" w:type="dxa"/>
            <w:left w:w="10" w:type="dxa"/>
            <w:bottom w:w="0" w:type="dxa"/>
            <w:right w:w="10" w:type="dxa"/>
          </w:tblCellMar>
        </w:tblPrEx>
        <w:trPr>
          <w:trHeight w:val="1314" w:hRule="atLeast"/>
        </w:trPr>
        <w:tc>
          <w:tcPr>
            <w:tcW w:w="38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360" w:lineRule="auto"/>
              <w:jc w:val="center"/>
              <w:rPr>
                <w:rFonts w:ascii="宋体" w:cs="宋体"/>
                <w:color w:val="auto"/>
              </w:rPr>
            </w:pPr>
            <w:r>
              <w:rPr>
                <w:rFonts w:ascii="宋体" w:hAnsi="宋体" w:cs="宋体"/>
                <w:color w:val="auto"/>
                <w:kern w:val="1"/>
              </w:rPr>
              <w:t>3</w:t>
            </w:r>
          </w:p>
        </w:tc>
        <w:tc>
          <w:tcPr>
            <w:tcW w:w="306"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360" w:lineRule="auto"/>
              <w:rPr>
                <w:rFonts w:ascii="宋体" w:cs="宋体"/>
                <w:color w:val="auto"/>
              </w:rPr>
            </w:pPr>
          </w:p>
        </w:tc>
        <w:tc>
          <w:tcPr>
            <w:tcW w:w="52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360" w:lineRule="auto"/>
              <w:jc w:val="center"/>
              <w:rPr>
                <w:rFonts w:ascii="宋体" w:cs="宋体"/>
                <w:color w:val="auto"/>
              </w:rPr>
            </w:pPr>
            <w:r>
              <w:rPr>
                <w:rFonts w:ascii="宋体" w:hAnsi="宋体" w:cs="宋体"/>
                <w:color w:val="auto"/>
                <w:kern w:val="1"/>
              </w:rPr>
              <w:t>ABC</w:t>
            </w:r>
            <w:r>
              <w:rPr>
                <w:rFonts w:hint="eastAsia" w:ascii="宋体" w:hAnsi="宋体" w:cs="宋体"/>
                <w:color w:val="auto"/>
                <w:kern w:val="1"/>
              </w:rPr>
              <w:t>型干粉灭火器</w:t>
            </w:r>
            <w:r>
              <w:rPr>
                <w:rFonts w:ascii="宋体" w:cs="宋体"/>
                <w:color w:val="auto"/>
                <w:kern w:val="1"/>
              </w:rPr>
              <w:br w:type="textWrapping"/>
            </w:r>
            <w:r>
              <w:rPr>
                <w:rFonts w:hint="eastAsia" w:ascii="宋体" w:hAnsi="宋体" w:cs="宋体"/>
                <w:color w:val="auto"/>
                <w:kern w:val="1"/>
              </w:rPr>
              <w:t>（≥</w:t>
            </w:r>
            <w:r>
              <w:rPr>
                <w:rFonts w:ascii="宋体" w:hAnsi="宋体" w:cs="宋体"/>
                <w:color w:val="auto"/>
                <w:kern w:val="1"/>
              </w:rPr>
              <w:t>4</w:t>
            </w:r>
            <w:r>
              <w:rPr>
                <w:rFonts w:hint="eastAsia" w:ascii="宋体" w:hAnsi="宋体" w:cs="宋体"/>
                <w:color w:val="auto"/>
                <w:kern w:val="1"/>
              </w:rPr>
              <w:t>公斤）</w:t>
            </w:r>
          </w:p>
        </w:tc>
        <w:tc>
          <w:tcPr>
            <w:tcW w:w="7263"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360" w:lineRule="auto"/>
              <w:rPr>
                <w:rFonts w:ascii="宋体" w:cs="宋体"/>
                <w:color w:val="auto"/>
              </w:rPr>
            </w:pPr>
            <w:r>
              <w:rPr>
                <w:rFonts w:hint="eastAsia" w:ascii="宋体" w:hAnsi="宋体" w:cs="宋体"/>
                <w:color w:val="auto"/>
                <w:kern w:val="1"/>
              </w:rPr>
              <w:t>手提式干粉灭火器：灭火剂质量：</w:t>
            </w:r>
            <w:r>
              <w:rPr>
                <w:rFonts w:ascii="宋体" w:hAnsi="宋体" w:cs="宋体"/>
                <w:color w:val="auto"/>
                <w:kern w:val="1"/>
              </w:rPr>
              <w:t>4</w:t>
            </w:r>
            <w:r>
              <w:rPr>
                <w:rFonts w:hint="eastAsia" w:ascii="宋体" w:hAnsi="宋体" w:cs="宋体"/>
                <w:color w:val="auto"/>
                <w:kern w:val="1"/>
              </w:rPr>
              <w:t>±</w:t>
            </w:r>
            <w:r>
              <w:rPr>
                <w:rFonts w:ascii="宋体" w:hAnsi="宋体" w:cs="宋体"/>
                <w:color w:val="auto"/>
                <w:kern w:val="1"/>
              </w:rPr>
              <w:t>0.09kg</w:t>
            </w:r>
            <w:r>
              <w:rPr>
                <w:rFonts w:hint="eastAsia" w:ascii="宋体" w:hAnsi="宋体" w:cs="宋体"/>
                <w:color w:val="auto"/>
                <w:kern w:val="1"/>
              </w:rPr>
              <w:t>，</w:t>
            </w:r>
            <w:r>
              <w:rPr>
                <w:rFonts w:ascii="宋体" w:hAnsi="宋体" w:cs="宋体"/>
                <w:color w:val="auto"/>
                <w:kern w:val="1"/>
              </w:rPr>
              <w:t>20</w:t>
            </w:r>
            <w:r>
              <w:rPr>
                <w:rFonts w:hint="eastAsia" w:ascii="宋体" w:hAnsi="宋体" w:cs="宋体"/>
                <w:color w:val="auto"/>
                <w:kern w:val="1"/>
              </w:rPr>
              <w:t>°±</w:t>
            </w:r>
            <w:r>
              <w:rPr>
                <w:rFonts w:ascii="宋体" w:hAnsi="宋体" w:cs="宋体"/>
                <w:color w:val="auto"/>
                <w:kern w:val="1"/>
              </w:rPr>
              <w:t>5</w:t>
            </w:r>
            <w:r>
              <w:rPr>
                <w:rFonts w:hint="eastAsia" w:ascii="宋体" w:hAnsi="宋体" w:cs="宋体"/>
                <w:color w:val="auto"/>
                <w:kern w:val="1"/>
              </w:rPr>
              <w:t>°时有效喷射时间：≥</w:t>
            </w:r>
            <w:r>
              <w:rPr>
                <w:rFonts w:ascii="宋体" w:hAnsi="宋体" w:cs="宋体"/>
                <w:color w:val="auto"/>
                <w:kern w:val="1"/>
              </w:rPr>
              <w:t>12s</w:t>
            </w:r>
            <w:r>
              <w:rPr>
                <w:rFonts w:hint="eastAsia" w:ascii="宋体" w:hAnsi="宋体" w:cs="宋体"/>
                <w:color w:val="auto"/>
                <w:kern w:val="1"/>
              </w:rPr>
              <w:t>；</w:t>
            </w:r>
            <w:r>
              <w:rPr>
                <w:rFonts w:ascii="宋体" w:hAnsi="宋体" w:cs="宋体"/>
                <w:color w:val="auto"/>
                <w:kern w:val="1"/>
              </w:rPr>
              <w:t>20</w:t>
            </w:r>
            <w:r>
              <w:rPr>
                <w:rFonts w:hint="eastAsia" w:ascii="宋体" w:hAnsi="宋体" w:cs="宋体"/>
                <w:color w:val="auto"/>
                <w:kern w:val="1"/>
              </w:rPr>
              <w:t>°±</w:t>
            </w:r>
            <w:r>
              <w:rPr>
                <w:rFonts w:ascii="宋体" w:hAnsi="宋体" w:cs="宋体"/>
                <w:color w:val="auto"/>
                <w:kern w:val="1"/>
              </w:rPr>
              <w:t>5</w:t>
            </w:r>
            <w:r>
              <w:rPr>
                <w:rFonts w:hint="eastAsia" w:ascii="宋体" w:hAnsi="宋体" w:cs="宋体"/>
                <w:color w:val="auto"/>
                <w:kern w:val="1"/>
              </w:rPr>
              <w:t>°喷射滞后时间：≤</w:t>
            </w:r>
            <w:r>
              <w:rPr>
                <w:rFonts w:ascii="宋体" w:hAnsi="宋体" w:cs="宋体"/>
                <w:color w:val="auto"/>
                <w:kern w:val="1"/>
              </w:rPr>
              <w:t>5s</w:t>
            </w:r>
            <w:r>
              <w:rPr>
                <w:rFonts w:hint="eastAsia" w:ascii="宋体" w:hAnsi="宋体" w:cs="宋体"/>
                <w:color w:val="auto"/>
                <w:kern w:val="1"/>
              </w:rPr>
              <w:t>；</w:t>
            </w:r>
            <w:r>
              <w:rPr>
                <w:rFonts w:ascii="宋体" w:hAnsi="宋体" w:cs="宋体"/>
                <w:color w:val="auto"/>
                <w:kern w:val="1"/>
              </w:rPr>
              <w:t>20</w:t>
            </w:r>
            <w:r>
              <w:rPr>
                <w:rFonts w:hint="eastAsia" w:ascii="宋体" w:hAnsi="宋体" w:cs="宋体"/>
                <w:color w:val="auto"/>
                <w:kern w:val="1"/>
              </w:rPr>
              <w:t>°±</w:t>
            </w:r>
            <w:r>
              <w:rPr>
                <w:rFonts w:ascii="宋体" w:hAnsi="宋体" w:cs="宋体"/>
                <w:color w:val="auto"/>
                <w:kern w:val="1"/>
              </w:rPr>
              <w:t>5</w:t>
            </w:r>
            <w:r>
              <w:rPr>
                <w:rFonts w:hint="eastAsia" w:ascii="宋体" w:hAnsi="宋体" w:cs="宋体"/>
                <w:color w:val="auto"/>
                <w:kern w:val="1"/>
              </w:rPr>
              <w:t>°时喷射剩余率：≤</w:t>
            </w:r>
            <w:r>
              <w:rPr>
                <w:rFonts w:ascii="宋体" w:hAnsi="宋体" w:cs="宋体"/>
                <w:color w:val="auto"/>
                <w:kern w:val="1"/>
              </w:rPr>
              <w:t>3.5%</w:t>
            </w:r>
            <w:r>
              <w:rPr>
                <w:rFonts w:hint="eastAsia" w:ascii="宋体" w:hAnsi="宋体" w:cs="宋体"/>
                <w:color w:val="auto"/>
                <w:kern w:val="1"/>
              </w:rPr>
              <w:t>；喷射距离：≥</w:t>
            </w:r>
            <w:r>
              <w:rPr>
                <w:rFonts w:ascii="宋体" w:hAnsi="宋体" w:cs="宋体"/>
                <w:color w:val="auto"/>
                <w:kern w:val="1"/>
              </w:rPr>
              <w:t>3m</w:t>
            </w:r>
            <w:r>
              <w:rPr>
                <w:rFonts w:hint="eastAsia" w:ascii="宋体" w:hAnsi="宋体" w:cs="宋体"/>
                <w:color w:val="auto"/>
                <w:kern w:val="1"/>
              </w:rPr>
              <w:t>。</w:t>
            </w:r>
          </w:p>
        </w:tc>
      </w:tr>
      <w:tr>
        <w:tblPrEx>
          <w:tblLayout w:type="fixed"/>
          <w:tblCellMar>
            <w:top w:w="0" w:type="dxa"/>
            <w:left w:w="10" w:type="dxa"/>
            <w:bottom w:w="0" w:type="dxa"/>
            <w:right w:w="10" w:type="dxa"/>
          </w:tblCellMar>
        </w:tblPrEx>
        <w:trPr>
          <w:trHeight w:val="1588" w:hRule="atLeast"/>
        </w:trPr>
        <w:tc>
          <w:tcPr>
            <w:tcW w:w="38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360" w:lineRule="auto"/>
              <w:jc w:val="center"/>
              <w:rPr>
                <w:rFonts w:ascii="宋体" w:cs="宋体"/>
                <w:color w:val="auto"/>
              </w:rPr>
            </w:pPr>
            <w:r>
              <w:rPr>
                <w:rFonts w:ascii="宋体" w:hAnsi="宋体" w:cs="宋体"/>
                <w:color w:val="auto"/>
                <w:kern w:val="1"/>
              </w:rPr>
              <w:t>4</w:t>
            </w:r>
          </w:p>
        </w:tc>
        <w:tc>
          <w:tcPr>
            <w:tcW w:w="306"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360" w:lineRule="auto"/>
              <w:rPr>
                <w:rFonts w:ascii="宋体" w:cs="宋体"/>
                <w:color w:val="auto"/>
              </w:rPr>
            </w:pPr>
          </w:p>
        </w:tc>
        <w:tc>
          <w:tcPr>
            <w:tcW w:w="52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360" w:lineRule="auto"/>
              <w:jc w:val="center"/>
              <w:rPr>
                <w:rFonts w:ascii="宋体" w:cs="宋体"/>
                <w:color w:val="auto"/>
              </w:rPr>
            </w:pPr>
            <w:r>
              <w:rPr>
                <w:rFonts w:hint="eastAsia" w:ascii="宋体" w:hAnsi="宋体" w:cs="宋体"/>
                <w:color w:val="auto"/>
                <w:kern w:val="1"/>
              </w:rPr>
              <w:t>强光</w:t>
            </w:r>
            <w:r>
              <w:rPr>
                <w:rFonts w:ascii="宋体" w:cs="宋体"/>
                <w:color w:val="auto"/>
                <w:kern w:val="1"/>
              </w:rPr>
              <w:br w:type="textWrapping"/>
            </w:r>
            <w:r>
              <w:rPr>
                <w:rFonts w:hint="eastAsia" w:ascii="宋体" w:hAnsi="宋体" w:cs="宋体"/>
                <w:color w:val="auto"/>
                <w:kern w:val="1"/>
              </w:rPr>
              <w:t>照明灯</w:t>
            </w:r>
          </w:p>
        </w:tc>
        <w:tc>
          <w:tcPr>
            <w:tcW w:w="7263"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tcPr>
          <w:p>
            <w:pPr>
              <w:spacing w:line="360" w:lineRule="auto"/>
              <w:rPr>
                <w:rFonts w:ascii="宋体" w:cs="宋体"/>
                <w:color w:val="auto"/>
              </w:rPr>
            </w:pPr>
            <w:r>
              <w:rPr>
                <w:rFonts w:hint="eastAsia" w:ascii="宋体" w:hAnsi="宋体" w:cs="宋体"/>
                <w:color w:val="auto"/>
                <w:kern w:val="1"/>
              </w:rPr>
              <w:t>灯具产品符合</w:t>
            </w:r>
            <w:r>
              <w:rPr>
                <w:rFonts w:ascii="宋体" w:hAnsi="宋体" w:cs="宋体"/>
                <w:color w:val="auto"/>
                <w:kern w:val="1"/>
              </w:rPr>
              <w:t>GB 30734</w:t>
            </w:r>
            <w:r>
              <w:rPr>
                <w:rFonts w:hint="eastAsia" w:ascii="宋体" w:hAnsi="宋体" w:cs="宋体"/>
                <w:color w:val="auto"/>
                <w:kern w:val="1"/>
              </w:rPr>
              <w:t>―</w:t>
            </w:r>
            <w:r>
              <w:rPr>
                <w:rFonts w:ascii="宋体" w:hAnsi="宋体" w:cs="宋体"/>
                <w:color w:val="auto"/>
                <w:kern w:val="1"/>
              </w:rPr>
              <w:t>2014</w:t>
            </w:r>
            <w:r>
              <w:rPr>
                <w:rFonts w:hint="eastAsia" w:ascii="宋体" w:hAnsi="宋体" w:cs="宋体"/>
                <w:color w:val="auto"/>
                <w:kern w:val="1"/>
              </w:rPr>
              <w:t>《消防员照明灯具》国家标准的技术要求；额定电压：</w:t>
            </w:r>
            <w:r>
              <w:rPr>
                <w:rFonts w:ascii="宋体" w:hAnsi="宋体" w:cs="宋体"/>
                <w:color w:val="auto"/>
                <w:kern w:val="1"/>
              </w:rPr>
              <w:t>DC</w:t>
            </w:r>
            <w:r>
              <w:rPr>
                <w:rFonts w:hint="eastAsia" w:ascii="宋体" w:hAnsi="宋体" w:cs="宋体"/>
                <w:color w:val="auto"/>
                <w:kern w:val="1"/>
              </w:rPr>
              <w:t>≥</w:t>
            </w:r>
            <w:r>
              <w:rPr>
                <w:rFonts w:ascii="宋体" w:hAnsi="宋体" w:cs="宋体"/>
                <w:color w:val="auto"/>
                <w:kern w:val="1"/>
              </w:rPr>
              <w:t xml:space="preserve">11.1V </w:t>
            </w:r>
            <w:r>
              <w:rPr>
                <w:rFonts w:hint="eastAsia" w:ascii="宋体" w:hAnsi="宋体" w:cs="宋体"/>
                <w:color w:val="auto"/>
                <w:kern w:val="1"/>
              </w:rPr>
              <w:t>；电池容量：≥</w:t>
            </w:r>
            <w:r>
              <w:rPr>
                <w:rFonts w:ascii="宋体" w:hAnsi="宋体" w:cs="宋体"/>
                <w:color w:val="auto"/>
                <w:kern w:val="1"/>
              </w:rPr>
              <w:t>4400mAh</w:t>
            </w:r>
            <w:r>
              <w:rPr>
                <w:rFonts w:hint="eastAsia" w:ascii="宋体" w:hAnsi="宋体" w:cs="宋体"/>
                <w:color w:val="auto"/>
                <w:kern w:val="1"/>
              </w:rPr>
              <w:t>；额定功率（</w:t>
            </w:r>
            <w:r>
              <w:rPr>
                <w:rFonts w:ascii="宋体" w:hAnsi="宋体" w:cs="宋体"/>
                <w:color w:val="auto"/>
                <w:kern w:val="1"/>
              </w:rPr>
              <w:t>LED</w:t>
            </w:r>
            <w:r>
              <w:rPr>
                <w:rFonts w:hint="eastAsia" w:ascii="宋体" w:hAnsi="宋体" w:cs="宋体"/>
                <w:color w:val="auto"/>
                <w:kern w:val="1"/>
              </w:rPr>
              <w:t>）：</w:t>
            </w:r>
            <w:r>
              <w:rPr>
                <w:rFonts w:ascii="宋体" w:hAnsi="宋体" w:cs="宋体"/>
                <w:color w:val="auto"/>
                <w:kern w:val="1"/>
              </w:rPr>
              <w:t xml:space="preserve">3*3W </w:t>
            </w:r>
            <w:r>
              <w:rPr>
                <w:rFonts w:hint="eastAsia" w:ascii="宋体" w:hAnsi="宋体" w:cs="宋体"/>
                <w:color w:val="auto"/>
                <w:kern w:val="1"/>
              </w:rPr>
              <w:t>；光效：</w:t>
            </w:r>
            <w:r>
              <w:rPr>
                <w:rFonts w:ascii="宋体" w:hAnsi="宋体" w:cs="宋体"/>
                <w:color w:val="auto"/>
                <w:kern w:val="1"/>
              </w:rPr>
              <w:t>120lm/W</w:t>
            </w:r>
            <w:r>
              <w:rPr>
                <w:rFonts w:hint="eastAsia" w:ascii="宋体" w:hAnsi="宋体" w:cs="宋体"/>
                <w:color w:val="auto"/>
                <w:kern w:val="1"/>
              </w:rPr>
              <w:t>；连续放电时间：强光</w:t>
            </w:r>
            <w:r>
              <w:rPr>
                <w:rFonts w:ascii="宋体" w:hAnsi="宋体" w:cs="宋体"/>
                <w:color w:val="auto"/>
                <w:kern w:val="1"/>
              </w:rPr>
              <w:t>&gt;6h</w:t>
            </w:r>
            <w:r>
              <w:rPr>
                <w:rFonts w:hint="eastAsia" w:ascii="宋体" w:hAnsi="宋体" w:cs="宋体"/>
                <w:color w:val="auto"/>
                <w:kern w:val="1"/>
              </w:rPr>
              <w:t>工作光：</w:t>
            </w:r>
            <w:r>
              <w:rPr>
                <w:rFonts w:ascii="宋体" w:hAnsi="宋体" w:cs="宋体"/>
                <w:color w:val="auto"/>
                <w:kern w:val="1"/>
              </w:rPr>
              <w:t>&gt;12h</w:t>
            </w:r>
            <w:r>
              <w:rPr>
                <w:rFonts w:hint="eastAsia" w:ascii="宋体" w:hAnsi="宋体" w:cs="宋体"/>
                <w:color w:val="auto"/>
                <w:kern w:val="1"/>
              </w:rPr>
              <w:t>。</w:t>
            </w:r>
            <w:r>
              <w:rPr>
                <w:rFonts w:ascii="宋体" w:cs="宋体"/>
                <w:color w:val="auto"/>
                <w:kern w:val="1"/>
              </w:rPr>
              <w:br w:type="textWrapping"/>
            </w:r>
            <w:r>
              <w:rPr>
                <w:rFonts w:hint="eastAsia" w:ascii="宋体" w:hAnsi="宋体" w:cs="宋体"/>
                <w:color w:val="auto"/>
                <w:kern w:val="1"/>
              </w:rPr>
              <w:t>充电时间：≤</w:t>
            </w:r>
            <w:r>
              <w:rPr>
                <w:rFonts w:ascii="宋体" w:hAnsi="宋体" w:cs="宋体"/>
                <w:color w:val="auto"/>
                <w:kern w:val="1"/>
              </w:rPr>
              <w:t xml:space="preserve">8h </w:t>
            </w:r>
            <w:r>
              <w:rPr>
                <w:rFonts w:hint="eastAsia" w:ascii="宋体" w:hAnsi="宋体" w:cs="宋体"/>
                <w:color w:val="auto"/>
                <w:kern w:val="1"/>
              </w:rPr>
              <w:t>；光源寿命：</w:t>
            </w:r>
            <w:r>
              <w:rPr>
                <w:rFonts w:ascii="宋体" w:hAnsi="宋体" w:cs="宋体"/>
                <w:color w:val="auto"/>
                <w:kern w:val="1"/>
              </w:rPr>
              <w:t>100000h</w:t>
            </w:r>
            <w:r>
              <w:rPr>
                <w:rFonts w:hint="eastAsia" w:ascii="宋体" w:hAnsi="宋体" w:cs="宋体"/>
                <w:color w:val="auto"/>
                <w:kern w:val="1"/>
              </w:rPr>
              <w:t>；电池寿命：</w:t>
            </w:r>
            <w:r>
              <w:rPr>
                <w:rFonts w:ascii="宋体" w:hAnsi="宋体" w:cs="宋体"/>
                <w:color w:val="auto"/>
                <w:kern w:val="1"/>
              </w:rPr>
              <w:t>1000</w:t>
            </w:r>
            <w:r>
              <w:rPr>
                <w:rFonts w:hint="eastAsia" w:ascii="宋体" w:hAnsi="宋体" w:cs="宋体"/>
                <w:color w:val="auto"/>
                <w:kern w:val="1"/>
              </w:rPr>
              <w:t>次循环；防护特级：≥</w:t>
            </w:r>
            <w:r>
              <w:rPr>
                <w:rFonts w:ascii="宋体" w:hAnsi="宋体" w:cs="宋体"/>
                <w:color w:val="auto"/>
                <w:kern w:val="1"/>
              </w:rPr>
              <w:t>IP66</w:t>
            </w:r>
            <w:r>
              <w:rPr>
                <w:rFonts w:hint="eastAsia" w:ascii="宋体" w:hAnsi="宋体" w:cs="宋体"/>
                <w:color w:val="auto"/>
                <w:kern w:val="1"/>
              </w:rPr>
              <w:t>，电池使用寿命≥</w:t>
            </w:r>
            <w:r>
              <w:rPr>
                <w:rFonts w:ascii="宋体" w:hAnsi="宋体" w:cs="宋体"/>
                <w:color w:val="auto"/>
                <w:kern w:val="1"/>
              </w:rPr>
              <w:t>1000</w:t>
            </w:r>
            <w:r>
              <w:rPr>
                <w:rFonts w:hint="eastAsia" w:ascii="宋体" w:hAnsi="宋体" w:cs="宋体"/>
                <w:color w:val="auto"/>
                <w:kern w:val="1"/>
              </w:rPr>
              <w:t>（循环），重量</w:t>
            </w:r>
            <w:r>
              <w:rPr>
                <w:rFonts w:ascii="宋体" w:hAnsi="宋体" w:cs="宋体"/>
                <w:color w:val="auto"/>
                <w:kern w:val="1"/>
              </w:rPr>
              <w:t xml:space="preserve"> 0.8kg</w:t>
            </w:r>
            <w:r>
              <w:rPr>
                <w:rFonts w:hint="eastAsia" w:ascii="宋体" w:hAnsi="宋体" w:cs="宋体"/>
                <w:color w:val="auto"/>
                <w:kern w:val="1"/>
              </w:rPr>
              <w:t>，产日期的永久性标记。</w:t>
            </w:r>
          </w:p>
        </w:tc>
      </w:tr>
      <w:tr>
        <w:tblPrEx>
          <w:tblLayout w:type="fixed"/>
          <w:tblCellMar>
            <w:top w:w="0" w:type="dxa"/>
            <w:left w:w="10" w:type="dxa"/>
            <w:bottom w:w="0" w:type="dxa"/>
            <w:right w:w="10" w:type="dxa"/>
          </w:tblCellMar>
        </w:tblPrEx>
        <w:trPr>
          <w:trHeight w:val="2513" w:hRule="atLeast"/>
        </w:trPr>
        <w:tc>
          <w:tcPr>
            <w:tcW w:w="38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360" w:lineRule="auto"/>
              <w:jc w:val="center"/>
              <w:rPr>
                <w:rFonts w:ascii="宋体" w:cs="宋体"/>
                <w:color w:val="auto"/>
              </w:rPr>
            </w:pPr>
            <w:r>
              <w:rPr>
                <w:rFonts w:ascii="宋体" w:hAnsi="宋体" w:cs="宋体"/>
                <w:color w:val="auto"/>
                <w:kern w:val="1"/>
              </w:rPr>
              <w:t>5</w:t>
            </w:r>
          </w:p>
        </w:tc>
        <w:tc>
          <w:tcPr>
            <w:tcW w:w="306"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360" w:lineRule="auto"/>
              <w:rPr>
                <w:rFonts w:ascii="宋体" w:cs="宋体"/>
                <w:color w:val="auto"/>
              </w:rPr>
            </w:pPr>
          </w:p>
        </w:tc>
        <w:tc>
          <w:tcPr>
            <w:tcW w:w="52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360" w:lineRule="auto"/>
              <w:jc w:val="center"/>
              <w:rPr>
                <w:rFonts w:ascii="宋体" w:cs="宋体"/>
                <w:color w:val="auto"/>
              </w:rPr>
            </w:pPr>
            <w:r>
              <w:rPr>
                <w:rFonts w:hint="eastAsia" w:ascii="宋体" w:hAnsi="宋体" w:cs="宋体"/>
                <w:color w:val="auto"/>
                <w:kern w:val="1"/>
              </w:rPr>
              <w:t>水带</w:t>
            </w:r>
          </w:p>
        </w:tc>
        <w:tc>
          <w:tcPr>
            <w:tcW w:w="7263"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tcPr>
          <w:p>
            <w:pPr>
              <w:spacing w:line="360" w:lineRule="auto"/>
              <w:rPr>
                <w:rFonts w:ascii="宋体" w:cs="宋体"/>
                <w:color w:val="auto"/>
              </w:rPr>
            </w:pPr>
            <w:r>
              <w:rPr>
                <w:rFonts w:hint="eastAsia" w:ascii="宋体" w:hAnsi="宋体" w:cs="宋体"/>
                <w:color w:val="auto"/>
                <w:kern w:val="1"/>
              </w:rPr>
              <w:t>符合</w:t>
            </w:r>
            <w:r>
              <w:rPr>
                <w:rFonts w:ascii="宋体" w:hAnsi="宋体" w:cs="宋体"/>
                <w:color w:val="auto"/>
                <w:kern w:val="1"/>
              </w:rPr>
              <w:t>GB6246-2011</w:t>
            </w:r>
            <w:r>
              <w:rPr>
                <w:rFonts w:hint="eastAsia" w:ascii="宋体" w:hAnsi="宋体" w:cs="宋体"/>
                <w:color w:val="auto"/>
                <w:kern w:val="1"/>
              </w:rPr>
              <w:t>《消防水带》标准；</w:t>
            </w:r>
            <w:r>
              <w:rPr>
                <w:rFonts w:ascii="宋体" w:hAnsi="宋体" w:cs="宋体"/>
                <w:color w:val="auto"/>
                <w:kern w:val="1"/>
              </w:rPr>
              <w:t>13-65-20</w:t>
            </w:r>
            <w:r>
              <w:rPr>
                <w:rFonts w:hint="eastAsia" w:ascii="宋体" w:hAnsi="宋体" w:cs="宋体"/>
                <w:color w:val="auto"/>
                <w:kern w:val="1"/>
              </w:rPr>
              <w:t>；具有轻便、柔软、耐压等特点，编织层材料：</w:t>
            </w:r>
            <w:r>
              <w:rPr>
                <w:rFonts w:ascii="宋体" w:hAnsi="宋体" w:cs="宋体"/>
                <w:color w:val="auto"/>
                <w:kern w:val="1"/>
              </w:rPr>
              <w:t>A</w:t>
            </w:r>
            <w:r>
              <w:rPr>
                <w:rFonts w:hint="eastAsia" w:ascii="宋体" w:hAnsi="宋体" w:cs="宋体"/>
                <w:color w:val="auto"/>
                <w:kern w:val="1"/>
              </w:rPr>
              <w:t>、经线：涤纶纱；</w:t>
            </w:r>
            <w:r>
              <w:rPr>
                <w:rFonts w:ascii="宋体" w:hAnsi="宋体" w:cs="宋体"/>
                <w:color w:val="auto"/>
                <w:kern w:val="1"/>
              </w:rPr>
              <w:t>B</w:t>
            </w:r>
            <w:r>
              <w:rPr>
                <w:rFonts w:hint="eastAsia" w:ascii="宋体" w:hAnsi="宋体" w:cs="宋体"/>
                <w:color w:val="auto"/>
                <w:kern w:val="1"/>
              </w:rPr>
              <w:t>、纬线：涤纶长丝；衬里材料：进口聚氨脂；使用之后，不必晾晒，不会长毛霉烂，在试验压力下，不得有渗漏现象；接口绑扎好后，交付使用，每个接口绑扎不少于</w:t>
            </w:r>
            <w:r>
              <w:rPr>
                <w:rFonts w:ascii="宋体" w:hAnsi="宋体" w:cs="宋体"/>
                <w:color w:val="auto"/>
                <w:kern w:val="1"/>
              </w:rPr>
              <w:t>3</w:t>
            </w:r>
            <w:r>
              <w:rPr>
                <w:rFonts w:hint="eastAsia" w:ascii="宋体" w:hAnsi="宋体" w:cs="宋体"/>
                <w:color w:val="auto"/>
                <w:kern w:val="1"/>
              </w:rPr>
              <w:t>道，测试压力</w:t>
            </w:r>
            <w:r>
              <w:rPr>
                <w:rFonts w:ascii="宋体" w:hAnsi="宋体" w:cs="宋体"/>
                <w:color w:val="auto"/>
                <w:kern w:val="1"/>
              </w:rPr>
              <w:t>15</w:t>
            </w:r>
            <w:r>
              <w:rPr>
                <w:rFonts w:hint="eastAsia" w:ascii="宋体" w:hAnsi="宋体" w:cs="宋体"/>
                <w:color w:val="auto"/>
                <w:kern w:val="1"/>
              </w:rPr>
              <w:t>公斤不脱口、渗透，配一副水带护套；标准工作压力：</w:t>
            </w:r>
            <w:r>
              <w:rPr>
                <w:rFonts w:ascii="宋体" w:hAnsi="宋体" w:cs="宋体"/>
                <w:color w:val="auto"/>
                <w:kern w:val="1"/>
              </w:rPr>
              <w:t>2.0Mpa</w:t>
            </w:r>
            <w:r>
              <w:rPr>
                <w:rFonts w:hint="eastAsia" w:ascii="宋体" w:hAnsi="宋体" w:cs="宋体"/>
                <w:color w:val="auto"/>
                <w:kern w:val="1"/>
              </w:rPr>
              <w:t>；爆破压力≥</w:t>
            </w:r>
            <w:r>
              <w:rPr>
                <w:rFonts w:ascii="宋体" w:hAnsi="宋体" w:cs="宋体"/>
                <w:color w:val="auto"/>
                <w:kern w:val="1"/>
              </w:rPr>
              <w:t>6Mpa</w:t>
            </w:r>
            <w:r>
              <w:rPr>
                <w:rFonts w:hint="eastAsia" w:ascii="宋体" w:hAnsi="宋体" w:cs="宋体"/>
                <w:color w:val="auto"/>
                <w:kern w:val="1"/>
              </w:rPr>
              <w:t>；轴向延伸率≤</w:t>
            </w:r>
            <w:r>
              <w:rPr>
                <w:rFonts w:ascii="宋体" w:hAnsi="宋体" w:cs="宋体"/>
                <w:color w:val="auto"/>
                <w:kern w:val="1"/>
              </w:rPr>
              <w:t>5</w:t>
            </w:r>
            <w:r>
              <w:rPr>
                <w:rFonts w:hint="eastAsia" w:ascii="宋体" w:hAnsi="宋体" w:cs="宋体"/>
                <w:color w:val="auto"/>
                <w:kern w:val="1"/>
              </w:rPr>
              <w:t>％，直径膨胀率≤</w:t>
            </w:r>
            <w:r>
              <w:rPr>
                <w:rFonts w:ascii="宋体" w:hAnsi="宋体" w:cs="宋体"/>
                <w:color w:val="auto"/>
                <w:kern w:val="1"/>
              </w:rPr>
              <w:t>6%</w:t>
            </w:r>
            <w:r>
              <w:rPr>
                <w:rFonts w:hint="eastAsia" w:ascii="宋体" w:hAnsi="宋体" w:cs="宋体"/>
                <w:color w:val="auto"/>
                <w:kern w:val="1"/>
              </w:rPr>
              <w:t>；水带编织层与衬里之间的附着强度≥</w:t>
            </w:r>
            <w:r>
              <w:rPr>
                <w:rFonts w:ascii="宋体" w:hAnsi="宋体" w:cs="宋体"/>
                <w:color w:val="auto"/>
                <w:kern w:val="1"/>
              </w:rPr>
              <w:t>40mm</w:t>
            </w:r>
            <w:r>
              <w:rPr>
                <w:rFonts w:hint="eastAsia" w:ascii="宋体" w:hAnsi="宋体" w:cs="宋体"/>
                <w:color w:val="auto"/>
                <w:kern w:val="1"/>
              </w:rPr>
              <w:t>。爆破压力≥</w:t>
            </w:r>
            <w:r>
              <w:rPr>
                <w:rFonts w:ascii="宋体" w:hAnsi="宋体" w:cs="宋体"/>
                <w:color w:val="auto"/>
                <w:kern w:val="1"/>
              </w:rPr>
              <w:t>6Mpa</w:t>
            </w:r>
            <w:r>
              <w:rPr>
                <w:rFonts w:hint="eastAsia" w:ascii="宋体" w:hAnsi="宋体" w:cs="宋体"/>
                <w:color w:val="auto"/>
                <w:kern w:val="1"/>
              </w:rPr>
              <w:t>；轴向延伸率≤</w:t>
            </w:r>
            <w:r>
              <w:rPr>
                <w:rFonts w:ascii="宋体" w:hAnsi="宋体" w:cs="宋体"/>
                <w:color w:val="auto"/>
                <w:kern w:val="1"/>
              </w:rPr>
              <w:t>5</w:t>
            </w:r>
            <w:r>
              <w:rPr>
                <w:rFonts w:hint="eastAsia" w:ascii="宋体" w:hAnsi="宋体" w:cs="宋体"/>
                <w:color w:val="auto"/>
                <w:kern w:val="1"/>
              </w:rPr>
              <w:t>％，直径膨胀率≤</w:t>
            </w:r>
            <w:r>
              <w:rPr>
                <w:rFonts w:ascii="宋体" w:hAnsi="宋体" w:cs="宋体"/>
                <w:color w:val="auto"/>
                <w:kern w:val="1"/>
              </w:rPr>
              <w:t>6%</w:t>
            </w:r>
            <w:r>
              <w:rPr>
                <w:rFonts w:hint="eastAsia" w:ascii="宋体" w:hAnsi="宋体" w:cs="宋体"/>
                <w:color w:val="auto"/>
                <w:kern w:val="1"/>
              </w:rPr>
              <w:t>；水带编织层与衬里之间的附着强度≥</w:t>
            </w:r>
            <w:r>
              <w:rPr>
                <w:rFonts w:ascii="宋体" w:hAnsi="宋体" w:cs="宋体"/>
                <w:color w:val="auto"/>
                <w:kern w:val="1"/>
              </w:rPr>
              <w:t>40mm</w:t>
            </w:r>
            <w:r>
              <w:rPr>
                <w:rFonts w:hint="eastAsia" w:ascii="宋体" w:hAnsi="宋体" w:cs="宋体"/>
                <w:color w:val="auto"/>
                <w:kern w:val="1"/>
              </w:rPr>
              <w:t>。</w:t>
            </w:r>
          </w:p>
        </w:tc>
      </w:tr>
      <w:tr>
        <w:tblPrEx>
          <w:tblLayout w:type="fixed"/>
          <w:tblCellMar>
            <w:top w:w="0" w:type="dxa"/>
            <w:left w:w="10" w:type="dxa"/>
            <w:bottom w:w="0" w:type="dxa"/>
            <w:right w:w="10" w:type="dxa"/>
          </w:tblCellMar>
        </w:tblPrEx>
        <w:trPr>
          <w:trHeight w:val="1703" w:hRule="atLeast"/>
        </w:trPr>
        <w:tc>
          <w:tcPr>
            <w:tcW w:w="38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360" w:lineRule="auto"/>
              <w:jc w:val="center"/>
              <w:rPr>
                <w:rFonts w:ascii="宋体" w:cs="宋体"/>
                <w:color w:val="auto"/>
              </w:rPr>
            </w:pPr>
            <w:r>
              <w:rPr>
                <w:rFonts w:ascii="宋体" w:hAnsi="宋体" w:cs="宋体"/>
                <w:color w:val="auto"/>
                <w:kern w:val="1"/>
              </w:rPr>
              <w:t>6</w:t>
            </w:r>
          </w:p>
        </w:tc>
        <w:tc>
          <w:tcPr>
            <w:tcW w:w="306"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360" w:lineRule="auto"/>
              <w:rPr>
                <w:rFonts w:ascii="宋体" w:cs="宋体"/>
                <w:color w:val="auto"/>
              </w:rPr>
            </w:pPr>
          </w:p>
        </w:tc>
        <w:tc>
          <w:tcPr>
            <w:tcW w:w="525"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360" w:lineRule="auto"/>
              <w:jc w:val="center"/>
              <w:rPr>
                <w:rFonts w:ascii="宋体" w:cs="宋体"/>
                <w:color w:val="auto"/>
              </w:rPr>
            </w:pPr>
            <w:r>
              <w:rPr>
                <w:rFonts w:hint="eastAsia" w:ascii="宋体" w:hAnsi="宋体" w:cs="宋体"/>
                <w:color w:val="auto"/>
                <w:kern w:val="1"/>
              </w:rPr>
              <w:t>分水器</w:t>
            </w:r>
          </w:p>
        </w:tc>
        <w:tc>
          <w:tcPr>
            <w:tcW w:w="7263"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360" w:lineRule="auto"/>
              <w:rPr>
                <w:rFonts w:ascii="宋体" w:cs="宋体"/>
                <w:color w:val="auto"/>
              </w:rPr>
            </w:pPr>
            <w:r>
              <w:rPr>
                <w:rFonts w:ascii="宋体" w:hAnsi="宋体" w:cs="宋体"/>
                <w:color w:val="auto"/>
                <w:kern w:val="1"/>
              </w:rPr>
              <w:t>1.</w:t>
            </w:r>
            <w:r>
              <w:rPr>
                <w:rFonts w:hint="eastAsia" w:ascii="宋体" w:hAnsi="宋体" w:cs="宋体"/>
                <w:color w:val="auto"/>
                <w:kern w:val="1"/>
              </w:rPr>
              <w:t>符合</w:t>
            </w:r>
            <w:r>
              <w:rPr>
                <w:rFonts w:ascii="宋体" w:hAnsi="宋体" w:cs="宋体"/>
                <w:color w:val="auto"/>
                <w:kern w:val="1"/>
              </w:rPr>
              <w:t>GB6246-2011</w:t>
            </w:r>
            <w:r>
              <w:rPr>
                <w:rFonts w:hint="eastAsia" w:ascii="宋体" w:hAnsi="宋体" w:cs="宋体"/>
                <w:color w:val="auto"/>
                <w:kern w:val="1"/>
              </w:rPr>
              <w:t>《消防分水器》标准铝硅合金材料；</w:t>
            </w:r>
            <w:r>
              <w:rPr>
                <w:rFonts w:ascii="宋体" w:cs="宋体"/>
                <w:color w:val="auto"/>
                <w:kern w:val="1"/>
              </w:rPr>
              <w:br w:type="textWrapping"/>
            </w:r>
            <w:r>
              <w:rPr>
                <w:rFonts w:hint="eastAsia" w:ascii="宋体" w:hAnsi="宋体" w:cs="宋体"/>
                <w:color w:val="auto"/>
                <w:kern w:val="1"/>
              </w:rPr>
              <w:t>每个分水器有一个进水口和两个出水口</w:t>
            </w:r>
            <w:r>
              <w:rPr>
                <w:rFonts w:ascii="宋体" w:cs="宋体"/>
                <w:color w:val="auto"/>
                <w:kern w:val="1"/>
              </w:rPr>
              <w:t>,</w:t>
            </w:r>
            <w:r>
              <w:rPr>
                <w:rFonts w:hint="eastAsia" w:ascii="宋体" w:hAnsi="宋体" w:cs="宋体"/>
                <w:color w:val="auto"/>
                <w:kern w:val="1"/>
              </w:rPr>
              <w:t>可供同时使用，也可分别使用。其接口均为内扣式管牙接口。出水口均装有球阀，可以随时开关，控制水流，进水口为</w:t>
            </w:r>
            <w:r>
              <w:rPr>
                <w:rFonts w:ascii="宋体" w:hAnsi="宋体" w:cs="宋体"/>
                <w:color w:val="auto"/>
                <w:kern w:val="1"/>
              </w:rPr>
              <w:t>1</w:t>
            </w:r>
            <w:r>
              <w:rPr>
                <w:rFonts w:hint="eastAsia" w:ascii="宋体" w:hAnsi="宋体" w:cs="宋体"/>
                <w:color w:val="auto"/>
                <w:kern w:val="1"/>
              </w:rPr>
              <w:t>个</w:t>
            </w:r>
            <w:r>
              <w:rPr>
                <w:rFonts w:ascii="宋体" w:hAnsi="宋体" w:cs="宋体"/>
                <w:color w:val="auto"/>
                <w:kern w:val="1"/>
              </w:rPr>
              <w:t>65mm</w:t>
            </w:r>
            <w:r>
              <w:rPr>
                <w:rFonts w:hint="eastAsia" w:ascii="宋体" w:hAnsi="宋体" w:cs="宋体"/>
                <w:color w:val="auto"/>
                <w:kern w:val="1"/>
              </w:rPr>
              <w:t>接口，出水口为</w:t>
            </w:r>
            <w:r>
              <w:rPr>
                <w:rFonts w:ascii="宋体" w:hAnsi="宋体" w:cs="宋体"/>
                <w:color w:val="auto"/>
                <w:kern w:val="1"/>
              </w:rPr>
              <w:t>2</w:t>
            </w:r>
            <w:r>
              <w:rPr>
                <w:rFonts w:hint="eastAsia" w:ascii="宋体" w:hAnsi="宋体" w:cs="宋体"/>
                <w:color w:val="auto"/>
                <w:kern w:val="1"/>
              </w:rPr>
              <w:t>个</w:t>
            </w:r>
            <w:r>
              <w:rPr>
                <w:rFonts w:ascii="宋体" w:hAnsi="宋体" w:cs="宋体"/>
                <w:color w:val="auto"/>
                <w:kern w:val="1"/>
              </w:rPr>
              <w:t>65mm</w:t>
            </w:r>
            <w:r>
              <w:rPr>
                <w:rFonts w:hint="eastAsia" w:ascii="宋体" w:hAnsi="宋体" w:cs="宋体"/>
                <w:color w:val="auto"/>
                <w:kern w:val="1"/>
              </w:rPr>
              <w:t>接口，开启力≤</w:t>
            </w:r>
            <w:r>
              <w:rPr>
                <w:rFonts w:ascii="宋体" w:hAnsi="宋体" w:cs="宋体"/>
                <w:color w:val="auto"/>
                <w:kern w:val="1"/>
              </w:rPr>
              <w:t>200N</w:t>
            </w:r>
            <w:r>
              <w:rPr>
                <w:rFonts w:hint="eastAsia" w:ascii="宋体" w:hAnsi="宋体" w:cs="宋体"/>
                <w:color w:val="auto"/>
                <w:kern w:val="1"/>
              </w:rPr>
              <w:t>。适用介质：水、水和泡沫混合液。</w:t>
            </w:r>
          </w:p>
        </w:tc>
      </w:tr>
      <w:tr>
        <w:tblPrEx>
          <w:tblLayout w:type="fixed"/>
          <w:tblCellMar>
            <w:top w:w="0" w:type="dxa"/>
            <w:left w:w="10" w:type="dxa"/>
            <w:bottom w:w="0" w:type="dxa"/>
            <w:right w:w="10" w:type="dxa"/>
          </w:tblCellMar>
        </w:tblPrEx>
        <w:trPr>
          <w:trHeight w:val="974" w:hRule="atLeast"/>
        </w:trPr>
        <w:tc>
          <w:tcPr>
            <w:tcW w:w="38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360" w:lineRule="auto"/>
              <w:jc w:val="center"/>
              <w:rPr>
                <w:rFonts w:ascii="宋体" w:cs="宋体"/>
                <w:color w:val="auto"/>
              </w:rPr>
            </w:pPr>
            <w:r>
              <w:rPr>
                <w:rFonts w:ascii="宋体" w:hAnsi="宋体" w:cs="宋体"/>
                <w:color w:val="auto"/>
                <w:kern w:val="1"/>
              </w:rPr>
              <w:t>7</w:t>
            </w:r>
          </w:p>
        </w:tc>
        <w:tc>
          <w:tcPr>
            <w:tcW w:w="306"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360" w:lineRule="auto"/>
              <w:rPr>
                <w:rFonts w:ascii="宋体" w:cs="宋体"/>
                <w:color w:val="auto"/>
              </w:rPr>
            </w:pPr>
          </w:p>
        </w:tc>
        <w:tc>
          <w:tcPr>
            <w:tcW w:w="525"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360" w:lineRule="auto"/>
              <w:rPr>
                <w:rFonts w:ascii="宋体" w:cs="宋体"/>
                <w:color w:val="auto"/>
              </w:rPr>
            </w:pPr>
          </w:p>
        </w:tc>
        <w:tc>
          <w:tcPr>
            <w:tcW w:w="7263"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360" w:lineRule="auto"/>
              <w:rPr>
                <w:rFonts w:ascii="宋体" w:cs="宋体"/>
                <w:color w:val="auto"/>
              </w:rPr>
            </w:pPr>
            <w:r>
              <w:rPr>
                <w:rFonts w:ascii="宋体" w:hAnsi="宋体" w:cs="宋体"/>
                <w:color w:val="auto"/>
                <w:kern w:val="1"/>
              </w:rPr>
              <w:t>1.</w:t>
            </w:r>
            <w:r>
              <w:rPr>
                <w:rFonts w:hint="eastAsia" w:ascii="宋体" w:hAnsi="宋体" w:cs="宋体"/>
                <w:color w:val="auto"/>
                <w:kern w:val="1"/>
              </w:rPr>
              <w:t>符合</w:t>
            </w:r>
            <w:r>
              <w:rPr>
                <w:rFonts w:ascii="宋体" w:hAnsi="宋体" w:cs="宋体"/>
                <w:color w:val="auto"/>
                <w:kern w:val="1"/>
              </w:rPr>
              <w:t>GB6246-2011</w:t>
            </w:r>
            <w:r>
              <w:rPr>
                <w:rFonts w:hint="eastAsia" w:ascii="宋体" w:hAnsi="宋体" w:cs="宋体"/>
                <w:color w:val="auto"/>
                <w:kern w:val="1"/>
              </w:rPr>
              <w:t>《消防分水器》标准铝硅合金材料，提供国家消防装备质量监督检验中心出具的完整检验报告和</w:t>
            </w:r>
            <w:r>
              <w:rPr>
                <w:rFonts w:ascii="宋体" w:hAnsi="宋体" w:cs="宋体"/>
                <w:color w:val="auto"/>
                <w:kern w:val="1"/>
              </w:rPr>
              <w:t>CCCF</w:t>
            </w:r>
            <w:r>
              <w:rPr>
                <w:rFonts w:hint="eastAsia" w:ascii="宋体" w:hAnsi="宋体" w:cs="宋体"/>
                <w:color w:val="auto"/>
                <w:kern w:val="1"/>
              </w:rPr>
              <w:t>认证。</w:t>
            </w:r>
            <w:r>
              <w:rPr>
                <w:rFonts w:ascii="宋体" w:hAnsi="宋体" w:cs="宋体"/>
                <w:color w:val="auto"/>
                <w:kern w:val="1"/>
              </w:rPr>
              <w:t>2</w:t>
            </w:r>
            <w:r>
              <w:rPr>
                <w:rFonts w:hint="eastAsia" w:ascii="宋体" w:hAnsi="宋体" w:cs="宋体"/>
                <w:color w:val="auto"/>
                <w:kern w:val="1"/>
              </w:rPr>
              <w:t>、分水器材料：使用</w:t>
            </w:r>
            <w:r>
              <w:rPr>
                <w:rFonts w:ascii="宋体" w:hAnsi="宋体" w:cs="宋体"/>
                <w:color w:val="auto"/>
                <w:kern w:val="1"/>
              </w:rPr>
              <w:t>ZL104</w:t>
            </w:r>
            <w:r>
              <w:rPr>
                <w:rFonts w:hint="eastAsia" w:ascii="宋体" w:hAnsi="宋体" w:cs="宋体"/>
                <w:color w:val="auto"/>
                <w:kern w:val="1"/>
              </w:rPr>
              <w:t>稀土铝；额定工作压力≥</w:t>
            </w:r>
            <w:r>
              <w:rPr>
                <w:rFonts w:ascii="宋体" w:hAnsi="宋体" w:cs="宋体"/>
                <w:color w:val="auto"/>
                <w:kern w:val="1"/>
              </w:rPr>
              <w:t>1.6</w:t>
            </w:r>
            <w:r>
              <w:rPr>
                <w:rFonts w:hint="eastAsia" w:ascii="宋体" w:hAnsi="宋体" w:cs="宋体"/>
                <w:color w:val="auto"/>
                <w:kern w:val="1"/>
              </w:rPr>
              <w:t>兆帕，耐压强度≥</w:t>
            </w:r>
            <w:r>
              <w:rPr>
                <w:rFonts w:ascii="宋体" w:hAnsi="宋体" w:cs="宋体"/>
                <w:color w:val="auto"/>
                <w:kern w:val="1"/>
              </w:rPr>
              <w:t>2.5</w:t>
            </w:r>
            <w:r>
              <w:rPr>
                <w:rFonts w:hint="eastAsia" w:ascii="宋体" w:hAnsi="宋体" w:cs="宋体"/>
                <w:color w:val="auto"/>
                <w:kern w:val="1"/>
              </w:rPr>
              <w:t>兆帕；进水口：卡式接口，口径</w:t>
            </w:r>
            <w:r>
              <w:rPr>
                <w:rFonts w:ascii="宋体" w:hAnsi="宋体" w:cs="宋体"/>
                <w:color w:val="auto"/>
                <w:kern w:val="1"/>
              </w:rPr>
              <w:t>80</w:t>
            </w:r>
            <w:r>
              <w:rPr>
                <w:rFonts w:hint="eastAsia" w:ascii="宋体" w:hAnsi="宋体" w:cs="宋体"/>
                <w:color w:val="auto"/>
                <w:kern w:val="1"/>
              </w:rPr>
              <w:t>毫米；出水口：卡式接口，口径</w:t>
            </w:r>
            <w:r>
              <w:rPr>
                <w:rFonts w:ascii="宋体" w:hAnsi="宋体" w:cs="宋体"/>
                <w:color w:val="auto"/>
                <w:kern w:val="1"/>
              </w:rPr>
              <w:t>3</w:t>
            </w:r>
            <w:r>
              <w:rPr>
                <w:rFonts w:hint="eastAsia" w:ascii="宋体" w:hAnsi="宋体" w:cs="宋体"/>
                <w:color w:val="auto"/>
                <w:kern w:val="1"/>
              </w:rPr>
              <w:t>×</w:t>
            </w:r>
            <w:r>
              <w:rPr>
                <w:rFonts w:ascii="宋体" w:hAnsi="宋体" w:cs="宋体"/>
                <w:color w:val="auto"/>
                <w:kern w:val="1"/>
              </w:rPr>
              <w:t>65</w:t>
            </w:r>
            <w:r>
              <w:rPr>
                <w:rFonts w:hint="eastAsia" w:ascii="宋体" w:hAnsi="宋体" w:cs="宋体"/>
                <w:color w:val="auto"/>
                <w:kern w:val="1"/>
              </w:rPr>
              <w:t>毫米；开启压力≤</w:t>
            </w:r>
            <w:r>
              <w:rPr>
                <w:rFonts w:ascii="宋体" w:hAnsi="宋体" w:cs="宋体"/>
                <w:color w:val="auto"/>
                <w:kern w:val="1"/>
              </w:rPr>
              <w:t>120</w:t>
            </w:r>
            <w:r>
              <w:rPr>
                <w:rFonts w:hint="eastAsia" w:ascii="宋体" w:hAnsi="宋体" w:cs="宋体"/>
                <w:color w:val="auto"/>
                <w:kern w:val="1"/>
              </w:rPr>
              <w:t>牛；三叉分水器。</w:t>
            </w:r>
          </w:p>
        </w:tc>
      </w:tr>
      <w:tr>
        <w:tblPrEx>
          <w:tblLayout w:type="fixed"/>
          <w:tblCellMar>
            <w:top w:w="0" w:type="dxa"/>
            <w:left w:w="10" w:type="dxa"/>
            <w:bottom w:w="0" w:type="dxa"/>
            <w:right w:w="10" w:type="dxa"/>
          </w:tblCellMar>
        </w:tblPrEx>
        <w:trPr>
          <w:trHeight w:val="663" w:hRule="atLeast"/>
        </w:trPr>
        <w:tc>
          <w:tcPr>
            <w:tcW w:w="38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360" w:lineRule="auto"/>
              <w:jc w:val="center"/>
              <w:rPr>
                <w:rFonts w:ascii="宋体" w:cs="宋体"/>
                <w:color w:val="auto"/>
              </w:rPr>
            </w:pPr>
            <w:r>
              <w:rPr>
                <w:rFonts w:ascii="宋体" w:hAnsi="宋体" w:cs="宋体"/>
                <w:color w:val="auto"/>
                <w:kern w:val="1"/>
              </w:rPr>
              <w:t>8</w:t>
            </w:r>
          </w:p>
        </w:tc>
        <w:tc>
          <w:tcPr>
            <w:tcW w:w="306"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360" w:lineRule="auto"/>
              <w:rPr>
                <w:rFonts w:ascii="宋体" w:cs="宋体"/>
                <w:color w:val="auto"/>
              </w:rPr>
            </w:pPr>
          </w:p>
        </w:tc>
        <w:tc>
          <w:tcPr>
            <w:tcW w:w="52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360" w:lineRule="auto"/>
              <w:jc w:val="center"/>
              <w:rPr>
                <w:rFonts w:ascii="宋体" w:cs="宋体"/>
                <w:color w:val="auto"/>
              </w:rPr>
            </w:pPr>
            <w:r>
              <w:rPr>
                <w:rFonts w:hint="eastAsia" w:ascii="宋体" w:hAnsi="宋体" w:cs="宋体"/>
                <w:color w:val="auto"/>
                <w:kern w:val="1"/>
              </w:rPr>
              <w:t>手抬机动消防泵</w:t>
            </w:r>
          </w:p>
        </w:tc>
        <w:tc>
          <w:tcPr>
            <w:tcW w:w="7263"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tcPr>
          <w:p>
            <w:pPr>
              <w:spacing w:line="360" w:lineRule="auto"/>
              <w:rPr>
                <w:rFonts w:ascii="宋体" w:cs="宋体"/>
                <w:color w:val="auto"/>
              </w:rPr>
            </w:pPr>
            <w:r>
              <w:rPr>
                <w:rFonts w:hint="eastAsia" w:ascii="宋体" w:hAnsi="宋体" w:cs="宋体"/>
                <w:color w:val="auto"/>
                <w:kern w:val="1"/>
              </w:rPr>
              <w:t>额定流量≥</w:t>
            </w:r>
            <w:r>
              <w:rPr>
                <w:rFonts w:ascii="宋体" w:hAnsi="宋体" w:cs="宋体"/>
                <w:color w:val="auto"/>
                <w:kern w:val="1"/>
              </w:rPr>
              <w:t>9L/S,</w:t>
            </w:r>
            <w:r>
              <w:rPr>
                <w:rFonts w:hint="eastAsia" w:ascii="宋体" w:hAnsi="宋体" w:cs="宋体"/>
                <w:color w:val="auto"/>
                <w:kern w:val="1"/>
              </w:rPr>
              <w:t>额定压力≥</w:t>
            </w:r>
            <w:r>
              <w:rPr>
                <w:rFonts w:ascii="宋体" w:hAnsi="宋体" w:cs="宋体"/>
                <w:color w:val="auto"/>
                <w:kern w:val="1"/>
              </w:rPr>
              <w:t>0.50Mpa</w:t>
            </w:r>
            <w:r>
              <w:rPr>
                <w:rFonts w:hint="eastAsia" w:ascii="宋体" w:hAnsi="宋体" w:cs="宋体"/>
                <w:color w:val="auto"/>
                <w:kern w:val="1"/>
              </w:rPr>
              <w:t>引水方式：旋片真空泵；泵进水管口径：</w:t>
            </w:r>
            <w:r>
              <w:rPr>
                <w:rFonts w:ascii="宋体" w:hAnsi="宋体" w:cs="宋体"/>
                <w:color w:val="auto"/>
                <w:kern w:val="1"/>
              </w:rPr>
              <w:t>65mm</w:t>
            </w:r>
            <w:r>
              <w:rPr>
                <w:rFonts w:hint="eastAsia" w:ascii="宋体" w:hAnsi="宋体" w:cs="宋体"/>
                <w:color w:val="auto"/>
                <w:kern w:val="1"/>
              </w:rPr>
              <w:t>接口；泵出水管口径：</w:t>
            </w:r>
            <w:r>
              <w:rPr>
                <w:rFonts w:ascii="宋体" w:hAnsi="宋体" w:cs="宋体"/>
                <w:color w:val="auto"/>
                <w:kern w:val="1"/>
              </w:rPr>
              <w:t>65mm</w:t>
            </w:r>
            <w:r>
              <w:rPr>
                <w:rFonts w:hint="eastAsia" w:ascii="宋体" w:hAnsi="宋体" w:cs="宋体"/>
                <w:color w:val="auto"/>
                <w:kern w:val="1"/>
              </w:rPr>
              <w:t>接口；吸深：</w:t>
            </w:r>
            <w:r>
              <w:rPr>
                <w:rFonts w:ascii="宋体" w:hAnsi="宋体" w:cs="宋体"/>
                <w:color w:val="auto"/>
                <w:kern w:val="1"/>
              </w:rPr>
              <w:t>7m</w:t>
            </w:r>
            <w:r>
              <w:rPr>
                <w:rFonts w:hint="eastAsia" w:ascii="宋体" w:hAnsi="宋体" w:cs="宋体"/>
                <w:color w:val="auto"/>
                <w:kern w:val="1"/>
              </w:rPr>
              <w:t>，最大扬程≥</w:t>
            </w:r>
            <w:r>
              <w:rPr>
                <w:rFonts w:ascii="宋体" w:hAnsi="宋体" w:cs="宋体"/>
                <w:color w:val="auto"/>
                <w:kern w:val="1"/>
              </w:rPr>
              <w:t>60M</w:t>
            </w:r>
            <w:r>
              <w:rPr>
                <w:rFonts w:hint="eastAsia" w:ascii="宋体" w:hAnsi="宋体" w:cs="宋体"/>
                <w:color w:val="auto"/>
                <w:kern w:val="1"/>
              </w:rPr>
              <w:t>；发动机工作方式：四冲程单缸风冷。</w:t>
            </w:r>
          </w:p>
        </w:tc>
      </w:tr>
      <w:tr>
        <w:tblPrEx>
          <w:tblLayout w:type="fixed"/>
          <w:tblCellMar>
            <w:top w:w="0" w:type="dxa"/>
            <w:left w:w="10" w:type="dxa"/>
            <w:bottom w:w="0" w:type="dxa"/>
            <w:right w:w="10" w:type="dxa"/>
          </w:tblCellMar>
        </w:tblPrEx>
        <w:trPr>
          <w:trHeight w:val="1596" w:hRule="atLeast"/>
        </w:trPr>
        <w:tc>
          <w:tcPr>
            <w:tcW w:w="38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360" w:lineRule="auto"/>
              <w:jc w:val="center"/>
              <w:rPr>
                <w:rFonts w:ascii="宋体" w:cs="宋体"/>
                <w:color w:val="auto"/>
              </w:rPr>
            </w:pPr>
            <w:r>
              <w:rPr>
                <w:rFonts w:ascii="宋体" w:hAnsi="宋体" w:cs="宋体"/>
                <w:color w:val="auto"/>
                <w:kern w:val="1"/>
              </w:rPr>
              <w:t>9</w:t>
            </w:r>
          </w:p>
        </w:tc>
        <w:tc>
          <w:tcPr>
            <w:tcW w:w="306"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360" w:lineRule="auto"/>
              <w:rPr>
                <w:rFonts w:ascii="宋体" w:cs="宋体"/>
                <w:color w:val="auto"/>
              </w:rPr>
            </w:pPr>
          </w:p>
        </w:tc>
        <w:tc>
          <w:tcPr>
            <w:tcW w:w="52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360" w:lineRule="auto"/>
              <w:jc w:val="center"/>
              <w:rPr>
                <w:rFonts w:ascii="宋体" w:cs="宋体"/>
                <w:color w:val="auto"/>
              </w:rPr>
            </w:pPr>
            <w:r>
              <w:rPr>
                <w:rFonts w:ascii="宋体" w:hAnsi="宋体" w:cs="宋体"/>
                <w:color w:val="auto"/>
                <w:kern w:val="1"/>
              </w:rPr>
              <w:t>6</w:t>
            </w:r>
            <w:r>
              <w:rPr>
                <w:rFonts w:hint="eastAsia" w:ascii="宋体" w:hAnsi="宋体" w:cs="宋体"/>
                <w:color w:val="auto"/>
                <w:kern w:val="1"/>
              </w:rPr>
              <w:t>米拉梯</w:t>
            </w:r>
          </w:p>
        </w:tc>
        <w:tc>
          <w:tcPr>
            <w:tcW w:w="7263"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360" w:lineRule="auto"/>
              <w:rPr>
                <w:rFonts w:ascii="宋体" w:cs="宋体"/>
                <w:color w:val="auto"/>
              </w:rPr>
            </w:pPr>
            <w:r>
              <w:rPr>
                <w:rFonts w:hint="eastAsia" w:ascii="宋体" w:hAnsi="宋体" w:cs="宋体"/>
                <w:color w:val="auto"/>
                <w:kern w:val="1"/>
              </w:rPr>
              <w:t>符合</w:t>
            </w:r>
            <w:r>
              <w:rPr>
                <w:rFonts w:ascii="宋体" w:hAnsi="宋体" w:cs="宋体"/>
                <w:color w:val="auto"/>
                <w:kern w:val="1"/>
              </w:rPr>
              <w:t>GA137-2007</w:t>
            </w:r>
            <w:r>
              <w:rPr>
                <w:rFonts w:hint="eastAsia" w:ascii="宋体" w:hAnsi="宋体" w:cs="宋体"/>
                <w:color w:val="auto"/>
                <w:kern w:val="1"/>
              </w:rPr>
              <w:t>《消防梯通用技术条件》。选用优质竹材制作而成，主体用优质坚韧毛竹经特殊工艺处理，多层压合而成，侧板与梯登采用铆钉连接，表面光滑无毛刺，并涂有不导电的涂料保护；在通过浸泡、恒温、低温、振动试验后，产品无脱胶现象。技术参数：</w:t>
            </w:r>
            <w:r>
              <w:rPr>
                <w:rFonts w:ascii="宋体" w:hAnsi="宋体" w:cs="宋体"/>
                <w:color w:val="auto"/>
                <w:kern w:val="1"/>
              </w:rPr>
              <w:t>1</w:t>
            </w:r>
            <w:r>
              <w:rPr>
                <w:rFonts w:hint="eastAsia" w:ascii="宋体" w:hAnsi="宋体" w:cs="宋体"/>
                <w:color w:val="auto"/>
                <w:kern w:val="1"/>
              </w:rPr>
              <w:t>．工作长度（</w:t>
            </w:r>
            <w:r>
              <w:rPr>
                <w:rFonts w:ascii="宋体" w:hAnsi="宋体" w:cs="宋体"/>
                <w:color w:val="auto"/>
                <w:kern w:val="1"/>
              </w:rPr>
              <w:t>m</w:t>
            </w:r>
            <w:r>
              <w:rPr>
                <w:rFonts w:hint="eastAsia" w:ascii="宋体" w:hAnsi="宋体" w:cs="宋体"/>
                <w:color w:val="auto"/>
                <w:kern w:val="1"/>
              </w:rPr>
              <w:t>）：</w:t>
            </w:r>
            <w:r>
              <w:rPr>
                <w:rFonts w:ascii="宋体" w:hAnsi="宋体" w:cs="宋体"/>
                <w:color w:val="auto"/>
                <w:kern w:val="1"/>
              </w:rPr>
              <w:t>6</w:t>
            </w:r>
            <w:r>
              <w:rPr>
                <w:rFonts w:hint="eastAsia" w:ascii="宋体" w:hAnsi="宋体" w:cs="宋体"/>
                <w:color w:val="auto"/>
                <w:kern w:val="1"/>
              </w:rPr>
              <w:t>±</w:t>
            </w:r>
            <w:r>
              <w:rPr>
                <w:rFonts w:ascii="宋体" w:hAnsi="宋体" w:cs="宋体"/>
                <w:color w:val="auto"/>
                <w:kern w:val="1"/>
              </w:rPr>
              <w:t>0.2</w:t>
            </w:r>
            <w:r>
              <w:rPr>
                <w:rFonts w:hint="eastAsia" w:ascii="宋体" w:hAnsi="宋体" w:cs="宋体"/>
                <w:color w:val="auto"/>
                <w:kern w:val="1"/>
              </w:rPr>
              <w:t>，最小梯宽</w:t>
            </w:r>
            <w:r>
              <w:rPr>
                <w:rFonts w:ascii="宋体" w:hAnsi="宋体" w:cs="宋体"/>
                <w:color w:val="auto"/>
                <w:kern w:val="1"/>
              </w:rPr>
              <w:t>300</w:t>
            </w:r>
            <w:r>
              <w:rPr>
                <w:rFonts w:hint="eastAsia" w:ascii="宋体" w:hAnsi="宋体" w:cs="宋体"/>
                <w:color w:val="auto"/>
                <w:kern w:val="1"/>
              </w:rPr>
              <w:t>±</w:t>
            </w:r>
            <w:r>
              <w:rPr>
                <w:rFonts w:ascii="宋体" w:hAnsi="宋体" w:cs="宋体"/>
                <w:color w:val="auto"/>
                <w:kern w:val="1"/>
              </w:rPr>
              <w:t>3</w:t>
            </w:r>
            <w:r>
              <w:rPr>
                <w:rFonts w:hint="eastAsia" w:ascii="宋体" w:hAnsi="宋体" w:cs="宋体"/>
                <w:color w:val="auto"/>
                <w:kern w:val="1"/>
              </w:rPr>
              <w:t>，梯蹬间距</w:t>
            </w:r>
            <w:r>
              <w:rPr>
                <w:rFonts w:ascii="宋体" w:hAnsi="宋体" w:cs="宋体"/>
                <w:color w:val="auto"/>
                <w:kern w:val="1"/>
              </w:rPr>
              <w:t>280</w:t>
            </w:r>
            <w:r>
              <w:rPr>
                <w:rFonts w:hint="eastAsia" w:ascii="宋体" w:hAnsi="宋体" w:cs="宋体"/>
                <w:color w:val="auto"/>
                <w:kern w:val="1"/>
              </w:rPr>
              <w:t>±</w:t>
            </w:r>
            <w:r>
              <w:rPr>
                <w:rFonts w:ascii="宋体" w:hAnsi="宋体" w:cs="宋体"/>
                <w:color w:val="auto"/>
                <w:kern w:val="1"/>
              </w:rPr>
              <w:t>2</w:t>
            </w:r>
            <w:r>
              <w:rPr>
                <w:rFonts w:hint="eastAsia" w:ascii="宋体" w:hAnsi="宋体" w:cs="宋体"/>
                <w:color w:val="auto"/>
                <w:kern w:val="1"/>
              </w:rPr>
              <w:t>；</w:t>
            </w:r>
            <w:r>
              <w:rPr>
                <w:rFonts w:ascii="宋体" w:hAnsi="宋体" w:cs="宋体"/>
                <w:color w:val="auto"/>
                <w:kern w:val="1"/>
              </w:rPr>
              <w:t>2.</w:t>
            </w:r>
            <w:r>
              <w:rPr>
                <w:rFonts w:hint="eastAsia" w:ascii="宋体" w:hAnsi="宋体" w:cs="宋体"/>
                <w:color w:val="auto"/>
                <w:kern w:val="1"/>
              </w:rPr>
              <w:t>水平弯曲残余变形比值：≤</w:t>
            </w:r>
            <w:r>
              <w:rPr>
                <w:rFonts w:ascii="宋体" w:hAnsi="宋体" w:cs="宋体"/>
                <w:color w:val="auto"/>
                <w:kern w:val="1"/>
              </w:rPr>
              <w:t>0.30%</w:t>
            </w:r>
            <w:r>
              <w:rPr>
                <w:rFonts w:hint="eastAsia" w:ascii="宋体" w:hAnsi="宋体" w:cs="宋体"/>
                <w:color w:val="auto"/>
                <w:kern w:val="1"/>
              </w:rPr>
              <w:t>、梯橙弯曲残余变形比值：≤</w:t>
            </w:r>
            <w:r>
              <w:rPr>
                <w:rFonts w:ascii="宋体" w:hAnsi="宋体" w:cs="宋体"/>
                <w:color w:val="auto"/>
                <w:kern w:val="1"/>
              </w:rPr>
              <w:t>0.5%</w:t>
            </w:r>
            <w:r>
              <w:rPr>
                <w:rFonts w:hint="eastAsia" w:ascii="宋体" w:hAnsi="宋体" w:cs="宋体"/>
                <w:color w:val="auto"/>
                <w:kern w:val="1"/>
              </w:rPr>
              <w:t>；</w:t>
            </w:r>
            <w:r>
              <w:rPr>
                <w:rFonts w:ascii="宋体" w:hAnsi="宋体" w:cs="宋体"/>
                <w:color w:val="auto"/>
                <w:kern w:val="1"/>
              </w:rPr>
              <w:t>3</w:t>
            </w:r>
            <w:r>
              <w:rPr>
                <w:rFonts w:hint="eastAsia" w:ascii="宋体" w:hAnsi="宋体" w:cs="宋体"/>
                <w:color w:val="auto"/>
                <w:kern w:val="1"/>
              </w:rPr>
              <w:t>．重量：≤</w:t>
            </w:r>
            <w:r>
              <w:rPr>
                <w:rFonts w:ascii="宋体" w:hAnsi="宋体" w:cs="宋体"/>
                <w:color w:val="auto"/>
                <w:kern w:val="1"/>
              </w:rPr>
              <w:t>38</w:t>
            </w:r>
            <w:r>
              <w:rPr>
                <w:rFonts w:hint="eastAsia" w:ascii="宋体" w:hAnsi="宋体" w:cs="宋体"/>
                <w:color w:val="auto"/>
                <w:kern w:val="1"/>
              </w:rPr>
              <w:t>㎏；提供国家消防装备质量监督检验中心出具的检验报告复印件和公安部消防产品合格评定中心出具的中国国家强制性产品认证证书复印件。</w:t>
            </w:r>
          </w:p>
        </w:tc>
      </w:tr>
      <w:tr>
        <w:tblPrEx>
          <w:tblLayout w:type="fixed"/>
          <w:tblCellMar>
            <w:top w:w="0" w:type="dxa"/>
            <w:left w:w="10" w:type="dxa"/>
            <w:bottom w:w="0" w:type="dxa"/>
            <w:right w:w="10" w:type="dxa"/>
          </w:tblCellMar>
        </w:tblPrEx>
        <w:trPr>
          <w:trHeight w:val="1596" w:hRule="atLeast"/>
        </w:trPr>
        <w:tc>
          <w:tcPr>
            <w:tcW w:w="38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360" w:lineRule="auto"/>
              <w:jc w:val="center"/>
              <w:rPr>
                <w:rFonts w:ascii="宋体" w:cs="宋体"/>
                <w:color w:val="auto"/>
              </w:rPr>
            </w:pPr>
            <w:r>
              <w:rPr>
                <w:rFonts w:ascii="宋体" w:hAnsi="宋体" w:cs="宋体"/>
                <w:color w:val="auto"/>
                <w:kern w:val="1"/>
              </w:rPr>
              <w:t>10</w:t>
            </w:r>
          </w:p>
        </w:tc>
        <w:tc>
          <w:tcPr>
            <w:tcW w:w="306"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360" w:lineRule="auto"/>
              <w:rPr>
                <w:rFonts w:ascii="宋体" w:cs="宋体"/>
                <w:color w:val="auto"/>
              </w:rPr>
            </w:pPr>
          </w:p>
        </w:tc>
        <w:tc>
          <w:tcPr>
            <w:tcW w:w="52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360" w:lineRule="auto"/>
              <w:jc w:val="center"/>
              <w:rPr>
                <w:rFonts w:ascii="宋体" w:cs="宋体"/>
                <w:color w:val="auto"/>
              </w:rPr>
            </w:pPr>
            <w:r>
              <w:rPr>
                <w:rFonts w:hint="eastAsia" w:ascii="宋体" w:hAnsi="宋体" w:cs="宋体"/>
                <w:color w:val="auto"/>
                <w:kern w:val="1"/>
              </w:rPr>
              <w:t>单杠梯</w:t>
            </w:r>
          </w:p>
        </w:tc>
        <w:tc>
          <w:tcPr>
            <w:tcW w:w="7263"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tcPr>
          <w:p>
            <w:pPr>
              <w:spacing w:line="360" w:lineRule="auto"/>
              <w:rPr>
                <w:rFonts w:ascii="宋体" w:cs="宋体"/>
                <w:color w:val="auto"/>
              </w:rPr>
            </w:pPr>
            <w:r>
              <w:rPr>
                <w:rFonts w:hint="eastAsia" w:ascii="宋体" w:hAnsi="宋体" w:cs="宋体"/>
                <w:color w:val="auto"/>
                <w:kern w:val="1"/>
              </w:rPr>
              <w:t>符合</w:t>
            </w:r>
            <w:r>
              <w:rPr>
                <w:rFonts w:ascii="宋体" w:hAnsi="宋体" w:cs="宋体"/>
                <w:color w:val="auto"/>
                <w:kern w:val="1"/>
              </w:rPr>
              <w:t>GA137-2007</w:t>
            </w:r>
            <w:r>
              <w:rPr>
                <w:rFonts w:hint="eastAsia" w:ascii="宋体" w:hAnsi="宋体" w:cs="宋体"/>
                <w:color w:val="auto"/>
                <w:kern w:val="1"/>
              </w:rPr>
              <w:t>《消防梯》标准要求。主体用优质坚韧毛竹经特殊工艺处理，多层压合而成，侧板与梯登采用铆钉连接，可供消防队员登高、跨越高墙及作临时担架使用，亦可作一般登高及民用。技术参数：</w:t>
            </w:r>
            <w:r>
              <w:rPr>
                <w:rFonts w:ascii="宋体" w:hAnsi="宋体" w:cs="宋体"/>
                <w:color w:val="auto"/>
                <w:kern w:val="1"/>
              </w:rPr>
              <w:t>1</w:t>
            </w:r>
            <w:r>
              <w:rPr>
                <w:rFonts w:hint="eastAsia" w:ascii="宋体" w:hAnsi="宋体" w:cs="宋体"/>
                <w:color w:val="auto"/>
                <w:kern w:val="1"/>
              </w:rPr>
              <w:t>．工作状况（</w:t>
            </w:r>
            <w:r>
              <w:rPr>
                <w:rFonts w:ascii="宋体" w:hAnsi="宋体" w:cs="宋体"/>
                <w:color w:val="auto"/>
                <w:kern w:val="1"/>
              </w:rPr>
              <w:t>m</w:t>
            </w:r>
            <w:r>
              <w:rPr>
                <w:rFonts w:hint="eastAsia" w:ascii="宋体" w:hAnsi="宋体" w:cs="宋体"/>
                <w:color w:val="auto"/>
                <w:kern w:val="1"/>
              </w:rPr>
              <w:t>）：高</w:t>
            </w:r>
            <w:r>
              <w:rPr>
                <w:rFonts w:ascii="宋体" w:hAnsi="宋体" w:cs="宋体"/>
                <w:color w:val="auto"/>
                <w:kern w:val="1"/>
              </w:rPr>
              <w:t>3</w:t>
            </w:r>
            <w:r>
              <w:rPr>
                <w:rFonts w:hint="eastAsia" w:ascii="宋体" w:hAnsi="宋体" w:cs="宋体"/>
                <w:color w:val="auto"/>
                <w:kern w:val="1"/>
              </w:rPr>
              <w:t>±</w:t>
            </w:r>
            <w:r>
              <w:rPr>
                <w:rFonts w:ascii="宋体" w:hAnsi="宋体" w:cs="宋体"/>
                <w:color w:val="auto"/>
                <w:kern w:val="1"/>
              </w:rPr>
              <w:t>0.1</w:t>
            </w:r>
            <w:r>
              <w:rPr>
                <w:rFonts w:hint="eastAsia" w:ascii="宋体" w:hAnsi="宋体" w:cs="宋体"/>
                <w:color w:val="auto"/>
                <w:kern w:val="1"/>
              </w:rPr>
              <w:t>，宽</w:t>
            </w:r>
            <w:r>
              <w:rPr>
                <w:rFonts w:ascii="宋体" w:hAnsi="宋体" w:cs="宋体"/>
                <w:color w:val="auto"/>
                <w:kern w:val="1"/>
              </w:rPr>
              <w:t>250</w:t>
            </w:r>
            <w:r>
              <w:rPr>
                <w:rFonts w:hint="eastAsia" w:ascii="宋体" w:hAnsi="宋体" w:cs="宋体"/>
                <w:color w:val="auto"/>
                <w:kern w:val="1"/>
              </w:rPr>
              <w:t>±</w:t>
            </w:r>
            <w:r>
              <w:rPr>
                <w:rFonts w:ascii="宋体" w:hAnsi="宋体" w:cs="宋体"/>
                <w:color w:val="auto"/>
                <w:kern w:val="1"/>
              </w:rPr>
              <w:t>2mm</w:t>
            </w:r>
            <w:r>
              <w:rPr>
                <w:rFonts w:hint="eastAsia" w:ascii="宋体" w:hAnsi="宋体" w:cs="宋体"/>
                <w:color w:val="auto"/>
                <w:kern w:val="1"/>
              </w:rPr>
              <w:t>，梯蹬间距</w:t>
            </w:r>
            <w:r>
              <w:rPr>
                <w:rFonts w:ascii="宋体" w:hAnsi="宋体" w:cs="宋体"/>
                <w:color w:val="auto"/>
                <w:kern w:val="1"/>
              </w:rPr>
              <w:t>340</w:t>
            </w:r>
            <w:r>
              <w:rPr>
                <w:rFonts w:hint="eastAsia" w:ascii="宋体" w:hAnsi="宋体" w:cs="宋体"/>
                <w:color w:val="auto"/>
                <w:kern w:val="1"/>
              </w:rPr>
              <w:t>±</w:t>
            </w:r>
            <w:r>
              <w:rPr>
                <w:rFonts w:ascii="宋体" w:hAnsi="宋体" w:cs="宋体"/>
                <w:color w:val="auto"/>
                <w:kern w:val="1"/>
              </w:rPr>
              <w:t>2mm</w:t>
            </w:r>
            <w:r>
              <w:rPr>
                <w:rFonts w:hint="eastAsia" w:ascii="宋体" w:hAnsi="宋体" w:cs="宋体"/>
                <w:color w:val="auto"/>
                <w:kern w:val="1"/>
              </w:rPr>
              <w:t>；</w:t>
            </w:r>
            <w:r>
              <w:rPr>
                <w:rFonts w:ascii="宋体" w:hAnsi="宋体" w:cs="宋体"/>
                <w:color w:val="auto"/>
                <w:kern w:val="1"/>
              </w:rPr>
              <w:t xml:space="preserve">2. </w:t>
            </w:r>
            <w:r>
              <w:rPr>
                <w:rFonts w:hint="eastAsia" w:ascii="宋体" w:hAnsi="宋体" w:cs="宋体"/>
                <w:color w:val="auto"/>
                <w:kern w:val="1"/>
              </w:rPr>
              <w:t>水平弯曲残余变形比值</w:t>
            </w:r>
            <w:r>
              <w:rPr>
                <w:rFonts w:ascii="宋体" w:hAnsi="宋体" w:cs="宋体"/>
                <w:color w:val="auto"/>
                <w:kern w:val="1"/>
              </w:rPr>
              <w:t>:</w:t>
            </w:r>
            <w:r>
              <w:rPr>
                <w:rFonts w:hint="eastAsia" w:ascii="宋体" w:hAnsi="宋体" w:cs="宋体"/>
                <w:color w:val="auto"/>
                <w:kern w:val="1"/>
              </w:rPr>
              <w:t>≤</w:t>
            </w:r>
            <w:r>
              <w:rPr>
                <w:rFonts w:ascii="宋体" w:hAnsi="宋体" w:cs="宋体"/>
                <w:color w:val="auto"/>
                <w:kern w:val="1"/>
              </w:rPr>
              <w:t>0.15%</w:t>
            </w:r>
            <w:r>
              <w:rPr>
                <w:rFonts w:hint="eastAsia" w:ascii="宋体" w:hAnsi="宋体" w:cs="宋体"/>
                <w:color w:val="auto"/>
                <w:kern w:val="1"/>
              </w:rPr>
              <w:t>；梯蹬弯曲残余变形比值</w:t>
            </w:r>
            <w:r>
              <w:rPr>
                <w:rFonts w:ascii="宋体" w:hAnsi="宋体" w:cs="宋体"/>
                <w:color w:val="auto"/>
                <w:kern w:val="1"/>
              </w:rPr>
              <w:t>:</w:t>
            </w:r>
            <w:r>
              <w:rPr>
                <w:rFonts w:hint="eastAsia" w:ascii="宋体" w:hAnsi="宋体" w:cs="宋体"/>
                <w:color w:val="auto"/>
                <w:kern w:val="1"/>
              </w:rPr>
              <w:t>≤</w:t>
            </w:r>
            <w:r>
              <w:rPr>
                <w:rFonts w:ascii="宋体" w:hAnsi="宋体" w:cs="宋体"/>
                <w:color w:val="auto"/>
                <w:kern w:val="1"/>
              </w:rPr>
              <w:t>0.5%</w:t>
            </w:r>
            <w:r>
              <w:rPr>
                <w:rFonts w:hint="eastAsia" w:ascii="宋体" w:hAnsi="宋体" w:cs="宋体"/>
                <w:color w:val="auto"/>
                <w:kern w:val="1"/>
              </w:rPr>
              <w:t>；</w:t>
            </w:r>
            <w:r>
              <w:rPr>
                <w:rFonts w:ascii="宋体" w:hAnsi="宋体" w:cs="宋体"/>
                <w:color w:val="auto"/>
                <w:kern w:val="1"/>
              </w:rPr>
              <w:t>3</w:t>
            </w:r>
            <w:r>
              <w:rPr>
                <w:rFonts w:hint="eastAsia" w:ascii="宋体" w:hAnsi="宋体" w:cs="宋体"/>
                <w:color w:val="auto"/>
                <w:kern w:val="1"/>
              </w:rPr>
              <w:t>．重量：≤</w:t>
            </w:r>
            <w:r>
              <w:rPr>
                <w:rFonts w:ascii="宋体" w:hAnsi="宋体" w:cs="宋体"/>
                <w:color w:val="auto"/>
                <w:kern w:val="1"/>
              </w:rPr>
              <w:t>12</w:t>
            </w:r>
            <w:r>
              <w:rPr>
                <w:rFonts w:hint="eastAsia" w:ascii="宋体" w:hAnsi="宋体" w:cs="宋体"/>
                <w:color w:val="auto"/>
                <w:kern w:val="1"/>
              </w:rPr>
              <w:t>㎏；提供国家消防装备质量监督检验中心出具的检验报告复印件和公安部消防产品合格评定中心出具的中国国家强制性产品认证证书复印件。</w:t>
            </w:r>
          </w:p>
        </w:tc>
      </w:tr>
      <w:tr>
        <w:tblPrEx>
          <w:tblLayout w:type="fixed"/>
          <w:tblCellMar>
            <w:top w:w="0" w:type="dxa"/>
            <w:left w:w="10" w:type="dxa"/>
            <w:bottom w:w="0" w:type="dxa"/>
            <w:right w:w="10" w:type="dxa"/>
          </w:tblCellMar>
        </w:tblPrEx>
        <w:trPr>
          <w:trHeight w:val="2218" w:hRule="atLeast"/>
        </w:trPr>
        <w:tc>
          <w:tcPr>
            <w:tcW w:w="38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360" w:lineRule="auto"/>
              <w:jc w:val="center"/>
              <w:rPr>
                <w:rFonts w:ascii="宋体" w:cs="宋体"/>
                <w:color w:val="auto"/>
              </w:rPr>
            </w:pPr>
            <w:r>
              <w:rPr>
                <w:rFonts w:ascii="宋体" w:hAnsi="宋体" w:cs="宋体"/>
                <w:color w:val="auto"/>
                <w:kern w:val="1"/>
              </w:rPr>
              <w:t>11</w:t>
            </w:r>
          </w:p>
        </w:tc>
        <w:tc>
          <w:tcPr>
            <w:tcW w:w="306"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360" w:lineRule="auto"/>
              <w:rPr>
                <w:rFonts w:ascii="宋体" w:cs="宋体"/>
                <w:color w:val="auto"/>
              </w:rPr>
            </w:pPr>
          </w:p>
        </w:tc>
        <w:tc>
          <w:tcPr>
            <w:tcW w:w="52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360" w:lineRule="auto"/>
              <w:jc w:val="center"/>
              <w:rPr>
                <w:rFonts w:ascii="宋体" w:cs="宋体"/>
                <w:color w:val="auto"/>
              </w:rPr>
            </w:pPr>
            <w:r>
              <w:rPr>
                <w:rFonts w:hint="eastAsia" w:ascii="宋体" w:hAnsi="宋体" w:cs="宋体"/>
                <w:color w:val="auto"/>
                <w:kern w:val="1"/>
              </w:rPr>
              <w:t>室外消火栓扳手</w:t>
            </w:r>
          </w:p>
        </w:tc>
        <w:tc>
          <w:tcPr>
            <w:tcW w:w="7263"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360" w:lineRule="auto"/>
              <w:rPr>
                <w:rFonts w:ascii="宋体" w:cs="宋体"/>
                <w:color w:val="auto"/>
              </w:rPr>
            </w:pPr>
            <w:r>
              <w:rPr>
                <w:rFonts w:hint="eastAsia" w:ascii="宋体" w:hAnsi="宋体" w:cs="宋体"/>
                <w:color w:val="auto"/>
                <w:kern w:val="1"/>
              </w:rPr>
              <w:t>消防扳手可用于日常应急消防、便于辅助消防栓的正常开启及使用，在消防工作里起到重要的作用，并且在平时的日常工作中，也可以适用于车用拆修、民用维护、工厂作业等等，适用范围广泛！</w:t>
            </w:r>
            <w:r>
              <w:rPr>
                <w:rFonts w:ascii="宋体" w:cs="宋体"/>
                <w:color w:val="auto"/>
                <w:kern w:val="1"/>
              </w:rPr>
              <w:br w:type="textWrapping"/>
            </w:r>
            <w:r>
              <w:rPr>
                <w:rFonts w:hint="eastAsia" w:ascii="宋体" w:hAnsi="宋体" w:cs="宋体"/>
                <w:color w:val="auto"/>
                <w:kern w:val="1"/>
              </w:rPr>
              <w:t>扳手本身采用红色防锈涂层，防锈耐用。</w:t>
            </w:r>
            <w:r>
              <w:rPr>
                <w:rFonts w:ascii="宋体" w:cs="宋体"/>
                <w:color w:val="auto"/>
                <w:kern w:val="1"/>
              </w:rPr>
              <w:br w:type="textWrapping"/>
            </w:r>
            <w:r>
              <w:rPr>
                <w:rFonts w:hint="eastAsia" w:ascii="宋体" w:hAnsi="宋体" w:cs="宋体"/>
                <w:color w:val="auto"/>
                <w:kern w:val="1"/>
              </w:rPr>
              <w:t>长度：≥</w:t>
            </w:r>
            <w:r>
              <w:rPr>
                <w:rFonts w:ascii="宋体" w:hAnsi="宋体" w:cs="宋体"/>
                <w:color w:val="auto"/>
                <w:kern w:val="1"/>
              </w:rPr>
              <w:t>35cm</w:t>
            </w:r>
            <w:r>
              <w:rPr>
                <w:rFonts w:ascii="宋体" w:hAnsi="宋体" w:cs="宋体"/>
                <w:color w:val="auto"/>
                <w:kern w:val="1"/>
              </w:rPr>
              <w:br w:type="textWrapping"/>
            </w:r>
            <w:r>
              <w:rPr>
                <w:rFonts w:hint="eastAsia" w:ascii="宋体" w:hAnsi="宋体" w:cs="宋体"/>
                <w:color w:val="auto"/>
                <w:kern w:val="1"/>
              </w:rPr>
              <w:t>开口尺寸：</w:t>
            </w:r>
            <w:r>
              <w:rPr>
                <w:rFonts w:ascii="宋体" w:hAnsi="宋体" w:cs="宋体"/>
                <w:color w:val="auto"/>
                <w:kern w:val="1"/>
              </w:rPr>
              <w:t>5.5</w:t>
            </w:r>
            <w:r>
              <w:rPr>
                <w:rFonts w:hint="eastAsia" w:ascii="宋体" w:hAnsi="宋体" w:cs="宋体"/>
                <w:color w:val="auto"/>
                <w:kern w:val="1"/>
              </w:rPr>
              <w:t>±</w:t>
            </w:r>
            <w:r>
              <w:rPr>
                <w:rFonts w:ascii="宋体" w:hAnsi="宋体" w:cs="宋体"/>
                <w:color w:val="auto"/>
                <w:kern w:val="1"/>
              </w:rPr>
              <w:t>0.5cm</w:t>
            </w:r>
            <w:r>
              <w:rPr>
                <w:rFonts w:hint="eastAsia" w:ascii="宋体" w:hAnsi="宋体" w:cs="宋体"/>
                <w:color w:val="auto"/>
                <w:kern w:val="1"/>
              </w:rPr>
              <w:t>范围内</w:t>
            </w:r>
            <w:r>
              <w:rPr>
                <w:rFonts w:ascii="宋体" w:cs="宋体"/>
                <w:color w:val="auto"/>
                <w:kern w:val="1"/>
              </w:rPr>
              <w:br w:type="textWrapping"/>
            </w:r>
            <w:r>
              <w:rPr>
                <w:rFonts w:hint="eastAsia" w:ascii="宋体" w:hAnsi="宋体" w:cs="宋体"/>
                <w:color w:val="auto"/>
                <w:kern w:val="1"/>
              </w:rPr>
              <w:t>地上式，高强度金属材质，不易断裂及变形。</w:t>
            </w:r>
            <w:r>
              <w:rPr>
                <w:rFonts w:ascii="宋体" w:cs="宋体"/>
                <w:color w:val="auto"/>
                <w:kern w:val="1"/>
              </w:rPr>
              <w:br w:type="textWrapping"/>
            </w:r>
            <w:r>
              <w:rPr>
                <w:rFonts w:hint="eastAsia" w:ascii="宋体" w:hAnsi="宋体" w:cs="宋体"/>
                <w:color w:val="auto"/>
                <w:kern w:val="1"/>
              </w:rPr>
              <w:t>消防专用工具，用于地上开启和维修消防栓之用，高强度金属材质，不易断裂及变形。符合国家相关标准。</w:t>
            </w:r>
          </w:p>
        </w:tc>
      </w:tr>
      <w:tr>
        <w:tblPrEx>
          <w:tblLayout w:type="fixed"/>
          <w:tblCellMar>
            <w:top w:w="0" w:type="dxa"/>
            <w:left w:w="10" w:type="dxa"/>
            <w:bottom w:w="0" w:type="dxa"/>
            <w:right w:w="10" w:type="dxa"/>
          </w:tblCellMar>
        </w:tblPrEx>
        <w:trPr>
          <w:trHeight w:val="489" w:hRule="atLeast"/>
        </w:trPr>
        <w:tc>
          <w:tcPr>
            <w:tcW w:w="38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360" w:lineRule="auto"/>
              <w:jc w:val="center"/>
              <w:rPr>
                <w:rFonts w:ascii="宋体" w:cs="宋体"/>
                <w:color w:val="auto"/>
              </w:rPr>
            </w:pPr>
            <w:r>
              <w:rPr>
                <w:rFonts w:ascii="宋体" w:hAnsi="宋体" w:cs="宋体"/>
                <w:color w:val="auto"/>
                <w:kern w:val="1"/>
              </w:rPr>
              <w:t>12</w:t>
            </w:r>
          </w:p>
        </w:tc>
        <w:tc>
          <w:tcPr>
            <w:tcW w:w="306"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360" w:lineRule="auto"/>
              <w:jc w:val="center"/>
              <w:rPr>
                <w:rFonts w:ascii="宋体" w:cs="宋体"/>
                <w:color w:val="auto"/>
              </w:rPr>
            </w:pPr>
            <w:r>
              <w:rPr>
                <w:rFonts w:hint="eastAsia" w:ascii="宋体" w:hAnsi="宋体" w:cs="宋体"/>
                <w:color w:val="auto"/>
                <w:kern w:val="1"/>
              </w:rPr>
              <w:t>破拆</w:t>
            </w:r>
            <w:r>
              <w:rPr>
                <w:rFonts w:ascii="宋体" w:cs="宋体"/>
                <w:color w:val="auto"/>
                <w:kern w:val="1"/>
              </w:rPr>
              <w:br w:type="textWrapping"/>
            </w:r>
            <w:r>
              <w:rPr>
                <w:rFonts w:hint="eastAsia" w:ascii="宋体" w:hAnsi="宋体" w:cs="宋体"/>
                <w:color w:val="auto"/>
                <w:kern w:val="1"/>
              </w:rPr>
              <w:t>器材</w:t>
            </w:r>
          </w:p>
        </w:tc>
        <w:tc>
          <w:tcPr>
            <w:tcW w:w="52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360" w:lineRule="auto"/>
              <w:jc w:val="center"/>
              <w:rPr>
                <w:rFonts w:ascii="宋体" w:cs="宋体"/>
                <w:color w:val="auto"/>
              </w:rPr>
            </w:pPr>
            <w:r>
              <w:rPr>
                <w:rFonts w:hint="eastAsia" w:ascii="宋体" w:hAnsi="宋体" w:cs="宋体"/>
                <w:color w:val="auto"/>
                <w:kern w:val="1"/>
              </w:rPr>
              <w:t>大斧</w:t>
            </w:r>
          </w:p>
        </w:tc>
        <w:tc>
          <w:tcPr>
            <w:tcW w:w="7263"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360" w:lineRule="auto"/>
              <w:rPr>
                <w:rFonts w:ascii="宋体" w:cs="宋体"/>
                <w:color w:val="auto"/>
              </w:rPr>
            </w:pPr>
            <w:r>
              <w:rPr>
                <w:rFonts w:hint="eastAsia" w:ascii="宋体" w:hAnsi="宋体" w:cs="宋体"/>
                <w:color w:val="auto"/>
                <w:kern w:val="1"/>
              </w:rPr>
              <w:t>长度≥</w:t>
            </w:r>
            <w:r>
              <w:rPr>
                <w:rFonts w:ascii="宋体" w:hAnsi="宋体" w:cs="宋体"/>
                <w:color w:val="auto"/>
                <w:kern w:val="1"/>
              </w:rPr>
              <w:t>800mm</w:t>
            </w:r>
            <w:r>
              <w:rPr>
                <w:rFonts w:hint="eastAsia" w:ascii="宋体" w:hAnsi="宋体" w:cs="宋体"/>
                <w:color w:val="auto"/>
                <w:kern w:val="1"/>
              </w:rPr>
              <w:t>，木质长柄，无裂纹、夹层、锈斑现象，涂漆表面光滑，色泽均匀一致，无漏漆、起泡、剥落和缩皱现象。</w:t>
            </w:r>
          </w:p>
        </w:tc>
      </w:tr>
      <w:tr>
        <w:tblPrEx>
          <w:tblLayout w:type="fixed"/>
          <w:tblCellMar>
            <w:top w:w="0" w:type="dxa"/>
            <w:left w:w="10" w:type="dxa"/>
            <w:bottom w:w="0" w:type="dxa"/>
            <w:right w:w="10" w:type="dxa"/>
          </w:tblCellMar>
        </w:tblPrEx>
        <w:trPr>
          <w:trHeight w:val="663" w:hRule="atLeast"/>
        </w:trPr>
        <w:tc>
          <w:tcPr>
            <w:tcW w:w="38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360" w:lineRule="auto"/>
              <w:jc w:val="center"/>
              <w:rPr>
                <w:rFonts w:ascii="宋体" w:cs="宋体"/>
                <w:color w:val="auto"/>
              </w:rPr>
            </w:pPr>
            <w:r>
              <w:rPr>
                <w:rFonts w:ascii="宋体" w:hAnsi="宋体" w:cs="宋体"/>
                <w:color w:val="auto"/>
                <w:kern w:val="1"/>
              </w:rPr>
              <w:t>13</w:t>
            </w:r>
          </w:p>
        </w:tc>
        <w:tc>
          <w:tcPr>
            <w:tcW w:w="306"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360" w:lineRule="auto"/>
              <w:rPr>
                <w:rFonts w:ascii="宋体" w:cs="宋体"/>
                <w:color w:val="auto"/>
              </w:rPr>
            </w:pPr>
          </w:p>
        </w:tc>
        <w:tc>
          <w:tcPr>
            <w:tcW w:w="52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360" w:lineRule="auto"/>
              <w:jc w:val="center"/>
              <w:rPr>
                <w:rFonts w:ascii="宋体" w:cs="宋体"/>
                <w:color w:val="auto"/>
              </w:rPr>
            </w:pPr>
            <w:r>
              <w:rPr>
                <w:rFonts w:hint="eastAsia" w:ascii="宋体" w:hAnsi="宋体" w:cs="宋体"/>
                <w:color w:val="auto"/>
                <w:kern w:val="1"/>
              </w:rPr>
              <w:t>绝缘剪断钳</w:t>
            </w:r>
          </w:p>
        </w:tc>
        <w:tc>
          <w:tcPr>
            <w:tcW w:w="7263"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tcPr>
          <w:p>
            <w:pPr>
              <w:spacing w:line="360" w:lineRule="auto"/>
              <w:rPr>
                <w:rFonts w:ascii="宋体" w:cs="宋体"/>
                <w:color w:val="auto"/>
              </w:rPr>
            </w:pPr>
            <w:r>
              <w:rPr>
                <w:rFonts w:hint="eastAsia" w:ascii="宋体" w:hAnsi="宋体" w:cs="宋体"/>
                <w:color w:val="auto"/>
                <w:kern w:val="1"/>
              </w:rPr>
              <w:t>用于切断灾害现场的电源，避免易燃易爆物品发生二次事故，抗电压≥</w:t>
            </w:r>
            <w:r>
              <w:rPr>
                <w:rFonts w:ascii="宋体" w:hAnsi="宋体" w:cs="宋体"/>
                <w:color w:val="auto"/>
                <w:kern w:val="1"/>
              </w:rPr>
              <w:t>5000</w:t>
            </w:r>
            <w:r>
              <w:rPr>
                <w:rFonts w:hint="eastAsia" w:ascii="宋体" w:hAnsi="宋体" w:cs="宋体"/>
                <w:color w:val="auto"/>
                <w:kern w:val="1"/>
              </w:rPr>
              <w:t>伏。刀头优质碳钢锻压</w:t>
            </w:r>
            <w:r>
              <w:rPr>
                <w:rFonts w:ascii="宋体" w:cs="宋体"/>
                <w:color w:val="auto"/>
                <w:kern w:val="1"/>
              </w:rPr>
              <w:t>,</w:t>
            </w:r>
            <w:r>
              <w:rPr>
                <w:rFonts w:hint="eastAsia" w:ascii="宋体" w:hAnsi="宋体" w:cs="宋体"/>
                <w:color w:val="auto"/>
                <w:kern w:val="1"/>
              </w:rPr>
              <w:t>整体热处理</w:t>
            </w:r>
            <w:r>
              <w:rPr>
                <w:rFonts w:ascii="宋体" w:cs="宋体"/>
                <w:color w:val="auto"/>
                <w:kern w:val="1"/>
              </w:rPr>
              <w:t>,</w:t>
            </w:r>
            <w:r>
              <w:rPr>
                <w:rFonts w:hint="eastAsia" w:ascii="宋体" w:hAnsi="宋体" w:cs="宋体"/>
                <w:color w:val="auto"/>
                <w:kern w:val="1"/>
              </w:rPr>
              <w:t>刃口高频感应淬火</w:t>
            </w:r>
            <w:r>
              <w:rPr>
                <w:rFonts w:ascii="宋体" w:cs="宋体"/>
                <w:color w:val="auto"/>
                <w:kern w:val="1"/>
              </w:rPr>
              <w:t>,</w:t>
            </w:r>
            <w:r>
              <w:rPr>
                <w:rFonts w:hint="eastAsia" w:ascii="宋体" w:hAnsi="宋体" w:cs="宋体"/>
                <w:color w:val="auto"/>
                <w:kern w:val="1"/>
              </w:rPr>
              <w:t>连臂一侧螺栓调节间隙</w:t>
            </w:r>
            <w:r>
              <w:rPr>
                <w:rFonts w:ascii="宋体" w:cs="宋体"/>
                <w:color w:val="auto"/>
                <w:kern w:val="1"/>
              </w:rPr>
              <w:t>,</w:t>
            </w:r>
            <w:r>
              <w:rPr>
                <w:rFonts w:hint="eastAsia" w:ascii="宋体" w:hAnsi="宋体" w:cs="宋体"/>
                <w:color w:val="auto"/>
                <w:kern w:val="1"/>
              </w:rPr>
              <w:t>剪切硬度≤</w:t>
            </w:r>
            <w:r>
              <w:rPr>
                <w:rFonts w:ascii="宋体" w:hAnsi="宋体" w:cs="宋体"/>
                <w:color w:val="auto"/>
                <w:kern w:val="1"/>
              </w:rPr>
              <w:t>HRC30</w:t>
            </w:r>
            <w:r>
              <w:rPr>
                <w:rFonts w:hint="eastAsia" w:ascii="宋体" w:hAnsi="宋体" w:cs="宋体"/>
                <w:color w:val="auto"/>
                <w:kern w:val="1"/>
              </w:rPr>
              <w:t>。</w:t>
            </w:r>
          </w:p>
        </w:tc>
      </w:tr>
      <w:tr>
        <w:tblPrEx>
          <w:tblLayout w:type="fixed"/>
          <w:tblCellMar>
            <w:top w:w="0" w:type="dxa"/>
            <w:left w:w="10" w:type="dxa"/>
            <w:bottom w:w="0" w:type="dxa"/>
            <w:right w:w="10" w:type="dxa"/>
          </w:tblCellMar>
        </w:tblPrEx>
        <w:trPr>
          <w:trHeight w:val="90" w:hRule="atLeast"/>
        </w:trPr>
        <w:tc>
          <w:tcPr>
            <w:tcW w:w="38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360" w:lineRule="auto"/>
              <w:jc w:val="center"/>
              <w:rPr>
                <w:rFonts w:ascii="宋体" w:cs="宋体"/>
                <w:color w:val="auto"/>
              </w:rPr>
            </w:pPr>
            <w:r>
              <w:rPr>
                <w:rFonts w:ascii="宋体" w:hAnsi="宋体" w:cs="宋体"/>
                <w:color w:val="auto"/>
                <w:kern w:val="1"/>
              </w:rPr>
              <w:t>14</w:t>
            </w:r>
          </w:p>
        </w:tc>
        <w:tc>
          <w:tcPr>
            <w:tcW w:w="306"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360" w:lineRule="auto"/>
              <w:rPr>
                <w:rFonts w:ascii="宋体" w:cs="宋体"/>
                <w:color w:val="auto"/>
              </w:rPr>
            </w:pPr>
          </w:p>
        </w:tc>
        <w:tc>
          <w:tcPr>
            <w:tcW w:w="525"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bottom w:w="15" w:type="dxa"/>
              <w:right w:w="15" w:type="dxa"/>
            </w:tcMar>
            <w:vAlign w:val="center"/>
          </w:tcPr>
          <w:p>
            <w:pPr>
              <w:spacing w:line="360" w:lineRule="auto"/>
              <w:jc w:val="center"/>
              <w:rPr>
                <w:rFonts w:ascii="宋体" w:cs="宋体"/>
                <w:color w:val="auto"/>
              </w:rPr>
            </w:pPr>
            <w:r>
              <w:rPr>
                <w:rFonts w:hint="eastAsia" w:ascii="宋体" w:hAnsi="宋体" w:cs="宋体"/>
                <w:color w:val="auto"/>
                <w:kern w:val="1"/>
              </w:rPr>
              <w:t>铁铤</w:t>
            </w:r>
          </w:p>
        </w:tc>
        <w:tc>
          <w:tcPr>
            <w:tcW w:w="7263"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360" w:lineRule="auto"/>
              <w:rPr>
                <w:rFonts w:ascii="宋体" w:cs="宋体"/>
                <w:color w:val="auto"/>
              </w:rPr>
            </w:pPr>
            <w:r>
              <w:rPr>
                <w:rFonts w:hint="eastAsia" w:ascii="宋体" w:hAnsi="宋体" w:cs="宋体"/>
                <w:color w:val="auto"/>
                <w:kern w:val="1"/>
              </w:rPr>
              <w:t>用于破拆门窗、地板、吊顶、适用于消防救援。采用优质钢制成，经防腐防锈处理而成。符合国家相关标准。</w:t>
            </w:r>
          </w:p>
        </w:tc>
      </w:tr>
      <w:tr>
        <w:tblPrEx>
          <w:tblLayout w:type="fixed"/>
          <w:tblCellMar>
            <w:top w:w="0" w:type="dxa"/>
            <w:left w:w="10" w:type="dxa"/>
            <w:bottom w:w="0" w:type="dxa"/>
            <w:right w:w="10" w:type="dxa"/>
          </w:tblCellMar>
        </w:tblPrEx>
        <w:trPr>
          <w:trHeight w:val="323" w:hRule="atLeast"/>
        </w:trPr>
        <w:tc>
          <w:tcPr>
            <w:tcW w:w="38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360" w:lineRule="auto"/>
              <w:jc w:val="center"/>
              <w:rPr>
                <w:rFonts w:ascii="宋体" w:cs="宋体"/>
                <w:color w:val="auto"/>
              </w:rPr>
            </w:pPr>
            <w:r>
              <w:rPr>
                <w:rFonts w:ascii="宋体" w:hAnsi="宋体" w:cs="宋体"/>
                <w:color w:val="auto"/>
                <w:kern w:val="1"/>
              </w:rPr>
              <w:t>15</w:t>
            </w:r>
          </w:p>
        </w:tc>
        <w:tc>
          <w:tcPr>
            <w:tcW w:w="306"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360" w:lineRule="auto"/>
              <w:rPr>
                <w:rFonts w:ascii="宋体" w:cs="宋体"/>
                <w:color w:val="auto"/>
              </w:rPr>
            </w:pPr>
          </w:p>
        </w:tc>
        <w:tc>
          <w:tcPr>
            <w:tcW w:w="525"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bottom w:w="15" w:type="dxa"/>
              <w:right w:w="15" w:type="dxa"/>
            </w:tcMar>
            <w:vAlign w:val="center"/>
          </w:tcPr>
          <w:p>
            <w:pPr>
              <w:spacing w:line="360" w:lineRule="auto"/>
              <w:jc w:val="center"/>
              <w:rPr>
                <w:rFonts w:ascii="宋体" w:cs="宋体"/>
                <w:color w:val="auto"/>
              </w:rPr>
            </w:pPr>
            <w:r>
              <w:rPr>
                <w:rFonts w:hint="eastAsia" w:ascii="宋体" w:hAnsi="宋体" w:cs="宋体"/>
                <w:color w:val="auto"/>
                <w:kern w:val="1"/>
              </w:rPr>
              <w:t>机动链锯</w:t>
            </w:r>
          </w:p>
        </w:tc>
        <w:tc>
          <w:tcPr>
            <w:tcW w:w="7263"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tcPr>
          <w:p>
            <w:pPr>
              <w:spacing w:line="360" w:lineRule="auto"/>
              <w:rPr>
                <w:rFonts w:ascii="宋体" w:cs="宋体"/>
                <w:color w:val="auto"/>
              </w:rPr>
            </w:pPr>
            <w:r>
              <w:rPr>
                <w:rFonts w:hint="eastAsia" w:ascii="宋体" w:hAnsi="宋体" w:cs="宋体"/>
                <w:color w:val="auto"/>
                <w:kern w:val="1"/>
              </w:rPr>
              <w:t>离心式清洁进气系统减小发动机磨损，延长气滤清理间隔周期，坚固的曲轴箱可承受专业操作下高转速的冲击，确保长期工作寿命。发动机和启动器的设计具有省力迅速启动的功能。启动绳阴力降低达</w:t>
            </w:r>
            <w:r>
              <w:rPr>
                <w:rFonts w:ascii="宋体" w:hAnsi="宋体" w:cs="宋体"/>
                <w:color w:val="auto"/>
                <w:kern w:val="1"/>
              </w:rPr>
              <w:t>40%</w:t>
            </w:r>
            <w:r>
              <w:rPr>
                <w:rFonts w:hint="eastAsia" w:ascii="宋体" w:hAnsi="宋体" w:cs="宋体"/>
                <w:color w:val="auto"/>
                <w:kern w:val="1"/>
              </w:rPr>
              <w:t>。铸造三件式曲轴，具有恶劣使用环境下最高的耐用度。技术参数：汽缸排量：≥</w:t>
            </w:r>
            <w:r>
              <w:rPr>
                <w:rFonts w:ascii="宋体" w:hAnsi="宋体" w:cs="宋体"/>
                <w:color w:val="auto"/>
                <w:kern w:val="1"/>
              </w:rPr>
              <w:t>50</w:t>
            </w:r>
            <w:r>
              <w:rPr>
                <w:rFonts w:hint="eastAsia" w:ascii="宋体" w:hAnsi="宋体" w:cs="宋体"/>
                <w:color w:val="auto"/>
                <w:kern w:val="1"/>
              </w:rPr>
              <w:t>㎝</w:t>
            </w:r>
            <w:r>
              <w:rPr>
                <w:rFonts w:ascii="宋体" w:hAnsi="宋体" w:cs="宋体"/>
                <w:color w:val="auto"/>
                <w:kern w:val="1"/>
              </w:rPr>
              <w:t>3</w:t>
            </w:r>
            <w:r>
              <w:rPr>
                <w:rFonts w:hint="eastAsia" w:ascii="宋体" w:hAnsi="宋体" w:cs="宋体"/>
                <w:color w:val="auto"/>
                <w:kern w:val="1"/>
              </w:rPr>
              <w:t>，功率≥</w:t>
            </w:r>
            <w:r>
              <w:rPr>
                <w:rFonts w:ascii="宋体" w:hAnsi="宋体" w:cs="宋体"/>
                <w:color w:val="auto"/>
                <w:kern w:val="1"/>
              </w:rPr>
              <w:t>3.0KW</w:t>
            </w:r>
            <w:r>
              <w:rPr>
                <w:rFonts w:hint="eastAsia" w:ascii="宋体" w:hAnsi="宋体" w:cs="宋体"/>
                <w:color w:val="auto"/>
                <w:kern w:val="1"/>
              </w:rPr>
              <w:t>，怠速≥</w:t>
            </w:r>
            <w:r>
              <w:rPr>
                <w:rFonts w:ascii="宋体" w:hAnsi="宋体" w:cs="宋体"/>
                <w:color w:val="auto"/>
                <w:kern w:val="1"/>
              </w:rPr>
              <w:t>2700rpm</w:t>
            </w:r>
            <w:r>
              <w:rPr>
                <w:rFonts w:hint="eastAsia" w:ascii="宋体" w:hAnsi="宋体" w:cs="宋体"/>
                <w:color w:val="auto"/>
                <w:kern w:val="1"/>
              </w:rPr>
              <w:t>，最高功率转速≥</w:t>
            </w:r>
            <w:r>
              <w:rPr>
                <w:rFonts w:ascii="宋体" w:hAnsi="宋体" w:cs="宋体"/>
                <w:color w:val="auto"/>
                <w:kern w:val="1"/>
              </w:rPr>
              <w:t>8000rpm</w:t>
            </w:r>
            <w:r>
              <w:rPr>
                <w:rFonts w:hint="eastAsia" w:ascii="宋体" w:hAnsi="宋体" w:cs="宋体"/>
                <w:color w:val="auto"/>
                <w:kern w:val="1"/>
              </w:rPr>
              <w:t>，气缸缸径≥</w:t>
            </w:r>
            <w:r>
              <w:rPr>
                <w:rFonts w:ascii="宋体" w:hAnsi="宋体" w:cs="宋体"/>
                <w:color w:val="auto"/>
                <w:kern w:val="1"/>
              </w:rPr>
              <w:t>40</w:t>
            </w:r>
            <w:r>
              <w:rPr>
                <w:rFonts w:hint="eastAsia" w:ascii="宋体" w:hAnsi="宋体" w:cs="宋体"/>
                <w:color w:val="auto"/>
                <w:kern w:val="1"/>
              </w:rPr>
              <w:t>㎜，点火线圈间隙≥</w:t>
            </w:r>
            <w:r>
              <w:rPr>
                <w:rFonts w:ascii="宋体" w:hAnsi="宋体" w:cs="宋体"/>
                <w:color w:val="auto"/>
                <w:kern w:val="1"/>
              </w:rPr>
              <w:t>0.3</w:t>
            </w:r>
            <w:r>
              <w:rPr>
                <w:rFonts w:hint="eastAsia" w:ascii="宋体" w:hAnsi="宋体" w:cs="宋体"/>
                <w:color w:val="auto"/>
                <w:kern w:val="1"/>
              </w:rPr>
              <w:t>㎜，火花塞电极间隙≥</w:t>
            </w:r>
            <w:r>
              <w:rPr>
                <w:rFonts w:ascii="宋体" w:hAnsi="宋体" w:cs="宋体"/>
                <w:color w:val="auto"/>
                <w:kern w:val="1"/>
              </w:rPr>
              <w:t>0.5</w:t>
            </w:r>
            <w:r>
              <w:rPr>
                <w:rFonts w:hint="eastAsia" w:ascii="宋体" w:hAnsi="宋体" w:cs="宋体"/>
                <w:color w:val="auto"/>
                <w:kern w:val="1"/>
              </w:rPr>
              <w:t>㎜，油箱容量≤</w:t>
            </w:r>
            <w:r>
              <w:rPr>
                <w:rFonts w:ascii="宋体" w:hAnsi="宋体" w:cs="宋体"/>
                <w:color w:val="auto"/>
                <w:kern w:val="1"/>
              </w:rPr>
              <w:t>0.8</w:t>
            </w:r>
            <w:r>
              <w:rPr>
                <w:rFonts w:hint="eastAsia" w:ascii="宋体" w:hAnsi="宋体" w:cs="宋体"/>
                <w:color w:val="auto"/>
                <w:kern w:val="1"/>
              </w:rPr>
              <w:t>升，链条润滑油箱容量≤</w:t>
            </w:r>
            <w:r>
              <w:rPr>
                <w:rFonts w:ascii="宋体" w:hAnsi="宋体" w:cs="宋体"/>
                <w:color w:val="auto"/>
                <w:kern w:val="1"/>
              </w:rPr>
              <w:t>0.5</w:t>
            </w:r>
            <w:r>
              <w:rPr>
                <w:rFonts w:hint="eastAsia" w:ascii="宋体" w:hAnsi="宋体" w:cs="宋体"/>
                <w:color w:val="auto"/>
                <w:kern w:val="1"/>
              </w:rPr>
              <w:t>升，机油泵类型为可调流量，链条润滑油泵流量</w:t>
            </w:r>
            <w:r>
              <w:rPr>
                <w:rFonts w:ascii="宋体" w:hAnsi="宋体" w:cs="宋体"/>
                <w:color w:val="auto"/>
                <w:kern w:val="1"/>
              </w:rPr>
              <w:t>4-20</w:t>
            </w:r>
            <w:r>
              <w:rPr>
                <w:rFonts w:hint="eastAsia" w:ascii="宋体" w:hAnsi="宋体" w:cs="宋体"/>
                <w:color w:val="auto"/>
                <w:kern w:val="1"/>
              </w:rPr>
              <w:t>毫升</w:t>
            </w:r>
            <w:r>
              <w:rPr>
                <w:rFonts w:ascii="宋体" w:hAnsi="宋体" w:cs="宋体"/>
                <w:color w:val="auto"/>
                <w:kern w:val="1"/>
              </w:rPr>
              <w:t>/</w:t>
            </w:r>
            <w:r>
              <w:rPr>
                <w:rFonts w:hint="eastAsia" w:ascii="宋体" w:hAnsi="宋体" w:cs="宋体"/>
                <w:color w:val="auto"/>
                <w:kern w:val="1"/>
              </w:rPr>
              <w:t>分钟，链条节距</w:t>
            </w:r>
            <w:r>
              <w:rPr>
                <w:rFonts w:ascii="宋体" w:hAnsi="宋体" w:cs="宋体"/>
                <w:color w:val="auto"/>
                <w:kern w:val="1"/>
              </w:rPr>
              <w:t>3/8"</w:t>
            </w:r>
            <w:r>
              <w:rPr>
                <w:rFonts w:hint="eastAsia" w:ascii="宋体" w:hAnsi="宋体" w:cs="宋体"/>
                <w:color w:val="auto"/>
                <w:kern w:val="1"/>
              </w:rPr>
              <w:t>，导板长度</w:t>
            </w:r>
            <w:r>
              <w:rPr>
                <w:rFonts w:ascii="宋体" w:hAnsi="宋体" w:cs="宋体"/>
                <w:color w:val="auto"/>
                <w:kern w:val="1"/>
              </w:rPr>
              <w:t>12-30</w:t>
            </w:r>
            <w:r>
              <w:rPr>
                <w:rFonts w:hint="eastAsia" w:ascii="宋体" w:hAnsi="宋体" w:cs="宋体"/>
                <w:color w:val="auto"/>
                <w:kern w:val="1"/>
              </w:rPr>
              <w:t>寸，最大功率时链条速度≥</w:t>
            </w:r>
            <w:r>
              <w:rPr>
                <w:rFonts w:ascii="宋体" w:hAnsi="宋体" w:cs="宋体"/>
                <w:color w:val="auto"/>
                <w:kern w:val="1"/>
              </w:rPr>
              <w:t>15m/s</w:t>
            </w:r>
            <w:r>
              <w:rPr>
                <w:rFonts w:hint="eastAsia" w:ascii="宋体" w:hAnsi="宋体" w:cs="宋体"/>
                <w:color w:val="auto"/>
                <w:kern w:val="1"/>
              </w:rPr>
              <w:t>，动力切割机（不带切割锯片或燃油）≤</w:t>
            </w:r>
            <w:r>
              <w:rPr>
                <w:rFonts w:ascii="宋体" w:hAnsi="宋体" w:cs="宋体"/>
                <w:color w:val="auto"/>
                <w:kern w:val="1"/>
              </w:rPr>
              <w:t>15kg</w:t>
            </w:r>
            <w:r>
              <w:rPr>
                <w:rFonts w:hint="eastAsia" w:ascii="宋体" w:hAnsi="宋体" w:cs="宋体"/>
                <w:color w:val="auto"/>
                <w:kern w:val="1"/>
              </w:rPr>
              <w:t>。配置随机工具、机油、</w:t>
            </w:r>
            <w:r>
              <w:rPr>
                <w:rFonts w:ascii="宋体" w:hAnsi="宋体" w:cs="宋体"/>
                <w:color w:val="auto"/>
                <w:kern w:val="1"/>
              </w:rPr>
              <w:t>5</w:t>
            </w:r>
            <w:r>
              <w:rPr>
                <w:rFonts w:hint="eastAsia" w:ascii="宋体" w:hAnsi="宋体" w:cs="宋体"/>
                <w:color w:val="auto"/>
                <w:kern w:val="1"/>
              </w:rPr>
              <w:t>条链条、混合比油壶</w:t>
            </w:r>
            <w:r>
              <w:rPr>
                <w:rFonts w:ascii="宋体" w:hAnsi="宋体" w:cs="宋体"/>
                <w:color w:val="auto"/>
                <w:kern w:val="1"/>
              </w:rPr>
              <w:t>1</w:t>
            </w:r>
            <w:r>
              <w:rPr>
                <w:rFonts w:hint="eastAsia" w:ascii="宋体" w:hAnsi="宋体" w:cs="宋体"/>
                <w:color w:val="auto"/>
                <w:kern w:val="1"/>
              </w:rPr>
              <w:t>个等，国际知名品牌。</w:t>
            </w:r>
          </w:p>
        </w:tc>
      </w:tr>
      <w:tr>
        <w:tblPrEx>
          <w:tblLayout w:type="fixed"/>
          <w:tblCellMar>
            <w:top w:w="0" w:type="dxa"/>
            <w:left w:w="10" w:type="dxa"/>
            <w:bottom w:w="0" w:type="dxa"/>
            <w:right w:w="10" w:type="dxa"/>
          </w:tblCellMar>
        </w:tblPrEx>
        <w:trPr>
          <w:trHeight w:val="1285" w:hRule="atLeast"/>
        </w:trPr>
        <w:tc>
          <w:tcPr>
            <w:tcW w:w="38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360" w:lineRule="auto"/>
              <w:jc w:val="center"/>
              <w:rPr>
                <w:rFonts w:ascii="宋体" w:cs="宋体"/>
                <w:color w:val="auto"/>
              </w:rPr>
            </w:pPr>
            <w:r>
              <w:rPr>
                <w:rFonts w:ascii="宋体" w:hAnsi="宋体" w:cs="宋体"/>
                <w:color w:val="auto"/>
                <w:kern w:val="1"/>
              </w:rPr>
              <w:t>16</w:t>
            </w:r>
          </w:p>
        </w:tc>
        <w:tc>
          <w:tcPr>
            <w:tcW w:w="306"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360" w:lineRule="auto"/>
              <w:rPr>
                <w:rFonts w:ascii="宋体" w:cs="宋体"/>
                <w:color w:val="auto"/>
              </w:rPr>
            </w:pPr>
          </w:p>
        </w:tc>
        <w:tc>
          <w:tcPr>
            <w:tcW w:w="525"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bottom w:w="15" w:type="dxa"/>
              <w:right w:w="15" w:type="dxa"/>
            </w:tcMar>
            <w:vAlign w:val="center"/>
          </w:tcPr>
          <w:p>
            <w:pPr>
              <w:spacing w:line="360" w:lineRule="auto"/>
              <w:jc w:val="center"/>
              <w:rPr>
                <w:rFonts w:ascii="宋体" w:cs="宋体"/>
                <w:color w:val="auto"/>
              </w:rPr>
            </w:pPr>
            <w:r>
              <w:rPr>
                <w:rFonts w:hint="eastAsia" w:ascii="宋体" w:hAnsi="宋体" w:cs="宋体"/>
                <w:color w:val="auto"/>
                <w:kern w:val="1"/>
              </w:rPr>
              <w:t>无齿锯</w:t>
            </w:r>
          </w:p>
        </w:tc>
        <w:tc>
          <w:tcPr>
            <w:tcW w:w="7263"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360" w:lineRule="auto"/>
              <w:rPr>
                <w:rFonts w:ascii="宋体" w:cs="宋体"/>
                <w:color w:val="auto"/>
              </w:rPr>
            </w:pPr>
            <w:r>
              <w:rPr>
                <w:rFonts w:hint="eastAsia" w:ascii="宋体" w:hAnsi="宋体" w:cs="宋体"/>
                <w:color w:val="auto"/>
                <w:kern w:val="1"/>
              </w:rPr>
              <w:t>专为消防救援作业设计，镀铬锯片护罩，在烟雾和水雾中清晰可见，应用于石材、混凝土、金属等切割。进口免维护的过滤系统，进口技术的引擎可使排放量和油耗分别减少</w:t>
            </w:r>
            <w:r>
              <w:rPr>
                <w:rFonts w:ascii="宋体" w:hAnsi="宋体" w:cs="宋体"/>
                <w:color w:val="auto"/>
                <w:kern w:val="1"/>
              </w:rPr>
              <w:t>75 %</w:t>
            </w:r>
            <w:r>
              <w:rPr>
                <w:rFonts w:hint="eastAsia" w:ascii="宋体" w:hAnsi="宋体" w:cs="宋体"/>
                <w:color w:val="auto"/>
                <w:kern w:val="1"/>
              </w:rPr>
              <w:t>及</w:t>
            </w:r>
            <w:r>
              <w:rPr>
                <w:rFonts w:ascii="宋体" w:hAnsi="宋体" w:cs="宋体"/>
                <w:color w:val="auto"/>
                <w:kern w:val="1"/>
              </w:rPr>
              <w:t>20 %</w:t>
            </w:r>
            <w:r>
              <w:rPr>
                <w:rFonts w:hint="eastAsia" w:ascii="宋体" w:hAnsi="宋体" w:cs="宋体"/>
                <w:color w:val="auto"/>
                <w:kern w:val="1"/>
              </w:rPr>
              <w:t>，采用高效的减震系统（低于</w:t>
            </w:r>
            <w:r>
              <w:rPr>
                <w:rFonts w:ascii="宋体" w:hAnsi="宋体" w:cs="宋体"/>
                <w:color w:val="auto"/>
                <w:kern w:val="1"/>
              </w:rPr>
              <w:t>5 m /s</w:t>
            </w:r>
            <w:r>
              <w:rPr>
                <w:rFonts w:hint="eastAsia" w:ascii="宋体" w:hAnsi="宋体" w:cs="宋体"/>
                <w:color w:val="auto"/>
                <w:kern w:val="1"/>
              </w:rPr>
              <w:t>²）。技术参数：引擎：风量两冲程，功率：≥</w:t>
            </w:r>
            <w:r>
              <w:rPr>
                <w:rFonts w:ascii="宋体" w:hAnsi="宋体" w:cs="宋体"/>
                <w:color w:val="auto"/>
                <w:kern w:val="1"/>
              </w:rPr>
              <w:t>3.7KW</w:t>
            </w:r>
            <w:r>
              <w:rPr>
                <w:rFonts w:hint="eastAsia" w:ascii="宋体" w:hAnsi="宋体" w:cs="宋体"/>
                <w:color w:val="auto"/>
                <w:kern w:val="1"/>
              </w:rPr>
              <w:t>，排量：≥</w:t>
            </w:r>
            <w:r>
              <w:rPr>
                <w:rFonts w:ascii="宋体" w:hAnsi="宋体" w:cs="宋体"/>
                <w:color w:val="auto"/>
                <w:kern w:val="1"/>
              </w:rPr>
              <w:t>80cc</w:t>
            </w:r>
            <w:r>
              <w:rPr>
                <w:rFonts w:hint="eastAsia" w:ascii="宋体" w:hAnsi="宋体" w:cs="宋体"/>
                <w:color w:val="auto"/>
                <w:kern w:val="1"/>
              </w:rPr>
              <w:t>，油箱容量：≤</w:t>
            </w:r>
            <w:r>
              <w:rPr>
                <w:rFonts w:ascii="宋体" w:hAnsi="宋体" w:cs="宋体"/>
                <w:color w:val="auto"/>
                <w:kern w:val="1"/>
              </w:rPr>
              <w:t>1.5L</w:t>
            </w:r>
            <w:r>
              <w:rPr>
                <w:rFonts w:hint="eastAsia" w:ascii="宋体" w:hAnsi="宋体" w:cs="宋体"/>
                <w:color w:val="auto"/>
                <w:kern w:val="1"/>
              </w:rPr>
              <w:t>，锯片直径：≥</w:t>
            </w:r>
            <w:r>
              <w:rPr>
                <w:rFonts w:ascii="宋体" w:hAnsi="宋体" w:cs="宋体"/>
                <w:color w:val="auto"/>
                <w:kern w:val="1"/>
              </w:rPr>
              <w:t>320mm</w:t>
            </w:r>
            <w:r>
              <w:rPr>
                <w:rFonts w:hint="eastAsia" w:ascii="宋体" w:hAnsi="宋体" w:cs="宋体"/>
                <w:color w:val="auto"/>
                <w:kern w:val="1"/>
              </w:rPr>
              <w:t>，最大切割深度：≥</w:t>
            </w:r>
            <w:r>
              <w:rPr>
                <w:rFonts w:ascii="宋体" w:hAnsi="宋体" w:cs="宋体"/>
                <w:color w:val="auto"/>
                <w:kern w:val="1"/>
              </w:rPr>
              <w:t>100mm</w:t>
            </w:r>
            <w:r>
              <w:rPr>
                <w:rFonts w:hint="eastAsia" w:ascii="宋体" w:hAnsi="宋体" w:cs="宋体"/>
                <w:color w:val="auto"/>
                <w:kern w:val="1"/>
              </w:rPr>
              <w:t>，空转转速：≥</w:t>
            </w:r>
            <w:r>
              <w:rPr>
                <w:rFonts w:ascii="宋体" w:hAnsi="宋体" w:cs="宋体"/>
                <w:color w:val="auto"/>
                <w:kern w:val="1"/>
              </w:rPr>
              <w:t>2500rmp</w:t>
            </w:r>
            <w:r>
              <w:rPr>
                <w:rFonts w:hint="eastAsia" w:ascii="宋体" w:hAnsi="宋体" w:cs="宋体"/>
                <w:color w:val="auto"/>
                <w:kern w:val="1"/>
              </w:rPr>
              <w:t>，最大转速：≥</w:t>
            </w:r>
            <w:r>
              <w:rPr>
                <w:rFonts w:ascii="宋体" w:hAnsi="宋体" w:cs="宋体"/>
                <w:color w:val="auto"/>
                <w:kern w:val="1"/>
              </w:rPr>
              <w:t>8000rmp,</w:t>
            </w:r>
            <w:r>
              <w:rPr>
                <w:rFonts w:hint="eastAsia" w:ascii="宋体" w:hAnsi="宋体" w:cs="宋体"/>
                <w:color w:val="auto"/>
                <w:kern w:val="1"/>
              </w:rPr>
              <w:t>重量：≤</w:t>
            </w:r>
            <w:r>
              <w:rPr>
                <w:rFonts w:ascii="宋体" w:hAnsi="宋体" w:cs="宋体"/>
                <w:color w:val="auto"/>
                <w:kern w:val="1"/>
              </w:rPr>
              <w:t>15kg</w:t>
            </w:r>
            <w:r>
              <w:rPr>
                <w:rFonts w:hint="eastAsia" w:ascii="宋体" w:hAnsi="宋体" w:cs="宋体"/>
                <w:color w:val="auto"/>
                <w:kern w:val="1"/>
              </w:rPr>
              <w:t>，，国际知名品牌。</w:t>
            </w:r>
          </w:p>
        </w:tc>
      </w:tr>
      <w:tr>
        <w:tblPrEx>
          <w:tblLayout w:type="fixed"/>
          <w:tblCellMar>
            <w:top w:w="0" w:type="dxa"/>
            <w:left w:w="10" w:type="dxa"/>
            <w:bottom w:w="0" w:type="dxa"/>
            <w:right w:w="10" w:type="dxa"/>
          </w:tblCellMar>
        </w:tblPrEx>
        <w:trPr>
          <w:trHeight w:val="1285" w:hRule="atLeast"/>
        </w:trPr>
        <w:tc>
          <w:tcPr>
            <w:tcW w:w="38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360" w:lineRule="auto"/>
              <w:jc w:val="center"/>
              <w:rPr>
                <w:rFonts w:ascii="宋体" w:cs="宋体"/>
                <w:color w:val="auto"/>
              </w:rPr>
            </w:pPr>
            <w:r>
              <w:rPr>
                <w:rFonts w:ascii="宋体" w:hAnsi="宋体" w:cs="宋体"/>
                <w:color w:val="auto"/>
                <w:kern w:val="1"/>
              </w:rPr>
              <w:t>17</w:t>
            </w:r>
          </w:p>
        </w:tc>
        <w:tc>
          <w:tcPr>
            <w:tcW w:w="831"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360" w:lineRule="auto"/>
              <w:jc w:val="center"/>
              <w:rPr>
                <w:rFonts w:ascii="宋体" w:cs="宋体"/>
                <w:color w:val="auto"/>
              </w:rPr>
            </w:pPr>
            <w:r>
              <w:rPr>
                <w:rFonts w:hint="eastAsia" w:ascii="宋体" w:hAnsi="宋体" w:cs="宋体"/>
                <w:color w:val="auto"/>
                <w:kern w:val="1"/>
              </w:rPr>
              <w:t>消防专用救生衣</w:t>
            </w:r>
          </w:p>
        </w:tc>
        <w:tc>
          <w:tcPr>
            <w:tcW w:w="7263"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360" w:lineRule="auto"/>
              <w:rPr>
                <w:rFonts w:ascii="宋体" w:cs="宋体"/>
                <w:color w:val="auto"/>
              </w:rPr>
            </w:pPr>
            <w:r>
              <w:rPr>
                <w:rFonts w:hint="eastAsia" w:ascii="宋体" w:hAnsi="宋体" w:cs="宋体"/>
                <w:color w:val="auto"/>
                <w:kern w:val="1"/>
              </w:rPr>
              <w:t>消防专用救生衣是针对消防救援工作特点所研制的一款特种救生衣。适用于消防部队抗洪抢险和处置水域事故时使用。它突破了传统救生衣的浮力设计及浮力分布方式，采用固有浮力材料与充气气囊复合配置浮力的方式救生衣浮力固有浮力≥</w:t>
            </w:r>
            <w:r>
              <w:rPr>
                <w:rFonts w:ascii="宋体" w:hAnsi="宋体" w:cs="宋体"/>
                <w:color w:val="auto"/>
                <w:kern w:val="1"/>
              </w:rPr>
              <w:t>50N</w:t>
            </w:r>
            <w:r>
              <w:rPr>
                <w:rFonts w:hint="eastAsia" w:ascii="宋体" w:hAnsi="宋体" w:cs="宋体"/>
                <w:color w:val="auto"/>
                <w:kern w:val="1"/>
              </w:rPr>
              <w:t>救生衣气囊浮力≥</w:t>
            </w:r>
            <w:r>
              <w:rPr>
                <w:rFonts w:ascii="宋体" w:hAnsi="宋体" w:cs="宋体"/>
                <w:color w:val="auto"/>
                <w:kern w:val="1"/>
              </w:rPr>
              <w:t>100N</w:t>
            </w:r>
            <w:r>
              <w:rPr>
                <w:rFonts w:hint="eastAsia" w:ascii="宋体" w:hAnsi="宋体" w:cs="宋体"/>
                <w:color w:val="auto"/>
                <w:kern w:val="1"/>
              </w:rPr>
              <w:t>救生衣气囊、气胀式救生圈手动充气时间≤</w:t>
            </w:r>
            <w:r>
              <w:rPr>
                <w:rFonts w:ascii="宋体" w:hAnsi="宋体" w:cs="宋体"/>
                <w:color w:val="auto"/>
                <w:kern w:val="1"/>
              </w:rPr>
              <w:t>5S</w:t>
            </w:r>
            <w:r>
              <w:rPr>
                <w:rFonts w:hint="eastAsia" w:ascii="宋体" w:hAnsi="宋体" w:cs="宋体"/>
                <w:color w:val="auto"/>
                <w:kern w:val="1"/>
              </w:rPr>
              <w:t>救生衣气囊</w:t>
            </w:r>
            <w:r>
              <w:rPr>
                <w:rFonts w:ascii="宋体" w:hAnsi="宋体" w:cs="宋体"/>
                <w:color w:val="auto"/>
                <w:kern w:val="1"/>
              </w:rPr>
              <w:t>CO2</w:t>
            </w:r>
            <w:r>
              <w:rPr>
                <w:rFonts w:hint="eastAsia" w:ascii="宋体" w:hAnsi="宋体" w:cs="宋体"/>
                <w:color w:val="auto"/>
                <w:kern w:val="1"/>
              </w:rPr>
              <w:t>气瓶充装质量</w:t>
            </w:r>
            <w:r>
              <w:rPr>
                <w:rFonts w:ascii="宋体" w:hAnsi="宋体" w:cs="宋体"/>
                <w:color w:val="auto"/>
                <w:kern w:val="1"/>
              </w:rPr>
              <w:t>24STI</w:t>
            </w:r>
            <w:r>
              <w:rPr>
                <w:rFonts w:hint="eastAsia" w:ascii="宋体" w:hAnsi="宋体" w:cs="宋体"/>
                <w:color w:val="auto"/>
                <w:kern w:val="1"/>
              </w:rPr>
              <w:t>。提供消防装备检验报告。</w:t>
            </w:r>
          </w:p>
        </w:tc>
      </w:tr>
      <w:tr>
        <w:tblPrEx>
          <w:tblLayout w:type="fixed"/>
          <w:tblCellMar>
            <w:top w:w="0" w:type="dxa"/>
            <w:left w:w="10" w:type="dxa"/>
            <w:bottom w:w="0" w:type="dxa"/>
            <w:right w:w="10" w:type="dxa"/>
          </w:tblCellMar>
        </w:tblPrEx>
        <w:trPr>
          <w:trHeight w:val="974" w:hRule="atLeast"/>
        </w:trPr>
        <w:tc>
          <w:tcPr>
            <w:tcW w:w="38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360" w:lineRule="auto"/>
              <w:jc w:val="center"/>
              <w:rPr>
                <w:rFonts w:ascii="宋体" w:cs="宋体"/>
                <w:color w:val="auto"/>
              </w:rPr>
            </w:pPr>
            <w:r>
              <w:rPr>
                <w:rFonts w:ascii="宋体" w:hAnsi="宋体" w:cs="宋体"/>
                <w:color w:val="auto"/>
                <w:kern w:val="1"/>
              </w:rPr>
              <w:t>18</w:t>
            </w:r>
          </w:p>
        </w:tc>
        <w:tc>
          <w:tcPr>
            <w:tcW w:w="831"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360" w:lineRule="auto"/>
              <w:jc w:val="center"/>
              <w:rPr>
                <w:rFonts w:ascii="宋体" w:cs="宋体"/>
                <w:color w:val="auto"/>
              </w:rPr>
            </w:pPr>
            <w:r>
              <w:rPr>
                <w:rFonts w:hint="eastAsia" w:ascii="宋体" w:hAnsi="宋体" w:cs="宋体"/>
                <w:color w:val="auto"/>
                <w:kern w:val="1"/>
              </w:rPr>
              <w:t>消防荧光棒</w:t>
            </w:r>
          </w:p>
        </w:tc>
        <w:tc>
          <w:tcPr>
            <w:tcW w:w="7263"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tcPr>
          <w:p>
            <w:pPr>
              <w:spacing w:line="360" w:lineRule="auto"/>
              <w:rPr>
                <w:rFonts w:ascii="宋体" w:cs="宋体"/>
                <w:color w:val="auto"/>
              </w:rPr>
            </w:pPr>
            <w:r>
              <w:rPr>
                <w:rFonts w:hint="eastAsia" w:ascii="宋体" w:hAnsi="宋体" w:cs="宋体"/>
                <w:color w:val="auto"/>
                <w:kern w:val="1"/>
              </w:rPr>
              <w:t>执行</w:t>
            </w:r>
            <w:r>
              <w:rPr>
                <w:rFonts w:ascii="宋体" w:hAnsi="宋体" w:cs="宋体"/>
                <w:color w:val="auto"/>
                <w:kern w:val="1"/>
              </w:rPr>
              <w:t>Q/SSNK 12-2011</w:t>
            </w:r>
            <w:r>
              <w:rPr>
                <w:rFonts w:hint="eastAsia" w:ascii="宋体" w:hAnsi="宋体" w:cs="宋体"/>
                <w:color w:val="auto"/>
                <w:kern w:val="1"/>
              </w:rPr>
              <w:t>《消防用荧光棒》标准，不需要电源，无毒、无害，新型冷光源，颜色：红、橙、黄、绿（可选），适用于各种场合：户外救援、探险信号标识等等；一次性使用；特点：小巧轻便使用简单，照明时间不少于</w:t>
            </w:r>
            <w:r>
              <w:rPr>
                <w:rFonts w:ascii="宋体" w:hAnsi="宋体" w:cs="宋体"/>
                <w:color w:val="auto"/>
                <w:kern w:val="1"/>
              </w:rPr>
              <w:t>4</w:t>
            </w:r>
            <w:r>
              <w:rPr>
                <w:rFonts w:hint="eastAsia" w:ascii="宋体" w:hAnsi="宋体" w:cs="宋体"/>
                <w:color w:val="auto"/>
                <w:kern w:val="1"/>
              </w:rPr>
              <w:t>小时。</w:t>
            </w:r>
          </w:p>
        </w:tc>
      </w:tr>
    </w:tbl>
    <w:p>
      <w:pPr>
        <w:spacing w:line="360" w:lineRule="auto"/>
        <w:rPr>
          <w:rFonts w:ascii="宋体" w:cs="宋体"/>
          <w:color w:val="auto"/>
        </w:rPr>
      </w:pPr>
      <w:r>
        <w:rPr>
          <w:rFonts w:ascii="宋体" w:cs="宋体"/>
          <w:color w:val="auto"/>
        </w:rPr>
        <w:br w:type="page"/>
      </w:r>
    </w:p>
    <w:p>
      <w:pPr>
        <w:spacing w:line="360" w:lineRule="auto"/>
        <w:rPr>
          <w:rFonts w:ascii="宋体" w:cs="宋体"/>
          <w:color w:val="auto"/>
        </w:rPr>
      </w:pPr>
      <w:r>
        <w:rPr>
          <w:rFonts w:hint="eastAsia" w:ascii="宋体" w:hAnsi="宋体" w:cs="宋体"/>
          <w:color w:val="auto"/>
        </w:rPr>
        <w:t>四、商务要求：</w:t>
      </w:r>
    </w:p>
    <w:p>
      <w:pPr>
        <w:spacing w:line="360" w:lineRule="auto"/>
        <w:ind w:firstLine="480" w:firstLineChars="200"/>
        <w:rPr>
          <w:rFonts w:ascii="宋体" w:cs="宋体"/>
          <w:color w:val="auto"/>
        </w:rPr>
      </w:pPr>
      <w:bookmarkStart w:id="15" w:name="_Toc510949586"/>
      <w:bookmarkEnd w:id="15"/>
      <w:r>
        <w:rPr>
          <w:rFonts w:ascii="宋体" w:hAnsi="宋体" w:cs="宋体"/>
          <w:color w:val="auto"/>
        </w:rPr>
        <w:t>1</w:t>
      </w:r>
      <w:r>
        <w:rPr>
          <w:rFonts w:hint="eastAsia" w:ascii="宋体" w:hAnsi="宋体" w:cs="宋体"/>
          <w:color w:val="auto"/>
        </w:rPr>
        <w:t>、交货期：合同规定</w:t>
      </w:r>
      <w:r>
        <w:rPr>
          <w:rFonts w:hint="eastAsia" w:ascii="宋体" w:hAnsi="宋体" w:cs="宋体"/>
          <w:color w:val="auto"/>
          <w:lang w:val="en-US" w:eastAsia="zh-CN"/>
        </w:rPr>
        <w:t>3</w:t>
      </w:r>
      <w:r>
        <w:rPr>
          <w:rFonts w:ascii="宋体" w:hAnsi="宋体" w:cs="宋体"/>
          <w:color w:val="auto"/>
        </w:rPr>
        <w:t>0</w:t>
      </w:r>
      <w:r>
        <w:rPr>
          <w:rFonts w:hint="eastAsia" w:ascii="宋体" w:hAnsi="宋体" w:cs="宋体"/>
          <w:color w:val="auto"/>
        </w:rPr>
        <w:t>日时间内。交货地点为：采购人指定地点。</w:t>
      </w:r>
    </w:p>
    <w:p>
      <w:pPr>
        <w:pStyle w:val="9"/>
        <w:pBdr>
          <w:top w:val="none" w:color="auto" w:sz="0" w:space="0"/>
          <w:left w:val="none" w:color="auto" w:sz="0" w:space="0"/>
          <w:bottom w:val="none" w:color="auto" w:sz="0" w:space="0"/>
          <w:right w:val="none" w:color="auto" w:sz="0" w:space="0"/>
          <w:between w:val="none" w:color="auto" w:sz="0" w:space="0"/>
        </w:pBdr>
        <w:spacing w:line="360" w:lineRule="auto"/>
        <w:ind w:right="-120" w:rightChars="-50" w:firstLine="480" w:firstLineChars="200"/>
        <w:jc w:val="left"/>
        <w:rPr>
          <w:color w:val="auto"/>
          <w:sz w:val="24"/>
          <w:szCs w:val="24"/>
        </w:rPr>
      </w:pPr>
      <w:r>
        <w:rPr>
          <w:color w:val="auto"/>
          <w:sz w:val="24"/>
          <w:szCs w:val="24"/>
        </w:rPr>
        <w:t>2</w:t>
      </w:r>
      <w:r>
        <w:rPr>
          <w:rFonts w:hint="eastAsia"/>
          <w:color w:val="auto"/>
          <w:sz w:val="24"/>
          <w:szCs w:val="24"/>
        </w:rPr>
        <w:t>、在全国主要省（直辖市）设有健全的售后服务网络（不得少于</w:t>
      </w:r>
      <w:r>
        <w:rPr>
          <w:color w:val="auto"/>
          <w:sz w:val="24"/>
          <w:szCs w:val="24"/>
        </w:rPr>
        <w:t>4</w:t>
      </w:r>
      <w:r>
        <w:rPr>
          <w:rFonts w:hint="eastAsia"/>
          <w:color w:val="auto"/>
          <w:sz w:val="24"/>
          <w:szCs w:val="24"/>
        </w:rPr>
        <w:t>个不同的省（直辖市）售后服务点）且在海南具有售后服务网点，各售后服务网点技术人员实力不少于</w:t>
      </w:r>
      <w:r>
        <w:rPr>
          <w:color w:val="auto"/>
          <w:sz w:val="24"/>
          <w:szCs w:val="24"/>
        </w:rPr>
        <w:t>2</w:t>
      </w:r>
      <w:r>
        <w:rPr>
          <w:rFonts w:hint="eastAsia"/>
          <w:color w:val="auto"/>
          <w:sz w:val="24"/>
          <w:szCs w:val="24"/>
        </w:rPr>
        <w:t>名技术人员经国家劳动和社会保障部门颁发的资格证书；</w:t>
      </w:r>
    </w:p>
    <w:p>
      <w:pPr>
        <w:spacing w:line="360" w:lineRule="auto"/>
        <w:ind w:firstLine="480" w:firstLineChars="200"/>
        <w:rPr>
          <w:rFonts w:ascii="宋体" w:cs="宋体"/>
          <w:color w:val="auto"/>
        </w:rPr>
      </w:pPr>
      <w:r>
        <w:rPr>
          <w:rFonts w:ascii="宋体" w:hAnsi="宋体" w:cs="宋体"/>
          <w:color w:val="auto"/>
        </w:rPr>
        <w:t>3</w:t>
      </w:r>
      <w:r>
        <w:rPr>
          <w:rFonts w:hint="eastAsia" w:ascii="宋体" w:hAnsi="宋体" w:cs="宋体"/>
          <w:color w:val="auto"/>
        </w:rPr>
        <w:t>、投标人必须提供详细的保修期内技术支持和售后服务方案，（包括技术支持内容，服务响应时间、服务内容等）。</w:t>
      </w:r>
    </w:p>
    <w:p>
      <w:pPr>
        <w:pStyle w:val="9"/>
        <w:pBdr>
          <w:top w:val="none" w:color="auto" w:sz="0" w:space="0"/>
          <w:left w:val="none" w:color="auto" w:sz="0" w:space="0"/>
          <w:bottom w:val="none" w:color="auto" w:sz="0" w:space="0"/>
          <w:right w:val="none" w:color="auto" w:sz="0" w:space="0"/>
          <w:between w:val="none" w:color="auto" w:sz="0" w:space="0"/>
        </w:pBdr>
        <w:spacing w:line="360" w:lineRule="auto"/>
        <w:ind w:firstLine="480" w:firstLineChars="200"/>
        <w:jc w:val="left"/>
        <w:rPr>
          <w:color w:val="auto"/>
          <w:sz w:val="24"/>
          <w:szCs w:val="24"/>
        </w:rPr>
      </w:pPr>
      <w:r>
        <w:rPr>
          <w:color w:val="auto"/>
          <w:sz w:val="24"/>
          <w:szCs w:val="24"/>
        </w:rPr>
        <w:t>4</w:t>
      </w:r>
      <w:r>
        <w:rPr>
          <w:rFonts w:hint="eastAsia"/>
          <w:color w:val="auto"/>
          <w:sz w:val="24"/>
          <w:szCs w:val="24"/>
        </w:rPr>
        <w:t>、各报价供应商的质保期不少于</w:t>
      </w:r>
      <w:r>
        <w:rPr>
          <w:color w:val="auto"/>
          <w:sz w:val="24"/>
          <w:szCs w:val="24"/>
        </w:rPr>
        <w:t>4</w:t>
      </w:r>
      <w:r>
        <w:rPr>
          <w:rFonts w:hint="eastAsia"/>
          <w:color w:val="auto"/>
          <w:sz w:val="24"/>
          <w:szCs w:val="24"/>
        </w:rPr>
        <w:t>年。</w:t>
      </w:r>
    </w:p>
    <w:p>
      <w:pPr>
        <w:spacing w:line="360" w:lineRule="auto"/>
        <w:ind w:firstLine="480" w:firstLineChars="200"/>
        <w:rPr>
          <w:rFonts w:ascii="宋体" w:cs="宋体"/>
          <w:color w:val="auto"/>
        </w:rPr>
      </w:pPr>
      <w:r>
        <w:rPr>
          <w:rFonts w:ascii="宋体" w:hAnsi="宋体" w:cs="宋体"/>
          <w:color w:val="auto"/>
        </w:rPr>
        <w:t>5</w:t>
      </w:r>
      <w:r>
        <w:rPr>
          <w:rFonts w:hint="eastAsia" w:ascii="宋体" w:hAnsi="宋体" w:cs="宋体"/>
          <w:color w:val="auto"/>
        </w:rPr>
        <w:t>、保质期内非甲方的人为原因而出现产品质量及安装问题，由乙方负责包修、包换或包退，并承担因此而产生的一切费用。乙方应在收到甲方通知后即派员到现场维修。</w:t>
      </w:r>
    </w:p>
    <w:p>
      <w:pPr>
        <w:spacing w:line="360" w:lineRule="auto"/>
        <w:ind w:firstLine="480" w:firstLineChars="200"/>
        <w:rPr>
          <w:rFonts w:ascii="宋体" w:cs="宋体"/>
          <w:color w:val="auto"/>
        </w:rPr>
      </w:pPr>
      <w:r>
        <w:rPr>
          <w:rFonts w:ascii="宋体" w:hAnsi="宋体" w:cs="宋体"/>
          <w:color w:val="auto"/>
        </w:rPr>
        <w:t>6</w:t>
      </w:r>
      <w:r>
        <w:rPr>
          <w:rFonts w:hint="eastAsia" w:ascii="宋体" w:hAnsi="宋体" w:cs="宋体"/>
          <w:color w:val="auto"/>
        </w:rPr>
        <w:t>、乙方提供</w:t>
      </w:r>
      <w:r>
        <w:rPr>
          <w:rFonts w:ascii="宋体" w:hAnsi="宋体" w:cs="宋体"/>
          <w:color w:val="auto"/>
        </w:rPr>
        <w:t>24</w:t>
      </w:r>
      <w:r>
        <w:rPr>
          <w:rFonts w:hint="eastAsia" w:ascii="宋体" w:hAnsi="宋体" w:cs="宋体"/>
          <w:color w:val="auto"/>
        </w:rPr>
        <w:t>小时电话服务热线，</w:t>
      </w:r>
      <w:r>
        <w:rPr>
          <w:rFonts w:ascii="宋体" w:hAnsi="宋体" w:cs="宋体"/>
          <w:color w:val="auto"/>
        </w:rPr>
        <w:t>30</w:t>
      </w:r>
      <w:r>
        <w:rPr>
          <w:rFonts w:hint="eastAsia" w:ascii="宋体" w:hAnsi="宋体" w:cs="宋体"/>
          <w:color w:val="auto"/>
        </w:rPr>
        <w:t>分钟内响应并提供技术资料或处理意见，一般小故障无须更换配件和修复的，由乙方电话指导甲方使用人员自行排除故障；如需现场服务的，乙方须于</w:t>
      </w:r>
      <w:r>
        <w:rPr>
          <w:rFonts w:ascii="宋体" w:hAnsi="宋体" w:cs="宋体"/>
          <w:color w:val="auto"/>
        </w:rPr>
        <w:t>24</w:t>
      </w:r>
      <w:r>
        <w:rPr>
          <w:rFonts w:hint="eastAsia" w:ascii="宋体" w:hAnsi="宋体" w:cs="宋体"/>
          <w:color w:val="auto"/>
        </w:rPr>
        <w:t>小时内派员到达现场维修，并于到达现场后</w:t>
      </w:r>
      <w:r>
        <w:rPr>
          <w:rFonts w:ascii="宋体" w:hAnsi="宋体" w:cs="宋体"/>
          <w:color w:val="auto"/>
        </w:rPr>
        <w:t>48</w:t>
      </w:r>
      <w:r>
        <w:rPr>
          <w:rFonts w:hint="eastAsia" w:ascii="宋体" w:hAnsi="宋体" w:cs="宋体"/>
          <w:color w:val="auto"/>
        </w:rPr>
        <w:t>小时内修复，产品出现问题，故障停留时间不超过</w:t>
      </w:r>
      <w:r>
        <w:rPr>
          <w:rFonts w:ascii="宋体" w:hAnsi="宋体" w:cs="宋体"/>
          <w:color w:val="auto"/>
        </w:rPr>
        <w:t>24</w:t>
      </w:r>
      <w:r>
        <w:rPr>
          <w:rFonts w:hint="eastAsia" w:ascii="宋体" w:hAnsi="宋体" w:cs="宋体"/>
          <w:color w:val="auto"/>
        </w:rPr>
        <w:t>小时，</w:t>
      </w:r>
      <w:r>
        <w:rPr>
          <w:rFonts w:ascii="宋体" w:hAnsi="宋体" w:cs="宋体"/>
          <w:color w:val="auto"/>
        </w:rPr>
        <w:t>24</w:t>
      </w:r>
      <w:r>
        <w:rPr>
          <w:rFonts w:hint="eastAsia" w:ascii="宋体" w:hAnsi="宋体" w:cs="宋体"/>
          <w:color w:val="auto"/>
        </w:rPr>
        <w:t>小时无法排除故障，乙方应提供同款设备供用户使用，直至送修设备修好后换回为止，故障停留超过</w:t>
      </w:r>
      <w:r>
        <w:rPr>
          <w:rFonts w:ascii="宋体" w:hAnsi="宋体" w:cs="宋体"/>
          <w:color w:val="auto"/>
        </w:rPr>
        <w:t>24</w:t>
      </w:r>
      <w:r>
        <w:rPr>
          <w:rFonts w:hint="eastAsia" w:ascii="宋体" w:hAnsi="宋体" w:cs="宋体"/>
          <w:color w:val="auto"/>
        </w:rPr>
        <w:t>小时间由使用单位反应，并由装备管理部门记录，列入年度巡检内容。</w:t>
      </w:r>
    </w:p>
    <w:p>
      <w:pPr>
        <w:spacing w:line="360" w:lineRule="auto"/>
        <w:ind w:firstLine="480" w:firstLineChars="200"/>
        <w:rPr>
          <w:rFonts w:ascii="宋体" w:cs="宋体"/>
          <w:color w:val="auto"/>
        </w:rPr>
      </w:pPr>
      <w:r>
        <w:rPr>
          <w:rFonts w:hint="eastAsia" w:ascii="宋体" w:hAnsi="宋体" w:cs="宋体"/>
          <w:color w:val="auto"/>
          <w:lang w:val="en-US" w:eastAsia="zh-CN"/>
        </w:rPr>
        <w:t>7</w:t>
      </w:r>
      <w:r>
        <w:rPr>
          <w:rFonts w:hint="eastAsia" w:ascii="宋体" w:hAnsi="宋体" w:cs="宋体"/>
          <w:color w:val="auto"/>
        </w:rPr>
        <w:t>、质保期内因货物本身的质量问题发生故障，乙方负责免费更换同品牌、同型号的零配件或者性能更加高级的替代产品。但人为因素、自然因素（如火灾、雷击等）造成的故障除外。</w:t>
      </w:r>
    </w:p>
    <w:p>
      <w:pPr>
        <w:spacing w:line="360" w:lineRule="auto"/>
        <w:ind w:firstLine="480" w:firstLineChars="200"/>
        <w:rPr>
          <w:rFonts w:ascii="宋体" w:cs="宋体"/>
          <w:color w:val="auto"/>
        </w:rPr>
      </w:pPr>
      <w:r>
        <w:rPr>
          <w:rFonts w:hint="eastAsia" w:ascii="宋体" w:hAnsi="宋体" w:cs="宋体"/>
          <w:color w:val="auto"/>
          <w:lang w:val="en-US" w:eastAsia="zh-CN"/>
        </w:rPr>
        <w:t>8</w:t>
      </w:r>
      <w:r>
        <w:rPr>
          <w:rFonts w:hint="eastAsia" w:ascii="宋体" w:hAnsi="宋体" w:cs="宋体"/>
          <w:color w:val="auto"/>
        </w:rPr>
        <w:t>、保质期内，所有设备和软件保修服务方式均为乙方上门保修，即由乙方派员到甲方设备使用现场维修，质保期内乙方免费提供维修产生的所有配件，由此产生的一切费用均由乙方承担。质保期满后，当需要时，乙方对因投标货物本身的固有缺陷和瑕疵承担责任，</w:t>
      </w:r>
      <w:r>
        <w:rPr>
          <w:rFonts w:ascii="宋体" w:hAnsi="宋体" w:cs="宋体"/>
          <w:color w:val="auto"/>
        </w:rPr>
        <w:t>8</w:t>
      </w:r>
      <w:r>
        <w:rPr>
          <w:rFonts w:hint="eastAsia" w:ascii="宋体" w:hAnsi="宋体" w:cs="宋体"/>
          <w:color w:val="auto"/>
        </w:rPr>
        <w:t>年内维修只收取零部件成本费。</w:t>
      </w:r>
    </w:p>
    <w:p>
      <w:pPr>
        <w:spacing w:line="360" w:lineRule="auto"/>
        <w:ind w:firstLine="480"/>
        <w:rPr>
          <w:rFonts w:ascii="宋体" w:cs="宋体"/>
          <w:color w:val="auto"/>
        </w:rPr>
      </w:pPr>
      <w:r>
        <w:rPr>
          <w:rFonts w:hint="eastAsia" w:ascii="宋体" w:hAnsi="宋体" w:cs="宋体"/>
          <w:color w:val="auto"/>
          <w:lang w:val="en-US" w:eastAsia="zh-CN"/>
        </w:rPr>
        <w:t>9</w:t>
      </w:r>
      <w:r>
        <w:rPr>
          <w:rFonts w:hint="eastAsia" w:ascii="宋体" w:hAnsi="宋体" w:cs="宋体"/>
          <w:color w:val="auto"/>
        </w:rPr>
        <w:t>、产品出现问题的，应在</w:t>
      </w:r>
      <w:r>
        <w:rPr>
          <w:rFonts w:ascii="宋体" w:hAnsi="宋体" w:cs="宋体"/>
          <w:color w:val="auto"/>
        </w:rPr>
        <w:t>2</w:t>
      </w:r>
      <w:r>
        <w:rPr>
          <w:rFonts w:hint="eastAsia" w:ascii="宋体" w:hAnsi="宋体" w:cs="宋体"/>
          <w:color w:val="auto"/>
        </w:rPr>
        <w:t>小时内响应，</w:t>
      </w:r>
      <w:r>
        <w:rPr>
          <w:rFonts w:ascii="宋体" w:hAnsi="宋体" w:cs="宋体"/>
          <w:color w:val="auto"/>
        </w:rPr>
        <w:t>48</w:t>
      </w:r>
      <w:r>
        <w:rPr>
          <w:rFonts w:hint="eastAsia" w:ascii="宋体" w:hAnsi="宋体" w:cs="宋体"/>
          <w:color w:val="auto"/>
        </w:rPr>
        <w:t>小时内上门服务，并在</w:t>
      </w:r>
      <w:r>
        <w:rPr>
          <w:rFonts w:ascii="宋体" w:hAnsi="宋体" w:cs="宋体"/>
          <w:color w:val="auto"/>
        </w:rPr>
        <w:t>2</w:t>
      </w:r>
      <w:r>
        <w:rPr>
          <w:rFonts w:hint="eastAsia" w:ascii="宋体" w:hAnsi="宋体" w:cs="宋体"/>
          <w:color w:val="auto"/>
        </w:rPr>
        <w:t>天内修复，否则，必须提供备用设备。质保期内定期回访，每年不少于</w:t>
      </w:r>
      <w:r>
        <w:rPr>
          <w:rFonts w:ascii="宋体" w:hAnsi="宋体" w:cs="宋体"/>
          <w:color w:val="auto"/>
        </w:rPr>
        <w:t>2</w:t>
      </w:r>
      <w:r>
        <w:rPr>
          <w:rFonts w:hint="eastAsia" w:ascii="宋体" w:hAnsi="宋体" w:cs="宋体"/>
          <w:color w:val="auto"/>
        </w:rPr>
        <w:t>次，免费提供技术培训，所有设备超过质保期后，</w:t>
      </w:r>
      <w:r>
        <w:rPr>
          <w:rFonts w:ascii="宋体" w:hAnsi="宋体" w:cs="宋体"/>
          <w:color w:val="auto"/>
        </w:rPr>
        <w:t>8</w:t>
      </w:r>
      <w:r>
        <w:rPr>
          <w:rFonts w:hint="eastAsia" w:ascii="宋体" w:hAnsi="宋体" w:cs="宋体"/>
          <w:color w:val="auto"/>
        </w:rPr>
        <w:t>年内维修只收取零部件成本费。</w:t>
      </w:r>
    </w:p>
    <w:p>
      <w:pPr>
        <w:spacing w:line="360" w:lineRule="auto"/>
        <w:ind w:firstLine="480"/>
        <w:rPr>
          <w:rFonts w:ascii="宋体" w:cs="宋体"/>
          <w:color w:val="auto"/>
        </w:rPr>
      </w:pPr>
      <w:r>
        <w:rPr>
          <w:rFonts w:hint="eastAsia" w:ascii="宋体" w:hAnsi="宋体" w:cs="宋体"/>
          <w:color w:val="auto"/>
          <w:lang w:val="en-US" w:eastAsia="zh-CN"/>
        </w:rPr>
        <w:t>10</w:t>
      </w:r>
      <w:r>
        <w:rPr>
          <w:rFonts w:hint="eastAsia" w:ascii="宋体" w:hAnsi="宋体" w:cs="宋体"/>
          <w:color w:val="auto"/>
        </w:rPr>
        <w:t>、在质保期内，同一产品、同一质量问题，连续两次维修仍无法正常使用，中标人必须予以更换同品牌、同型号全新装备器材或者性能更加高级的替代产品，用户不再支付额外任何费用。</w:t>
      </w:r>
    </w:p>
    <w:p>
      <w:pPr>
        <w:spacing w:line="360" w:lineRule="auto"/>
        <w:ind w:firstLine="480"/>
        <w:rPr>
          <w:rFonts w:ascii="宋体" w:cs="宋体"/>
          <w:color w:val="auto"/>
        </w:rPr>
      </w:pPr>
      <w:r>
        <w:rPr>
          <w:rFonts w:hint="eastAsia" w:ascii="宋体" w:hAnsi="宋体" w:cs="宋体"/>
          <w:color w:val="auto"/>
          <w:lang w:val="en-US" w:eastAsia="zh-CN"/>
        </w:rPr>
        <w:t>11</w:t>
      </w:r>
      <w:r>
        <w:rPr>
          <w:rFonts w:hint="eastAsia" w:ascii="宋体" w:hAnsi="宋体" w:cs="宋体"/>
          <w:color w:val="auto"/>
        </w:rPr>
        <w:t>、每件产品必须提供至少一份纸质中文使用说明书和电子文档说明书。</w:t>
      </w:r>
    </w:p>
    <w:p>
      <w:pPr>
        <w:spacing w:line="360" w:lineRule="auto"/>
        <w:ind w:firstLine="470"/>
        <w:rPr>
          <w:rFonts w:ascii="宋体" w:cs="宋体"/>
          <w:color w:val="auto"/>
        </w:rPr>
      </w:pPr>
      <w:r>
        <w:rPr>
          <w:rFonts w:hint="eastAsia" w:ascii="宋体" w:hAnsi="宋体" w:cs="宋体"/>
          <w:color w:val="auto"/>
          <w:lang w:val="en-US" w:eastAsia="zh-CN"/>
        </w:rPr>
        <w:t>12</w:t>
      </w:r>
      <w:r>
        <w:rPr>
          <w:rFonts w:hint="eastAsia" w:ascii="宋体" w:hAnsi="宋体" w:cs="宋体"/>
          <w:color w:val="auto"/>
        </w:rPr>
        <w:t>、报价人必须根据所投产品的技术参数、资质资料编写报价文件。在中标结果公示期间，采购人有权对中标候选人所投产品的资质证书等进行核查，如发现与其投标文件中的描述不一，采购人或招标代理机构将报政府采购主管部门严肃处理。</w:t>
      </w:r>
    </w:p>
    <w:p>
      <w:pPr>
        <w:pStyle w:val="9"/>
        <w:pBdr>
          <w:top w:val="none" w:color="auto" w:sz="0" w:space="0"/>
          <w:left w:val="none" w:color="auto" w:sz="0" w:space="0"/>
          <w:bottom w:val="none" w:color="auto" w:sz="0" w:space="0"/>
          <w:right w:val="none" w:color="auto" w:sz="0" w:space="0"/>
          <w:between w:val="none" w:color="auto" w:sz="0" w:space="0"/>
        </w:pBdr>
        <w:spacing w:line="360" w:lineRule="auto"/>
        <w:ind w:firstLine="480" w:firstLineChars="200"/>
        <w:jc w:val="left"/>
        <w:rPr>
          <w:rFonts w:hint="eastAsia" w:eastAsia="宋体"/>
          <w:color w:val="auto"/>
          <w:sz w:val="24"/>
          <w:szCs w:val="24"/>
          <w:lang w:eastAsia="zh-CN"/>
        </w:rPr>
      </w:pPr>
      <w:r>
        <w:rPr>
          <w:rFonts w:hint="eastAsia"/>
          <w:color w:val="auto"/>
          <w:sz w:val="24"/>
          <w:szCs w:val="24"/>
          <w:lang w:val="en-US" w:eastAsia="zh-CN"/>
        </w:rPr>
        <w:t>13</w:t>
      </w:r>
      <w:r>
        <w:rPr>
          <w:rFonts w:hint="eastAsia"/>
          <w:color w:val="auto"/>
          <w:sz w:val="24"/>
          <w:szCs w:val="24"/>
        </w:rPr>
        <w:t>、投标车型须具有环保标志；投标车型须在免征公告目录内</w:t>
      </w:r>
      <w:r>
        <w:rPr>
          <w:rFonts w:hint="eastAsia"/>
          <w:color w:val="auto"/>
          <w:sz w:val="24"/>
          <w:szCs w:val="24"/>
          <w:lang w:eastAsia="zh-CN"/>
        </w:rPr>
        <w:t>。（需提供相关证明材料）</w:t>
      </w:r>
    </w:p>
    <w:p>
      <w:pPr>
        <w:pStyle w:val="9"/>
        <w:pBdr>
          <w:top w:val="none" w:color="auto" w:sz="0" w:space="0"/>
          <w:left w:val="none" w:color="auto" w:sz="0" w:space="0"/>
          <w:bottom w:val="none" w:color="auto" w:sz="0" w:space="0"/>
          <w:right w:val="none" w:color="auto" w:sz="0" w:space="0"/>
          <w:between w:val="none" w:color="auto" w:sz="0" w:space="0"/>
        </w:pBdr>
        <w:jc w:val="both"/>
        <w:rPr>
          <w:color w:val="auto"/>
        </w:rPr>
      </w:pPr>
    </w:p>
    <w:p>
      <w:pPr>
        <w:rPr>
          <w:color w:val="auto"/>
        </w:rPr>
      </w:pPr>
    </w:p>
    <w:p>
      <w:pPr>
        <w:pStyle w:val="9"/>
        <w:pBdr>
          <w:top w:val="none" w:color="auto" w:sz="0" w:space="0"/>
          <w:left w:val="none" w:color="auto" w:sz="0" w:space="0"/>
          <w:bottom w:val="none" w:color="auto" w:sz="0" w:space="0"/>
          <w:right w:val="none" w:color="auto" w:sz="0" w:space="0"/>
          <w:between w:val="none" w:color="auto" w:sz="0" w:space="0"/>
        </w:pBdr>
        <w:rPr>
          <w:color w:val="auto"/>
        </w:rPr>
      </w:pPr>
    </w:p>
    <w:p>
      <w:pPr>
        <w:pStyle w:val="9"/>
        <w:pBdr>
          <w:top w:val="none" w:color="auto" w:sz="0" w:space="0"/>
          <w:left w:val="none" w:color="auto" w:sz="0" w:space="0"/>
          <w:bottom w:val="none" w:color="auto" w:sz="0" w:space="0"/>
          <w:right w:val="none" w:color="auto" w:sz="0" w:space="0"/>
          <w:between w:val="none" w:color="auto" w:sz="0" w:space="0"/>
        </w:pBdr>
        <w:rPr>
          <w:color w:val="auto"/>
        </w:rPr>
      </w:pPr>
    </w:p>
    <w:p>
      <w:pPr>
        <w:pStyle w:val="9"/>
        <w:pBdr>
          <w:top w:val="none" w:color="auto" w:sz="0" w:space="0"/>
          <w:left w:val="none" w:color="auto" w:sz="0" w:space="0"/>
          <w:bottom w:val="none" w:color="auto" w:sz="0" w:space="0"/>
          <w:right w:val="none" w:color="auto" w:sz="0" w:space="0"/>
          <w:between w:val="none" w:color="auto" w:sz="0" w:space="0"/>
        </w:pBdr>
        <w:rPr>
          <w:color w:val="auto"/>
        </w:rPr>
      </w:pPr>
    </w:p>
    <w:p>
      <w:pPr>
        <w:pStyle w:val="9"/>
        <w:pBdr>
          <w:top w:val="none" w:color="auto" w:sz="0" w:space="0"/>
          <w:left w:val="none" w:color="auto" w:sz="0" w:space="0"/>
          <w:bottom w:val="none" w:color="auto" w:sz="0" w:space="0"/>
          <w:right w:val="none" w:color="auto" w:sz="0" w:space="0"/>
          <w:between w:val="none" w:color="auto" w:sz="0" w:space="0"/>
        </w:pBdr>
        <w:rPr>
          <w:color w:val="auto"/>
        </w:rPr>
      </w:pPr>
    </w:p>
    <w:p>
      <w:pPr>
        <w:pStyle w:val="9"/>
        <w:pBdr>
          <w:top w:val="none" w:color="auto" w:sz="0" w:space="0"/>
          <w:left w:val="none" w:color="auto" w:sz="0" w:space="0"/>
          <w:bottom w:val="none" w:color="auto" w:sz="0" w:space="0"/>
          <w:right w:val="none" w:color="auto" w:sz="0" w:space="0"/>
          <w:between w:val="none" w:color="auto" w:sz="0" w:space="0"/>
        </w:pBdr>
        <w:rPr>
          <w:color w:val="auto"/>
        </w:rPr>
      </w:pPr>
    </w:p>
    <w:p>
      <w:pPr>
        <w:pStyle w:val="9"/>
        <w:pBdr>
          <w:top w:val="none" w:color="auto" w:sz="0" w:space="0"/>
          <w:left w:val="none" w:color="auto" w:sz="0" w:space="0"/>
          <w:bottom w:val="none" w:color="auto" w:sz="0" w:space="0"/>
          <w:right w:val="none" w:color="auto" w:sz="0" w:space="0"/>
          <w:between w:val="none" w:color="auto" w:sz="0" w:space="0"/>
        </w:pBdr>
        <w:rPr>
          <w:color w:val="auto"/>
        </w:rPr>
      </w:pPr>
    </w:p>
    <w:p>
      <w:pPr>
        <w:pStyle w:val="9"/>
        <w:pBdr>
          <w:top w:val="none" w:color="auto" w:sz="0" w:space="0"/>
          <w:left w:val="none" w:color="auto" w:sz="0" w:space="0"/>
          <w:bottom w:val="none" w:color="auto" w:sz="0" w:space="0"/>
          <w:right w:val="none" w:color="auto" w:sz="0" w:space="0"/>
          <w:between w:val="none" w:color="auto" w:sz="0" w:space="0"/>
        </w:pBdr>
        <w:rPr>
          <w:color w:val="auto"/>
        </w:rPr>
      </w:pPr>
    </w:p>
    <w:p>
      <w:pPr>
        <w:pStyle w:val="9"/>
        <w:pBdr>
          <w:top w:val="none" w:color="auto" w:sz="0" w:space="0"/>
          <w:left w:val="none" w:color="auto" w:sz="0" w:space="0"/>
          <w:bottom w:val="none" w:color="auto" w:sz="0" w:space="0"/>
          <w:right w:val="none" w:color="auto" w:sz="0" w:space="0"/>
          <w:between w:val="none" w:color="auto" w:sz="0" w:space="0"/>
        </w:pBdr>
        <w:rPr>
          <w:color w:val="auto"/>
        </w:rPr>
      </w:pPr>
    </w:p>
    <w:p>
      <w:pPr>
        <w:pStyle w:val="8"/>
        <w:pBdr>
          <w:top w:val="none" w:color="auto" w:sz="0" w:space="0"/>
          <w:left w:val="none" w:color="auto" w:sz="0" w:space="0"/>
          <w:bottom w:val="none" w:color="auto" w:sz="0" w:space="0"/>
          <w:right w:val="none" w:color="auto" w:sz="0" w:space="0"/>
          <w:between w:val="none" w:color="auto" w:sz="0" w:space="0"/>
        </w:pBdr>
        <w:rPr>
          <w:color w:val="auto"/>
        </w:rPr>
      </w:pPr>
    </w:p>
    <w:p>
      <w:pPr>
        <w:pStyle w:val="8"/>
        <w:pBdr>
          <w:top w:val="none" w:color="auto" w:sz="0" w:space="0"/>
          <w:left w:val="none" w:color="auto" w:sz="0" w:space="0"/>
          <w:bottom w:val="none" w:color="auto" w:sz="0" w:space="0"/>
          <w:right w:val="none" w:color="auto" w:sz="0" w:space="0"/>
          <w:between w:val="none" w:color="auto" w:sz="0" w:space="0"/>
        </w:pBdr>
        <w:rPr>
          <w:color w:val="auto"/>
        </w:rPr>
      </w:pPr>
    </w:p>
    <w:p>
      <w:pPr>
        <w:pStyle w:val="8"/>
        <w:pBdr>
          <w:top w:val="none" w:color="auto" w:sz="0" w:space="0"/>
          <w:left w:val="none" w:color="auto" w:sz="0" w:space="0"/>
          <w:bottom w:val="none" w:color="auto" w:sz="0" w:space="0"/>
          <w:right w:val="none" w:color="auto" w:sz="0" w:space="0"/>
          <w:between w:val="none" w:color="auto" w:sz="0" w:space="0"/>
        </w:pBdr>
        <w:rPr>
          <w:color w:val="auto"/>
        </w:rPr>
      </w:pPr>
    </w:p>
    <w:p>
      <w:pPr>
        <w:pStyle w:val="8"/>
        <w:pBdr>
          <w:top w:val="none" w:color="auto" w:sz="0" w:space="0"/>
          <w:left w:val="none" w:color="auto" w:sz="0" w:space="0"/>
          <w:bottom w:val="none" w:color="auto" w:sz="0" w:space="0"/>
          <w:right w:val="none" w:color="auto" w:sz="0" w:space="0"/>
          <w:between w:val="none" w:color="auto" w:sz="0" w:space="0"/>
        </w:pBdr>
        <w:rPr>
          <w:color w:val="auto"/>
        </w:rPr>
      </w:pPr>
    </w:p>
    <w:p>
      <w:pPr>
        <w:pStyle w:val="8"/>
        <w:pBdr>
          <w:top w:val="none" w:color="auto" w:sz="0" w:space="0"/>
          <w:left w:val="none" w:color="auto" w:sz="0" w:space="0"/>
          <w:bottom w:val="none" w:color="auto" w:sz="0" w:space="0"/>
          <w:right w:val="none" w:color="auto" w:sz="0" w:space="0"/>
          <w:between w:val="none" w:color="auto" w:sz="0" w:space="0"/>
        </w:pBdr>
        <w:jc w:val="both"/>
        <w:rPr>
          <w:color w:val="auto"/>
        </w:rPr>
      </w:pPr>
    </w:p>
    <w:p>
      <w:pPr>
        <w:pStyle w:val="9"/>
        <w:pBdr>
          <w:top w:val="none" w:color="auto" w:sz="0" w:space="0"/>
          <w:left w:val="none" w:color="auto" w:sz="0" w:space="0"/>
          <w:bottom w:val="none" w:color="auto" w:sz="0" w:space="0"/>
          <w:right w:val="none" w:color="auto" w:sz="0" w:space="0"/>
          <w:between w:val="none" w:color="auto" w:sz="0" w:space="0"/>
        </w:pBdr>
        <w:rPr>
          <w:color w:val="auto"/>
        </w:rPr>
      </w:pPr>
    </w:p>
    <w:p>
      <w:pPr>
        <w:pStyle w:val="9"/>
        <w:pBdr>
          <w:top w:val="none" w:color="auto" w:sz="0" w:space="0"/>
          <w:left w:val="none" w:color="auto" w:sz="0" w:space="0"/>
          <w:bottom w:val="none" w:color="auto" w:sz="0" w:space="0"/>
          <w:right w:val="none" w:color="auto" w:sz="0" w:space="0"/>
          <w:between w:val="none" w:color="auto" w:sz="0" w:space="0"/>
        </w:pBdr>
        <w:outlineLvl w:val="0"/>
        <w:rPr>
          <w:rFonts w:ascii="Times New Roman" w:hAnsi="Times New Roman"/>
          <w:bCs/>
          <w:color w:val="auto"/>
          <w:sz w:val="32"/>
          <w:szCs w:val="32"/>
        </w:rPr>
      </w:pPr>
      <w:bookmarkStart w:id="16" w:name="_Toc14616"/>
    </w:p>
    <w:p>
      <w:pPr>
        <w:pStyle w:val="9"/>
        <w:pBdr>
          <w:top w:val="none" w:color="auto" w:sz="0" w:space="0"/>
          <w:left w:val="none" w:color="auto" w:sz="0" w:space="0"/>
          <w:bottom w:val="none" w:color="auto" w:sz="0" w:space="0"/>
          <w:right w:val="none" w:color="auto" w:sz="0" w:space="0"/>
          <w:between w:val="none" w:color="auto" w:sz="0" w:space="0"/>
        </w:pBdr>
        <w:outlineLvl w:val="0"/>
        <w:rPr>
          <w:rFonts w:ascii="Times New Roman" w:hAnsi="Times New Roman"/>
          <w:bCs/>
          <w:color w:val="auto"/>
          <w:sz w:val="32"/>
          <w:szCs w:val="32"/>
        </w:rPr>
      </w:pPr>
    </w:p>
    <w:p>
      <w:pPr>
        <w:pStyle w:val="9"/>
        <w:pBdr>
          <w:top w:val="none" w:color="auto" w:sz="0" w:space="0"/>
          <w:left w:val="none" w:color="auto" w:sz="0" w:space="0"/>
          <w:bottom w:val="none" w:color="auto" w:sz="0" w:space="0"/>
          <w:right w:val="none" w:color="auto" w:sz="0" w:space="0"/>
          <w:between w:val="none" w:color="auto" w:sz="0" w:space="0"/>
        </w:pBdr>
        <w:outlineLvl w:val="0"/>
        <w:rPr>
          <w:rFonts w:ascii="Times New Roman" w:hAnsi="Times New Roman"/>
          <w:bCs/>
          <w:color w:val="auto"/>
          <w:sz w:val="32"/>
          <w:szCs w:val="32"/>
        </w:rPr>
      </w:pPr>
    </w:p>
    <w:p>
      <w:pPr>
        <w:pStyle w:val="9"/>
        <w:pBdr>
          <w:top w:val="none" w:color="auto" w:sz="0" w:space="0"/>
          <w:left w:val="none" w:color="auto" w:sz="0" w:space="0"/>
          <w:bottom w:val="none" w:color="auto" w:sz="0" w:space="0"/>
          <w:right w:val="none" w:color="auto" w:sz="0" w:space="0"/>
          <w:between w:val="none" w:color="auto" w:sz="0" w:space="0"/>
        </w:pBdr>
        <w:outlineLvl w:val="0"/>
        <w:rPr>
          <w:rFonts w:ascii="Times New Roman" w:hAnsi="Times New Roman"/>
          <w:bCs/>
          <w:color w:val="auto"/>
          <w:sz w:val="32"/>
          <w:szCs w:val="32"/>
        </w:rPr>
      </w:pPr>
    </w:p>
    <w:p>
      <w:pPr>
        <w:pStyle w:val="9"/>
        <w:pBdr>
          <w:top w:val="none" w:color="auto" w:sz="0" w:space="0"/>
          <w:left w:val="none" w:color="auto" w:sz="0" w:space="0"/>
          <w:bottom w:val="none" w:color="auto" w:sz="0" w:space="0"/>
          <w:right w:val="none" w:color="auto" w:sz="0" w:space="0"/>
          <w:between w:val="none" w:color="auto" w:sz="0" w:space="0"/>
        </w:pBdr>
        <w:outlineLvl w:val="0"/>
        <w:rPr>
          <w:rFonts w:ascii="Times New Roman" w:hAnsi="Times New Roman"/>
          <w:bCs/>
          <w:color w:val="auto"/>
          <w:sz w:val="32"/>
          <w:szCs w:val="32"/>
        </w:rPr>
      </w:pPr>
    </w:p>
    <w:p>
      <w:pPr>
        <w:pStyle w:val="9"/>
        <w:pBdr>
          <w:top w:val="none" w:color="auto" w:sz="0" w:space="0"/>
          <w:left w:val="none" w:color="auto" w:sz="0" w:space="0"/>
          <w:bottom w:val="none" w:color="auto" w:sz="0" w:space="0"/>
          <w:right w:val="none" w:color="auto" w:sz="0" w:space="0"/>
          <w:between w:val="none" w:color="auto" w:sz="0" w:space="0"/>
        </w:pBdr>
        <w:outlineLvl w:val="0"/>
        <w:rPr>
          <w:rFonts w:ascii="Times New Roman" w:hAnsi="Times New Roman"/>
          <w:bCs/>
          <w:color w:val="auto"/>
          <w:sz w:val="32"/>
          <w:szCs w:val="32"/>
        </w:rPr>
      </w:pPr>
    </w:p>
    <w:p>
      <w:pPr>
        <w:pStyle w:val="9"/>
        <w:pBdr>
          <w:top w:val="none" w:color="auto" w:sz="0" w:space="0"/>
          <w:left w:val="none" w:color="auto" w:sz="0" w:space="0"/>
          <w:bottom w:val="none" w:color="auto" w:sz="0" w:space="0"/>
          <w:right w:val="none" w:color="auto" w:sz="0" w:space="0"/>
          <w:between w:val="none" w:color="auto" w:sz="0" w:space="0"/>
        </w:pBdr>
        <w:outlineLvl w:val="0"/>
        <w:rPr>
          <w:rFonts w:ascii="Times New Roman" w:hAnsi="Times New Roman"/>
          <w:bCs/>
          <w:color w:val="auto"/>
          <w:sz w:val="32"/>
          <w:szCs w:val="32"/>
        </w:rPr>
      </w:pPr>
    </w:p>
    <w:p>
      <w:pPr>
        <w:pStyle w:val="9"/>
        <w:pBdr>
          <w:top w:val="none" w:color="auto" w:sz="0" w:space="0"/>
          <w:left w:val="none" w:color="auto" w:sz="0" w:space="0"/>
          <w:bottom w:val="none" w:color="auto" w:sz="0" w:space="0"/>
          <w:right w:val="none" w:color="auto" w:sz="0" w:space="0"/>
          <w:between w:val="none" w:color="auto" w:sz="0" w:space="0"/>
        </w:pBdr>
        <w:outlineLvl w:val="0"/>
        <w:rPr>
          <w:rFonts w:ascii="Times New Roman" w:hAnsi="Times New Roman"/>
          <w:bCs/>
          <w:color w:val="auto"/>
          <w:sz w:val="32"/>
          <w:szCs w:val="32"/>
        </w:rPr>
      </w:pPr>
    </w:p>
    <w:p>
      <w:pPr>
        <w:pStyle w:val="9"/>
        <w:pBdr>
          <w:top w:val="none" w:color="auto" w:sz="0" w:space="0"/>
          <w:left w:val="none" w:color="auto" w:sz="0" w:space="0"/>
          <w:bottom w:val="none" w:color="auto" w:sz="0" w:space="0"/>
          <w:right w:val="none" w:color="auto" w:sz="0" w:space="0"/>
          <w:between w:val="none" w:color="auto" w:sz="0" w:space="0"/>
        </w:pBdr>
        <w:outlineLvl w:val="0"/>
        <w:rPr>
          <w:rFonts w:ascii="Times New Roman" w:hAnsi="Times New Roman"/>
          <w:bCs/>
          <w:color w:val="auto"/>
          <w:sz w:val="32"/>
          <w:szCs w:val="32"/>
        </w:rPr>
      </w:pPr>
    </w:p>
    <w:p>
      <w:pPr>
        <w:pStyle w:val="9"/>
        <w:pBdr>
          <w:top w:val="none" w:color="auto" w:sz="0" w:space="0"/>
          <w:left w:val="none" w:color="auto" w:sz="0" w:space="0"/>
          <w:bottom w:val="none" w:color="auto" w:sz="0" w:space="0"/>
          <w:right w:val="none" w:color="auto" w:sz="0" w:space="0"/>
          <w:between w:val="none" w:color="auto" w:sz="0" w:space="0"/>
        </w:pBdr>
        <w:outlineLvl w:val="0"/>
        <w:rPr>
          <w:rFonts w:ascii="Times New Roman" w:hAnsi="Times New Roman"/>
          <w:bCs/>
          <w:color w:val="auto"/>
          <w:sz w:val="32"/>
          <w:szCs w:val="32"/>
        </w:rPr>
      </w:pPr>
    </w:p>
    <w:p>
      <w:pPr>
        <w:pStyle w:val="9"/>
        <w:pBdr>
          <w:top w:val="none" w:color="auto" w:sz="0" w:space="0"/>
          <w:left w:val="none" w:color="auto" w:sz="0" w:space="0"/>
          <w:bottom w:val="none" w:color="auto" w:sz="0" w:space="0"/>
          <w:right w:val="none" w:color="auto" w:sz="0" w:space="0"/>
          <w:between w:val="none" w:color="auto" w:sz="0" w:space="0"/>
        </w:pBdr>
        <w:outlineLvl w:val="0"/>
        <w:rPr>
          <w:rFonts w:ascii="Times New Roman" w:hAnsi="Times New Roman"/>
          <w:bCs/>
          <w:color w:val="auto"/>
          <w:sz w:val="32"/>
          <w:szCs w:val="32"/>
        </w:rPr>
      </w:pPr>
    </w:p>
    <w:p>
      <w:pPr>
        <w:pStyle w:val="9"/>
        <w:pBdr>
          <w:top w:val="none" w:color="auto" w:sz="0" w:space="0"/>
          <w:left w:val="none" w:color="auto" w:sz="0" w:space="0"/>
          <w:bottom w:val="none" w:color="auto" w:sz="0" w:space="0"/>
          <w:right w:val="none" w:color="auto" w:sz="0" w:space="0"/>
          <w:between w:val="none" w:color="auto" w:sz="0" w:space="0"/>
        </w:pBdr>
        <w:outlineLvl w:val="0"/>
        <w:rPr>
          <w:rFonts w:ascii="Times New Roman" w:hAnsi="Times New Roman"/>
          <w:bCs/>
          <w:color w:val="auto"/>
          <w:sz w:val="32"/>
          <w:szCs w:val="32"/>
        </w:rPr>
      </w:pPr>
    </w:p>
    <w:p>
      <w:pPr>
        <w:pStyle w:val="9"/>
        <w:pBdr>
          <w:top w:val="none" w:color="auto" w:sz="0" w:space="0"/>
          <w:left w:val="none" w:color="auto" w:sz="0" w:space="0"/>
          <w:bottom w:val="none" w:color="auto" w:sz="0" w:space="0"/>
          <w:right w:val="none" w:color="auto" w:sz="0" w:space="0"/>
          <w:between w:val="none" w:color="auto" w:sz="0" w:space="0"/>
        </w:pBdr>
        <w:outlineLvl w:val="0"/>
        <w:rPr>
          <w:rFonts w:ascii="Times New Roman" w:hAnsi="Times New Roman"/>
          <w:bCs/>
          <w:color w:val="auto"/>
          <w:sz w:val="32"/>
          <w:szCs w:val="32"/>
        </w:rPr>
      </w:pPr>
    </w:p>
    <w:p>
      <w:pPr>
        <w:pStyle w:val="8"/>
        <w:pBdr>
          <w:top w:val="none" w:color="auto" w:sz="0" w:space="0"/>
          <w:left w:val="none" w:color="auto" w:sz="0" w:space="0"/>
          <w:bottom w:val="none" w:color="auto" w:sz="0" w:space="0"/>
          <w:right w:val="none" w:color="auto" w:sz="0" w:space="0"/>
          <w:between w:val="none" w:color="auto" w:sz="0" w:space="0"/>
        </w:pBdr>
        <w:rPr>
          <w:color w:val="auto"/>
        </w:rPr>
      </w:pPr>
    </w:p>
    <w:p>
      <w:pPr>
        <w:pStyle w:val="8"/>
        <w:pBdr>
          <w:top w:val="none" w:color="auto" w:sz="0" w:space="0"/>
          <w:left w:val="none" w:color="auto" w:sz="0" w:space="0"/>
          <w:bottom w:val="none" w:color="auto" w:sz="0" w:space="0"/>
          <w:right w:val="none" w:color="auto" w:sz="0" w:space="0"/>
          <w:between w:val="none" w:color="auto" w:sz="0" w:space="0"/>
        </w:pBdr>
        <w:rPr>
          <w:color w:val="auto"/>
        </w:rPr>
      </w:pPr>
    </w:p>
    <w:p>
      <w:pPr>
        <w:pStyle w:val="8"/>
        <w:pBdr>
          <w:top w:val="none" w:color="auto" w:sz="0" w:space="0"/>
          <w:left w:val="none" w:color="auto" w:sz="0" w:space="0"/>
          <w:bottom w:val="none" w:color="auto" w:sz="0" w:space="0"/>
          <w:right w:val="none" w:color="auto" w:sz="0" w:space="0"/>
          <w:between w:val="none" w:color="auto" w:sz="0" w:space="0"/>
        </w:pBdr>
        <w:rPr>
          <w:color w:val="auto"/>
        </w:rPr>
      </w:pPr>
    </w:p>
    <w:p>
      <w:pPr>
        <w:pStyle w:val="8"/>
        <w:pBdr>
          <w:top w:val="none" w:color="auto" w:sz="0" w:space="0"/>
          <w:left w:val="none" w:color="auto" w:sz="0" w:space="0"/>
          <w:bottom w:val="none" w:color="auto" w:sz="0" w:space="0"/>
          <w:right w:val="none" w:color="auto" w:sz="0" w:space="0"/>
          <w:between w:val="none" w:color="auto" w:sz="0" w:space="0"/>
        </w:pBdr>
        <w:rPr>
          <w:color w:val="auto"/>
        </w:rPr>
      </w:pPr>
    </w:p>
    <w:p>
      <w:pPr>
        <w:pStyle w:val="9"/>
        <w:pBdr>
          <w:top w:val="none" w:color="auto" w:sz="0" w:space="0"/>
          <w:left w:val="none" w:color="auto" w:sz="0" w:space="0"/>
          <w:bottom w:val="none" w:color="auto" w:sz="0" w:space="0"/>
          <w:right w:val="none" w:color="auto" w:sz="0" w:space="0"/>
          <w:between w:val="none" w:color="auto" w:sz="0" w:space="0"/>
        </w:pBdr>
        <w:outlineLvl w:val="0"/>
        <w:rPr>
          <w:rFonts w:ascii="Times New Roman" w:hAnsi="Times New Roman"/>
          <w:bCs/>
          <w:color w:val="auto"/>
          <w:sz w:val="32"/>
          <w:szCs w:val="32"/>
        </w:rPr>
      </w:pPr>
    </w:p>
    <w:p>
      <w:pPr>
        <w:pStyle w:val="9"/>
        <w:pBdr>
          <w:top w:val="none" w:color="auto" w:sz="0" w:space="0"/>
          <w:left w:val="none" w:color="auto" w:sz="0" w:space="0"/>
          <w:bottom w:val="none" w:color="auto" w:sz="0" w:space="0"/>
          <w:right w:val="none" w:color="auto" w:sz="0" w:space="0"/>
          <w:between w:val="none" w:color="auto" w:sz="0" w:space="0"/>
        </w:pBdr>
        <w:outlineLvl w:val="0"/>
        <w:rPr>
          <w:rFonts w:ascii="Times New Roman" w:hAnsi="Times New Roman"/>
          <w:b/>
          <w:color w:val="auto"/>
          <w:sz w:val="32"/>
          <w:szCs w:val="32"/>
        </w:rPr>
      </w:pPr>
      <w:r>
        <w:rPr>
          <w:rFonts w:hint="eastAsia" w:ascii="Times New Roman" w:hAnsi="Times New Roman"/>
          <w:b/>
          <w:color w:val="auto"/>
          <w:sz w:val="32"/>
          <w:szCs w:val="32"/>
        </w:rPr>
        <w:t>第五章询价程序</w:t>
      </w:r>
      <w:bookmarkEnd w:id="16"/>
    </w:p>
    <w:p>
      <w:pPr>
        <w:spacing w:line="360" w:lineRule="auto"/>
        <w:ind w:right="571"/>
        <w:rPr>
          <w:rFonts w:ascii="宋体" w:cs="宋体"/>
          <w:bCs/>
          <w:color w:val="auto"/>
        </w:rPr>
      </w:pPr>
      <w:r>
        <w:rPr>
          <w:rFonts w:ascii="宋体" w:hAnsi="宋体" w:cs="宋体"/>
          <w:bCs/>
          <w:color w:val="auto"/>
        </w:rPr>
        <w:t>1</w:t>
      </w:r>
      <w:r>
        <w:rPr>
          <w:rFonts w:hint="eastAsia" w:ascii="宋体" w:hAnsi="宋体" w:cs="宋体"/>
          <w:bCs/>
          <w:color w:val="auto"/>
        </w:rPr>
        <w:t>、询价小组及专家组成</w:t>
      </w:r>
    </w:p>
    <w:p>
      <w:pPr>
        <w:spacing w:line="360" w:lineRule="auto"/>
        <w:ind w:right="571" w:firstLine="480" w:firstLineChars="200"/>
        <w:rPr>
          <w:rFonts w:ascii="宋体" w:cs="宋体"/>
          <w:color w:val="auto"/>
        </w:rPr>
      </w:pPr>
      <w:r>
        <w:rPr>
          <w:rFonts w:hint="eastAsia" w:ascii="宋体" w:hAnsi="宋体" w:cs="宋体"/>
          <w:color w:val="auto"/>
        </w:rPr>
        <w:t>采购执行机构组织实施询价采购活动应当成立询价小组，询价小组由采购人的代表和根据采购项目情况确定的技术或经济或法律类等有关专家三人以上的单数组成，其中专家人数不少于成员总数的三分之二，负责本次采购项目的询价和评审工作。</w:t>
      </w:r>
    </w:p>
    <w:p>
      <w:pPr>
        <w:spacing w:line="360" w:lineRule="auto"/>
        <w:ind w:right="571"/>
        <w:rPr>
          <w:rFonts w:ascii="宋体" w:cs="宋体"/>
          <w:bCs/>
          <w:color w:val="auto"/>
        </w:rPr>
      </w:pPr>
      <w:r>
        <w:rPr>
          <w:rFonts w:ascii="宋体" w:hAnsi="宋体" w:cs="宋体"/>
          <w:bCs/>
          <w:color w:val="auto"/>
        </w:rPr>
        <w:t>2</w:t>
      </w:r>
      <w:r>
        <w:rPr>
          <w:rFonts w:hint="eastAsia" w:ascii="宋体" w:hAnsi="宋体" w:cs="宋体"/>
          <w:bCs/>
          <w:color w:val="auto"/>
        </w:rPr>
        <w:t>、询价组织</w:t>
      </w:r>
    </w:p>
    <w:p>
      <w:pPr>
        <w:spacing w:line="360" w:lineRule="auto"/>
        <w:ind w:right="571" w:firstLine="480" w:firstLineChars="200"/>
        <w:rPr>
          <w:rFonts w:ascii="宋体" w:cs="宋体"/>
          <w:color w:val="auto"/>
        </w:rPr>
      </w:pPr>
      <w:r>
        <w:rPr>
          <w:rFonts w:hint="eastAsia" w:ascii="宋体" w:hAnsi="宋体" w:cs="宋体"/>
          <w:color w:val="auto"/>
        </w:rPr>
        <w:t>询价工作由我公司组织，具体询价事务由依法组建的询价小组负责。</w:t>
      </w:r>
    </w:p>
    <w:p>
      <w:pPr>
        <w:spacing w:line="360" w:lineRule="auto"/>
        <w:ind w:right="571"/>
        <w:rPr>
          <w:rFonts w:ascii="宋体" w:cs="宋体"/>
          <w:bCs/>
          <w:color w:val="auto"/>
        </w:rPr>
      </w:pPr>
      <w:r>
        <w:rPr>
          <w:rFonts w:ascii="宋体" w:hAnsi="宋体" w:cs="宋体"/>
          <w:bCs/>
          <w:color w:val="auto"/>
        </w:rPr>
        <w:t>3</w:t>
      </w:r>
      <w:r>
        <w:rPr>
          <w:rFonts w:hint="eastAsia" w:ascii="宋体" w:hAnsi="宋体" w:cs="宋体"/>
          <w:bCs/>
          <w:color w:val="auto"/>
        </w:rPr>
        <w:t>、询价程序</w:t>
      </w:r>
    </w:p>
    <w:p>
      <w:pPr>
        <w:spacing w:line="360" w:lineRule="auto"/>
        <w:ind w:right="571" w:firstLine="480" w:firstLineChars="200"/>
        <w:rPr>
          <w:rFonts w:ascii="宋体" w:cs="宋体"/>
          <w:color w:val="auto"/>
        </w:rPr>
      </w:pPr>
      <w:r>
        <w:rPr>
          <w:rFonts w:ascii="宋体" w:hAnsi="宋体" w:cs="宋体"/>
          <w:color w:val="auto"/>
        </w:rPr>
        <w:t xml:space="preserve">3.1 </w:t>
      </w:r>
      <w:r>
        <w:rPr>
          <w:rFonts w:hint="eastAsia" w:ascii="宋体" w:hAnsi="宋体" w:cs="宋体"/>
          <w:color w:val="auto"/>
        </w:rPr>
        <w:t>在供应商递交报价文件截止时间结束后，采购人组织询价小组对递交报价文件的供应商进行资格性、符合性审查，确定参加询价的供应商名单。</w:t>
      </w:r>
    </w:p>
    <w:p>
      <w:pPr>
        <w:spacing w:line="360" w:lineRule="auto"/>
        <w:ind w:right="571" w:firstLine="480" w:firstLineChars="200"/>
        <w:rPr>
          <w:rFonts w:ascii="宋体" w:cs="宋体"/>
          <w:color w:val="auto"/>
        </w:rPr>
      </w:pPr>
      <w:r>
        <w:rPr>
          <w:rFonts w:ascii="宋体" w:hAnsi="宋体" w:cs="宋体"/>
          <w:color w:val="auto"/>
        </w:rPr>
        <w:t>3.2</w:t>
      </w:r>
      <w:r>
        <w:rPr>
          <w:rFonts w:hint="eastAsia" w:ascii="宋体" w:hAnsi="宋体" w:cs="宋体"/>
          <w:color w:val="auto"/>
        </w:rPr>
        <w:t>确定参加询价的供应商数量采用合格数量制，即询价小组对各供应商资格性、符合性审查后，凡符合本询价文件规定资格性、符合性条件的，均进入参加询价的供应商名单。</w:t>
      </w:r>
    </w:p>
    <w:p>
      <w:pPr>
        <w:spacing w:line="360" w:lineRule="auto"/>
        <w:ind w:right="571" w:firstLine="480" w:firstLineChars="200"/>
        <w:rPr>
          <w:rFonts w:ascii="宋体" w:cs="宋体"/>
          <w:color w:val="auto"/>
        </w:rPr>
      </w:pPr>
      <w:r>
        <w:rPr>
          <w:rFonts w:ascii="宋体" w:hAnsi="宋体" w:cs="宋体"/>
          <w:color w:val="auto"/>
        </w:rPr>
        <w:t>3.3</w:t>
      </w:r>
      <w:r>
        <w:rPr>
          <w:rFonts w:hint="eastAsia" w:ascii="宋体" w:hAnsi="宋体" w:cs="宋体"/>
          <w:color w:val="auto"/>
        </w:rPr>
        <w:t>询价小组资格性、符合性审查结束后，向采购人出具资格性、符合性审查报告，确定参加询价的供应商名单。没有通过资格性、符合性审查的供应商，询价小组应在资格性、符合性审查报告中说明原因。</w:t>
      </w:r>
    </w:p>
    <w:p>
      <w:pPr>
        <w:spacing w:line="360" w:lineRule="auto"/>
        <w:ind w:right="571" w:firstLine="480" w:firstLineChars="200"/>
        <w:rPr>
          <w:rFonts w:ascii="宋体" w:cs="宋体"/>
          <w:color w:val="auto"/>
        </w:rPr>
      </w:pPr>
      <w:r>
        <w:rPr>
          <w:rFonts w:ascii="宋体" w:hAnsi="宋体" w:cs="宋体"/>
          <w:color w:val="auto"/>
        </w:rPr>
        <w:t xml:space="preserve">3.4 </w:t>
      </w:r>
      <w:r>
        <w:rPr>
          <w:rFonts w:hint="eastAsia" w:ascii="宋体" w:hAnsi="宋体" w:cs="宋体"/>
          <w:color w:val="auto"/>
        </w:rPr>
        <w:t>采购人收到询价小组出具的资格性、符合性审查报告后，当场向所有递交报价文件的供应商宣布通过及未通过资格性、符合性审查的供应商名单。</w:t>
      </w:r>
    </w:p>
    <w:p>
      <w:pPr>
        <w:spacing w:line="360" w:lineRule="auto"/>
        <w:ind w:right="571" w:firstLine="480" w:firstLineChars="200"/>
        <w:rPr>
          <w:rFonts w:ascii="宋体" w:cs="宋体"/>
          <w:color w:val="auto"/>
        </w:rPr>
      </w:pPr>
      <w:r>
        <w:rPr>
          <w:rFonts w:ascii="宋体" w:hAnsi="宋体" w:cs="宋体"/>
          <w:color w:val="auto"/>
        </w:rPr>
        <w:t xml:space="preserve">3.5 </w:t>
      </w:r>
      <w:r>
        <w:rPr>
          <w:rFonts w:hint="eastAsia" w:ascii="宋体" w:hAnsi="宋体" w:cs="宋体"/>
          <w:color w:val="auto"/>
        </w:rPr>
        <w:t>在采购文件和采购程序符合法律规定的前提下，符合项目资格条件的供应商不足三家时，做流标处理。</w:t>
      </w:r>
    </w:p>
    <w:p>
      <w:pPr>
        <w:spacing w:line="360" w:lineRule="auto"/>
        <w:ind w:right="571" w:firstLine="480" w:firstLineChars="200"/>
        <w:rPr>
          <w:rFonts w:ascii="宋体" w:cs="宋体"/>
          <w:color w:val="auto"/>
          <w:szCs w:val="21"/>
        </w:rPr>
      </w:pPr>
      <w:r>
        <w:rPr>
          <w:rFonts w:ascii="宋体" w:hAnsi="宋体" w:cs="宋体"/>
          <w:color w:val="auto"/>
        </w:rPr>
        <w:t>3.6</w:t>
      </w:r>
      <w:r>
        <w:rPr>
          <w:rFonts w:hint="eastAsia" w:ascii="宋体" w:hAnsi="宋体" w:cs="宋体"/>
          <w:color w:val="auto"/>
          <w:szCs w:val="21"/>
        </w:rPr>
        <w:t>对提供产品</w:t>
      </w:r>
      <w:r>
        <w:rPr>
          <w:rFonts w:hint="eastAsia" w:ascii="宋体" w:hAnsi="宋体" w:cs="宋体"/>
          <w:color w:val="auto"/>
        </w:rPr>
        <w:t>采购需求、</w:t>
      </w:r>
      <w:r>
        <w:rPr>
          <w:rFonts w:hint="eastAsia" w:ascii="宋体" w:hAnsi="宋体" w:cs="宋体"/>
          <w:color w:val="auto"/>
          <w:szCs w:val="21"/>
        </w:rPr>
        <w:t>质量和服务均能满足询价文件规定最低要求的供应商归列为推荐成交的候选对象，采购人依照候选供应商的报价顺序，以有效报价最低者确定为成交供应商。</w:t>
      </w:r>
    </w:p>
    <w:p>
      <w:pPr>
        <w:spacing w:line="360" w:lineRule="auto"/>
        <w:ind w:right="571" w:firstLine="480" w:firstLineChars="200"/>
        <w:rPr>
          <w:rFonts w:ascii="宋体" w:cs="宋体"/>
          <w:color w:val="auto"/>
        </w:rPr>
      </w:pPr>
      <w:r>
        <w:rPr>
          <w:rFonts w:ascii="宋体" w:hAnsi="宋体" w:cs="宋体"/>
          <w:color w:val="auto"/>
        </w:rPr>
        <w:t>3.7</w:t>
      </w:r>
      <w:r>
        <w:rPr>
          <w:rFonts w:hint="eastAsia" w:ascii="宋体" w:hAnsi="宋体" w:cs="宋体"/>
          <w:color w:val="auto"/>
        </w:rPr>
        <w:t>供应商报价文件满足或者高于询价文件规定的采购项目最低要求时，即视同供应商报价文件符合采购需求、质量和服务相等。</w:t>
      </w:r>
    </w:p>
    <w:p>
      <w:pPr>
        <w:spacing w:line="360" w:lineRule="auto"/>
        <w:ind w:right="571" w:firstLine="480" w:firstLineChars="200"/>
        <w:rPr>
          <w:rFonts w:ascii="宋体" w:cs="宋体"/>
          <w:color w:val="auto"/>
        </w:rPr>
      </w:pPr>
      <w:r>
        <w:rPr>
          <w:rFonts w:ascii="宋体" w:hAnsi="宋体" w:cs="宋体"/>
          <w:color w:val="auto"/>
        </w:rPr>
        <w:t xml:space="preserve">3.8 </w:t>
      </w:r>
      <w:r>
        <w:rPr>
          <w:rFonts w:hint="eastAsia" w:ascii="宋体" w:hAnsi="宋体" w:cs="宋体"/>
          <w:color w:val="auto"/>
        </w:rPr>
        <w:t>询价小组经审查，供应商报价文件不能满足询价文件规定的采购项目最低要求的，或者询价过程中，询价小组发现或者知晓供应商存在违法、违纪行为的，询价小组应当将该供应商淘汰，不允许参加报价。</w:t>
      </w:r>
    </w:p>
    <w:p>
      <w:pPr>
        <w:spacing w:line="360" w:lineRule="auto"/>
        <w:ind w:right="571" w:firstLine="480" w:firstLineChars="200"/>
        <w:rPr>
          <w:rFonts w:ascii="宋体" w:cs="宋体"/>
          <w:color w:val="auto"/>
        </w:rPr>
      </w:pPr>
      <w:r>
        <w:rPr>
          <w:rFonts w:ascii="宋体" w:hAnsi="宋体" w:cs="宋体"/>
          <w:color w:val="auto"/>
        </w:rPr>
        <w:t>3.9</w:t>
      </w:r>
      <w:r>
        <w:rPr>
          <w:rFonts w:hint="eastAsia" w:ascii="宋体" w:hAnsi="宋体" w:cs="宋体"/>
          <w:color w:val="auto"/>
        </w:rPr>
        <w:t>询价结束后，部分供应商报价文件优于询价文件要求的，不能以此作为高价成交的依据，询价小组也不能接受其高价成交。</w:t>
      </w:r>
    </w:p>
    <w:p>
      <w:pPr>
        <w:spacing w:line="360" w:lineRule="auto"/>
        <w:ind w:right="571" w:firstLine="480" w:firstLineChars="200"/>
        <w:rPr>
          <w:rFonts w:ascii="宋体" w:cs="宋体"/>
          <w:color w:val="auto"/>
        </w:rPr>
      </w:pPr>
      <w:r>
        <w:rPr>
          <w:rFonts w:ascii="宋体" w:hAnsi="宋体" w:cs="宋体"/>
          <w:color w:val="auto"/>
        </w:rPr>
        <w:t xml:space="preserve">3.10 </w:t>
      </w:r>
      <w:r>
        <w:rPr>
          <w:rFonts w:hint="eastAsia" w:ascii="宋体" w:hAnsi="宋体" w:cs="宋体"/>
          <w:color w:val="auto"/>
        </w:rPr>
        <w:t>询价过程中，有下列情形之一的，询价失败：</w:t>
      </w:r>
    </w:p>
    <w:p>
      <w:pPr>
        <w:spacing w:line="360" w:lineRule="auto"/>
        <w:ind w:right="571" w:firstLine="240" w:firstLineChars="100"/>
        <w:rPr>
          <w:rFonts w:ascii="宋体" w:cs="宋体"/>
          <w:color w:val="auto"/>
        </w:rPr>
      </w:pPr>
      <w:r>
        <w:rPr>
          <w:rFonts w:hint="eastAsia" w:ascii="宋体" w:hAnsi="宋体" w:cs="宋体"/>
          <w:color w:val="auto"/>
        </w:rPr>
        <w:t>（一）参加询价的供应商均被淘汰的；</w:t>
      </w:r>
    </w:p>
    <w:p>
      <w:pPr>
        <w:spacing w:line="360" w:lineRule="auto"/>
        <w:ind w:right="571" w:firstLine="240" w:firstLineChars="100"/>
        <w:rPr>
          <w:rFonts w:ascii="宋体" w:cs="宋体"/>
          <w:color w:val="auto"/>
        </w:rPr>
      </w:pPr>
      <w:r>
        <w:rPr>
          <w:rFonts w:hint="eastAsia" w:ascii="宋体" w:hAnsi="宋体" w:cs="宋体"/>
          <w:color w:val="auto"/>
        </w:rPr>
        <w:t>（二）询价结束，供应商报价文件均不能满足询价文件规定的采购项目最低要求的；</w:t>
      </w:r>
    </w:p>
    <w:p>
      <w:pPr>
        <w:spacing w:line="360" w:lineRule="auto"/>
        <w:ind w:right="571" w:firstLine="240" w:firstLineChars="100"/>
        <w:rPr>
          <w:rFonts w:ascii="宋体" w:cs="宋体"/>
          <w:color w:val="auto"/>
        </w:rPr>
      </w:pPr>
      <w:r>
        <w:rPr>
          <w:rFonts w:hint="eastAsia" w:ascii="宋体" w:hAnsi="宋体" w:cs="宋体"/>
          <w:color w:val="auto"/>
        </w:rPr>
        <w:t>（三）供应商报价均超过政府采购预算或者本次采购项目最高限价的；</w:t>
      </w:r>
    </w:p>
    <w:p>
      <w:pPr>
        <w:spacing w:line="360" w:lineRule="auto"/>
        <w:ind w:right="571" w:firstLine="240" w:firstLineChars="100"/>
        <w:rPr>
          <w:rFonts w:ascii="宋体" w:cs="宋体"/>
          <w:color w:val="auto"/>
        </w:rPr>
      </w:pPr>
      <w:r>
        <w:rPr>
          <w:rFonts w:hint="eastAsia" w:ascii="宋体" w:hAnsi="宋体" w:cs="宋体"/>
          <w:color w:val="auto"/>
        </w:rPr>
        <w:t>（四）其他无法继续开展询价或者无法成交的情形。</w:t>
      </w:r>
    </w:p>
    <w:p>
      <w:pPr>
        <w:spacing w:line="360" w:lineRule="auto"/>
        <w:ind w:right="571" w:firstLine="480" w:firstLineChars="200"/>
        <w:rPr>
          <w:rFonts w:hint="eastAsia" w:ascii="宋体" w:hAnsi="宋体" w:cs="宋体"/>
          <w:color w:val="auto"/>
        </w:rPr>
      </w:pPr>
      <w:r>
        <w:rPr>
          <w:rFonts w:ascii="宋体" w:hAnsi="宋体" w:cs="宋体"/>
          <w:color w:val="auto"/>
        </w:rPr>
        <w:t>3.11</w:t>
      </w:r>
      <w:r>
        <w:rPr>
          <w:rFonts w:hint="eastAsia" w:ascii="宋体" w:hAnsi="宋体" w:cs="宋体"/>
          <w:color w:val="auto"/>
        </w:rPr>
        <w:t>在询价中，询价的任何一方不得透露与询价有关的其他供应商的技术资料、价格和其他信息。</w:t>
      </w:r>
      <w:bookmarkStart w:id="17" w:name="_Toc24134"/>
    </w:p>
    <w:p>
      <w:pPr>
        <w:spacing w:line="360" w:lineRule="auto"/>
        <w:ind w:right="571" w:firstLine="480" w:firstLineChars="200"/>
        <w:rPr>
          <w:rFonts w:hint="eastAsia" w:ascii="宋体" w:hAnsi="宋体" w:cs="宋体"/>
          <w:color w:val="auto"/>
        </w:rPr>
      </w:pPr>
      <w:r>
        <w:rPr>
          <w:rFonts w:hint="eastAsia" w:ascii="宋体" w:hAnsi="宋体" w:cs="宋体"/>
          <w:color w:val="auto"/>
        </w:rPr>
        <w:t>4</w:t>
      </w:r>
      <w:r>
        <w:rPr>
          <w:rFonts w:hint="eastAsia" w:ascii="宋体" w:hAnsi="宋体" w:cs="宋体"/>
          <w:color w:val="auto"/>
          <w:lang w:eastAsia="zh-CN"/>
        </w:rPr>
        <w:t>、</w:t>
      </w:r>
      <w:r>
        <w:rPr>
          <w:rFonts w:hint="eastAsia" w:ascii="宋体" w:hAnsi="宋体" w:cs="宋体"/>
          <w:color w:val="auto"/>
        </w:rPr>
        <w:t>小微企业</w:t>
      </w:r>
      <w:r>
        <w:rPr>
          <w:rFonts w:hint="eastAsia" w:ascii="宋体" w:hAnsi="宋体" w:cs="宋体"/>
          <w:color w:val="auto"/>
          <w:lang w:eastAsia="zh-CN"/>
        </w:rPr>
        <w:t>（监狱企业视同小微企业价格扣除</w:t>
      </w:r>
      <w:r>
        <w:rPr>
          <w:rFonts w:hint="eastAsia" w:ascii="宋体" w:hAnsi="宋体" w:cs="宋体"/>
          <w:color w:val="auto"/>
          <w:lang w:val="en-US" w:eastAsia="zh-CN"/>
        </w:rPr>
        <w:t>,监狱企业需提供相关证明材料</w:t>
      </w:r>
      <w:r>
        <w:rPr>
          <w:rFonts w:hint="eastAsia" w:ascii="宋体" w:hAnsi="宋体" w:cs="宋体"/>
          <w:color w:val="auto"/>
          <w:lang w:eastAsia="zh-CN"/>
        </w:rPr>
        <w:t>）</w:t>
      </w:r>
      <w:r>
        <w:rPr>
          <w:rFonts w:hint="eastAsia" w:ascii="宋体" w:hAnsi="宋体" w:cs="宋体"/>
          <w:color w:val="auto"/>
        </w:rPr>
        <w:t>投标价格依据《关于印发中小企业划型标准规定的通知》（工信部联企业[2011]300号）文件及《政府采购促进中小企业发展暂行办法》（财库[2011]181号）文件规定，按6%的优惠折算后计算投标报价得分。</w:t>
      </w:r>
      <w:bookmarkEnd w:id="17"/>
    </w:p>
    <w:p>
      <w:pPr>
        <w:spacing w:line="360" w:lineRule="auto"/>
        <w:ind w:right="571" w:firstLine="480" w:firstLineChars="200"/>
        <w:rPr>
          <w:rFonts w:hint="eastAsia" w:ascii="宋体" w:hAnsi="宋体" w:cs="宋体"/>
          <w:color w:val="auto"/>
        </w:rPr>
      </w:pPr>
      <w:bookmarkStart w:id="18" w:name="_Toc9322"/>
      <w:r>
        <w:rPr>
          <w:rFonts w:hint="eastAsia" w:ascii="宋体" w:hAnsi="宋体" w:cs="宋体"/>
          <w:color w:val="auto"/>
        </w:rPr>
        <w:t>5、签订合同时以小微企业投标价格为准。在《唱标表》中，小微企业需出示有效证明文件，并在《唱标表》备注栏中写明，否则视为无效。</w:t>
      </w:r>
      <w:bookmarkEnd w:id="18"/>
    </w:p>
    <w:p>
      <w:pPr>
        <w:spacing w:line="360" w:lineRule="auto"/>
        <w:ind w:right="571" w:firstLine="480" w:firstLineChars="200"/>
        <w:rPr>
          <w:rFonts w:hint="eastAsia" w:ascii="宋体" w:hAnsi="宋体" w:cs="宋体"/>
          <w:color w:val="auto"/>
        </w:rPr>
      </w:pPr>
      <w:r>
        <w:rPr>
          <w:rFonts w:hint="eastAsia" w:ascii="宋体" w:hAnsi="宋体" w:cs="宋体"/>
          <w:color w:val="auto"/>
        </w:rPr>
        <w:t>6</w:t>
      </w:r>
      <w:r>
        <w:rPr>
          <w:rFonts w:hint="eastAsia" w:ascii="宋体" w:hAnsi="宋体" w:cs="宋体"/>
          <w:color w:val="auto"/>
          <w:lang w:eastAsia="zh-CN"/>
        </w:rPr>
        <w:t>、</w:t>
      </w:r>
      <w:r>
        <w:rPr>
          <w:rFonts w:hint="eastAsia" w:ascii="宋体" w:hAnsi="宋体" w:cs="宋体"/>
          <w:color w:val="auto"/>
        </w:rPr>
        <w:t>政策性加分</w:t>
      </w:r>
    </w:p>
    <w:p>
      <w:pPr>
        <w:spacing w:line="360" w:lineRule="auto"/>
        <w:ind w:right="571" w:firstLine="480" w:firstLineChars="200"/>
        <w:rPr>
          <w:rFonts w:hint="eastAsia" w:ascii="宋体" w:hAnsi="宋体" w:cs="宋体"/>
          <w:color w:val="auto"/>
        </w:rPr>
      </w:pPr>
      <w:r>
        <w:rPr>
          <w:rFonts w:hint="eastAsia" w:ascii="宋体" w:hAnsi="宋体" w:cs="宋体"/>
          <w:color w:val="auto"/>
        </w:rPr>
        <w:t xml:space="preserve">6.1所投分包(如不分包则指本项目)的所有投标产品进入当期节能清单的，其评标价=投标报价*（1-2%）；投标人所投产品满足此规定的，必须提供声明函并提供相关证明文件。 </w:t>
      </w:r>
    </w:p>
    <w:p>
      <w:pPr>
        <w:spacing w:line="360" w:lineRule="auto"/>
        <w:ind w:right="571" w:firstLine="480" w:firstLineChars="200"/>
        <w:rPr>
          <w:rFonts w:hint="eastAsia" w:ascii="宋体" w:hAnsi="宋体" w:cs="宋体"/>
          <w:color w:val="auto"/>
        </w:rPr>
      </w:pPr>
      <w:r>
        <w:rPr>
          <w:rFonts w:hint="eastAsia" w:ascii="宋体" w:hAnsi="宋体" w:cs="宋体"/>
          <w:color w:val="auto"/>
        </w:rPr>
        <w:t>6.2所投分包(如不分包则指本项目)的所有投标产品进入当期环保清单的，其评标价=投标报价*（1-1%）；投标人所投产品满足此规定的，必须提供声明函并提供相关证明文件。</w:t>
      </w:r>
    </w:p>
    <w:p>
      <w:pPr>
        <w:spacing w:line="360" w:lineRule="auto"/>
        <w:ind w:right="571" w:firstLine="480" w:firstLineChars="200"/>
        <w:rPr>
          <w:rFonts w:ascii="宋体" w:cs="宋体"/>
          <w:color w:val="auto"/>
        </w:rPr>
      </w:pPr>
      <w:r>
        <w:rPr>
          <w:rFonts w:hint="eastAsia" w:ascii="宋体" w:hAnsi="宋体" w:cs="宋体"/>
          <w:color w:val="auto"/>
        </w:rPr>
        <w:t>6.3投标人为工信部联企业〔2011〕300号文规定的小型和微型企业（含联合体）的，必须如实填写“中小企业声明函”（内容、格式见财库〔2011〕181号），否则无效。如有虚假骗取政策性加分，将依法承担相应责任。</w:t>
      </w:r>
    </w:p>
    <w:p>
      <w:pPr>
        <w:spacing w:line="360" w:lineRule="auto"/>
        <w:ind w:right="571"/>
        <w:rPr>
          <w:rFonts w:ascii="宋体" w:cs="宋体"/>
          <w:bCs/>
          <w:color w:val="auto"/>
        </w:rPr>
      </w:pPr>
      <w:r>
        <w:rPr>
          <w:rFonts w:hint="eastAsia" w:ascii="宋体" w:hAnsi="宋体" w:cs="宋体"/>
          <w:bCs/>
          <w:color w:val="auto"/>
          <w:lang w:val="en-US" w:eastAsia="zh-CN"/>
        </w:rPr>
        <w:t>7</w:t>
      </w:r>
      <w:r>
        <w:rPr>
          <w:rFonts w:hint="eastAsia" w:ascii="宋体" w:hAnsi="宋体" w:cs="宋体"/>
          <w:bCs/>
          <w:color w:val="auto"/>
        </w:rPr>
        <w:t>、确定成交供应商的标准</w:t>
      </w:r>
    </w:p>
    <w:p>
      <w:pPr>
        <w:spacing w:line="360" w:lineRule="auto"/>
        <w:ind w:right="573" w:firstLine="480" w:firstLineChars="200"/>
        <w:rPr>
          <w:rFonts w:ascii="宋体" w:cs="宋体"/>
          <w:color w:val="auto"/>
        </w:rPr>
      </w:pPr>
      <w:r>
        <w:rPr>
          <w:rFonts w:hint="eastAsia" w:ascii="宋体" w:hAnsi="宋体" w:cs="宋体"/>
          <w:color w:val="auto"/>
          <w:lang w:val="en-US" w:eastAsia="zh-CN"/>
        </w:rPr>
        <w:t>7</w:t>
      </w:r>
      <w:r>
        <w:rPr>
          <w:rFonts w:ascii="宋体" w:hAnsi="宋体" w:cs="宋体"/>
          <w:color w:val="auto"/>
        </w:rPr>
        <w:t xml:space="preserve">.1 </w:t>
      </w:r>
      <w:r>
        <w:rPr>
          <w:rFonts w:hint="eastAsia" w:ascii="宋体" w:hAnsi="宋体" w:cs="宋体"/>
          <w:color w:val="auto"/>
        </w:rPr>
        <w:t>本次询价活动遵循公平、公正、科学、择优的原则进行。询价小组根据符合采购需求、质量和服务相等且报价最低的原则，按报价从低到高确定成交供应商候选人。</w:t>
      </w:r>
    </w:p>
    <w:p>
      <w:pPr>
        <w:spacing w:line="360" w:lineRule="auto"/>
        <w:ind w:right="571" w:firstLine="480" w:firstLineChars="200"/>
        <w:rPr>
          <w:rFonts w:ascii="宋体" w:cs="宋体"/>
          <w:color w:val="auto"/>
        </w:rPr>
      </w:pPr>
      <w:r>
        <w:rPr>
          <w:rFonts w:hint="eastAsia" w:ascii="宋体" w:hAnsi="宋体" w:cs="宋体"/>
          <w:color w:val="auto"/>
          <w:lang w:val="en-US" w:eastAsia="zh-CN"/>
        </w:rPr>
        <w:t>7</w:t>
      </w:r>
      <w:r>
        <w:rPr>
          <w:rFonts w:ascii="宋体" w:hAnsi="宋体" w:cs="宋体"/>
          <w:color w:val="auto"/>
        </w:rPr>
        <w:t xml:space="preserve">.2 </w:t>
      </w:r>
      <w:r>
        <w:rPr>
          <w:rFonts w:hint="eastAsia" w:ascii="宋体" w:hAnsi="宋体" w:cs="宋体"/>
          <w:color w:val="auto"/>
        </w:rPr>
        <w:t>供应商报价结束后，询价小组按照供应商的报价由低到高排序，推荐</w:t>
      </w:r>
      <w:r>
        <w:rPr>
          <w:rFonts w:ascii="宋体" w:hAnsi="宋体" w:cs="宋体"/>
          <w:color w:val="auto"/>
        </w:rPr>
        <w:t>1~3</w:t>
      </w:r>
      <w:r>
        <w:rPr>
          <w:rFonts w:hint="eastAsia" w:ascii="宋体" w:hAnsi="宋体" w:cs="宋体"/>
          <w:color w:val="auto"/>
        </w:rPr>
        <w:t>名成交候选供应商。</w:t>
      </w:r>
    </w:p>
    <w:p>
      <w:pPr>
        <w:spacing w:line="360" w:lineRule="auto"/>
        <w:ind w:right="571" w:firstLine="480" w:firstLineChars="200"/>
        <w:rPr>
          <w:rFonts w:ascii="宋体" w:cs="宋体"/>
          <w:color w:val="auto"/>
        </w:rPr>
      </w:pPr>
      <w:r>
        <w:rPr>
          <w:rFonts w:hint="eastAsia" w:ascii="宋体" w:hAnsi="宋体" w:cs="宋体"/>
          <w:color w:val="auto"/>
          <w:lang w:val="en-US" w:eastAsia="zh-CN"/>
        </w:rPr>
        <w:t>7</w:t>
      </w:r>
      <w:r>
        <w:rPr>
          <w:rFonts w:ascii="宋体" w:hAnsi="宋体" w:cs="宋体"/>
          <w:color w:val="auto"/>
        </w:rPr>
        <w:t xml:space="preserve">.3 </w:t>
      </w:r>
      <w:r>
        <w:rPr>
          <w:rFonts w:hint="eastAsia" w:ascii="宋体" w:hAnsi="宋体" w:cs="宋体"/>
          <w:color w:val="auto"/>
        </w:rPr>
        <w:t>询价小组推荐成交候选供应商后，应当向采购执行机构出具询价报告。</w:t>
      </w:r>
    </w:p>
    <w:p>
      <w:pPr>
        <w:spacing w:line="360" w:lineRule="auto"/>
        <w:ind w:right="571" w:firstLine="480" w:firstLineChars="200"/>
        <w:rPr>
          <w:rFonts w:ascii="宋体" w:cs="宋体"/>
          <w:color w:val="auto"/>
        </w:rPr>
      </w:pPr>
      <w:r>
        <w:rPr>
          <w:rFonts w:hint="eastAsia" w:ascii="宋体" w:hAnsi="宋体" w:cs="宋体"/>
          <w:color w:val="auto"/>
          <w:lang w:val="en-US" w:eastAsia="zh-CN"/>
        </w:rPr>
        <w:t>7</w:t>
      </w:r>
      <w:r>
        <w:rPr>
          <w:rFonts w:ascii="宋体" w:hAnsi="宋体" w:cs="宋体"/>
          <w:color w:val="auto"/>
        </w:rPr>
        <w:t xml:space="preserve">.4 </w:t>
      </w:r>
      <w:r>
        <w:rPr>
          <w:rFonts w:hint="eastAsia" w:ascii="宋体" w:hAnsi="宋体" w:cs="宋体"/>
          <w:color w:val="auto"/>
        </w:rPr>
        <w:t>对于违反询价纪律的将可能被取消成交供应商资格或视为无效响应。</w:t>
      </w:r>
    </w:p>
    <w:p>
      <w:pPr>
        <w:rPr>
          <w:rFonts w:ascii="宋体" w:cs="宋体"/>
          <w:color w:val="auto"/>
        </w:rPr>
        <w:sectPr>
          <w:headerReference r:id="rId7" w:type="default"/>
          <w:footerReference r:id="rId8" w:type="default"/>
          <w:endnotePr>
            <w:numFmt w:val="decimal"/>
          </w:endnotePr>
          <w:pgSz w:w="11906" w:h="16838"/>
          <w:pgMar w:top="1417" w:right="1417" w:bottom="1417" w:left="1417" w:header="851" w:footer="992" w:gutter="0"/>
          <w:pgNumType w:fmt="numberInDash"/>
          <w:cols w:space="720" w:num="1"/>
          <w:rtlGutter w:val="1"/>
        </w:sectPr>
      </w:pPr>
    </w:p>
    <w:p>
      <w:pPr>
        <w:rPr>
          <w:color w:val="auto"/>
        </w:rPr>
      </w:pPr>
      <w:bookmarkStart w:id="19" w:name="_Toc510949587"/>
      <w:bookmarkEnd w:id="19"/>
      <w:bookmarkStart w:id="20" w:name="_Toc327324321"/>
      <w:bookmarkEnd w:id="20"/>
    </w:p>
    <w:p>
      <w:pPr>
        <w:pStyle w:val="9"/>
        <w:pBdr>
          <w:top w:val="none" w:color="auto" w:sz="0" w:space="0"/>
          <w:left w:val="none" w:color="auto" w:sz="0" w:space="0"/>
          <w:bottom w:val="none" w:color="auto" w:sz="0" w:space="0"/>
          <w:right w:val="none" w:color="auto" w:sz="0" w:space="0"/>
          <w:between w:val="none" w:color="auto" w:sz="0" w:space="0"/>
        </w:pBdr>
        <w:outlineLvl w:val="0"/>
        <w:rPr>
          <w:rFonts w:ascii="Times New Roman" w:hAnsi="Times New Roman"/>
          <w:bCs/>
          <w:color w:val="auto"/>
          <w:sz w:val="32"/>
          <w:szCs w:val="32"/>
        </w:rPr>
      </w:pPr>
      <w:bookmarkStart w:id="21" w:name="_Toc23566"/>
      <w:bookmarkStart w:id="22" w:name="_Toc496640264"/>
      <w:r>
        <w:rPr>
          <w:rFonts w:hint="eastAsia" w:ascii="Times New Roman" w:hAnsi="Times New Roman"/>
          <w:b/>
          <w:color w:val="auto"/>
          <w:sz w:val="32"/>
          <w:szCs w:val="32"/>
        </w:rPr>
        <w:t>第六章合同主要条款（仅供参考）</w:t>
      </w:r>
      <w:bookmarkEnd w:id="21"/>
      <w:bookmarkEnd w:id="22"/>
    </w:p>
    <w:p>
      <w:pPr>
        <w:rPr>
          <w:rFonts w:ascii="黑体" w:hAnsi="黑体" w:eastAsia="黑体"/>
          <w:color w:val="auto"/>
        </w:rPr>
      </w:pPr>
    </w:p>
    <w:p>
      <w:pPr>
        <w:tabs>
          <w:tab w:val="left" w:pos="840"/>
        </w:tabs>
        <w:spacing w:line="360" w:lineRule="auto"/>
        <w:ind w:firstLine="480" w:firstLineChars="200"/>
        <w:rPr>
          <w:rFonts w:ascii="宋体" w:cs="宋体"/>
          <w:color w:val="auto"/>
        </w:rPr>
      </w:pPr>
      <w:r>
        <w:rPr>
          <w:rFonts w:hint="eastAsia" w:ascii="宋体" w:hAnsi="宋体" w:cs="宋体"/>
          <w:color w:val="auto"/>
        </w:rPr>
        <w:t>甲方：</w:t>
      </w:r>
    </w:p>
    <w:p>
      <w:pPr>
        <w:tabs>
          <w:tab w:val="left" w:pos="840"/>
        </w:tabs>
        <w:spacing w:line="360" w:lineRule="auto"/>
        <w:ind w:firstLine="480" w:firstLineChars="200"/>
        <w:rPr>
          <w:rFonts w:ascii="宋体" w:cs="宋体"/>
          <w:color w:val="auto"/>
        </w:rPr>
      </w:pPr>
      <w:r>
        <w:rPr>
          <w:rFonts w:hint="eastAsia" w:ascii="宋体" w:hAnsi="宋体" w:cs="宋体"/>
          <w:color w:val="auto"/>
        </w:rPr>
        <w:t>乙方</w:t>
      </w:r>
      <w:r>
        <w:rPr>
          <w:rFonts w:ascii="宋体" w:hAnsi="宋体" w:cs="宋体"/>
          <w:color w:val="auto"/>
        </w:rPr>
        <w:t xml:space="preserve">: </w:t>
      </w:r>
    </w:p>
    <w:p>
      <w:pPr>
        <w:spacing w:line="360" w:lineRule="auto"/>
        <w:ind w:firstLine="480" w:firstLineChars="200"/>
        <w:rPr>
          <w:rFonts w:ascii="宋体" w:cs="宋体"/>
          <w:color w:val="auto"/>
          <w:kern w:val="28"/>
        </w:rPr>
      </w:pPr>
      <w:r>
        <w:rPr>
          <w:rFonts w:hint="eastAsia" w:ascii="宋体" w:hAnsi="宋体" w:cs="宋体"/>
          <w:color w:val="auto"/>
          <w:kern w:val="28"/>
        </w:rPr>
        <w:t>为了保护供需各方的合法权益，甲乙双方依照《中华人民共和国合同法》有关条款，根据</w:t>
      </w:r>
      <w:r>
        <w:rPr>
          <w:rFonts w:hint="eastAsia" w:ascii="宋体" w:hAnsi="宋体" w:cs="宋体"/>
          <w:color w:val="auto"/>
          <w:kern w:val="28"/>
          <w:u w:val="single"/>
          <w:lang w:val="en-US" w:eastAsia="zh-CN"/>
        </w:rPr>
        <w:t xml:space="preserve">       </w:t>
      </w:r>
      <w:r>
        <w:rPr>
          <w:rFonts w:hint="eastAsia" w:ascii="宋体" w:hAnsi="宋体" w:cs="宋体"/>
          <w:color w:val="auto"/>
          <w:kern w:val="28"/>
        </w:rPr>
        <w:t>年</w:t>
      </w:r>
      <w:r>
        <w:rPr>
          <w:rFonts w:hint="eastAsia" w:ascii="宋体" w:hAnsi="宋体" w:cs="宋体"/>
          <w:color w:val="auto"/>
          <w:kern w:val="28"/>
          <w:u w:val="single"/>
          <w:lang w:val="en-US" w:eastAsia="zh-CN"/>
        </w:rPr>
        <w:t xml:space="preserve">   </w:t>
      </w:r>
      <w:r>
        <w:rPr>
          <w:rFonts w:hint="eastAsia" w:ascii="宋体" w:hAnsi="宋体" w:cs="宋体"/>
          <w:color w:val="auto"/>
          <w:kern w:val="28"/>
        </w:rPr>
        <w:t>月</w:t>
      </w:r>
      <w:r>
        <w:rPr>
          <w:rFonts w:hint="eastAsia" w:ascii="宋体" w:hAnsi="宋体" w:cs="宋体"/>
          <w:color w:val="auto"/>
          <w:kern w:val="28"/>
          <w:u w:val="single"/>
          <w:lang w:val="en-US" w:eastAsia="zh-CN"/>
        </w:rPr>
        <w:t xml:space="preserve">   </w:t>
      </w:r>
      <w:r>
        <w:rPr>
          <w:rFonts w:hint="eastAsia" w:ascii="宋体" w:hAnsi="宋体" w:cs="宋体"/>
          <w:color w:val="auto"/>
          <w:kern w:val="28"/>
        </w:rPr>
        <w:t>日</w:t>
      </w:r>
      <w:r>
        <w:rPr>
          <w:rFonts w:hint="eastAsia" w:ascii="宋体" w:hAnsi="宋体" w:cs="宋体"/>
          <w:color w:val="auto"/>
          <w:kern w:val="28"/>
          <w:lang w:eastAsia="zh-CN"/>
        </w:rPr>
        <w:t>中国海南政府采购网</w:t>
      </w:r>
      <w:r>
        <w:rPr>
          <w:rFonts w:hint="eastAsia" w:ascii="宋体" w:hAnsi="宋体" w:cs="宋体"/>
          <w:color w:val="auto"/>
          <w:kern w:val="28"/>
        </w:rPr>
        <w:t>关于</w:t>
      </w:r>
      <w:r>
        <w:rPr>
          <w:rFonts w:hint="eastAsia" w:ascii="宋体" w:hAnsi="宋体" w:cs="宋体"/>
          <w:color w:val="auto"/>
          <w:kern w:val="28"/>
          <w:lang w:eastAsia="zh-CN"/>
        </w:rPr>
        <w:t>海棠湾车辆采购项目(二次招标)</w:t>
      </w:r>
      <w:r>
        <w:rPr>
          <w:rFonts w:hint="eastAsia" w:ascii="宋体" w:hAnsi="宋体" w:cs="宋体"/>
          <w:color w:val="auto"/>
          <w:kern w:val="28"/>
        </w:rPr>
        <w:t>的招标结果，就乙方向</w:t>
      </w:r>
      <w:r>
        <w:rPr>
          <w:rFonts w:hint="eastAsia" w:ascii="宋体" w:hAnsi="宋体" w:cs="宋体"/>
          <w:color w:val="auto"/>
        </w:rPr>
        <w:t>甲方</w:t>
      </w:r>
      <w:r>
        <w:rPr>
          <w:rFonts w:hint="eastAsia" w:ascii="宋体" w:hAnsi="宋体" w:cs="宋体"/>
          <w:color w:val="auto"/>
          <w:kern w:val="28"/>
        </w:rPr>
        <w:t>提供消防车辆的供货及相关服务，经甲乙双方协商一致，签订本合同，共同遵守执行。</w:t>
      </w:r>
    </w:p>
    <w:p>
      <w:pPr>
        <w:spacing w:line="360" w:lineRule="auto"/>
        <w:ind w:firstLine="480" w:firstLineChars="200"/>
        <w:rPr>
          <w:rFonts w:ascii="宋体" w:cs="宋体"/>
          <w:color w:val="auto"/>
        </w:rPr>
      </w:pPr>
      <w:r>
        <w:rPr>
          <w:rFonts w:hint="eastAsia" w:ascii="宋体" w:hAnsi="宋体" w:cs="宋体"/>
          <w:color w:val="auto"/>
        </w:rPr>
        <w:t>一、合同文件</w:t>
      </w:r>
    </w:p>
    <w:p>
      <w:pPr>
        <w:tabs>
          <w:tab w:val="left" w:pos="840"/>
        </w:tabs>
        <w:spacing w:line="360" w:lineRule="auto"/>
        <w:ind w:firstLine="480" w:firstLineChars="200"/>
        <w:rPr>
          <w:rFonts w:ascii="宋体" w:cs="宋体"/>
          <w:color w:val="auto"/>
          <w:kern w:val="28"/>
        </w:rPr>
      </w:pPr>
      <w:r>
        <w:rPr>
          <w:rFonts w:hint="eastAsia" w:ascii="宋体" w:hAnsi="宋体" w:cs="宋体"/>
          <w:color w:val="auto"/>
          <w:kern w:val="28"/>
        </w:rPr>
        <w:t>下列文件是构成本合同不可分割的组成部分：</w:t>
      </w:r>
    </w:p>
    <w:p>
      <w:pPr>
        <w:tabs>
          <w:tab w:val="left" w:pos="840"/>
        </w:tabs>
        <w:spacing w:line="360" w:lineRule="auto"/>
        <w:ind w:firstLine="480" w:firstLineChars="200"/>
        <w:rPr>
          <w:rFonts w:ascii="宋体" w:cs="宋体"/>
          <w:color w:val="auto"/>
          <w:kern w:val="28"/>
        </w:rPr>
      </w:pPr>
      <w:r>
        <w:rPr>
          <w:rFonts w:ascii="宋体" w:hAnsi="宋体" w:cs="宋体"/>
          <w:color w:val="auto"/>
          <w:kern w:val="28"/>
        </w:rPr>
        <w:t>1</w:t>
      </w:r>
      <w:r>
        <w:rPr>
          <w:rFonts w:hint="eastAsia" w:ascii="宋体" w:hAnsi="宋体" w:cs="宋体"/>
          <w:color w:val="auto"/>
          <w:kern w:val="28"/>
        </w:rPr>
        <w:t>、合同条款；</w:t>
      </w:r>
      <w:r>
        <w:rPr>
          <w:rFonts w:ascii="宋体" w:hAnsi="宋体" w:cs="宋体"/>
          <w:color w:val="auto"/>
          <w:kern w:val="28"/>
        </w:rPr>
        <w:t>2</w:t>
      </w:r>
      <w:r>
        <w:rPr>
          <w:rFonts w:hint="eastAsia" w:ascii="宋体" w:hAnsi="宋体" w:cs="宋体"/>
          <w:color w:val="auto"/>
          <w:kern w:val="28"/>
        </w:rPr>
        <w:t>、投标文件；</w:t>
      </w:r>
      <w:r>
        <w:rPr>
          <w:rFonts w:ascii="宋体" w:hAnsi="宋体" w:cs="宋体"/>
          <w:color w:val="auto"/>
          <w:kern w:val="28"/>
        </w:rPr>
        <w:t>3</w:t>
      </w:r>
      <w:r>
        <w:rPr>
          <w:rFonts w:hint="eastAsia" w:ascii="宋体" w:hAnsi="宋体" w:cs="宋体"/>
          <w:color w:val="auto"/>
          <w:kern w:val="28"/>
        </w:rPr>
        <w:t>、招标文件；</w:t>
      </w:r>
      <w:r>
        <w:rPr>
          <w:rFonts w:ascii="宋体" w:hAnsi="宋体" w:cs="宋体"/>
          <w:color w:val="auto"/>
          <w:kern w:val="28"/>
        </w:rPr>
        <w:t>4</w:t>
      </w:r>
      <w:r>
        <w:rPr>
          <w:rFonts w:hint="eastAsia" w:ascii="宋体" w:hAnsi="宋体" w:cs="宋体"/>
          <w:color w:val="auto"/>
          <w:kern w:val="28"/>
        </w:rPr>
        <w:t>、投标人提交的开标一览表和规格响应表；</w:t>
      </w:r>
      <w:r>
        <w:rPr>
          <w:rFonts w:ascii="宋体" w:hAnsi="宋体" w:cs="宋体"/>
          <w:color w:val="auto"/>
          <w:kern w:val="28"/>
        </w:rPr>
        <w:t>5</w:t>
      </w:r>
      <w:r>
        <w:rPr>
          <w:rFonts w:hint="eastAsia" w:ascii="宋体" w:hAnsi="宋体" w:cs="宋体"/>
          <w:color w:val="auto"/>
          <w:kern w:val="28"/>
        </w:rPr>
        <w:t>、附件：技术规格参数及配置表；</w:t>
      </w:r>
      <w:r>
        <w:rPr>
          <w:rFonts w:ascii="宋体" w:hAnsi="宋体" w:cs="宋体"/>
          <w:color w:val="auto"/>
        </w:rPr>
        <w:t>6</w:t>
      </w:r>
      <w:r>
        <w:rPr>
          <w:rFonts w:hint="eastAsia" w:ascii="宋体" w:hAnsi="宋体" w:cs="宋体"/>
          <w:color w:val="auto"/>
        </w:rPr>
        <w:t>、整车和随车器材的</w:t>
      </w:r>
      <w:r>
        <w:rPr>
          <w:rFonts w:ascii="宋体" w:hAnsi="宋体" w:cs="宋体"/>
          <w:color w:val="auto"/>
        </w:rPr>
        <w:t>3C</w:t>
      </w:r>
      <w:r>
        <w:rPr>
          <w:rFonts w:hint="eastAsia" w:ascii="宋体" w:hAnsi="宋体" w:cs="宋体"/>
          <w:color w:val="auto"/>
        </w:rPr>
        <w:t>认证书。</w:t>
      </w:r>
    </w:p>
    <w:p>
      <w:pPr>
        <w:spacing w:line="360" w:lineRule="auto"/>
        <w:ind w:firstLine="360" w:firstLineChars="150"/>
        <w:rPr>
          <w:rFonts w:ascii="宋体" w:cs="宋体"/>
          <w:color w:val="auto"/>
        </w:rPr>
      </w:pPr>
      <w:r>
        <w:rPr>
          <w:rFonts w:hint="eastAsia" w:ascii="宋体" w:hAnsi="宋体" w:cs="宋体"/>
          <w:color w:val="auto"/>
        </w:rPr>
        <w:t>二、合同标的</w:t>
      </w:r>
    </w:p>
    <w:p>
      <w:pPr>
        <w:spacing w:line="360" w:lineRule="auto"/>
        <w:ind w:firstLine="480" w:firstLineChars="200"/>
        <w:rPr>
          <w:rFonts w:ascii="宋体" w:cs="宋体"/>
          <w:color w:val="auto"/>
        </w:rPr>
      </w:pPr>
      <w:r>
        <w:rPr>
          <w:rFonts w:ascii="宋体" w:hAnsi="宋体" w:cs="宋体"/>
          <w:color w:val="auto"/>
        </w:rPr>
        <w:t>1</w:t>
      </w:r>
      <w:r>
        <w:rPr>
          <w:rFonts w:hint="eastAsia" w:ascii="宋体" w:hAnsi="宋体" w:cs="宋体"/>
          <w:color w:val="auto"/>
        </w:rPr>
        <w:t>、本合同标的为辆车</w:t>
      </w:r>
      <w:r>
        <w:rPr>
          <w:rFonts w:ascii="宋体" w:cs="宋体"/>
          <w:color w:val="auto"/>
        </w:rPr>
        <w:t>,</w:t>
      </w:r>
      <w:r>
        <w:rPr>
          <w:rFonts w:hint="eastAsia" w:ascii="宋体" w:hAnsi="宋体" w:cs="宋体"/>
          <w:color w:val="auto"/>
        </w:rPr>
        <w:t>包括设计、货物供应、安装、调试、培训、验收、技术服务，保质期保障等全部内容。</w:t>
      </w:r>
    </w:p>
    <w:p>
      <w:pPr>
        <w:spacing w:line="360" w:lineRule="auto"/>
        <w:ind w:firstLine="480" w:firstLineChars="200"/>
        <w:rPr>
          <w:rFonts w:ascii="宋体" w:cs="宋体"/>
          <w:color w:val="auto"/>
        </w:rPr>
      </w:pPr>
      <w:r>
        <w:rPr>
          <w:rFonts w:ascii="宋体" w:hAnsi="宋体" w:cs="宋体"/>
          <w:color w:val="auto"/>
        </w:rPr>
        <w:t>2</w:t>
      </w:r>
      <w:r>
        <w:rPr>
          <w:rFonts w:hint="eastAsia" w:ascii="宋体" w:hAnsi="宋体" w:cs="宋体"/>
          <w:color w:val="auto"/>
        </w:rPr>
        <w:t>、供货货物名称、型号、规格、数量及价格：</w:t>
      </w:r>
    </w:p>
    <w:tbl>
      <w:tblPr>
        <w:tblStyle w:val="16"/>
        <w:tblW w:w="9160" w:type="dxa"/>
        <w:jc w:val="center"/>
        <w:tblInd w:w="-955" w:type="dxa"/>
        <w:tblLayout w:type="fixed"/>
        <w:tblCellMar>
          <w:top w:w="0" w:type="dxa"/>
          <w:left w:w="30" w:type="dxa"/>
          <w:bottom w:w="0" w:type="dxa"/>
          <w:right w:w="30" w:type="dxa"/>
        </w:tblCellMar>
      </w:tblPr>
      <w:tblGrid>
        <w:gridCol w:w="967"/>
        <w:gridCol w:w="1080"/>
        <w:gridCol w:w="1800"/>
        <w:gridCol w:w="720"/>
        <w:gridCol w:w="720"/>
        <w:gridCol w:w="1080"/>
        <w:gridCol w:w="1095"/>
        <w:gridCol w:w="1083"/>
        <w:gridCol w:w="615"/>
      </w:tblGrid>
      <w:tr>
        <w:tblPrEx>
          <w:tblLayout w:type="fixed"/>
          <w:tblCellMar>
            <w:top w:w="0" w:type="dxa"/>
            <w:left w:w="30" w:type="dxa"/>
            <w:bottom w:w="0" w:type="dxa"/>
            <w:right w:w="30" w:type="dxa"/>
          </w:tblCellMar>
        </w:tblPrEx>
        <w:trPr>
          <w:cantSplit/>
          <w:trHeight w:val="853" w:hRule="atLeast"/>
          <w:jc w:val="center"/>
        </w:trPr>
        <w:tc>
          <w:tcPr>
            <w:tcW w:w="96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宋体" w:cs="宋体"/>
                <w:color w:val="auto"/>
              </w:rPr>
            </w:pPr>
            <w:r>
              <w:rPr>
                <w:rFonts w:hint="eastAsia" w:ascii="宋体" w:hAnsi="宋体" w:cs="宋体"/>
                <w:color w:val="auto"/>
              </w:rPr>
              <w:t>名称</w:t>
            </w: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宋体" w:cs="宋体"/>
                <w:color w:val="auto"/>
              </w:rPr>
            </w:pPr>
            <w:r>
              <w:rPr>
                <w:rFonts w:hint="eastAsia" w:ascii="宋体" w:hAnsi="宋体" w:cs="宋体"/>
                <w:color w:val="auto"/>
              </w:rPr>
              <w:t>型号规格</w:t>
            </w:r>
          </w:p>
        </w:tc>
        <w:tc>
          <w:tcPr>
            <w:tcW w:w="180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宋体" w:cs="宋体"/>
                <w:color w:val="auto"/>
              </w:rPr>
            </w:pPr>
            <w:r>
              <w:rPr>
                <w:rFonts w:hint="eastAsia" w:ascii="宋体" w:hAnsi="宋体" w:cs="宋体"/>
                <w:color w:val="auto"/>
              </w:rPr>
              <w:t>制造商</w:t>
            </w:r>
          </w:p>
        </w:tc>
        <w:tc>
          <w:tcPr>
            <w:tcW w:w="7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宋体" w:cs="宋体"/>
                <w:color w:val="auto"/>
              </w:rPr>
            </w:pPr>
            <w:r>
              <w:rPr>
                <w:rFonts w:hint="eastAsia" w:ascii="宋体" w:hAnsi="宋体" w:cs="宋体"/>
                <w:color w:val="auto"/>
              </w:rPr>
              <w:t>单位</w:t>
            </w:r>
          </w:p>
        </w:tc>
        <w:tc>
          <w:tcPr>
            <w:tcW w:w="7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宋体" w:cs="宋体"/>
                <w:color w:val="auto"/>
              </w:rPr>
            </w:pPr>
            <w:r>
              <w:rPr>
                <w:rFonts w:hint="eastAsia" w:ascii="宋体" w:hAnsi="宋体" w:cs="宋体"/>
                <w:color w:val="auto"/>
              </w:rPr>
              <w:t>数量</w:t>
            </w:r>
          </w:p>
        </w:tc>
        <w:tc>
          <w:tcPr>
            <w:tcW w:w="1080"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360" w:lineRule="auto"/>
              <w:jc w:val="center"/>
              <w:rPr>
                <w:rFonts w:ascii="宋体" w:cs="宋体"/>
                <w:color w:val="auto"/>
              </w:rPr>
            </w:pPr>
            <w:r>
              <w:rPr>
                <w:rFonts w:hint="eastAsia" w:ascii="宋体" w:hAnsi="宋体" w:cs="宋体"/>
                <w:color w:val="auto"/>
              </w:rPr>
              <w:t>交货期（天）</w:t>
            </w:r>
          </w:p>
        </w:tc>
        <w:tc>
          <w:tcPr>
            <w:tcW w:w="1095" w:type="dxa"/>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spacing w:line="360" w:lineRule="auto"/>
              <w:jc w:val="center"/>
              <w:rPr>
                <w:rFonts w:ascii="宋体" w:cs="宋体"/>
                <w:color w:val="auto"/>
              </w:rPr>
            </w:pPr>
            <w:r>
              <w:rPr>
                <w:rFonts w:hint="eastAsia" w:ascii="宋体" w:hAnsi="宋体" w:cs="宋体"/>
                <w:color w:val="auto"/>
              </w:rPr>
              <w:t>单价</w:t>
            </w:r>
          </w:p>
          <w:p>
            <w:pPr>
              <w:autoSpaceDE w:val="0"/>
              <w:autoSpaceDN w:val="0"/>
              <w:adjustRightInd w:val="0"/>
              <w:spacing w:line="360" w:lineRule="auto"/>
              <w:jc w:val="center"/>
              <w:rPr>
                <w:rFonts w:ascii="宋体" w:cs="宋体"/>
                <w:color w:val="auto"/>
              </w:rPr>
            </w:pPr>
            <w:r>
              <w:rPr>
                <w:rFonts w:hint="eastAsia" w:ascii="宋体" w:hAnsi="宋体" w:cs="宋体"/>
                <w:color w:val="auto"/>
              </w:rPr>
              <w:t>（万元）</w:t>
            </w:r>
          </w:p>
        </w:tc>
        <w:tc>
          <w:tcPr>
            <w:tcW w:w="1083"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360" w:lineRule="auto"/>
              <w:jc w:val="center"/>
              <w:rPr>
                <w:rFonts w:ascii="宋体" w:cs="宋体"/>
                <w:color w:val="auto"/>
              </w:rPr>
            </w:pPr>
            <w:r>
              <w:rPr>
                <w:rFonts w:hint="eastAsia" w:ascii="宋体" w:hAnsi="宋体" w:cs="宋体"/>
                <w:color w:val="auto"/>
              </w:rPr>
              <w:t>单项总价</w:t>
            </w:r>
          </w:p>
          <w:p>
            <w:pPr>
              <w:autoSpaceDE w:val="0"/>
              <w:autoSpaceDN w:val="0"/>
              <w:adjustRightInd w:val="0"/>
              <w:spacing w:line="360" w:lineRule="auto"/>
              <w:jc w:val="center"/>
              <w:rPr>
                <w:rFonts w:ascii="宋体" w:cs="宋体"/>
                <w:color w:val="auto"/>
              </w:rPr>
            </w:pPr>
            <w:r>
              <w:rPr>
                <w:rFonts w:hint="eastAsia" w:ascii="宋体" w:hAnsi="宋体" w:cs="宋体"/>
                <w:color w:val="auto"/>
              </w:rPr>
              <w:t>（万元）</w:t>
            </w:r>
          </w:p>
        </w:tc>
        <w:tc>
          <w:tcPr>
            <w:tcW w:w="615" w:type="dxa"/>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spacing w:line="360" w:lineRule="auto"/>
              <w:jc w:val="center"/>
              <w:rPr>
                <w:rFonts w:ascii="宋体" w:cs="宋体"/>
                <w:color w:val="auto"/>
              </w:rPr>
            </w:pPr>
            <w:r>
              <w:rPr>
                <w:rFonts w:hint="eastAsia" w:ascii="宋体" w:hAnsi="宋体" w:cs="宋体"/>
                <w:color w:val="auto"/>
              </w:rPr>
              <w:t>备注</w:t>
            </w:r>
          </w:p>
        </w:tc>
      </w:tr>
      <w:tr>
        <w:tblPrEx>
          <w:tblLayout w:type="fixed"/>
          <w:tblCellMar>
            <w:top w:w="0" w:type="dxa"/>
            <w:left w:w="30" w:type="dxa"/>
            <w:bottom w:w="0" w:type="dxa"/>
            <w:right w:w="30" w:type="dxa"/>
          </w:tblCellMar>
        </w:tblPrEx>
        <w:trPr>
          <w:trHeight w:val="292" w:hRule="atLeast"/>
          <w:jc w:val="center"/>
        </w:trPr>
        <w:tc>
          <w:tcPr>
            <w:tcW w:w="96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宋体" w:cs="宋体"/>
                <w:color w:val="auto"/>
              </w:rPr>
            </w:pP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宋体" w:cs="宋体"/>
                <w:color w:val="auto"/>
              </w:rPr>
            </w:pPr>
          </w:p>
        </w:tc>
        <w:tc>
          <w:tcPr>
            <w:tcW w:w="180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宋体" w:cs="宋体"/>
                <w:color w:val="auto"/>
              </w:rPr>
            </w:pPr>
          </w:p>
        </w:tc>
        <w:tc>
          <w:tcPr>
            <w:tcW w:w="7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宋体" w:cs="宋体"/>
                <w:color w:val="auto"/>
              </w:rPr>
            </w:pPr>
          </w:p>
        </w:tc>
        <w:tc>
          <w:tcPr>
            <w:tcW w:w="7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宋体" w:cs="宋体"/>
                <w:color w:val="auto"/>
              </w:rPr>
            </w:pPr>
          </w:p>
        </w:tc>
        <w:tc>
          <w:tcPr>
            <w:tcW w:w="1080"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360" w:lineRule="auto"/>
              <w:jc w:val="center"/>
              <w:rPr>
                <w:rFonts w:ascii="宋体" w:cs="宋体"/>
                <w:color w:val="auto"/>
              </w:rPr>
            </w:pPr>
          </w:p>
        </w:tc>
        <w:tc>
          <w:tcPr>
            <w:tcW w:w="1095" w:type="dxa"/>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spacing w:line="360" w:lineRule="auto"/>
              <w:jc w:val="center"/>
              <w:rPr>
                <w:rFonts w:ascii="宋体" w:cs="宋体"/>
                <w:color w:val="auto"/>
              </w:rPr>
            </w:pPr>
          </w:p>
        </w:tc>
        <w:tc>
          <w:tcPr>
            <w:tcW w:w="1083"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360" w:lineRule="auto"/>
              <w:jc w:val="center"/>
              <w:rPr>
                <w:rFonts w:ascii="宋体" w:cs="宋体"/>
                <w:color w:val="auto"/>
              </w:rPr>
            </w:pPr>
          </w:p>
        </w:tc>
        <w:tc>
          <w:tcPr>
            <w:tcW w:w="615" w:type="dxa"/>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spacing w:line="360" w:lineRule="auto"/>
              <w:jc w:val="center"/>
              <w:rPr>
                <w:rFonts w:ascii="宋体" w:cs="宋体"/>
                <w:color w:val="auto"/>
              </w:rPr>
            </w:pPr>
          </w:p>
        </w:tc>
      </w:tr>
    </w:tbl>
    <w:p>
      <w:pPr>
        <w:pStyle w:val="6"/>
        <w:spacing w:before="120" w:line="360" w:lineRule="auto"/>
        <w:ind w:left="0" w:leftChars="0" w:firstLine="480" w:firstLineChars="200"/>
        <w:rPr>
          <w:rFonts w:ascii="宋体" w:cs="宋体"/>
          <w:color w:val="auto"/>
          <w:sz w:val="24"/>
          <w:szCs w:val="24"/>
        </w:rPr>
      </w:pPr>
      <w:r>
        <w:rPr>
          <w:rFonts w:ascii="宋体" w:hAnsi="宋体" w:cs="宋体"/>
          <w:color w:val="auto"/>
          <w:sz w:val="24"/>
          <w:szCs w:val="24"/>
        </w:rPr>
        <w:t>3</w:t>
      </w:r>
      <w:r>
        <w:rPr>
          <w:rFonts w:hint="eastAsia" w:ascii="宋体" w:hAnsi="宋体" w:cs="宋体"/>
          <w:color w:val="auto"/>
          <w:sz w:val="24"/>
          <w:szCs w:val="24"/>
        </w:rPr>
        <w:t>、乙方应对本合同项下其承担的全部工作实施有效管理，以确保实施进度符合本合同要求。</w:t>
      </w:r>
    </w:p>
    <w:p>
      <w:pPr>
        <w:spacing w:line="360" w:lineRule="auto"/>
        <w:ind w:firstLine="470" w:firstLineChars="196"/>
        <w:rPr>
          <w:rFonts w:ascii="宋体" w:cs="宋体"/>
          <w:color w:val="auto"/>
        </w:rPr>
      </w:pPr>
      <w:r>
        <w:rPr>
          <w:rFonts w:hint="eastAsia" w:ascii="宋体" w:hAnsi="宋体" w:cs="宋体"/>
          <w:color w:val="auto"/>
        </w:rPr>
        <w:t>三、合同价格</w:t>
      </w:r>
    </w:p>
    <w:p>
      <w:pPr>
        <w:spacing w:line="360" w:lineRule="auto"/>
        <w:ind w:firstLine="480" w:firstLineChars="200"/>
        <w:rPr>
          <w:rFonts w:ascii="宋体" w:cs="宋体"/>
          <w:color w:val="auto"/>
        </w:rPr>
      </w:pPr>
      <w:r>
        <w:rPr>
          <w:rFonts w:ascii="宋体" w:hAnsi="宋体" w:cs="宋体"/>
          <w:color w:val="auto"/>
        </w:rPr>
        <w:t>1</w:t>
      </w:r>
      <w:r>
        <w:rPr>
          <w:rFonts w:hint="eastAsia" w:ascii="宋体" w:hAnsi="宋体" w:cs="宋体"/>
          <w:color w:val="auto"/>
        </w:rPr>
        <w:t>、合同总价：人民币（大写）整（￥元）。</w:t>
      </w:r>
    </w:p>
    <w:p>
      <w:pPr>
        <w:spacing w:line="360" w:lineRule="auto"/>
        <w:ind w:firstLine="480" w:firstLineChars="200"/>
        <w:rPr>
          <w:rFonts w:ascii="宋体" w:cs="宋体"/>
          <w:color w:val="auto"/>
        </w:rPr>
      </w:pPr>
      <w:r>
        <w:rPr>
          <w:rFonts w:ascii="宋体" w:hAnsi="宋体" w:cs="宋体"/>
          <w:color w:val="auto"/>
        </w:rPr>
        <w:t>2</w:t>
      </w:r>
      <w:r>
        <w:rPr>
          <w:rFonts w:hint="eastAsia" w:ascii="宋体" w:hAnsi="宋体" w:cs="宋体"/>
          <w:color w:val="auto"/>
        </w:rPr>
        <w:t>、合同总价包括了货物的设计、制造、包装、仓储、运输、保险以及乙方进行的安装、调试、试运行、验收、培训、技术服务、底盘首保、保质期保障服务等的全部含税费用。</w:t>
      </w:r>
    </w:p>
    <w:p>
      <w:pPr>
        <w:spacing w:line="360" w:lineRule="auto"/>
        <w:ind w:firstLine="480" w:firstLineChars="200"/>
        <w:rPr>
          <w:rFonts w:ascii="宋体" w:cs="宋体"/>
          <w:color w:val="auto"/>
        </w:rPr>
      </w:pPr>
      <w:r>
        <w:rPr>
          <w:rFonts w:ascii="宋体" w:hAnsi="宋体" w:cs="宋体"/>
          <w:color w:val="auto"/>
        </w:rPr>
        <w:t>3</w:t>
      </w:r>
      <w:r>
        <w:rPr>
          <w:rFonts w:hint="eastAsia" w:ascii="宋体" w:hAnsi="宋体" w:cs="宋体"/>
          <w:color w:val="auto"/>
        </w:rPr>
        <w:t>、合同总价中包括投标文件和用户需求书中列明所需的随车配备器材。</w:t>
      </w:r>
    </w:p>
    <w:p>
      <w:pPr>
        <w:spacing w:line="360" w:lineRule="auto"/>
        <w:ind w:firstLine="480" w:firstLineChars="200"/>
        <w:rPr>
          <w:rFonts w:ascii="宋体" w:cs="宋体"/>
          <w:color w:val="auto"/>
        </w:rPr>
      </w:pPr>
      <w:r>
        <w:rPr>
          <w:rFonts w:ascii="宋体" w:hAnsi="宋体" w:cs="宋体"/>
          <w:color w:val="auto"/>
        </w:rPr>
        <w:t>4</w:t>
      </w:r>
      <w:r>
        <w:rPr>
          <w:rFonts w:hint="eastAsia" w:ascii="宋体" w:hAnsi="宋体" w:cs="宋体"/>
          <w:color w:val="auto"/>
        </w:rPr>
        <w:t>、合同总价中包含车辆完成整车安装完后，甲方派驻若干人员到乙方工厂进行培训学习，并进行初步验收。甲方人员驻场培训及初步验收的食宿费用由乙方负责。</w:t>
      </w:r>
    </w:p>
    <w:p>
      <w:pPr>
        <w:tabs>
          <w:tab w:val="left" w:pos="0"/>
        </w:tabs>
        <w:spacing w:line="360" w:lineRule="auto"/>
        <w:ind w:firstLine="480" w:firstLineChars="200"/>
        <w:rPr>
          <w:rFonts w:ascii="宋体" w:cs="宋体"/>
          <w:color w:val="auto"/>
        </w:rPr>
      </w:pPr>
      <w:r>
        <w:rPr>
          <w:rFonts w:hint="eastAsia" w:ascii="宋体" w:hAnsi="宋体" w:cs="宋体"/>
          <w:color w:val="auto"/>
        </w:rPr>
        <w:t>四、合同货物的包装、交货、安装、调试及验收</w:t>
      </w:r>
    </w:p>
    <w:p>
      <w:pPr>
        <w:pStyle w:val="10"/>
        <w:spacing w:line="360" w:lineRule="auto"/>
        <w:ind w:firstLine="480" w:firstLineChars="200"/>
        <w:rPr>
          <w:rFonts w:ascii="宋体" w:cs="宋体"/>
          <w:b w:val="0"/>
          <w:color w:val="auto"/>
          <w:sz w:val="24"/>
        </w:rPr>
      </w:pPr>
      <w:r>
        <w:rPr>
          <w:rFonts w:ascii="宋体" w:hAnsi="宋体" w:cs="宋体"/>
          <w:b w:val="0"/>
          <w:color w:val="auto"/>
          <w:sz w:val="24"/>
        </w:rPr>
        <w:t>1</w:t>
      </w:r>
      <w:r>
        <w:rPr>
          <w:rFonts w:hint="eastAsia" w:ascii="宋体" w:hAnsi="宋体" w:cs="宋体"/>
          <w:b w:val="0"/>
          <w:color w:val="auto"/>
          <w:sz w:val="24"/>
        </w:rPr>
        <w:t>、合同货物的包装：货物的包装均应有良好的防湿、防锈、防潮、防雨、防腐及防碰撞的措施。凡由于包装不良造成的损失和由此产生的费用均由乙方承担。</w:t>
      </w:r>
    </w:p>
    <w:p>
      <w:pPr>
        <w:tabs>
          <w:tab w:val="left" w:pos="0"/>
        </w:tabs>
        <w:spacing w:line="360" w:lineRule="auto"/>
        <w:ind w:firstLine="480" w:firstLineChars="200"/>
        <w:rPr>
          <w:rFonts w:ascii="宋体" w:cs="宋体"/>
          <w:color w:val="auto"/>
        </w:rPr>
      </w:pPr>
      <w:r>
        <w:rPr>
          <w:rFonts w:ascii="宋体" w:hAnsi="宋体" w:cs="宋体"/>
          <w:color w:val="auto"/>
        </w:rPr>
        <w:t>2</w:t>
      </w:r>
      <w:r>
        <w:rPr>
          <w:rFonts w:hint="eastAsia" w:ascii="宋体" w:hAnsi="宋体" w:cs="宋体"/>
          <w:color w:val="auto"/>
        </w:rPr>
        <w:t>、交货时间：合同签订之日起</w:t>
      </w:r>
      <w:r>
        <w:rPr>
          <w:rFonts w:hint="eastAsia" w:ascii="宋体" w:hAnsi="宋体" w:cs="宋体"/>
          <w:color w:val="auto"/>
          <w:u w:val="single"/>
          <w:lang w:val="en-US" w:eastAsia="zh-CN"/>
        </w:rPr>
        <w:t xml:space="preserve">   </w:t>
      </w:r>
      <w:r>
        <w:rPr>
          <w:rFonts w:hint="eastAsia" w:ascii="宋体" w:hAnsi="宋体" w:cs="宋体"/>
          <w:color w:val="auto"/>
        </w:rPr>
        <w:t>天内交货。</w:t>
      </w:r>
    </w:p>
    <w:p>
      <w:pPr>
        <w:tabs>
          <w:tab w:val="left" w:pos="0"/>
        </w:tabs>
        <w:spacing w:line="360" w:lineRule="auto"/>
        <w:ind w:firstLine="480" w:firstLineChars="200"/>
        <w:rPr>
          <w:rFonts w:ascii="宋体" w:cs="宋体"/>
          <w:color w:val="auto"/>
        </w:rPr>
      </w:pPr>
      <w:r>
        <w:rPr>
          <w:rFonts w:ascii="宋体" w:hAnsi="宋体" w:cs="宋体"/>
          <w:color w:val="auto"/>
        </w:rPr>
        <w:t>3</w:t>
      </w:r>
      <w:r>
        <w:rPr>
          <w:rFonts w:hint="eastAsia" w:ascii="宋体" w:hAnsi="宋体" w:cs="宋体"/>
          <w:color w:val="auto"/>
        </w:rPr>
        <w:t>、交货地点：甲方指定的海南省内的地点。</w:t>
      </w:r>
    </w:p>
    <w:p>
      <w:pPr>
        <w:spacing w:line="360" w:lineRule="auto"/>
        <w:ind w:firstLine="475" w:firstLineChars="198"/>
        <w:rPr>
          <w:rFonts w:ascii="宋体" w:cs="宋体"/>
          <w:color w:val="auto"/>
        </w:rPr>
      </w:pPr>
      <w:r>
        <w:rPr>
          <w:rFonts w:ascii="宋体" w:hAnsi="宋体" w:cs="宋体"/>
          <w:color w:val="auto"/>
        </w:rPr>
        <w:t>4</w:t>
      </w:r>
      <w:r>
        <w:rPr>
          <w:rFonts w:hint="eastAsia" w:ascii="宋体" w:hAnsi="宋体" w:cs="宋体"/>
          <w:color w:val="auto"/>
        </w:rPr>
        <w:t>、合同货物验收：合同货物安装调试完成并移交所有资料文档后进行验收，验收时如发现所交付的货物有短装、次品、损坏或其它不符合本合同规定之情形者，甲方应做出详尽的现场记录，或由甲乙双方签署备忘录。此现场记录或备忘录可用作补充、缺失和更换损坏部件的有效证据，由此产生的有关费用由乙方承担，验收期限相应后延。如果合同货物运输和安装调试过程中因事故造成货物短缺、损坏，乙方应及时安排换装，以保证合同货物安装调试的成功完成，换货的相关费用由乙方承担。合同货物到甲方指定地点安装调试交付并完成最终验收后，须交付甲方以下资料：乙方开具的正式发票；合格证及注册登记表（整车和底盘），</w:t>
      </w:r>
      <w:r>
        <w:rPr>
          <w:rFonts w:ascii="宋体" w:hAnsi="宋体" w:cs="宋体"/>
          <w:color w:val="auto"/>
        </w:rPr>
        <w:t>3C</w:t>
      </w:r>
      <w:r>
        <w:rPr>
          <w:rFonts w:hint="eastAsia" w:ascii="宋体" w:hAnsi="宋体" w:cs="宋体"/>
          <w:color w:val="auto"/>
        </w:rPr>
        <w:t>证书及型式检验报告。</w:t>
      </w:r>
    </w:p>
    <w:p>
      <w:pPr>
        <w:spacing w:line="360" w:lineRule="auto"/>
        <w:ind w:firstLine="475" w:firstLineChars="198"/>
        <w:rPr>
          <w:rFonts w:ascii="宋体" w:cs="宋体"/>
          <w:color w:val="auto"/>
        </w:rPr>
      </w:pPr>
      <w:r>
        <w:rPr>
          <w:rFonts w:ascii="宋体" w:hAnsi="宋体" w:cs="宋体"/>
          <w:color w:val="auto"/>
        </w:rPr>
        <w:t>5</w:t>
      </w:r>
      <w:r>
        <w:rPr>
          <w:rFonts w:hint="eastAsia" w:ascii="宋体" w:hAnsi="宋体" w:cs="宋体"/>
          <w:color w:val="auto"/>
        </w:rPr>
        <w:t>、货物只有在完成安装、调试并验收合格后才移交给甲方。货物毁损、灭失的风险，在货物安装、调试并验收合格交付甲方前均由乙方承担；在安装、调试并验收合格交付后上述人为或自然造成的风险由甲方承担。</w:t>
      </w:r>
    </w:p>
    <w:p>
      <w:pPr>
        <w:adjustRightInd w:val="0"/>
        <w:snapToGrid w:val="0"/>
        <w:spacing w:line="360" w:lineRule="auto"/>
        <w:ind w:firstLine="480" w:firstLineChars="200"/>
        <w:rPr>
          <w:rFonts w:ascii="宋体" w:cs="宋体"/>
          <w:color w:val="auto"/>
        </w:rPr>
      </w:pPr>
      <w:r>
        <w:rPr>
          <w:rFonts w:ascii="宋体" w:hAnsi="宋体" w:cs="宋体"/>
          <w:color w:val="auto"/>
        </w:rPr>
        <w:t>6</w:t>
      </w:r>
      <w:r>
        <w:rPr>
          <w:rFonts w:hint="eastAsia" w:ascii="宋体" w:hAnsi="宋体" w:cs="宋体"/>
          <w:color w:val="auto"/>
        </w:rPr>
        <w:t>、没有甲方事先书面同意，乙方不得将由甲方提供的有关合同或任何合同条文、规格、计划、图纸、样品或资料提供给与履行本合同无关的任何其他人。</w:t>
      </w:r>
    </w:p>
    <w:p>
      <w:pPr>
        <w:spacing w:line="360" w:lineRule="auto"/>
        <w:ind w:firstLine="475" w:firstLineChars="198"/>
        <w:rPr>
          <w:rFonts w:ascii="宋体" w:cs="宋体"/>
          <w:color w:val="auto"/>
        </w:rPr>
      </w:pPr>
      <w:r>
        <w:rPr>
          <w:rFonts w:hint="eastAsia" w:ascii="宋体" w:hAnsi="宋体" w:cs="宋体"/>
          <w:color w:val="auto"/>
        </w:rPr>
        <w:t>五、付款方式</w:t>
      </w:r>
    </w:p>
    <w:p>
      <w:pPr>
        <w:spacing w:line="360" w:lineRule="auto"/>
        <w:ind w:firstLine="475" w:firstLineChars="198"/>
        <w:rPr>
          <w:rFonts w:ascii="宋体" w:cs="宋体"/>
          <w:color w:val="auto"/>
        </w:rPr>
      </w:pPr>
      <w:r>
        <w:rPr>
          <w:rFonts w:hint="eastAsia" w:ascii="宋体" w:hAnsi="宋体" w:cs="宋体"/>
          <w:color w:val="auto"/>
        </w:rPr>
        <w:t>本合同付款：合同签订后，甲方向乙方支付合同总金额</w:t>
      </w:r>
      <w:r>
        <w:rPr>
          <w:rFonts w:ascii="宋体" w:hAnsi="宋体" w:cs="宋体"/>
          <w:color w:val="auto"/>
        </w:rPr>
        <w:t>30%</w:t>
      </w:r>
      <w:r>
        <w:rPr>
          <w:rFonts w:hint="eastAsia" w:ascii="宋体" w:hAnsi="宋体" w:cs="宋体"/>
          <w:color w:val="auto"/>
        </w:rPr>
        <w:t>的预付款，待合同货物到甲方指定地点交付并通过最终验收合格后，甲方在</w:t>
      </w:r>
      <w:r>
        <w:rPr>
          <w:rFonts w:ascii="宋体" w:hAnsi="宋体" w:cs="宋体"/>
          <w:color w:val="auto"/>
        </w:rPr>
        <w:t>15</w:t>
      </w:r>
      <w:r>
        <w:rPr>
          <w:rFonts w:hint="eastAsia" w:ascii="宋体" w:hAnsi="宋体" w:cs="宋体"/>
          <w:color w:val="auto"/>
        </w:rPr>
        <w:t>个工作日内向乙方支付合同总额的</w:t>
      </w:r>
      <w:r>
        <w:rPr>
          <w:rFonts w:ascii="宋体" w:hAnsi="宋体" w:cs="宋体"/>
          <w:color w:val="auto"/>
        </w:rPr>
        <w:t>65%(</w:t>
      </w:r>
      <w:r>
        <w:rPr>
          <w:rFonts w:hint="eastAsia" w:ascii="宋体" w:hAnsi="宋体" w:cs="宋体"/>
          <w:color w:val="auto"/>
        </w:rPr>
        <w:t>￥元</w:t>
      </w:r>
      <w:r>
        <w:rPr>
          <w:rFonts w:ascii="宋体" w:hAnsi="宋体" w:cs="宋体"/>
          <w:color w:val="auto"/>
        </w:rPr>
        <w:t>)</w:t>
      </w:r>
      <w:r>
        <w:rPr>
          <w:rFonts w:hint="eastAsia" w:ascii="宋体" w:hAnsi="宋体" w:cs="宋体"/>
          <w:color w:val="auto"/>
        </w:rPr>
        <w:t>，甲方保留合同总金额的</w:t>
      </w:r>
      <w:r>
        <w:rPr>
          <w:rFonts w:ascii="宋体" w:hAnsi="宋体" w:cs="宋体"/>
          <w:color w:val="auto"/>
        </w:rPr>
        <w:t>5%(</w:t>
      </w:r>
      <w:r>
        <w:rPr>
          <w:rFonts w:hint="eastAsia" w:ascii="宋体" w:hAnsi="宋体" w:cs="宋体"/>
          <w:color w:val="auto"/>
        </w:rPr>
        <w:t>￥元</w:t>
      </w:r>
      <w:r>
        <w:rPr>
          <w:rFonts w:ascii="宋体" w:hAnsi="宋体" w:cs="宋体"/>
          <w:color w:val="auto"/>
        </w:rPr>
        <w:t>)</w:t>
      </w:r>
      <w:r>
        <w:rPr>
          <w:rFonts w:hint="eastAsia" w:ascii="宋体" w:hAnsi="宋体" w:cs="宋体"/>
          <w:color w:val="auto"/>
        </w:rPr>
        <w:t>作为质保金。质保期满后产品没有质量问题且售后服务良好的（乙方须提供质保期内每半年给相应装备配备的单位巡检的巡检记录，巡检记录须有受检单位的签名盖章），由乙方提出书面申请，经甲方核实车辆质量和售后服务后，甲方需在</w:t>
      </w:r>
      <w:r>
        <w:rPr>
          <w:rFonts w:ascii="宋体" w:hAnsi="宋体" w:cs="宋体"/>
          <w:color w:val="auto"/>
        </w:rPr>
        <w:t>10</w:t>
      </w:r>
      <w:r>
        <w:rPr>
          <w:rFonts w:hint="eastAsia" w:ascii="宋体" w:hAnsi="宋体" w:cs="宋体"/>
          <w:color w:val="auto"/>
        </w:rPr>
        <w:t>个工作日内将质保金退还乙方（质保金为无息）。</w:t>
      </w:r>
    </w:p>
    <w:p>
      <w:pPr>
        <w:spacing w:line="360" w:lineRule="auto"/>
        <w:ind w:firstLine="475" w:firstLineChars="198"/>
        <w:rPr>
          <w:rFonts w:ascii="宋体" w:cs="宋体"/>
          <w:color w:val="auto"/>
        </w:rPr>
      </w:pPr>
      <w:r>
        <w:rPr>
          <w:rFonts w:hint="eastAsia" w:ascii="宋体" w:hAnsi="宋体" w:cs="宋体"/>
          <w:color w:val="auto"/>
        </w:rPr>
        <w:t>六、质量保证</w:t>
      </w:r>
    </w:p>
    <w:p>
      <w:pPr>
        <w:spacing w:line="360" w:lineRule="auto"/>
        <w:ind w:firstLine="475" w:firstLineChars="198"/>
        <w:rPr>
          <w:rFonts w:ascii="宋体" w:cs="宋体"/>
          <w:color w:val="auto"/>
        </w:rPr>
      </w:pPr>
      <w:r>
        <w:rPr>
          <w:rFonts w:ascii="宋体" w:hAnsi="宋体" w:cs="宋体"/>
          <w:color w:val="auto"/>
        </w:rPr>
        <w:t>1</w:t>
      </w:r>
      <w:r>
        <w:rPr>
          <w:rFonts w:hint="eastAsia" w:ascii="宋体" w:hAnsi="宋体" w:cs="宋体"/>
          <w:color w:val="auto"/>
        </w:rPr>
        <w:t>、乙方提供的全部产品符合国家消防产品技术规范和相关产品标准，产品都属于厂家原装且全新产品。</w:t>
      </w:r>
    </w:p>
    <w:p>
      <w:pPr>
        <w:spacing w:line="360" w:lineRule="auto"/>
        <w:ind w:firstLine="475" w:firstLineChars="198"/>
        <w:rPr>
          <w:rFonts w:ascii="宋体" w:cs="宋体"/>
          <w:color w:val="auto"/>
        </w:rPr>
      </w:pPr>
      <w:r>
        <w:rPr>
          <w:rFonts w:ascii="宋体" w:hAnsi="宋体" w:cs="宋体"/>
          <w:color w:val="auto"/>
        </w:rPr>
        <w:t>2</w:t>
      </w:r>
      <w:r>
        <w:rPr>
          <w:rFonts w:hint="eastAsia" w:ascii="宋体" w:hAnsi="宋体" w:cs="宋体"/>
          <w:color w:val="auto"/>
        </w:rPr>
        <w:t>、因货物的质量问题而发生争议，由国家消防装备质量监督检验中心进行质量鉴定。货物符合质量标准的，鉴定费用由甲方承担；货物不符合质量标准的，鉴定费用由乙方承担。</w:t>
      </w:r>
    </w:p>
    <w:p>
      <w:pPr>
        <w:spacing w:line="360" w:lineRule="auto"/>
        <w:ind w:firstLine="475" w:firstLineChars="198"/>
        <w:rPr>
          <w:rFonts w:ascii="宋体" w:cs="宋体"/>
          <w:color w:val="auto"/>
        </w:rPr>
      </w:pPr>
      <w:r>
        <w:rPr>
          <w:rFonts w:ascii="宋体" w:hAnsi="宋体" w:cs="宋体"/>
          <w:color w:val="auto"/>
        </w:rPr>
        <w:t>3</w:t>
      </w:r>
      <w:r>
        <w:rPr>
          <w:rFonts w:hint="eastAsia" w:ascii="宋体" w:hAnsi="宋体" w:cs="宋体"/>
          <w:color w:val="auto"/>
        </w:rPr>
        <w:t>、乙方保证所交付的货物的所有权完全属于乙方且无任何抵押、查封等所有权瑕疵。如乙方所交货物所有权瑕疵的，视为乙方违约，按照本合同有关款项的约定处理。但在已经全部支付完货款后才发现有所有权瑕疵的，除了支付违约金，乙方还应负责赔偿甲方由此而产生的一切损失。</w:t>
      </w:r>
    </w:p>
    <w:p>
      <w:pPr>
        <w:spacing w:line="360" w:lineRule="auto"/>
        <w:ind w:firstLine="475" w:firstLineChars="198"/>
        <w:rPr>
          <w:rFonts w:ascii="宋体" w:cs="宋体"/>
          <w:color w:val="auto"/>
        </w:rPr>
      </w:pPr>
      <w:r>
        <w:rPr>
          <w:rFonts w:ascii="宋体" w:hAnsi="宋体" w:cs="宋体"/>
          <w:color w:val="auto"/>
        </w:rPr>
        <w:t>4</w:t>
      </w:r>
      <w:r>
        <w:rPr>
          <w:rFonts w:hint="eastAsia" w:ascii="宋体" w:hAnsi="宋体" w:cs="宋体"/>
          <w:color w:val="auto"/>
        </w:rPr>
        <w:t>、质保期间车辆实行个月包换，整车质保期为年，罐体的质保期为年，底盘质保期为年。（质保期自车辆验收合格之日起计）。</w:t>
      </w:r>
    </w:p>
    <w:p>
      <w:pPr>
        <w:spacing w:line="360" w:lineRule="auto"/>
        <w:ind w:firstLine="470" w:firstLineChars="196"/>
        <w:rPr>
          <w:rFonts w:ascii="宋体" w:cs="宋体"/>
          <w:color w:val="auto"/>
        </w:rPr>
      </w:pPr>
      <w:r>
        <w:rPr>
          <w:rFonts w:hint="eastAsia" w:ascii="宋体" w:hAnsi="宋体" w:cs="宋体"/>
          <w:color w:val="auto"/>
        </w:rPr>
        <w:t>七、售后服务</w:t>
      </w:r>
    </w:p>
    <w:p>
      <w:pPr>
        <w:spacing w:line="360" w:lineRule="auto"/>
        <w:ind w:firstLine="475" w:firstLineChars="198"/>
        <w:rPr>
          <w:rFonts w:ascii="宋体" w:cs="宋体"/>
          <w:color w:val="auto"/>
        </w:rPr>
      </w:pPr>
      <w:r>
        <w:rPr>
          <w:rFonts w:ascii="宋体" w:hAnsi="宋体" w:cs="宋体"/>
          <w:color w:val="auto"/>
        </w:rPr>
        <w:t>1</w:t>
      </w:r>
      <w:r>
        <w:rPr>
          <w:rFonts w:hint="eastAsia" w:ascii="宋体" w:hAnsi="宋体" w:cs="宋体"/>
          <w:color w:val="auto"/>
        </w:rPr>
        <w:t>、保质期内非甲方的人为原因而出现产品质量及安装问题，由乙方负责包修、包换或包退，并承担因此而产生的一切费用。乙方应在收到甲方通知后即派员到现场维修。</w:t>
      </w:r>
    </w:p>
    <w:p>
      <w:pPr>
        <w:spacing w:line="360" w:lineRule="auto"/>
        <w:ind w:firstLine="475" w:firstLineChars="198"/>
        <w:rPr>
          <w:rFonts w:ascii="宋体" w:cs="宋体"/>
          <w:color w:val="auto"/>
        </w:rPr>
      </w:pPr>
      <w:r>
        <w:rPr>
          <w:rFonts w:ascii="宋体" w:hAnsi="宋体" w:cs="宋体"/>
          <w:color w:val="auto"/>
        </w:rPr>
        <w:t>2</w:t>
      </w:r>
      <w:r>
        <w:rPr>
          <w:rFonts w:hint="eastAsia" w:ascii="宋体" w:hAnsi="宋体" w:cs="宋体"/>
          <w:color w:val="auto"/>
        </w:rPr>
        <w:t>、乙方提供</w:t>
      </w:r>
      <w:r>
        <w:rPr>
          <w:rFonts w:ascii="宋体" w:hAnsi="宋体" w:cs="宋体"/>
          <w:color w:val="auto"/>
        </w:rPr>
        <w:t>24</w:t>
      </w:r>
      <w:r>
        <w:rPr>
          <w:rFonts w:hint="eastAsia" w:ascii="宋体" w:hAnsi="宋体" w:cs="宋体"/>
          <w:color w:val="auto"/>
        </w:rPr>
        <w:t>小时电话服务热线，</w:t>
      </w:r>
      <w:r>
        <w:rPr>
          <w:rFonts w:ascii="宋体" w:hAnsi="宋体" w:cs="宋体"/>
          <w:color w:val="auto"/>
        </w:rPr>
        <w:t>30</w:t>
      </w:r>
      <w:r>
        <w:rPr>
          <w:rFonts w:hint="eastAsia" w:ascii="宋体" w:hAnsi="宋体" w:cs="宋体"/>
          <w:color w:val="auto"/>
        </w:rPr>
        <w:t>分钟内响应并提供技术资料或处理意见，一般小故障无须更换配件和修复的，由乙方电话指导甲方使用人员自行排除故障，如需现场服务的，乙方须于</w:t>
      </w:r>
      <w:r>
        <w:rPr>
          <w:rFonts w:ascii="宋体" w:hAnsi="宋体" w:cs="宋体"/>
          <w:color w:val="auto"/>
        </w:rPr>
        <w:t>24</w:t>
      </w:r>
      <w:r>
        <w:rPr>
          <w:rFonts w:hint="eastAsia" w:ascii="宋体" w:hAnsi="宋体" w:cs="宋体"/>
          <w:color w:val="auto"/>
        </w:rPr>
        <w:t>小时内派员到达现场维修，并于到达现场后</w:t>
      </w:r>
      <w:r>
        <w:rPr>
          <w:rFonts w:ascii="宋体" w:hAnsi="宋体" w:cs="宋体"/>
          <w:color w:val="auto"/>
        </w:rPr>
        <w:t>48</w:t>
      </w:r>
      <w:r>
        <w:rPr>
          <w:rFonts w:hint="eastAsia" w:ascii="宋体" w:hAnsi="宋体" w:cs="宋体"/>
          <w:color w:val="auto"/>
        </w:rPr>
        <w:t>小时内修复。</w:t>
      </w:r>
    </w:p>
    <w:p>
      <w:pPr>
        <w:spacing w:line="360" w:lineRule="auto"/>
        <w:ind w:firstLine="475" w:firstLineChars="198"/>
        <w:rPr>
          <w:rFonts w:ascii="宋体" w:cs="宋体"/>
          <w:color w:val="auto"/>
          <w:lang w:val="zh-CN"/>
        </w:rPr>
      </w:pPr>
      <w:r>
        <w:rPr>
          <w:rFonts w:ascii="宋体" w:hAnsi="宋体" w:cs="宋体"/>
          <w:color w:val="auto"/>
          <w:lang w:val="zh-CN"/>
        </w:rPr>
        <w:t>3</w:t>
      </w:r>
      <w:r>
        <w:rPr>
          <w:rFonts w:hint="eastAsia" w:ascii="宋体" w:hAnsi="宋体" w:cs="宋体"/>
          <w:color w:val="auto"/>
          <w:lang w:val="zh-CN"/>
        </w:rPr>
        <w:t>、</w:t>
      </w:r>
      <w:r>
        <w:rPr>
          <w:rFonts w:hint="eastAsia" w:ascii="宋体" w:hAnsi="宋体" w:cs="宋体"/>
          <w:color w:val="auto"/>
        </w:rPr>
        <w:t>质保期</w:t>
      </w:r>
      <w:r>
        <w:rPr>
          <w:rFonts w:hint="eastAsia" w:ascii="宋体" w:hAnsi="宋体" w:cs="宋体"/>
          <w:color w:val="auto"/>
          <w:lang w:val="zh-CN"/>
        </w:rPr>
        <w:t>内，</w:t>
      </w:r>
      <w:r>
        <w:rPr>
          <w:rFonts w:hint="eastAsia" w:ascii="宋体" w:hAnsi="宋体" w:cs="宋体"/>
          <w:color w:val="auto"/>
        </w:rPr>
        <w:t>乙方</w:t>
      </w:r>
      <w:r>
        <w:rPr>
          <w:rFonts w:hint="eastAsia" w:ascii="宋体" w:hAnsi="宋体" w:cs="宋体"/>
          <w:color w:val="auto"/>
          <w:lang w:val="zh-CN"/>
        </w:rPr>
        <w:t>负责对其提供的系统及全部货物进行维修和软件维护、升级，仅收取材料费。质保期内因货物本身的质量问题发生故障，乙方负责免费更换同品牌、同型号的零配件或者性能更加高级的替代产品。但人为因素、自然因素（如火灾、雷击等）造成的故障除外。</w:t>
      </w:r>
    </w:p>
    <w:p>
      <w:pPr>
        <w:spacing w:line="360" w:lineRule="auto"/>
        <w:ind w:firstLine="475" w:firstLineChars="198"/>
        <w:rPr>
          <w:rFonts w:ascii="宋体" w:cs="宋体"/>
          <w:color w:val="auto"/>
          <w:lang w:val="zh-CN"/>
        </w:rPr>
      </w:pPr>
      <w:r>
        <w:rPr>
          <w:rFonts w:ascii="宋体" w:hAnsi="宋体" w:cs="宋体"/>
          <w:color w:val="auto"/>
          <w:lang w:val="zh-CN"/>
        </w:rPr>
        <w:t>4</w:t>
      </w:r>
      <w:r>
        <w:rPr>
          <w:rFonts w:hint="eastAsia" w:ascii="宋体" w:hAnsi="宋体" w:cs="宋体"/>
          <w:color w:val="auto"/>
          <w:lang w:val="zh-CN"/>
        </w:rPr>
        <w:t>、</w:t>
      </w:r>
      <w:r>
        <w:rPr>
          <w:rFonts w:hint="eastAsia" w:ascii="宋体" w:hAnsi="宋体" w:cs="宋体"/>
          <w:color w:val="auto"/>
        </w:rPr>
        <w:t>保质期</w:t>
      </w:r>
      <w:r>
        <w:rPr>
          <w:rFonts w:hint="eastAsia" w:ascii="宋体" w:hAnsi="宋体" w:cs="宋体"/>
          <w:color w:val="auto"/>
          <w:lang w:val="zh-CN"/>
        </w:rPr>
        <w:t>内，所有设备和软件保修服务方式均为</w:t>
      </w:r>
      <w:r>
        <w:rPr>
          <w:rFonts w:hint="eastAsia" w:ascii="宋体" w:hAnsi="宋体" w:cs="宋体"/>
          <w:color w:val="auto"/>
        </w:rPr>
        <w:t>乙方</w:t>
      </w:r>
      <w:r>
        <w:rPr>
          <w:rFonts w:hint="eastAsia" w:ascii="宋体" w:hAnsi="宋体" w:cs="宋体"/>
          <w:color w:val="auto"/>
          <w:lang w:val="zh-CN"/>
        </w:rPr>
        <w:t>上门保修，即由</w:t>
      </w:r>
      <w:r>
        <w:rPr>
          <w:rFonts w:hint="eastAsia" w:ascii="宋体" w:hAnsi="宋体" w:cs="宋体"/>
          <w:color w:val="auto"/>
        </w:rPr>
        <w:t>乙方</w:t>
      </w:r>
      <w:r>
        <w:rPr>
          <w:rFonts w:hint="eastAsia" w:ascii="宋体" w:hAnsi="宋体" w:cs="宋体"/>
          <w:color w:val="auto"/>
          <w:lang w:val="zh-CN"/>
        </w:rPr>
        <w:t>派员到甲方设备使用现场维修，由此产生的一切费用均由乙方承担，质保期满后，当需要时，乙方对因投标货物本身的固有缺陷和瑕疵承担责任，三年内维修只收取零部件成本费。</w:t>
      </w:r>
    </w:p>
    <w:p>
      <w:pPr>
        <w:spacing w:line="360" w:lineRule="auto"/>
        <w:ind w:firstLine="475" w:firstLineChars="198"/>
        <w:rPr>
          <w:rFonts w:ascii="宋体" w:cs="宋体"/>
          <w:color w:val="auto"/>
        </w:rPr>
      </w:pPr>
      <w:r>
        <w:rPr>
          <w:rFonts w:ascii="宋体" w:hAnsi="宋体" w:cs="宋体"/>
          <w:color w:val="auto"/>
          <w:lang w:val="zh-CN"/>
        </w:rPr>
        <w:t>5</w:t>
      </w:r>
      <w:r>
        <w:rPr>
          <w:rFonts w:hint="eastAsia" w:ascii="宋体" w:hAnsi="宋体" w:cs="宋体"/>
          <w:color w:val="auto"/>
          <w:lang w:val="zh-CN"/>
        </w:rPr>
        <w:t>、</w:t>
      </w:r>
      <w:r>
        <w:rPr>
          <w:rFonts w:hint="eastAsia" w:ascii="宋体" w:hAnsi="宋体" w:cs="宋体"/>
          <w:color w:val="auto"/>
        </w:rPr>
        <w:t>乙方为甲方提供操作及维护培训，主要内容为设备的基本结构、性能、主要部件的构造及原理，日常使用操作、保养与管理，常见故障的排除，紧急情况的处理等，培训地点由甲方确定。</w:t>
      </w:r>
    </w:p>
    <w:p>
      <w:pPr>
        <w:spacing w:line="360" w:lineRule="auto"/>
        <w:ind w:firstLine="475" w:firstLineChars="198"/>
        <w:rPr>
          <w:rFonts w:ascii="宋体" w:cs="宋体"/>
          <w:color w:val="auto"/>
        </w:rPr>
      </w:pPr>
      <w:r>
        <w:rPr>
          <w:rFonts w:ascii="宋体" w:hAnsi="宋体" w:cs="宋体"/>
          <w:color w:val="auto"/>
        </w:rPr>
        <w:t>6</w:t>
      </w:r>
      <w:r>
        <w:rPr>
          <w:rFonts w:hint="eastAsia" w:ascii="宋体" w:hAnsi="宋体" w:cs="宋体"/>
          <w:color w:val="auto"/>
        </w:rPr>
        <w:t>、对出售供应的合同货物，乙方进行跟踪服务，</w:t>
      </w:r>
      <w:r>
        <w:rPr>
          <w:rFonts w:ascii="宋体" w:hAnsi="宋体" w:cs="宋体"/>
          <w:color w:val="auto"/>
        </w:rPr>
        <w:t>3</w:t>
      </w:r>
      <w:r>
        <w:rPr>
          <w:rFonts w:hint="eastAsia" w:ascii="宋体" w:hAnsi="宋体" w:cs="宋体"/>
          <w:color w:val="auto"/>
        </w:rPr>
        <w:t>年内定期回访每年不少于</w:t>
      </w:r>
      <w:r>
        <w:rPr>
          <w:rFonts w:ascii="宋体" w:hAnsi="宋体" w:cs="宋体"/>
          <w:color w:val="auto"/>
        </w:rPr>
        <w:t>2</w:t>
      </w:r>
      <w:r>
        <w:rPr>
          <w:rFonts w:hint="eastAsia" w:ascii="宋体" w:hAnsi="宋体" w:cs="宋体"/>
          <w:color w:val="auto"/>
        </w:rPr>
        <w:t>次。</w:t>
      </w:r>
    </w:p>
    <w:p>
      <w:pPr>
        <w:spacing w:line="360" w:lineRule="auto"/>
        <w:ind w:firstLine="475" w:firstLineChars="198"/>
        <w:rPr>
          <w:rFonts w:ascii="宋体" w:cs="宋体"/>
          <w:color w:val="auto"/>
        </w:rPr>
      </w:pPr>
      <w:r>
        <w:rPr>
          <w:rFonts w:hint="eastAsia" w:ascii="宋体" w:hAnsi="宋体" w:cs="宋体"/>
          <w:color w:val="auto"/>
        </w:rPr>
        <w:t>八、索赔</w:t>
      </w:r>
    </w:p>
    <w:p>
      <w:pPr>
        <w:spacing w:line="360" w:lineRule="auto"/>
        <w:ind w:firstLine="475" w:firstLineChars="198"/>
        <w:rPr>
          <w:rFonts w:ascii="宋体" w:cs="宋体"/>
          <w:color w:val="auto"/>
        </w:rPr>
      </w:pPr>
      <w:r>
        <w:rPr>
          <w:rFonts w:ascii="宋体" w:hAnsi="宋体" w:cs="宋体"/>
          <w:color w:val="auto"/>
        </w:rPr>
        <w:t>1</w:t>
      </w:r>
      <w:r>
        <w:rPr>
          <w:rFonts w:hint="eastAsia" w:ascii="宋体" w:hAnsi="宋体" w:cs="宋体"/>
          <w:color w:val="auto"/>
        </w:rPr>
        <w:t>、验收不合格，甲方有权根据有关政府部门的检验结果或鉴定机构的质量鉴定结果向乙方提出索赔。</w:t>
      </w:r>
    </w:p>
    <w:p>
      <w:pPr>
        <w:spacing w:line="360" w:lineRule="auto"/>
        <w:ind w:left="2" w:leftChars="1" w:firstLine="480" w:firstLineChars="200"/>
        <w:rPr>
          <w:rFonts w:ascii="宋体" w:cs="宋体"/>
          <w:color w:val="auto"/>
        </w:rPr>
      </w:pPr>
      <w:r>
        <w:rPr>
          <w:rFonts w:ascii="宋体" w:hAnsi="宋体" w:cs="宋体"/>
          <w:color w:val="auto"/>
        </w:rPr>
        <w:t>2</w:t>
      </w:r>
      <w:r>
        <w:rPr>
          <w:rFonts w:hint="eastAsia" w:ascii="宋体" w:hAnsi="宋体" w:cs="宋体"/>
          <w:color w:val="auto"/>
        </w:rPr>
        <w:t>、在合同执行期间，如果乙方对甲方提出的索赔和差异负有责任，乙方应按照甲方同意的下列方式解决索赔事宜：</w:t>
      </w:r>
    </w:p>
    <w:p>
      <w:pPr>
        <w:spacing w:line="360" w:lineRule="auto"/>
        <w:ind w:left="2" w:leftChars="1" w:firstLine="480" w:firstLineChars="200"/>
        <w:rPr>
          <w:rFonts w:ascii="宋体" w:cs="宋体"/>
          <w:color w:val="auto"/>
        </w:rPr>
      </w:pPr>
      <w:r>
        <w:rPr>
          <w:rFonts w:hint="eastAsia" w:ascii="宋体" w:hAnsi="宋体" w:cs="宋体"/>
          <w:color w:val="auto"/>
        </w:rPr>
        <w:t>（</w:t>
      </w:r>
      <w:r>
        <w:rPr>
          <w:rFonts w:ascii="宋体" w:hAnsi="宋体" w:cs="宋体"/>
          <w:color w:val="auto"/>
        </w:rPr>
        <w:t>1</w:t>
      </w:r>
      <w:r>
        <w:rPr>
          <w:rFonts w:hint="eastAsia" w:ascii="宋体" w:hAnsi="宋体" w:cs="宋体"/>
          <w:color w:val="auto"/>
        </w:rPr>
        <w:t>）乙方同意退货，并按合同规定的同种货币将货款退还给甲方，并承担由此发生的一切损失和费用。</w:t>
      </w:r>
    </w:p>
    <w:p>
      <w:pPr>
        <w:spacing w:line="360" w:lineRule="auto"/>
        <w:ind w:left="2" w:leftChars="1" w:firstLine="480" w:firstLineChars="200"/>
        <w:rPr>
          <w:rFonts w:ascii="宋体" w:cs="宋体"/>
          <w:color w:val="auto"/>
        </w:rPr>
      </w:pPr>
      <w:r>
        <w:rPr>
          <w:rFonts w:hint="eastAsia" w:ascii="宋体" w:hAnsi="宋体" w:cs="宋体"/>
          <w:color w:val="auto"/>
        </w:rPr>
        <w:t>（</w:t>
      </w:r>
      <w:r>
        <w:rPr>
          <w:rFonts w:ascii="宋体" w:hAnsi="宋体" w:cs="宋体"/>
          <w:color w:val="auto"/>
        </w:rPr>
        <w:t>2</w:t>
      </w:r>
      <w:r>
        <w:rPr>
          <w:rFonts w:hint="eastAsia" w:ascii="宋体" w:hAnsi="宋体" w:cs="宋体"/>
          <w:color w:val="auto"/>
        </w:rPr>
        <w:t>）根据货物的低劣程度、损坏程度以及甲方所遭受损失的数额甲乙双方商定货物的价格。</w:t>
      </w:r>
    </w:p>
    <w:p>
      <w:pPr>
        <w:spacing w:line="360" w:lineRule="auto"/>
        <w:ind w:left="2" w:leftChars="1" w:firstLine="480" w:firstLineChars="200"/>
        <w:rPr>
          <w:rFonts w:ascii="宋体" w:cs="宋体"/>
          <w:color w:val="auto"/>
        </w:rPr>
      </w:pPr>
      <w:r>
        <w:rPr>
          <w:rFonts w:hint="eastAsia" w:ascii="宋体" w:hAnsi="宋体" w:cs="宋体"/>
          <w:color w:val="auto"/>
        </w:rPr>
        <w:t>（</w:t>
      </w:r>
      <w:r>
        <w:rPr>
          <w:rFonts w:ascii="宋体" w:hAnsi="宋体" w:cs="宋体"/>
          <w:color w:val="auto"/>
        </w:rPr>
        <w:t>3</w:t>
      </w:r>
      <w:r>
        <w:rPr>
          <w:rFonts w:hint="eastAsia" w:ascii="宋体" w:hAnsi="宋体" w:cs="宋体"/>
          <w:color w:val="auto"/>
        </w:rPr>
        <w:t>）用符合规格、质量和性能要求的新零件、部件或货物来更换有缺陷的部分或修补缺陷的部分，乙方应承担一切费用和风险并负有甲方所发生的一切直接费用。同时，相应延长质量保证期。</w:t>
      </w:r>
    </w:p>
    <w:p>
      <w:pPr>
        <w:spacing w:line="360" w:lineRule="auto"/>
        <w:ind w:firstLine="475" w:firstLineChars="198"/>
        <w:rPr>
          <w:rFonts w:ascii="宋体" w:cs="宋体"/>
          <w:color w:val="auto"/>
        </w:rPr>
      </w:pPr>
      <w:r>
        <w:rPr>
          <w:rFonts w:ascii="宋体" w:hAnsi="宋体" w:cs="宋体"/>
          <w:color w:val="auto"/>
        </w:rPr>
        <w:t>3</w:t>
      </w:r>
      <w:r>
        <w:rPr>
          <w:rFonts w:hint="eastAsia" w:ascii="宋体" w:hAnsi="宋体" w:cs="宋体"/>
          <w:color w:val="auto"/>
        </w:rPr>
        <w:t>、如果在甲方发出索赔通知后</w:t>
      </w:r>
      <w:r>
        <w:rPr>
          <w:rFonts w:ascii="宋体" w:hAnsi="宋体" w:cs="宋体"/>
          <w:color w:val="auto"/>
        </w:rPr>
        <w:t>30</w:t>
      </w:r>
      <w:r>
        <w:rPr>
          <w:rFonts w:hint="eastAsia" w:ascii="宋体" w:hAnsi="宋体" w:cs="宋体"/>
          <w:color w:val="auto"/>
        </w:rPr>
        <w:t>天内，乙方未作答复，上述索赔应视为已被乙方接受。甲方将从合同款项中扣除或扣回索赔金额。如果这些金额不足以补偿索赔金额，甲方有权向乙方提出不足部分的补偿。</w:t>
      </w:r>
    </w:p>
    <w:p>
      <w:pPr>
        <w:spacing w:line="360" w:lineRule="auto"/>
        <w:ind w:firstLine="475" w:firstLineChars="198"/>
        <w:rPr>
          <w:rFonts w:ascii="宋体" w:cs="宋体"/>
          <w:color w:val="auto"/>
        </w:rPr>
      </w:pPr>
      <w:r>
        <w:rPr>
          <w:rFonts w:ascii="宋体" w:hAnsi="宋体" w:cs="宋体"/>
          <w:color w:val="auto"/>
        </w:rPr>
        <w:t>4</w:t>
      </w:r>
      <w:r>
        <w:rPr>
          <w:rFonts w:hint="eastAsia" w:ascii="宋体" w:hAnsi="宋体" w:cs="宋体"/>
          <w:color w:val="auto"/>
        </w:rPr>
        <w:t>、如果乙方提供的产品在发动机、制动系统、水泵系统或灭火系统等车辆主要部件存在明显质量问题，甲方有权要求退货并要求乙方重新提供同一型号的整车，质保期和货款支付条款顺延。</w:t>
      </w:r>
    </w:p>
    <w:p>
      <w:pPr>
        <w:spacing w:line="360" w:lineRule="auto"/>
        <w:ind w:firstLine="470" w:firstLineChars="196"/>
        <w:rPr>
          <w:rFonts w:ascii="宋体" w:cs="宋体"/>
          <w:color w:val="auto"/>
        </w:rPr>
      </w:pPr>
      <w:r>
        <w:rPr>
          <w:rFonts w:hint="eastAsia" w:ascii="宋体" w:hAnsi="宋体" w:cs="宋体"/>
          <w:color w:val="auto"/>
        </w:rPr>
        <w:t>九、违约与处罚</w:t>
      </w:r>
    </w:p>
    <w:p>
      <w:pPr>
        <w:spacing w:line="360" w:lineRule="auto"/>
        <w:ind w:firstLine="475" w:firstLineChars="198"/>
        <w:rPr>
          <w:rFonts w:ascii="宋体" w:cs="宋体"/>
          <w:color w:val="auto"/>
        </w:rPr>
      </w:pPr>
      <w:r>
        <w:rPr>
          <w:rFonts w:ascii="宋体" w:hAnsi="宋体" w:cs="宋体"/>
          <w:color w:val="auto"/>
        </w:rPr>
        <w:t>1</w:t>
      </w:r>
      <w:r>
        <w:rPr>
          <w:rFonts w:hint="eastAsia" w:ascii="宋体" w:hAnsi="宋体" w:cs="宋体"/>
          <w:color w:val="auto"/>
        </w:rPr>
        <w:t>．甲方应依合同规定时间内，向乙方支付货款，每拖延一天乙方可向甲方加收合同金额的</w:t>
      </w:r>
      <w:r>
        <w:rPr>
          <w:rFonts w:ascii="宋体" w:hAnsi="宋体" w:cs="宋体"/>
          <w:color w:val="auto"/>
        </w:rPr>
        <w:t>1</w:t>
      </w:r>
      <w:r>
        <w:rPr>
          <w:rFonts w:hint="eastAsia" w:ascii="宋体" w:hAnsi="宋体" w:cs="宋体"/>
          <w:color w:val="auto"/>
        </w:rPr>
        <w:t>‰的违约金，但不超过合同金额的</w:t>
      </w:r>
      <w:r>
        <w:rPr>
          <w:rFonts w:ascii="宋体" w:hAnsi="宋体" w:cs="宋体"/>
          <w:color w:val="auto"/>
        </w:rPr>
        <w:t>2%</w:t>
      </w:r>
      <w:r>
        <w:rPr>
          <w:rFonts w:hint="eastAsia" w:ascii="宋体" w:hAnsi="宋体" w:cs="宋体"/>
          <w:color w:val="auto"/>
        </w:rPr>
        <w:t>。</w:t>
      </w:r>
    </w:p>
    <w:p>
      <w:pPr>
        <w:spacing w:line="360" w:lineRule="auto"/>
        <w:ind w:firstLine="475" w:firstLineChars="198"/>
        <w:rPr>
          <w:rFonts w:ascii="宋体" w:cs="宋体"/>
          <w:color w:val="auto"/>
        </w:rPr>
      </w:pPr>
      <w:r>
        <w:rPr>
          <w:rFonts w:ascii="宋体" w:hAnsi="宋体" w:cs="宋体"/>
          <w:color w:val="auto"/>
        </w:rPr>
        <w:t>2</w:t>
      </w:r>
      <w:r>
        <w:rPr>
          <w:rFonts w:hint="eastAsia" w:ascii="宋体" w:hAnsi="宋体" w:cs="宋体"/>
          <w:color w:val="auto"/>
        </w:rPr>
        <w:t>．乙方未能按时交货，每拖延一天，须向甲方支付合同金额的</w:t>
      </w:r>
      <w:r>
        <w:rPr>
          <w:rFonts w:ascii="宋体" w:hAnsi="宋体" w:cs="宋体"/>
          <w:color w:val="auto"/>
        </w:rPr>
        <w:t>1</w:t>
      </w:r>
      <w:r>
        <w:rPr>
          <w:rFonts w:hint="eastAsia" w:ascii="宋体" w:hAnsi="宋体" w:cs="宋体"/>
          <w:color w:val="auto"/>
        </w:rPr>
        <w:t>‰作为违约金。如逾期交货超过</w:t>
      </w:r>
      <w:r>
        <w:rPr>
          <w:rFonts w:ascii="宋体" w:hAnsi="宋体" w:cs="宋体"/>
          <w:color w:val="auto"/>
        </w:rPr>
        <w:t>30</w:t>
      </w:r>
      <w:r>
        <w:rPr>
          <w:rFonts w:hint="eastAsia" w:ascii="宋体" w:hAnsi="宋体" w:cs="宋体"/>
          <w:color w:val="auto"/>
        </w:rPr>
        <w:t>天的，甲方有权单方面解除本合同，并要求乙方立即赔付合同价款的</w:t>
      </w:r>
      <w:r>
        <w:rPr>
          <w:rFonts w:ascii="宋体" w:hAnsi="宋体" w:cs="宋体"/>
          <w:color w:val="auto"/>
        </w:rPr>
        <w:t>10%</w:t>
      </w:r>
      <w:r>
        <w:rPr>
          <w:rFonts w:hint="eastAsia" w:ascii="宋体" w:hAnsi="宋体" w:cs="宋体"/>
          <w:color w:val="auto"/>
        </w:rPr>
        <w:t>作为违约金；如逾期交货超过</w:t>
      </w:r>
      <w:r>
        <w:rPr>
          <w:rFonts w:ascii="宋体" w:hAnsi="宋体" w:cs="宋体"/>
          <w:color w:val="auto"/>
        </w:rPr>
        <w:t>30</w:t>
      </w:r>
      <w:r>
        <w:rPr>
          <w:rFonts w:hint="eastAsia" w:ascii="宋体" w:hAnsi="宋体" w:cs="宋体"/>
          <w:color w:val="auto"/>
        </w:rPr>
        <w:t>天，甲方选择继续履行本合同的，乙方仍需承担合同总价的</w:t>
      </w:r>
      <w:r>
        <w:rPr>
          <w:rFonts w:ascii="宋体" w:hAnsi="宋体" w:cs="宋体"/>
          <w:color w:val="auto"/>
        </w:rPr>
        <w:t>10%</w:t>
      </w:r>
      <w:r>
        <w:rPr>
          <w:rFonts w:hint="eastAsia" w:ascii="宋体" w:hAnsi="宋体" w:cs="宋体"/>
          <w:color w:val="auto"/>
        </w:rPr>
        <w:t>的违约金；逾期达本合同第四条履行期间的天数以上的，甲方将从本合同货款内一次性扣除</w:t>
      </w:r>
      <w:r>
        <w:rPr>
          <w:rFonts w:ascii="宋体" w:hAnsi="宋体" w:cs="宋体"/>
          <w:color w:val="auto"/>
        </w:rPr>
        <w:t>10%</w:t>
      </w:r>
      <w:r>
        <w:rPr>
          <w:rFonts w:hint="eastAsia" w:ascii="宋体" w:hAnsi="宋体" w:cs="宋体"/>
          <w:color w:val="auto"/>
        </w:rPr>
        <w:t>合同款作为乙方的违约金。超过本合同第四条约定供货时间</w:t>
      </w:r>
      <w:r>
        <w:rPr>
          <w:rFonts w:ascii="宋体" w:hAnsi="宋体" w:cs="宋体"/>
          <w:color w:val="auto"/>
        </w:rPr>
        <w:t>1</w:t>
      </w:r>
      <w:r>
        <w:rPr>
          <w:rFonts w:hint="eastAsia" w:ascii="宋体" w:hAnsi="宋体" w:cs="宋体"/>
          <w:color w:val="auto"/>
        </w:rPr>
        <w:t>倍及以上的，甲方有权单方面解除合同，并要求乙方立即赔付合同价款的</w:t>
      </w:r>
      <w:r>
        <w:rPr>
          <w:rFonts w:ascii="宋体" w:hAnsi="宋体" w:cs="宋体"/>
          <w:color w:val="auto"/>
        </w:rPr>
        <w:t>10%</w:t>
      </w:r>
      <w:r>
        <w:rPr>
          <w:rFonts w:hint="eastAsia" w:ascii="宋体" w:hAnsi="宋体" w:cs="宋体"/>
          <w:color w:val="auto"/>
        </w:rPr>
        <w:t>作为违约金，同时甲方向采购监管部门申请将乙方列入“黑名单”，禁止乙方在三年内参与甲方及甲方下属机构的任何招投标采购活动。</w:t>
      </w:r>
    </w:p>
    <w:p>
      <w:pPr>
        <w:spacing w:line="360" w:lineRule="auto"/>
        <w:ind w:firstLine="475" w:firstLineChars="198"/>
        <w:rPr>
          <w:rFonts w:ascii="宋体" w:cs="宋体"/>
          <w:color w:val="auto"/>
        </w:rPr>
      </w:pPr>
      <w:r>
        <w:rPr>
          <w:rFonts w:ascii="宋体" w:hAnsi="宋体" w:cs="宋体"/>
          <w:color w:val="auto"/>
        </w:rPr>
        <w:t>3</w:t>
      </w:r>
      <w:r>
        <w:rPr>
          <w:rFonts w:hint="eastAsia" w:ascii="宋体" w:hAnsi="宋体" w:cs="宋体"/>
          <w:color w:val="auto"/>
        </w:rPr>
        <w:t>．乙方交付的货物不符合合同规定的或性能参数达不到招标文件要求的，甲方有权拒收或单方面解除合同，并要求乙方赔付合同价款的</w:t>
      </w:r>
      <w:r>
        <w:rPr>
          <w:rFonts w:ascii="宋体" w:hAnsi="宋体" w:cs="宋体"/>
          <w:color w:val="auto"/>
        </w:rPr>
        <w:t>10%</w:t>
      </w:r>
      <w:r>
        <w:rPr>
          <w:rFonts w:hint="eastAsia" w:ascii="宋体" w:hAnsi="宋体" w:cs="宋体"/>
          <w:color w:val="auto"/>
        </w:rPr>
        <w:t>作为违约金，同时甲方向采购监管部门申请将乙方列入“黑名单”，禁止乙方在三年内参与甲方及甲方下属机构的任何招投标采购活动。</w:t>
      </w:r>
    </w:p>
    <w:p>
      <w:pPr>
        <w:spacing w:line="360" w:lineRule="auto"/>
        <w:ind w:firstLine="475" w:firstLineChars="198"/>
        <w:rPr>
          <w:rFonts w:ascii="宋体" w:cs="宋体"/>
          <w:color w:val="auto"/>
        </w:rPr>
      </w:pPr>
      <w:r>
        <w:rPr>
          <w:rFonts w:ascii="宋体" w:hAnsi="宋体" w:cs="宋体"/>
          <w:color w:val="auto"/>
        </w:rPr>
        <w:t>4</w:t>
      </w:r>
      <w:r>
        <w:rPr>
          <w:rFonts w:hint="eastAsia" w:ascii="宋体" w:hAnsi="宋体" w:cs="宋体"/>
          <w:color w:val="auto"/>
        </w:rPr>
        <w:t>．甲方无正当理由拒收乙方按照合同约定提供合格货物的，甲方应向乙方支付合同金额的</w:t>
      </w:r>
      <w:r>
        <w:rPr>
          <w:rFonts w:ascii="宋体" w:hAnsi="宋体" w:cs="宋体"/>
          <w:color w:val="auto"/>
        </w:rPr>
        <w:t>10%</w:t>
      </w:r>
      <w:r>
        <w:rPr>
          <w:rFonts w:hint="eastAsia" w:ascii="宋体" w:hAnsi="宋体" w:cs="宋体"/>
          <w:color w:val="auto"/>
        </w:rPr>
        <w:t>的违约金。</w:t>
      </w:r>
    </w:p>
    <w:p>
      <w:pPr>
        <w:spacing w:line="360" w:lineRule="auto"/>
        <w:ind w:firstLine="475" w:firstLineChars="198"/>
        <w:rPr>
          <w:rFonts w:ascii="宋体" w:cs="宋体"/>
          <w:color w:val="auto"/>
        </w:rPr>
      </w:pPr>
      <w:r>
        <w:rPr>
          <w:rFonts w:ascii="宋体" w:hAnsi="宋体" w:cs="宋体"/>
          <w:color w:val="auto"/>
        </w:rPr>
        <w:t>5</w:t>
      </w:r>
      <w:r>
        <w:rPr>
          <w:rFonts w:hint="eastAsia" w:ascii="宋体" w:hAnsi="宋体" w:cs="宋体"/>
          <w:color w:val="auto"/>
        </w:rPr>
        <w:t>．乙方未能按照故障响应时间履行售后维修、培训等服务的，甲方根据使用单位书面反馈情况，经核实属实的，每次可扣留乙方的合同金额的</w:t>
      </w:r>
      <w:r>
        <w:rPr>
          <w:rFonts w:ascii="宋体" w:hAnsi="宋体" w:cs="宋体"/>
          <w:color w:val="auto"/>
        </w:rPr>
        <w:t>1%</w:t>
      </w:r>
      <w:r>
        <w:rPr>
          <w:rFonts w:hint="eastAsia" w:ascii="宋体" w:hAnsi="宋体" w:cs="宋体"/>
          <w:color w:val="auto"/>
        </w:rPr>
        <w:t>，直至扣完质保金。</w:t>
      </w:r>
    </w:p>
    <w:p>
      <w:pPr>
        <w:spacing w:line="360" w:lineRule="auto"/>
        <w:ind w:firstLine="475" w:firstLineChars="198"/>
        <w:rPr>
          <w:rFonts w:ascii="宋体" w:cs="宋体"/>
          <w:color w:val="auto"/>
        </w:rPr>
      </w:pPr>
      <w:r>
        <w:rPr>
          <w:rFonts w:ascii="宋体" w:hAnsi="宋体" w:cs="宋体"/>
          <w:color w:val="auto"/>
        </w:rPr>
        <w:t>6</w:t>
      </w:r>
      <w:r>
        <w:rPr>
          <w:rFonts w:hint="eastAsia" w:ascii="宋体" w:hAnsi="宋体" w:cs="宋体"/>
          <w:color w:val="auto"/>
        </w:rPr>
        <w:t>．质保期满后，乙方未提供货物使用所有单位每半年巡检记录的，甲方将全部扣除乙方的质量保证金（即合同金额的</w:t>
      </w:r>
      <w:r>
        <w:rPr>
          <w:rFonts w:ascii="宋体" w:hAnsi="宋体" w:cs="宋体"/>
          <w:color w:val="auto"/>
        </w:rPr>
        <w:t>5%</w:t>
      </w:r>
      <w:r>
        <w:rPr>
          <w:rFonts w:hint="eastAsia" w:ascii="宋体" w:hAnsi="宋体" w:cs="宋体"/>
          <w:color w:val="auto"/>
        </w:rPr>
        <w:t>）作为违约金。</w:t>
      </w:r>
    </w:p>
    <w:p>
      <w:pPr>
        <w:spacing w:line="360" w:lineRule="auto"/>
        <w:ind w:firstLine="475" w:firstLineChars="198"/>
        <w:rPr>
          <w:rFonts w:ascii="宋体" w:cs="宋体"/>
          <w:color w:val="auto"/>
        </w:rPr>
      </w:pPr>
      <w:r>
        <w:rPr>
          <w:rFonts w:hint="eastAsia" w:ascii="宋体" w:hAnsi="宋体" w:cs="宋体"/>
          <w:color w:val="auto"/>
        </w:rPr>
        <w:t>十、合同终止与法律诉讼</w:t>
      </w:r>
    </w:p>
    <w:p>
      <w:pPr>
        <w:spacing w:line="360" w:lineRule="auto"/>
        <w:ind w:firstLine="475" w:firstLineChars="198"/>
        <w:rPr>
          <w:rFonts w:ascii="宋体" w:cs="宋体"/>
          <w:color w:val="auto"/>
        </w:rPr>
      </w:pPr>
      <w:r>
        <w:rPr>
          <w:rFonts w:ascii="宋体" w:hAnsi="宋体" w:cs="宋体"/>
          <w:color w:val="auto"/>
        </w:rPr>
        <w:t>1</w:t>
      </w:r>
      <w:r>
        <w:rPr>
          <w:rFonts w:hint="eastAsia" w:ascii="宋体" w:hAnsi="宋体" w:cs="宋体"/>
          <w:color w:val="auto"/>
        </w:rPr>
        <w:t>、除本合同另有约定外，如果一方发生其他严重违反合同的情形，并在收到守约方违约通知书后在</w:t>
      </w:r>
      <w:r>
        <w:rPr>
          <w:rFonts w:ascii="宋体" w:hAnsi="宋体" w:cs="宋体"/>
          <w:color w:val="auto"/>
        </w:rPr>
        <w:t>15</w:t>
      </w:r>
      <w:r>
        <w:rPr>
          <w:rFonts w:hint="eastAsia" w:ascii="宋体" w:hAnsi="宋体" w:cs="宋体"/>
          <w:color w:val="auto"/>
        </w:rPr>
        <w:t>天内仍未能改正违约的，守约方有权立即终止和解除本合同，守约方并有权处违约方</w:t>
      </w:r>
      <w:r>
        <w:rPr>
          <w:rFonts w:ascii="宋体" w:hAnsi="宋体" w:cs="宋体"/>
          <w:color w:val="auto"/>
        </w:rPr>
        <w:t>5%-10%</w:t>
      </w:r>
      <w:r>
        <w:rPr>
          <w:rFonts w:hint="eastAsia" w:ascii="宋体" w:hAnsi="宋体" w:cs="宋体"/>
          <w:color w:val="auto"/>
        </w:rPr>
        <w:t>的违约金，造成守约方损失的，违约方应当承担赔偿责任。</w:t>
      </w:r>
    </w:p>
    <w:p>
      <w:pPr>
        <w:spacing w:line="360" w:lineRule="auto"/>
        <w:ind w:firstLine="475" w:firstLineChars="198"/>
        <w:rPr>
          <w:rFonts w:ascii="宋体" w:cs="宋体"/>
          <w:color w:val="auto"/>
        </w:rPr>
      </w:pPr>
      <w:r>
        <w:rPr>
          <w:rFonts w:ascii="宋体" w:hAnsi="宋体" w:cs="宋体"/>
          <w:color w:val="auto"/>
        </w:rPr>
        <w:t>2</w:t>
      </w:r>
      <w:r>
        <w:rPr>
          <w:rFonts w:hint="eastAsia" w:ascii="宋体" w:hAnsi="宋体" w:cs="宋体"/>
          <w:color w:val="auto"/>
        </w:rPr>
        <w:t>、签约双方在履约中发生争执和分歧，双方应通过友好协商解决，若经协商不能达成协议时，任何一方均应当向甲方所在地人民法院提起诉讼。受理期间，双方应继续执行合同无争议的其余部分。</w:t>
      </w:r>
    </w:p>
    <w:p>
      <w:pPr>
        <w:spacing w:line="360" w:lineRule="auto"/>
        <w:ind w:firstLine="475" w:firstLineChars="198"/>
        <w:rPr>
          <w:rFonts w:ascii="宋体" w:cs="宋体"/>
          <w:color w:val="auto"/>
        </w:rPr>
      </w:pPr>
      <w:r>
        <w:rPr>
          <w:rFonts w:hint="eastAsia" w:ascii="宋体" w:hAnsi="宋体" w:cs="宋体"/>
          <w:color w:val="auto"/>
        </w:rPr>
        <w:t>十一、其它</w:t>
      </w:r>
    </w:p>
    <w:p>
      <w:pPr>
        <w:spacing w:line="360" w:lineRule="auto"/>
        <w:ind w:firstLine="480" w:firstLineChars="200"/>
        <w:rPr>
          <w:rFonts w:ascii="宋体" w:cs="宋体"/>
          <w:color w:val="auto"/>
        </w:rPr>
      </w:pPr>
      <w:r>
        <w:rPr>
          <w:rFonts w:ascii="宋体" w:hAnsi="宋体" w:cs="宋体"/>
          <w:color w:val="auto"/>
        </w:rPr>
        <w:t>1</w:t>
      </w:r>
      <w:r>
        <w:rPr>
          <w:rFonts w:hint="eastAsia" w:ascii="宋体" w:hAnsi="宋体" w:cs="宋体"/>
          <w:color w:val="auto"/>
        </w:rPr>
        <w:t>、本合同一式六份，政府采购部门执一份，乙方执一份，招标代理机构执一份，甲方执三份。</w:t>
      </w:r>
    </w:p>
    <w:p>
      <w:pPr>
        <w:tabs>
          <w:tab w:val="left" w:pos="0"/>
        </w:tabs>
        <w:spacing w:line="360" w:lineRule="auto"/>
        <w:ind w:firstLine="480" w:firstLineChars="200"/>
        <w:rPr>
          <w:rFonts w:ascii="宋体" w:cs="宋体"/>
          <w:color w:val="auto"/>
        </w:rPr>
      </w:pPr>
      <w:r>
        <w:rPr>
          <w:rFonts w:ascii="宋体" w:hAnsi="宋体" w:cs="宋体"/>
          <w:color w:val="auto"/>
        </w:rPr>
        <w:t>2</w:t>
      </w:r>
      <w:r>
        <w:rPr>
          <w:rFonts w:hint="eastAsia" w:ascii="宋体" w:hAnsi="宋体" w:cs="宋体"/>
          <w:color w:val="auto"/>
        </w:rPr>
        <w:t>、本合同自甲乙双方签订后生效，本合同未尽事宜，由双方协商解决并另行签订补充协议予以明确。</w:t>
      </w:r>
    </w:p>
    <w:p>
      <w:pPr>
        <w:tabs>
          <w:tab w:val="left" w:pos="0"/>
        </w:tabs>
        <w:spacing w:line="360" w:lineRule="auto"/>
        <w:ind w:left="6482" w:leftChars="1" w:right="-382" w:rightChars="-159" w:hanging="6480" w:hangingChars="2700"/>
        <w:rPr>
          <w:rFonts w:ascii="宋体" w:cs="宋体"/>
          <w:color w:val="auto"/>
        </w:rPr>
      </w:pPr>
    </w:p>
    <w:p>
      <w:pPr>
        <w:pStyle w:val="9"/>
        <w:pBdr>
          <w:top w:val="none" w:color="auto" w:sz="0" w:space="0"/>
          <w:left w:val="none" w:color="auto" w:sz="0" w:space="0"/>
          <w:bottom w:val="none" w:color="auto" w:sz="0" w:space="0"/>
          <w:right w:val="none" w:color="auto" w:sz="0" w:space="0"/>
          <w:between w:val="none" w:color="auto" w:sz="0" w:space="0"/>
        </w:pBdr>
        <w:rPr>
          <w:color w:val="auto"/>
        </w:rPr>
      </w:pPr>
    </w:p>
    <w:p>
      <w:pPr>
        <w:pStyle w:val="8"/>
        <w:pBdr>
          <w:top w:val="none" w:color="auto" w:sz="0" w:space="0"/>
          <w:left w:val="none" w:color="auto" w:sz="0" w:space="0"/>
          <w:bottom w:val="none" w:color="auto" w:sz="0" w:space="0"/>
          <w:right w:val="none" w:color="auto" w:sz="0" w:space="0"/>
          <w:between w:val="none" w:color="auto" w:sz="0" w:space="0"/>
        </w:pBdr>
        <w:rPr>
          <w:color w:val="auto"/>
        </w:rPr>
      </w:pPr>
    </w:p>
    <w:p>
      <w:pPr>
        <w:pStyle w:val="8"/>
        <w:pBdr>
          <w:top w:val="none" w:color="auto" w:sz="0" w:space="0"/>
          <w:left w:val="none" w:color="auto" w:sz="0" w:space="0"/>
          <w:bottom w:val="none" w:color="auto" w:sz="0" w:space="0"/>
          <w:right w:val="none" w:color="auto" w:sz="0" w:space="0"/>
          <w:between w:val="none" w:color="auto" w:sz="0" w:space="0"/>
        </w:pBdr>
        <w:rPr>
          <w:color w:val="auto"/>
        </w:rPr>
      </w:pPr>
    </w:p>
    <w:p>
      <w:pPr>
        <w:pStyle w:val="8"/>
        <w:pBdr>
          <w:top w:val="none" w:color="auto" w:sz="0" w:space="0"/>
          <w:left w:val="none" w:color="auto" w:sz="0" w:space="0"/>
          <w:bottom w:val="none" w:color="auto" w:sz="0" w:space="0"/>
          <w:right w:val="none" w:color="auto" w:sz="0" w:space="0"/>
          <w:between w:val="none" w:color="auto" w:sz="0" w:space="0"/>
        </w:pBdr>
        <w:rPr>
          <w:color w:val="auto"/>
        </w:rPr>
      </w:pPr>
    </w:p>
    <w:p>
      <w:pPr>
        <w:pStyle w:val="8"/>
        <w:pBdr>
          <w:top w:val="none" w:color="auto" w:sz="0" w:space="0"/>
          <w:left w:val="none" w:color="auto" w:sz="0" w:space="0"/>
          <w:bottom w:val="none" w:color="auto" w:sz="0" w:space="0"/>
          <w:right w:val="none" w:color="auto" w:sz="0" w:space="0"/>
          <w:between w:val="none" w:color="auto" w:sz="0" w:space="0"/>
        </w:pBdr>
        <w:rPr>
          <w:color w:val="auto"/>
        </w:rPr>
      </w:pPr>
    </w:p>
    <w:p>
      <w:pPr>
        <w:pBdr>
          <w:top w:val="none" w:color="auto" w:sz="0" w:space="0"/>
          <w:left w:val="none" w:color="auto" w:sz="0" w:space="0"/>
          <w:bottom w:val="none" w:color="auto" w:sz="0" w:space="0"/>
          <w:right w:val="none" w:color="auto" w:sz="0" w:space="0"/>
          <w:between w:val="none" w:color="auto" w:sz="0" w:space="0"/>
        </w:pBdr>
        <w:spacing w:line="360" w:lineRule="auto"/>
        <w:ind w:firstLine="480" w:firstLineChars="200"/>
        <w:rPr>
          <w:rFonts w:ascii="宋体" w:cs="宋体"/>
          <w:color w:val="auto"/>
        </w:rPr>
      </w:pPr>
    </w:p>
    <w:p>
      <w:pPr>
        <w:pBdr>
          <w:top w:val="none" w:color="auto" w:sz="0" w:space="0"/>
          <w:left w:val="none" w:color="auto" w:sz="0" w:space="0"/>
          <w:bottom w:val="none" w:color="auto" w:sz="0" w:space="0"/>
          <w:right w:val="none" w:color="auto" w:sz="0" w:space="0"/>
          <w:between w:val="none" w:color="auto" w:sz="0" w:space="0"/>
        </w:pBdr>
        <w:spacing w:line="360" w:lineRule="auto"/>
        <w:ind w:firstLine="480" w:firstLineChars="200"/>
        <w:rPr>
          <w:rFonts w:ascii="宋体" w:cs="宋体"/>
          <w:color w:val="auto"/>
        </w:rPr>
      </w:pPr>
    </w:p>
    <w:p>
      <w:pPr>
        <w:spacing w:line="360" w:lineRule="auto"/>
        <w:ind w:firstLine="480" w:firstLineChars="200"/>
        <w:rPr>
          <w:rFonts w:ascii="宋体" w:cs="宋体"/>
          <w:color w:val="auto"/>
        </w:rPr>
      </w:pPr>
    </w:p>
    <w:p>
      <w:pPr>
        <w:tabs>
          <w:tab w:val="left" w:pos="0"/>
        </w:tabs>
        <w:spacing w:line="360" w:lineRule="auto"/>
        <w:ind w:left="6482" w:leftChars="1" w:right="-382" w:rightChars="-159" w:hanging="6480" w:hangingChars="2700"/>
        <w:rPr>
          <w:rFonts w:ascii="宋体" w:cs="宋体"/>
          <w:color w:val="auto"/>
        </w:rPr>
      </w:pPr>
      <w:r>
        <w:rPr>
          <w:rFonts w:hint="eastAsia" w:ascii="宋体" w:hAnsi="宋体" w:cs="宋体"/>
          <w:color w:val="auto"/>
        </w:rPr>
        <w:t>甲方（盖章）：乙方（盖章）：</w:t>
      </w:r>
    </w:p>
    <w:p>
      <w:pPr>
        <w:tabs>
          <w:tab w:val="left" w:pos="4740"/>
        </w:tabs>
        <w:spacing w:line="360" w:lineRule="auto"/>
        <w:rPr>
          <w:rFonts w:ascii="宋体" w:cs="宋体"/>
          <w:color w:val="auto"/>
        </w:rPr>
      </w:pPr>
      <w:r>
        <w:rPr>
          <w:rFonts w:hint="eastAsia" w:ascii="宋体" w:hAnsi="宋体" w:cs="宋体"/>
          <w:color w:val="auto"/>
        </w:rPr>
        <w:t>甲方法定代表（签字）：</w:t>
      </w:r>
      <w:r>
        <w:rPr>
          <w:rFonts w:ascii="宋体" w:cs="宋体"/>
          <w:color w:val="auto"/>
        </w:rPr>
        <w:tab/>
      </w:r>
      <w:r>
        <w:rPr>
          <w:rFonts w:hint="eastAsia" w:ascii="宋体" w:hAnsi="宋体" w:cs="宋体"/>
          <w:color w:val="auto"/>
        </w:rPr>
        <w:t>乙方法定代表（签字）：</w:t>
      </w:r>
    </w:p>
    <w:p>
      <w:pPr>
        <w:tabs>
          <w:tab w:val="left" w:pos="4500"/>
        </w:tabs>
        <w:spacing w:line="360" w:lineRule="auto"/>
        <w:rPr>
          <w:rFonts w:ascii="宋体" w:cs="宋体"/>
          <w:color w:val="auto"/>
        </w:rPr>
      </w:pPr>
      <w:r>
        <w:rPr>
          <w:rFonts w:hint="eastAsia" w:ascii="宋体" w:hAnsi="宋体" w:cs="宋体"/>
          <w:color w:val="auto"/>
        </w:rPr>
        <w:t>委托代理人：委托代理人：</w:t>
      </w:r>
    </w:p>
    <w:p>
      <w:pPr>
        <w:tabs>
          <w:tab w:val="left" w:pos="4740"/>
        </w:tabs>
        <w:spacing w:line="360" w:lineRule="auto"/>
        <w:ind w:left="31680" w:hanging="1320" w:hangingChars="550"/>
        <w:rPr>
          <w:rFonts w:ascii="宋体" w:cs="宋体"/>
          <w:color w:val="auto"/>
        </w:rPr>
      </w:pPr>
      <w:r>
        <w:rPr>
          <w:rFonts w:hint="eastAsia" w:ascii="宋体" w:hAnsi="宋体" w:cs="宋体"/>
          <w:color w:val="auto"/>
        </w:rPr>
        <w:t>地址：</w:t>
      </w:r>
      <w:r>
        <w:rPr>
          <w:rFonts w:ascii="宋体" w:cs="宋体"/>
          <w:color w:val="auto"/>
        </w:rPr>
        <w:tab/>
      </w:r>
      <w:r>
        <w:rPr>
          <w:rFonts w:hint="eastAsia" w:ascii="宋体" w:hAnsi="宋体" w:cs="宋体"/>
          <w:color w:val="auto"/>
        </w:rPr>
        <w:t>地址：</w:t>
      </w:r>
    </w:p>
    <w:p>
      <w:pPr>
        <w:tabs>
          <w:tab w:val="left" w:pos="4740"/>
        </w:tabs>
        <w:spacing w:line="360" w:lineRule="auto"/>
        <w:ind w:left="1505" w:leftChars="627"/>
        <w:rPr>
          <w:rFonts w:ascii="宋体" w:cs="宋体"/>
          <w:color w:val="auto"/>
        </w:rPr>
      </w:pPr>
    </w:p>
    <w:p>
      <w:pPr>
        <w:tabs>
          <w:tab w:val="left" w:pos="4740"/>
        </w:tabs>
        <w:spacing w:line="360" w:lineRule="auto"/>
        <w:rPr>
          <w:rFonts w:ascii="宋体" w:cs="宋体"/>
          <w:color w:val="auto"/>
        </w:rPr>
      </w:pPr>
      <w:r>
        <w:rPr>
          <w:rFonts w:hint="eastAsia" w:ascii="宋体" w:hAnsi="宋体" w:cs="宋体"/>
          <w:color w:val="auto"/>
        </w:rPr>
        <w:t>邮政编码：</w:t>
      </w:r>
      <w:r>
        <w:rPr>
          <w:rFonts w:ascii="宋体" w:cs="宋体"/>
          <w:color w:val="auto"/>
        </w:rPr>
        <w:tab/>
      </w:r>
      <w:r>
        <w:rPr>
          <w:rFonts w:hint="eastAsia" w:ascii="宋体" w:hAnsi="宋体" w:cs="宋体"/>
          <w:color w:val="auto"/>
        </w:rPr>
        <w:t>邮政编码：</w:t>
      </w:r>
    </w:p>
    <w:p>
      <w:pPr>
        <w:tabs>
          <w:tab w:val="left" w:pos="4740"/>
        </w:tabs>
        <w:spacing w:line="360" w:lineRule="auto"/>
        <w:rPr>
          <w:rFonts w:ascii="宋体" w:cs="宋体"/>
          <w:color w:val="auto"/>
        </w:rPr>
      </w:pPr>
      <w:r>
        <w:rPr>
          <w:rFonts w:hint="eastAsia" w:ascii="宋体" w:hAnsi="宋体" w:cs="宋体"/>
          <w:color w:val="auto"/>
        </w:rPr>
        <w:t>电话：</w:t>
      </w:r>
      <w:r>
        <w:rPr>
          <w:rFonts w:ascii="宋体" w:cs="宋体"/>
          <w:color w:val="auto"/>
        </w:rPr>
        <w:tab/>
      </w:r>
      <w:r>
        <w:rPr>
          <w:rFonts w:hint="eastAsia" w:ascii="宋体" w:hAnsi="宋体" w:cs="宋体"/>
          <w:color w:val="auto"/>
        </w:rPr>
        <w:t>电话：</w:t>
      </w:r>
    </w:p>
    <w:p>
      <w:pPr>
        <w:tabs>
          <w:tab w:val="left" w:pos="4740"/>
        </w:tabs>
        <w:spacing w:line="360" w:lineRule="auto"/>
        <w:rPr>
          <w:rFonts w:ascii="宋体" w:cs="宋体"/>
          <w:color w:val="auto"/>
        </w:rPr>
      </w:pPr>
      <w:r>
        <w:rPr>
          <w:rFonts w:hint="eastAsia" w:ascii="宋体" w:hAnsi="宋体" w:cs="宋体"/>
          <w:color w:val="auto"/>
        </w:rPr>
        <w:t>传真：</w:t>
      </w:r>
      <w:r>
        <w:rPr>
          <w:rFonts w:ascii="宋体" w:cs="宋体"/>
          <w:color w:val="auto"/>
        </w:rPr>
        <w:tab/>
      </w:r>
      <w:r>
        <w:rPr>
          <w:rFonts w:hint="eastAsia" w:ascii="宋体" w:hAnsi="宋体" w:cs="宋体"/>
          <w:color w:val="auto"/>
        </w:rPr>
        <w:t>传真：</w:t>
      </w:r>
    </w:p>
    <w:p>
      <w:pPr>
        <w:tabs>
          <w:tab w:val="left" w:pos="1980"/>
        </w:tabs>
        <w:spacing w:line="360" w:lineRule="auto"/>
        <w:ind w:left="31680" w:right="-175" w:rightChars="-73" w:hanging="4080" w:hangingChars="1700"/>
        <w:rPr>
          <w:rFonts w:ascii="宋体" w:cs="宋体"/>
          <w:color w:val="auto"/>
        </w:rPr>
      </w:pPr>
      <w:r>
        <w:rPr>
          <w:rFonts w:hint="eastAsia" w:ascii="宋体" w:hAnsi="宋体" w:cs="宋体"/>
          <w:color w:val="auto"/>
        </w:rPr>
        <w:t>开户银行：</w:t>
      </w:r>
      <w:r>
        <w:rPr>
          <w:rFonts w:ascii="宋体" w:cs="宋体"/>
          <w:color w:val="auto"/>
        </w:rPr>
        <w:tab/>
      </w:r>
      <w:r>
        <w:rPr>
          <w:rFonts w:hint="eastAsia" w:ascii="宋体" w:hAnsi="宋体" w:cs="宋体"/>
          <w:color w:val="auto"/>
        </w:rPr>
        <w:t>开户银行：</w:t>
      </w:r>
    </w:p>
    <w:p>
      <w:pPr>
        <w:spacing w:line="360" w:lineRule="auto"/>
        <w:ind w:left="31680" w:hanging="3600" w:hangingChars="1500"/>
        <w:rPr>
          <w:rFonts w:ascii="宋体" w:cs="宋体"/>
          <w:color w:val="auto"/>
        </w:rPr>
      </w:pPr>
      <w:r>
        <w:rPr>
          <w:rFonts w:hint="eastAsia" w:ascii="宋体" w:hAnsi="宋体" w:cs="宋体"/>
          <w:color w:val="auto"/>
        </w:rPr>
        <w:t>开户账号：开户账号：</w:t>
      </w:r>
    </w:p>
    <w:p>
      <w:pPr>
        <w:tabs>
          <w:tab w:val="left" w:pos="1440"/>
        </w:tabs>
        <w:spacing w:line="360" w:lineRule="auto"/>
        <w:rPr>
          <w:rFonts w:ascii="宋体" w:cs="宋体"/>
          <w:color w:val="auto"/>
        </w:rPr>
      </w:pPr>
      <w:r>
        <w:rPr>
          <w:rFonts w:hint="eastAsia" w:ascii="宋体" w:hAnsi="宋体" w:cs="宋体"/>
          <w:color w:val="auto"/>
        </w:rPr>
        <w:t>签订日期：年月日　签订日期：年月日</w:t>
      </w:r>
    </w:p>
    <w:p>
      <w:pPr>
        <w:tabs>
          <w:tab w:val="left" w:pos="1440"/>
        </w:tabs>
        <w:spacing w:line="360" w:lineRule="auto"/>
        <w:rPr>
          <w:rFonts w:ascii="宋体" w:cs="宋体"/>
          <w:color w:val="auto"/>
        </w:rPr>
      </w:pPr>
    </w:p>
    <w:p>
      <w:pPr>
        <w:tabs>
          <w:tab w:val="left" w:pos="1440"/>
        </w:tabs>
        <w:spacing w:line="360" w:lineRule="auto"/>
        <w:rPr>
          <w:rFonts w:ascii="宋体" w:cs="宋体"/>
          <w:color w:val="auto"/>
        </w:rPr>
      </w:pPr>
    </w:p>
    <w:p>
      <w:pPr>
        <w:spacing w:line="360" w:lineRule="auto"/>
        <w:jc w:val="center"/>
        <w:rPr>
          <w:rFonts w:ascii="宋体" w:cs="宋体"/>
          <w:color w:val="auto"/>
        </w:rPr>
      </w:pPr>
    </w:p>
    <w:p>
      <w:pPr>
        <w:spacing w:line="360" w:lineRule="auto"/>
        <w:ind w:firstLine="480" w:firstLineChars="200"/>
        <w:rPr>
          <w:rFonts w:ascii="宋体" w:cs="宋体"/>
          <w:color w:val="auto"/>
        </w:rPr>
      </w:pPr>
      <w:r>
        <w:rPr>
          <w:rFonts w:hint="eastAsia" w:ascii="宋体" w:hAnsi="宋体" w:cs="宋体"/>
          <w:color w:val="auto"/>
        </w:rPr>
        <w:t>招标代理机构声明：本合同标的经红城国际工程项目管理有限公司依法定程序采购，合同主要条款内容与招投标文件的内容一致。</w:t>
      </w:r>
    </w:p>
    <w:p>
      <w:pPr>
        <w:pStyle w:val="24"/>
        <w:pBdr>
          <w:top w:val="none" w:color="auto" w:sz="0" w:space="0"/>
          <w:left w:val="none" w:color="auto" w:sz="0" w:space="0"/>
          <w:bottom w:val="none" w:color="auto" w:sz="0" w:space="0"/>
          <w:right w:val="none" w:color="auto" w:sz="0" w:space="0"/>
          <w:between w:val="none" w:color="auto" w:sz="0" w:space="0"/>
        </w:pBdr>
        <w:spacing w:line="360" w:lineRule="auto"/>
        <w:ind w:firstLine="480"/>
        <w:rPr>
          <w:color w:val="auto"/>
          <w:sz w:val="24"/>
          <w:szCs w:val="24"/>
        </w:rPr>
      </w:pPr>
      <w:r>
        <w:rPr>
          <w:rFonts w:hint="eastAsia"/>
          <w:color w:val="auto"/>
          <w:sz w:val="24"/>
          <w:szCs w:val="24"/>
        </w:rPr>
        <w:t>采购代理机构：红城国际工程项目管理有限公司</w:t>
      </w:r>
    </w:p>
    <w:p>
      <w:pPr>
        <w:pStyle w:val="24"/>
        <w:pBdr>
          <w:top w:val="none" w:color="auto" w:sz="0" w:space="0"/>
          <w:left w:val="none" w:color="auto" w:sz="0" w:space="0"/>
          <w:bottom w:val="none" w:color="auto" w:sz="0" w:space="0"/>
          <w:right w:val="none" w:color="auto" w:sz="0" w:space="0"/>
          <w:between w:val="none" w:color="auto" w:sz="0" w:space="0"/>
        </w:pBdr>
        <w:spacing w:line="360" w:lineRule="auto"/>
        <w:ind w:firstLine="480"/>
        <w:rPr>
          <w:color w:val="auto"/>
          <w:sz w:val="24"/>
          <w:szCs w:val="24"/>
        </w:rPr>
      </w:pPr>
      <w:r>
        <w:rPr>
          <w:rFonts w:hint="eastAsia"/>
          <w:color w:val="auto"/>
          <w:sz w:val="24"/>
          <w:szCs w:val="24"/>
        </w:rPr>
        <w:t>地址：海口市龙华区玉沙路中盐大厦</w:t>
      </w:r>
      <w:r>
        <w:rPr>
          <w:color w:val="auto"/>
          <w:sz w:val="24"/>
          <w:szCs w:val="24"/>
        </w:rPr>
        <w:t>31</w:t>
      </w:r>
      <w:r>
        <w:rPr>
          <w:rFonts w:hint="eastAsia"/>
          <w:color w:val="auto"/>
          <w:sz w:val="24"/>
          <w:szCs w:val="24"/>
        </w:rPr>
        <w:t>楼</w:t>
      </w:r>
      <w:r>
        <w:rPr>
          <w:color w:val="auto"/>
          <w:sz w:val="24"/>
          <w:szCs w:val="24"/>
        </w:rPr>
        <w:t>A1</w:t>
      </w:r>
      <w:r>
        <w:rPr>
          <w:rFonts w:hint="eastAsia"/>
          <w:color w:val="auto"/>
          <w:sz w:val="24"/>
          <w:szCs w:val="24"/>
        </w:rPr>
        <w:t>室</w:t>
      </w:r>
    </w:p>
    <w:p>
      <w:pPr>
        <w:spacing w:line="360" w:lineRule="auto"/>
        <w:ind w:firstLine="480" w:firstLineChars="200"/>
        <w:rPr>
          <w:rFonts w:ascii="宋体" w:cs="宋体"/>
          <w:color w:val="auto"/>
        </w:rPr>
      </w:pPr>
      <w:r>
        <w:rPr>
          <w:rFonts w:hint="eastAsia" w:ascii="宋体" w:hAnsi="宋体" w:cs="宋体"/>
          <w:color w:val="auto"/>
        </w:rPr>
        <w:t>经办人：</w:t>
      </w:r>
    </w:p>
    <w:p>
      <w:pPr>
        <w:spacing w:line="360" w:lineRule="auto"/>
        <w:ind w:firstLine="480" w:firstLineChars="200"/>
        <w:rPr>
          <w:rFonts w:ascii="宋体" w:cs="宋体"/>
          <w:color w:val="auto"/>
        </w:rPr>
      </w:pPr>
      <w:r>
        <w:rPr>
          <w:rFonts w:hint="eastAsia" w:ascii="宋体" w:hAnsi="宋体" w:cs="宋体"/>
          <w:color w:val="auto"/>
        </w:rPr>
        <w:t>年月日</w:t>
      </w:r>
    </w:p>
    <w:p>
      <w:pPr>
        <w:spacing w:line="360" w:lineRule="auto"/>
        <w:rPr>
          <w:rFonts w:ascii="宋体" w:cs="宋体"/>
          <w:color w:val="auto"/>
        </w:rPr>
      </w:pPr>
      <w:r>
        <w:rPr>
          <w:rFonts w:ascii="宋体" w:cs="宋体"/>
          <w:color w:val="auto"/>
        </w:rPr>
        <w:br w:type="page"/>
      </w:r>
    </w:p>
    <w:p>
      <w:pPr>
        <w:spacing w:after="240" w:line="360" w:lineRule="auto"/>
        <w:jc w:val="both"/>
        <w:rPr>
          <w:rFonts w:ascii="宋体" w:cs="宋体"/>
          <w:color w:val="auto"/>
        </w:rPr>
      </w:pPr>
      <w:r>
        <w:rPr>
          <w:rFonts w:hint="eastAsia" w:ascii="宋体" w:hAnsi="宋体" w:cs="宋体"/>
          <w:bCs/>
          <w:color w:val="auto"/>
        </w:rPr>
        <w:t>附件：</w:t>
      </w:r>
    </w:p>
    <w:p>
      <w:pPr>
        <w:spacing w:after="240" w:line="360" w:lineRule="auto"/>
        <w:jc w:val="center"/>
        <w:rPr>
          <w:rFonts w:ascii="宋体" w:cs="宋体"/>
          <w:color w:val="auto"/>
        </w:rPr>
      </w:pPr>
      <w:r>
        <w:rPr>
          <w:rFonts w:hint="eastAsia" w:ascii="宋体" w:hAnsi="宋体" w:cs="宋体"/>
          <w:color w:val="auto"/>
        </w:rPr>
        <w:t>技术规格参数及配置表</w:t>
      </w:r>
    </w:p>
    <w:p>
      <w:pPr>
        <w:spacing w:after="240" w:line="360" w:lineRule="auto"/>
        <w:jc w:val="center"/>
        <w:rPr>
          <w:rFonts w:ascii="宋体" w:cs="宋体"/>
          <w:color w:val="auto"/>
        </w:rPr>
      </w:pPr>
    </w:p>
    <w:tbl>
      <w:tblPr>
        <w:tblStyle w:val="16"/>
        <w:tblW w:w="9223" w:type="dxa"/>
        <w:jc w:val="center"/>
        <w:tblInd w:w="0" w:type="dxa"/>
        <w:tblLayout w:type="fixed"/>
        <w:tblCellMar>
          <w:top w:w="0" w:type="dxa"/>
          <w:left w:w="10" w:type="dxa"/>
          <w:bottom w:w="0" w:type="dxa"/>
          <w:right w:w="10" w:type="dxa"/>
        </w:tblCellMar>
      </w:tblPr>
      <w:tblGrid>
        <w:gridCol w:w="854"/>
        <w:gridCol w:w="1708"/>
        <w:gridCol w:w="6661"/>
      </w:tblGrid>
      <w:tr>
        <w:tblPrEx>
          <w:tblLayout w:type="fixed"/>
          <w:tblCellMar>
            <w:top w:w="0" w:type="dxa"/>
            <w:left w:w="10" w:type="dxa"/>
            <w:bottom w:w="0" w:type="dxa"/>
            <w:right w:w="10" w:type="dxa"/>
          </w:tblCellMar>
        </w:tblPrEx>
        <w:trPr>
          <w:trHeight w:val="1009" w:hRule="atLeast"/>
          <w:jc w:val="center"/>
        </w:trPr>
        <w:tc>
          <w:tcPr>
            <w:tcW w:w="854" w:type="dxa"/>
            <w:tcBorders>
              <w:top w:val="single" w:color="000000" w:sz="4" w:space="0"/>
              <w:left w:val="single" w:color="000000" w:sz="4" w:space="0"/>
              <w:bottom w:val="single" w:color="000000" w:sz="4" w:space="0"/>
              <w:right w:val="single" w:color="000000" w:sz="4" w:space="0"/>
            </w:tcBorders>
            <w:shd w:val="clear" w:color="000000" w:fill="FFFFFF"/>
            <w:tcMar>
              <w:top w:w="0" w:type="dxa"/>
              <w:left w:w="108" w:type="dxa"/>
              <w:bottom w:w="0" w:type="dxa"/>
              <w:right w:w="108" w:type="dxa"/>
            </w:tcMar>
            <w:vAlign w:val="center"/>
          </w:tcPr>
          <w:p>
            <w:pPr>
              <w:spacing w:line="360" w:lineRule="auto"/>
              <w:jc w:val="center"/>
              <w:rPr>
                <w:rFonts w:ascii="宋体" w:cs="宋体"/>
                <w:color w:val="auto"/>
              </w:rPr>
            </w:pPr>
            <w:r>
              <w:rPr>
                <w:rFonts w:hint="eastAsia" w:ascii="宋体" w:hAnsi="宋体" w:cs="宋体"/>
                <w:color w:val="auto"/>
              </w:rPr>
              <w:t>序号</w:t>
            </w:r>
          </w:p>
        </w:tc>
        <w:tc>
          <w:tcPr>
            <w:tcW w:w="1708" w:type="dxa"/>
            <w:tcBorders>
              <w:top w:val="single" w:color="000000" w:sz="4" w:space="0"/>
              <w:left w:val="single" w:color="000000" w:sz="4" w:space="0"/>
              <w:bottom w:val="single" w:color="000000" w:sz="4" w:space="0"/>
              <w:right w:val="single" w:color="000000" w:sz="4" w:space="0"/>
            </w:tcBorders>
            <w:shd w:val="clear" w:color="000000" w:fill="FFFFFF"/>
            <w:tcMar>
              <w:top w:w="0" w:type="dxa"/>
              <w:left w:w="108" w:type="dxa"/>
              <w:bottom w:w="0" w:type="dxa"/>
              <w:right w:w="108" w:type="dxa"/>
            </w:tcMar>
            <w:vAlign w:val="center"/>
          </w:tcPr>
          <w:p>
            <w:pPr>
              <w:spacing w:line="360" w:lineRule="auto"/>
              <w:jc w:val="center"/>
              <w:rPr>
                <w:rFonts w:ascii="宋体" w:cs="宋体"/>
                <w:color w:val="auto"/>
              </w:rPr>
            </w:pPr>
            <w:r>
              <w:rPr>
                <w:rFonts w:hint="eastAsia" w:ascii="宋体" w:hAnsi="宋体" w:cs="宋体"/>
                <w:color w:val="auto"/>
              </w:rPr>
              <w:t>货物名称</w:t>
            </w:r>
          </w:p>
        </w:tc>
        <w:tc>
          <w:tcPr>
            <w:tcW w:w="6661" w:type="dxa"/>
            <w:tcBorders>
              <w:top w:val="single" w:color="000000" w:sz="4" w:space="0"/>
              <w:left w:val="single" w:color="000000" w:sz="4" w:space="0"/>
              <w:bottom w:val="single" w:color="000000" w:sz="4" w:space="0"/>
              <w:right w:val="single" w:color="000000" w:sz="4" w:space="0"/>
            </w:tcBorders>
            <w:shd w:val="clear" w:color="000000" w:fill="FFFFFF"/>
            <w:tcMar>
              <w:top w:w="0" w:type="dxa"/>
              <w:left w:w="108" w:type="dxa"/>
              <w:bottom w:w="0" w:type="dxa"/>
              <w:right w:w="108" w:type="dxa"/>
            </w:tcMar>
            <w:vAlign w:val="center"/>
          </w:tcPr>
          <w:p>
            <w:pPr>
              <w:spacing w:line="360" w:lineRule="auto"/>
              <w:jc w:val="center"/>
              <w:rPr>
                <w:rFonts w:ascii="宋体" w:cs="宋体"/>
                <w:color w:val="auto"/>
              </w:rPr>
            </w:pPr>
            <w:r>
              <w:rPr>
                <w:rFonts w:hint="eastAsia" w:ascii="宋体" w:hAnsi="宋体" w:cs="宋体"/>
                <w:color w:val="auto"/>
              </w:rPr>
              <w:t>技术规格参数及配置</w:t>
            </w:r>
          </w:p>
        </w:tc>
      </w:tr>
      <w:tr>
        <w:tblPrEx>
          <w:tblLayout w:type="fixed"/>
          <w:tblCellMar>
            <w:top w:w="0" w:type="dxa"/>
            <w:left w:w="10" w:type="dxa"/>
            <w:bottom w:w="0" w:type="dxa"/>
            <w:right w:w="10" w:type="dxa"/>
          </w:tblCellMar>
        </w:tblPrEx>
        <w:trPr>
          <w:trHeight w:val="1009" w:hRule="atLeast"/>
          <w:jc w:val="center"/>
        </w:trPr>
        <w:tc>
          <w:tcPr>
            <w:tcW w:w="854" w:type="dxa"/>
            <w:tcBorders>
              <w:top w:val="single" w:color="000000" w:sz="4" w:space="0"/>
              <w:left w:val="single" w:color="000000" w:sz="4" w:space="0"/>
              <w:bottom w:val="single" w:color="000000" w:sz="4" w:space="0"/>
              <w:right w:val="single" w:color="000000" w:sz="4" w:space="0"/>
            </w:tcBorders>
            <w:shd w:val="clear" w:color="000000" w:fill="FFFFFF"/>
            <w:tcMar>
              <w:top w:w="0" w:type="dxa"/>
              <w:left w:w="108" w:type="dxa"/>
              <w:bottom w:w="0" w:type="dxa"/>
              <w:right w:w="108" w:type="dxa"/>
            </w:tcMar>
            <w:vAlign w:val="center"/>
          </w:tcPr>
          <w:p>
            <w:pPr>
              <w:widowControl w:val="0"/>
              <w:spacing w:line="360" w:lineRule="auto"/>
              <w:ind w:left="420" w:right="-173"/>
              <w:jc w:val="both"/>
              <w:rPr>
                <w:rFonts w:ascii="宋体" w:cs="宋体"/>
                <w:color w:val="auto"/>
              </w:rPr>
            </w:pPr>
          </w:p>
        </w:tc>
        <w:tc>
          <w:tcPr>
            <w:tcW w:w="1708" w:type="dxa"/>
            <w:tcBorders>
              <w:top w:val="single" w:color="000000" w:sz="4" w:space="0"/>
              <w:left w:val="single" w:color="000000" w:sz="4" w:space="0"/>
              <w:bottom w:val="single" w:color="000000" w:sz="4" w:space="0"/>
              <w:right w:val="single" w:color="000000" w:sz="4" w:space="0"/>
            </w:tcBorders>
            <w:shd w:val="clear" w:color="000000" w:fill="FFFFFF"/>
            <w:tcMar>
              <w:top w:w="0" w:type="dxa"/>
              <w:left w:w="108" w:type="dxa"/>
              <w:bottom w:w="0" w:type="dxa"/>
              <w:right w:w="108" w:type="dxa"/>
            </w:tcMar>
            <w:vAlign w:val="center"/>
          </w:tcPr>
          <w:p>
            <w:pPr>
              <w:spacing w:line="360" w:lineRule="auto"/>
              <w:jc w:val="center"/>
              <w:rPr>
                <w:rFonts w:ascii="宋体" w:cs="宋体"/>
                <w:color w:val="auto"/>
              </w:rPr>
            </w:pPr>
          </w:p>
        </w:tc>
        <w:tc>
          <w:tcPr>
            <w:tcW w:w="6661" w:type="dxa"/>
            <w:tcBorders>
              <w:top w:val="single" w:color="000000" w:sz="4" w:space="0"/>
              <w:left w:val="single" w:color="000000" w:sz="4" w:space="0"/>
              <w:bottom w:val="single" w:color="000000" w:sz="4" w:space="0"/>
              <w:right w:val="single" w:color="000000" w:sz="4" w:space="0"/>
            </w:tcBorders>
            <w:shd w:val="clear" w:color="000000" w:fill="FFFFFF"/>
            <w:tcMar>
              <w:top w:w="0" w:type="dxa"/>
              <w:left w:w="108" w:type="dxa"/>
              <w:bottom w:w="0" w:type="dxa"/>
              <w:right w:w="108" w:type="dxa"/>
            </w:tcMar>
            <w:vAlign w:val="center"/>
          </w:tcPr>
          <w:p>
            <w:pPr>
              <w:spacing w:line="360" w:lineRule="auto"/>
              <w:rPr>
                <w:rFonts w:ascii="宋体" w:cs="宋体"/>
                <w:color w:val="auto"/>
              </w:rPr>
            </w:pPr>
          </w:p>
        </w:tc>
      </w:tr>
    </w:tbl>
    <w:p>
      <w:pPr>
        <w:spacing w:after="240" w:line="360" w:lineRule="auto"/>
        <w:jc w:val="both"/>
        <w:rPr>
          <w:rFonts w:ascii="宋体" w:cs="宋体"/>
          <w:bCs/>
          <w:color w:val="auto"/>
        </w:rPr>
      </w:pPr>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9" w:line="360" w:lineRule="auto"/>
        <w:jc w:val="both"/>
        <w:rPr>
          <w:rFonts w:ascii="宋体" w:cs="宋体"/>
          <w:color w:val="auto"/>
        </w:rPr>
      </w:pPr>
      <w:r>
        <w:rPr>
          <w:rFonts w:ascii="宋体" w:cs="宋体"/>
          <w:color w:val="auto"/>
        </w:rPr>
        <w:t> </w:t>
      </w:r>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9" w:line="360" w:lineRule="auto"/>
        <w:jc w:val="both"/>
        <w:rPr>
          <w:rFonts w:ascii="宋体" w:cs="宋体"/>
          <w:color w:val="auto"/>
        </w:rPr>
      </w:pPr>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51"/>
        <w:jc w:val="both"/>
        <w:rPr>
          <w:rFonts w:ascii="宋体"/>
          <w:color w:val="auto"/>
          <w:sz w:val="28"/>
          <w:szCs w:val="20"/>
        </w:rPr>
      </w:pPr>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51"/>
        <w:jc w:val="both"/>
        <w:rPr>
          <w:rFonts w:ascii="宋体"/>
          <w:color w:val="auto"/>
          <w:sz w:val="28"/>
          <w:szCs w:val="20"/>
        </w:rPr>
      </w:pPr>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51"/>
        <w:jc w:val="both"/>
        <w:rPr>
          <w:rFonts w:ascii="宋体"/>
          <w:color w:val="auto"/>
          <w:sz w:val="28"/>
          <w:szCs w:val="20"/>
        </w:rPr>
      </w:pPr>
    </w:p>
    <w:p>
      <w:pPr>
        <w:widowControl w:val="0"/>
        <w:rPr>
          <w:rFonts w:ascii="宋体"/>
          <w:color w:val="auto"/>
          <w:szCs w:val="20"/>
        </w:rPr>
      </w:pPr>
    </w:p>
    <w:p>
      <w:pPr>
        <w:pStyle w:val="9"/>
        <w:pBdr>
          <w:top w:val="none" w:color="auto" w:sz="0" w:space="0"/>
          <w:left w:val="none" w:color="auto" w:sz="0" w:space="0"/>
          <w:bottom w:val="none" w:color="auto" w:sz="0" w:space="0"/>
          <w:right w:val="none" w:color="auto" w:sz="0" w:space="0"/>
          <w:between w:val="none" w:color="auto" w:sz="0" w:space="0"/>
        </w:pBdr>
        <w:rPr>
          <w:color w:val="auto"/>
          <w:szCs w:val="20"/>
        </w:rPr>
      </w:pPr>
    </w:p>
    <w:p>
      <w:pPr>
        <w:pStyle w:val="8"/>
        <w:pBdr>
          <w:top w:val="none" w:color="auto" w:sz="0" w:space="0"/>
          <w:left w:val="none" w:color="auto" w:sz="0" w:space="0"/>
          <w:bottom w:val="none" w:color="auto" w:sz="0" w:space="0"/>
          <w:right w:val="none" w:color="auto" w:sz="0" w:space="0"/>
          <w:between w:val="none" w:color="auto" w:sz="0" w:space="0"/>
        </w:pBdr>
        <w:rPr>
          <w:color w:val="auto"/>
          <w:szCs w:val="20"/>
        </w:rPr>
      </w:pPr>
    </w:p>
    <w:p>
      <w:pPr>
        <w:pStyle w:val="8"/>
        <w:pBdr>
          <w:top w:val="none" w:color="auto" w:sz="0" w:space="0"/>
          <w:left w:val="none" w:color="auto" w:sz="0" w:space="0"/>
          <w:bottom w:val="none" w:color="auto" w:sz="0" w:space="0"/>
          <w:right w:val="none" w:color="auto" w:sz="0" w:space="0"/>
          <w:between w:val="none" w:color="auto" w:sz="0" w:space="0"/>
        </w:pBdr>
        <w:rPr>
          <w:color w:val="auto"/>
          <w:szCs w:val="20"/>
        </w:rPr>
      </w:pPr>
    </w:p>
    <w:p>
      <w:pPr>
        <w:pStyle w:val="8"/>
        <w:pBdr>
          <w:top w:val="none" w:color="auto" w:sz="0" w:space="0"/>
          <w:left w:val="none" w:color="auto" w:sz="0" w:space="0"/>
          <w:bottom w:val="none" w:color="auto" w:sz="0" w:space="0"/>
          <w:right w:val="none" w:color="auto" w:sz="0" w:space="0"/>
          <w:between w:val="none" w:color="auto" w:sz="0" w:space="0"/>
        </w:pBdr>
        <w:rPr>
          <w:color w:val="auto"/>
          <w:szCs w:val="20"/>
        </w:rPr>
      </w:pPr>
    </w:p>
    <w:p>
      <w:pPr>
        <w:pStyle w:val="8"/>
        <w:pBdr>
          <w:top w:val="none" w:color="auto" w:sz="0" w:space="0"/>
          <w:left w:val="none" w:color="auto" w:sz="0" w:space="0"/>
          <w:bottom w:val="none" w:color="auto" w:sz="0" w:space="0"/>
          <w:right w:val="none" w:color="auto" w:sz="0" w:space="0"/>
          <w:between w:val="none" w:color="auto" w:sz="0" w:space="0"/>
        </w:pBdr>
        <w:rPr>
          <w:color w:val="auto"/>
          <w:szCs w:val="20"/>
        </w:rPr>
      </w:pPr>
    </w:p>
    <w:p>
      <w:pPr>
        <w:pStyle w:val="8"/>
        <w:pBdr>
          <w:top w:val="none" w:color="auto" w:sz="0" w:space="0"/>
          <w:left w:val="none" w:color="auto" w:sz="0" w:space="0"/>
          <w:bottom w:val="none" w:color="auto" w:sz="0" w:space="0"/>
          <w:right w:val="none" w:color="auto" w:sz="0" w:space="0"/>
          <w:between w:val="none" w:color="auto" w:sz="0" w:space="0"/>
        </w:pBdr>
        <w:rPr>
          <w:color w:val="auto"/>
          <w:szCs w:val="20"/>
        </w:rPr>
      </w:pPr>
    </w:p>
    <w:p>
      <w:pPr>
        <w:pStyle w:val="8"/>
        <w:pBdr>
          <w:top w:val="none" w:color="auto" w:sz="0" w:space="0"/>
          <w:left w:val="none" w:color="auto" w:sz="0" w:space="0"/>
          <w:bottom w:val="none" w:color="auto" w:sz="0" w:space="0"/>
          <w:right w:val="none" w:color="auto" w:sz="0" w:space="0"/>
          <w:between w:val="none" w:color="auto" w:sz="0" w:space="0"/>
        </w:pBdr>
        <w:rPr>
          <w:color w:val="auto"/>
          <w:szCs w:val="20"/>
        </w:rPr>
      </w:pPr>
    </w:p>
    <w:p>
      <w:pPr>
        <w:pStyle w:val="8"/>
        <w:pBdr>
          <w:top w:val="none" w:color="auto" w:sz="0" w:space="0"/>
          <w:left w:val="none" w:color="auto" w:sz="0" w:space="0"/>
          <w:bottom w:val="none" w:color="auto" w:sz="0" w:space="0"/>
          <w:right w:val="none" w:color="auto" w:sz="0" w:space="0"/>
          <w:between w:val="none" w:color="auto" w:sz="0" w:space="0"/>
        </w:pBdr>
        <w:rPr>
          <w:color w:val="auto"/>
          <w:szCs w:val="20"/>
        </w:rPr>
      </w:pPr>
    </w:p>
    <w:p>
      <w:pPr>
        <w:pStyle w:val="8"/>
        <w:pBdr>
          <w:top w:val="none" w:color="auto" w:sz="0" w:space="0"/>
          <w:left w:val="none" w:color="auto" w:sz="0" w:space="0"/>
          <w:bottom w:val="none" w:color="auto" w:sz="0" w:space="0"/>
          <w:right w:val="none" w:color="auto" w:sz="0" w:space="0"/>
          <w:between w:val="none" w:color="auto" w:sz="0" w:space="0"/>
        </w:pBdr>
        <w:rPr>
          <w:color w:val="auto"/>
          <w:szCs w:val="20"/>
        </w:rPr>
      </w:pPr>
    </w:p>
    <w:p>
      <w:pPr>
        <w:pStyle w:val="8"/>
        <w:pBdr>
          <w:top w:val="none" w:color="auto" w:sz="0" w:space="0"/>
          <w:left w:val="none" w:color="auto" w:sz="0" w:space="0"/>
          <w:bottom w:val="none" w:color="auto" w:sz="0" w:space="0"/>
          <w:right w:val="none" w:color="auto" w:sz="0" w:space="0"/>
          <w:between w:val="none" w:color="auto" w:sz="0" w:space="0"/>
        </w:pBdr>
        <w:rPr>
          <w:color w:val="auto"/>
          <w:szCs w:val="20"/>
        </w:rPr>
      </w:pPr>
    </w:p>
    <w:p>
      <w:pPr>
        <w:pStyle w:val="8"/>
        <w:pBdr>
          <w:top w:val="none" w:color="auto" w:sz="0" w:space="0"/>
          <w:left w:val="none" w:color="auto" w:sz="0" w:space="0"/>
          <w:bottom w:val="none" w:color="auto" w:sz="0" w:space="0"/>
          <w:right w:val="none" w:color="auto" w:sz="0" w:space="0"/>
          <w:between w:val="none" w:color="auto" w:sz="0" w:space="0"/>
        </w:pBdr>
        <w:rPr>
          <w:color w:val="auto"/>
          <w:szCs w:val="20"/>
        </w:rPr>
      </w:pPr>
    </w:p>
    <w:p>
      <w:pPr>
        <w:pStyle w:val="8"/>
        <w:pBdr>
          <w:top w:val="none" w:color="auto" w:sz="0" w:space="0"/>
          <w:left w:val="none" w:color="auto" w:sz="0" w:space="0"/>
          <w:bottom w:val="none" w:color="auto" w:sz="0" w:space="0"/>
          <w:right w:val="none" w:color="auto" w:sz="0" w:space="0"/>
          <w:between w:val="none" w:color="auto" w:sz="0" w:space="0"/>
        </w:pBdr>
        <w:rPr>
          <w:color w:val="auto"/>
          <w:szCs w:val="20"/>
        </w:rPr>
      </w:pPr>
    </w:p>
    <w:p>
      <w:pPr>
        <w:pStyle w:val="8"/>
        <w:pBdr>
          <w:top w:val="none" w:color="auto" w:sz="0" w:space="0"/>
          <w:left w:val="none" w:color="auto" w:sz="0" w:space="0"/>
          <w:bottom w:val="none" w:color="auto" w:sz="0" w:space="0"/>
          <w:right w:val="none" w:color="auto" w:sz="0" w:space="0"/>
          <w:between w:val="none" w:color="auto" w:sz="0" w:space="0"/>
        </w:pBdr>
        <w:rPr>
          <w:color w:val="auto"/>
          <w:szCs w:val="20"/>
        </w:rPr>
      </w:pPr>
    </w:p>
    <w:p>
      <w:pPr>
        <w:pStyle w:val="8"/>
        <w:pBdr>
          <w:top w:val="none" w:color="auto" w:sz="0" w:space="0"/>
          <w:left w:val="none" w:color="auto" w:sz="0" w:space="0"/>
          <w:bottom w:val="none" w:color="auto" w:sz="0" w:space="0"/>
          <w:right w:val="none" w:color="auto" w:sz="0" w:space="0"/>
          <w:between w:val="none" w:color="auto" w:sz="0" w:space="0"/>
        </w:pBdr>
        <w:rPr>
          <w:color w:val="auto"/>
          <w:szCs w:val="20"/>
        </w:rPr>
      </w:pPr>
    </w:p>
    <w:p>
      <w:pPr>
        <w:pStyle w:val="8"/>
        <w:pBdr>
          <w:top w:val="none" w:color="auto" w:sz="0" w:space="0"/>
          <w:left w:val="none" w:color="auto" w:sz="0" w:space="0"/>
          <w:bottom w:val="none" w:color="auto" w:sz="0" w:space="0"/>
          <w:right w:val="none" w:color="auto" w:sz="0" w:space="0"/>
          <w:between w:val="none" w:color="auto" w:sz="0" w:space="0"/>
        </w:pBdr>
        <w:rPr>
          <w:color w:val="auto"/>
          <w:szCs w:val="20"/>
        </w:rPr>
      </w:pPr>
    </w:p>
    <w:p>
      <w:pPr>
        <w:pStyle w:val="8"/>
        <w:pBdr>
          <w:top w:val="none" w:color="auto" w:sz="0" w:space="0"/>
          <w:left w:val="none" w:color="auto" w:sz="0" w:space="0"/>
          <w:bottom w:val="none" w:color="auto" w:sz="0" w:space="0"/>
          <w:right w:val="none" w:color="auto" w:sz="0" w:space="0"/>
          <w:between w:val="none" w:color="auto" w:sz="0" w:space="0"/>
        </w:pBdr>
        <w:rPr>
          <w:color w:val="auto"/>
          <w:szCs w:val="20"/>
        </w:rPr>
      </w:pPr>
    </w:p>
    <w:p>
      <w:pPr>
        <w:pStyle w:val="8"/>
        <w:pBdr>
          <w:top w:val="none" w:color="auto" w:sz="0" w:space="0"/>
          <w:left w:val="none" w:color="auto" w:sz="0" w:space="0"/>
          <w:bottom w:val="none" w:color="auto" w:sz="0" w:space="0"/>
          <w:right w:val="none" w:color="auto" w:sz="0" w:space="0"/>
          <w:between w:val="none" w:color="auto" w:sz="0" w:space="0"/>
        </w:pBdr>
        <w:rPr>
          <w:color w:val="auto"/>
          <w:szCs w:val="20"/>
        </w:rPr>
      </w:pPr>
    </w:p>
    <w:p>
      <w:pPr>
        <w:pStyle w:val="8"/>
        <w:pBdr>
          <w:top w:val="none" w:color="auto" w:sz="0" w:space="0"/>
          <w:left w:val="none" w:color="auto" w:sz="0" w:space="0"/>
          <w:bottom w:val="none" w:color="auto" w:sz="0" w:space="0"/>
          <w:right w:val="none" w:color="auto" w:sz="0" w:space="0"/>
          <w:between w:val="none" w:color="auto" w:sz="0" w:space="0"/>
        </w:pBdr>
        <w:rPr>
          <w:color w:val="auto"/>
          <w:szCs w:val="20"/>
        </w:rPr>
      </w:pPr>
    </w:p>
    <w:p>
      <w:pPr>
        <w:pStyle w:val="8"/>
        <w:pBdr>
          <w:top w:val="none" w:color="auto" w:sz="0" w:space="0"/>
          <w:left w:val="none" w:color="auto" w:sz="0" w:space="0"/>
          <w:bottom w:val="none" w:color="auto" w:sz="0" w:space="0"/>
          <w:right w:val="none" w:color="auto" w:sz="0" w:space="0"/>
          <w:between w:val="none" w:color="auto" w:sz="0" w:space="0"/>
        </w:pBdr>
        <w:rPr>
          <w:color w:val="auto"/>
          <w:szCs w:val="20"/>
        </w:rPr>
      </w:pPr>
    </w:p>
    <w:p>
      <w:pPr>
        <w:pStyle w:val="8"/>
        <w:pBdr>
          <w:top w:val="none" w:color="auto" w:sz="0" w:space="0"/>
          <w:left w:val="none" w:color="auto" w:sz="0" w:space="0"/>
          <w:bottom w:val="none" w:color="auto" w:sz="0" w:space="0"/>
          <w:right w:val="none" w:color="auto" w:sz="0" w:space="0"/>
          <w:between w:val="none" w:color="auto" w:sz="0" w:space="0"/>
        </w:pBdr>
        <w:rPr>
          <w:color w:val="auto"/>
          <w:szCs w:val="20"/>
        </w:rPr>
      </w:pPr>
    </w:p>
    <w:p>
      <w:pPr>
        <w:pStyle w:val="8"/>
        <w:pBdr>
          <w:top w:val="none" w:color="auto" w:sz="0" w:space="0"/>
          <w:left w:val="none" w:color="auto" w:sz="0" w:space="0"/>
          <w:bottom w:val="none" w:color="auto" w:sz="0" w:space="0"/>
          <w:right w:val="none" w:color="auto" w:sz="0" w:space="0"/>
          <w:between w:val="none" w:color="auto" w:sz="0" w:space="0"/>
        </w:pBdr>
        <w:rPr>
          <w:color w:val="auto"/>
          <w:szCs w:val="20"/>
        </w:rPr>
      </w:pPr>
    </w:p>
    <w:p>
      <w:pPr>
        <w:pStyle w:val="8"/>
        <w:pBdr>
          <w:top w:val="none" w:color="auto" w:sz="0" w:space="0"/>
          <w:left w:val="none" w:color="auto" w:sz="0" w:space="0"/>
          <w:bottom w:val="none" w:color="auto" w:sz="0" w:space="0"/>
          <w:right w:val="none" w:color="auto" w:sz="0" w:space="0"/>
          <w:between w:val="none" w:color="auto" w:sz="0" w:space="0"/>
        </w:pBdr>
        <w:rPr>
          <w:color w:val="auto"/>
          <w:szCs w:val="20"/>
        </w:rPr>
      </w:pPr>
    </w:p>
    <w:p>
      <w:pPr>
        <w:pStyle w:val="8"/>
        <w:pBdr>
          <w:top w:val="none" w:color="auto" w:sz="0" w:space="0"/>
          <w:left w:val="none" w:color="auto" w:sz="0" w:space="0"/>
          <w:bottom w:val="none" w:color="auto" w:sz="0" w:space="0"/>
          <w:right w:val="none" w:color="auto" w:sz="0" w:space="0"/>
          <w:between w:val="none" w:color="auto" w:sz="0" w:space="0"/>
        </w:pBdr>
        <w:rPr>
          <w:color w:val="auto"/>
          <w:szCs w:val="20"/>
        </w:rPr>
      </w:pPr>
    </w:p>
    <w:p>
      <w:pPr>
        <w:pStyle w:val="8"/>
        <w:pBdr>
          <w:top w:val="none" w:color="auto" w:sz="0" w:space="0"/>
          <w:left w:val="none" w:color="auto" w:sz="0" w:space="0"/>
          <w:bottom w:val="none" w:color="auto" w:sz="0" w:space="0"/>
          <w:right w:val="none" w:color="auto" w:sz="0" w:space="0"/>
          <w:between w:val="none" w:color="auto" w:sz="0" w:space="0"/>
        </w:pBdr>
        <w:rPr>
          <w:color w:val="auto"/>
          <w:szCs w:val="20"/>
        </w:rPr>
      </w:pPr>
    </w:p>
    <w:p>
      <w:pPr>
        <w:jc w:val="both"/>
        <w:rPr>
          <w:color w:val="auto"/>
        </w:rPr>
        <w:sectPr>
          <w:headerReference r:id="rId9" w:type="default"/>
          <w:footerReference r:id="rId10" w:type="default"/>
          <w:endnotePr>
            <w:numFmt w:val="decimal"/>
          </w:endnotePr>
          <w:pgSz w:w="11906" w:h="16838"/>
          <w:pgMar w:top="1417" w:right="1417" w:bottom="1417" w:left="1417" w:header="851" w:footer="992" w:gutter="0"/>
          <w:pgNumType w:fmt="numberInDash"/>
          <w:cols w:space="720" w:num="1"/>
          <w:rtlGutter w:val="1"/>
        </w:sectPr>
      </w:pPr>
      <w:bookmarkStart w:id="23" w:name="_Toc327324322"/>
      <w:bookmarkEnd w:id="23"/>
    </w:p>
    <w:p>
      <w:pPr>
        <w:pStyle w:val="9"/>
        <w:pBdr>
          <w:top w:val="none" w:color="auto" w:sz="0" w:space="0"/>
          <w:left w:val="none" w:color="auto" w:sz="0" w:space="0"/>
          <w:bottom w:val="none" w:color="auto" w:sz="0" w:space="0"/>
          <w:right w:val="none" w:color="auto" w:sz="0" w:space="0"/>
          <w:between w:val="none" w:color="auto" w:sz="0" w:space="0"/>
        </w:pBdr>
        <w:outlineLvl w:val="0"/>
        <w:rPr>
          <w:rFonts w:ascii="Times New Roman" w:hAnsi="Times New Roman"/>
          <w:b/>
          <w:color w:val="auto"/>
          <w:sz w:val="32"/>
          <w:szCs w:val="32"/>
        </w:rPr>
      </w:pPr>
      <w:bookmarkStart w:id="24" w:name="_Toc13535"/>
      <w:r>
        <w:rPr>
          <w:rFonts w:hint="eastAsia" w:ascii="Times New Roman" w:hAnsi="Times New Roman"/>
          <w:b/>
          <w:color w:val="auto"/>
          <w:sz w:val="32"/>
          <w:szCs w:val="32"/>
        </w:rPr>
        <w:t>第七章报价文件（格式）</w:t>
      </w:r>
      <w:bookmarkEnd w:id="24"/>
    </w:p>
    <w:p>
      <w:pPr>
        <w:pStyle w:val="9"/>
        <w:pBdr>
          <w:top w:val="none" w:color="auto" w:sz="0" w:space="0"/>
          <w:left w:val="none" w:color="auto" w:sz="0" w:space="0"/>
          <w:bottom w:val="none" w:color="auto" w:sz="0" w:space="0"/>
          <w:right w:val="none" w:color="auto" w:sz="0" w:space="0"/>
          <w:between w:val="none" w:color="auto" w:sz="0" w:space="0"/>
        </w:pBdr>
        <w:rPr>
          <w:color w:val="auto"/>
        </w:rPr>
      </w:pPr>
    </w:p>
    <w:p>
      <w:pPr>
        <w:jc w:val="center"/>
        <w:rPr>
          <w:color w:val="auto"/>
          <w:sz w:val="72"/>
        </w:rPr>
      </w:pPr>
      <w:r>
        <w:rPr>
          <w:rFonts w:hint="eastAsia" w:ascii="宋体" w:hAnsi="宋体"/>
          <w:color w:val="auto"/>
          <w:sz w:val="72"/>
        </w:rPr>
        <w:t>政府采购项目</w:t>
      </w:r>
    </w:p>
    <w:p>
      <w:pPr>
        <w:jc w:val="center"/>
        <w:rPr>
          <w:color w:val="auto"/>
          <w:sz w:val="72"/>
        </w:rPr>
      </w:pPr>
      <w:r>
        <w:rPr>
          <w:rFonts w:hint="eastAsia" w:ascii="宋体" w:hAnsi="宋体"/>
          <w:color w:val="auto"/>
          <w:sz w:val="72"/>
        </w:rPr>
        <w:t>报价文件</w:t>
      </w:r>
    </w:p>
    <w:p>
      <w:pPr>
        <w:jc w:val="center"/>
        <w:rPr>
          <w:color w:val="auto"/>
          <w:sz w:val="44"/>
        </w:rPr>
      </w:pPr>
      <w:r>
        <w:rPr>
          <w:rFonts w:hint="eastAsia" w:ascii="宋体" w:hAnsi="宋体"/>
          <w:color w:val="auto"/>
          <w:sz w:val="44"/>
        </w:rPr>
        <w:t>（封面）</w:t>
      </w:r>
    </w:p>
    <w:p>
      <w:pPr>
        <w:jc w:val="center"/>
        <w:rPr>
          <w:color w:val="auto"/>
          <w:sz w:val="36"/>
        </w:rPr>
      </w:pPr>
    </w:p>
    <w:p>
      <w:pPr>
        <w:jc w:val="center"/>
        <w:rPr>
          <w:color w:val="auto"/>
          <w:sz w:val="36"/>
        </w:rPr>
      </w:pPr>
    </w:p>
    <w:p>
      <w:pPr>
        <w:keepNext w:val="0"/>
        <w:keepLines w:val="0"/>
        <w:pageBreakBefore w:val="0"/>
        <w:widowControl/>
        <w:kinsoku/>
        <w:wordWrap/>
        <w:overflowPunct/>
        <w:topLinePunct w:val="0"/>
        <w:autoSpaceDE/>
        <w:autoSpaceDN/>
        <w:bidi w:val="0"/>
        <w:adjustRightInd/>
        <w:snapToGrid/>
        <w:spacing w:line="360" w:lineRule="auto"/>
        <w:ind w:firstLine="1962"/>
        <w:textAlignment w:val="auto"/>
        <w:outlineLvl w:val="9"/>
        <w:rPr>
          <w:rFonts w:hint="eastAsia" w:eastAsia="宋体"/>
          <w:i w:val="0"/>
          <w:iCs w:val="0"/>
          <w:color w:val="auto"/>
          <w:sz w:val="36"/>
          <w:u w:val="single"/>
          <w:lang w:val="en-US" w:eastAsia="zh-CN"/>
        </w:rPr>
      </w:pPr>
      <w:r>
        <w:rPr>
          <w:rFonts w:hint="eastAsia" w:ascii="宋体" w:hAnsi="宋体"/>
          <w:color w:val="auto"/>
          <w:sz w:val="36"/>
        </w:rPr>
        <w:t>项目名称：</w:t>
      </w:r>
      <w:r>
        <w:rPr>
          <w:rFonts w:hint="eastAsia" w:ascii="宋体" w:hAnsi="宋体"/>
          <w:i w:val="0"/>
          <w:iCs w:val="0"/>
          <w:color w:val="auto"/>
          <w:sz w:val="36"/>
          <w:u w:val="single"/>
          <w:lang w:val="en-US" w:eastAsia="zh-CN"/>
        </w:rPr>
        <w:t xml:space="preserve">                </w:t>
      </w:r>
    </w:p>
    <w:p>
      <w:pPr>
        <w:keepNext w:val="0"/>
        <w:keepLines w:val="0"/>
        <w:pageBreakBefore w:val="0"/>
        <w:widowControl/>
        <w:kinsoku/>
        <w:wordWrap/>
        <w:overflowPunct/>
        <w:topLinePunct w:val="0"/>
        <w:autoSpaceDE/>
        <w:autoSpaceDN/>
        <w:bidi w:val="0"/>
        <w:adjustRightInd/>
        <w:snapToGrid/>
        <w:spacing w:line="360" w:lineRule="auto"/>
        <w:ind w:firstLine="1962"/>
        <w:textAlignment w:val="auto"/>
        <w:outlineLvl w:val="9"/>
        <w:rPr>
          <w:rFonts w:hint="eastAsia" w:eastAsia="宋体"/>
          <w:color w:val="auto"/>
          <w:sz w:val="36"/>
          <w:u w:val="single"/>
          <w:lang w:val="en-US" w:eastAsia="zh-CN"/>
        </w:rPr>
      </w:pPr>
      <w:r>
        <w:rPr>
          <w:rFonts w:hint="eastAsia" w:ascii="宋体" w:hAnsi="宋体"/>
          <w:color w:val="auto"/>
          <w:sz w:val="36"/>
        </w:rPr>
        <w:t>采购编号：</w:t>
      </w:r>
      <w:r>
        <w:rPr>
          <w:rFonts w:hint="eastAsia" w:ascii="宋体" w:hAnsi="宋体"/>
          <w:color w:val="auto"/>
          <w:sz w:val="36"/>
          <w:u w:val="single"/>
          <w:lang w:val="en-US" w:eastAsia="zh-CN"/>
        </w:rPr>
        <w:t xml:space="preserve">                </w:t>
      </w:r>
    </w:p>
    <w:p>
      <w:pPr>
        <w:keepNext w:val="0"/>
        <w:keepLines w:val="0"/>
        <w:pageBreakBefore w:val="0"/>
        <w:widowControl/>
        <w:kinsoku/>
        <w:wordWrap/>
        <w:overflowPunct/>
        <w:topLinePunct w:val="0"/>
        <w:autoSpaceDE/>
        <w:autoSpaceDN/>
        <w:bidi w:val="0"/>
        <w:adjustRightInd/>
        <w:snapToGrid/>
        <w:spacing w:line="360" w:lineRule="auto"/>
        <w:jc w:val="center"/>
        <w:textAlignment w:val="auto"/>
        <w:outlineLvl w:val="9"/>
        <w:rPr>
          <w:color w:val="auto"/>
          <w:sz w:val="36"/>
        </w:rPr>
      </w:pPr>
    </w:p>
    <w:p>
      <w:pPr>
        <w:keepNext w:val="0"/>
        <w:keepLines w:val="0"/>
        <w:pageBreakBefore w:val="0"/>
        <w:widowControl/>
        <w:kinsoku/>
        <w:wordWrap/>
        <w:overflowPunct/>
        <w:topLinePunct w:val="0"/>
        <w:autoSpaceDE/>
        <w:autoSpaceDN/>
        <w:bidi w:val="0"/>
        <w:adjustRightInd/>
        <w:snapToGrid/>
        <w:spacing w:line="360" w:lineRule="auto"/>
        <w:jc w:val="center"/>
        <w:textAlignment w:val="auto"/>
        <w:outlineLvl w:val="9"/>
        <w:rPr>
          <w:color w:val="auto"/>
          <w:sz w:val="36"/>
        </w:rPr>
      </w:pPr>
      <w:r>
        <w:rPr>
          <w:rFonts w:hint="eastAsia" w:ascii="宋体" w:hAnsi="宋体"/>
          <w:color w:val="auto"/>
          <w:sz w:val="36"/>
        </w:rPr>
        <w:t>（正本</w:t>
      </w:r>
      <w:r>
        <w:rPr>
          <w:color w:val="auto"/>
          <w:sz w:val="36"/>
        </w:rPr>
        <w:t>/</w:t>
      </w:r>
      <w:r>
        <w:rPr>
          <w:rFonts w:hint="eastAsia" w:ascii="宋体" w:hAnsi="宋体"/>
          <w:color w:val="auto"/>
          <w:sz w:val="36"/>
        </w:rPr>
        <w:t>副本）</w:t>
      </w:r>
    </w:p>
    <w:p>
      <w:pPr>
        <w:keepNext w:val="0"/>
        <w:keepLines w:val="0"/>
        <w:pageBreakBefore w:val="0"/>
        <w:widowControl/>
        <w:kinsoku/>
        <w:wordWrap/>
        <w:overflowPunct/>
        <w:topLinePunct w:val="0"/>
        <w:autoSpaceDE/>
        <w:autoSpaceDN/>
        <w:bidi w:val="0"/>
        <w:adjustRightInd/>
        <w:snapToGrid/>
        <w:spacing w:line="360" w:lineRule="auto"/>
        <w:textAlignment w:val="auto"/>
        <w:outlineLvl w:val="9"/>
        <w:rPr>
          <w:color w:val="auto"/>
          <w:sz w:val="36"/>
        </w:rPr>
      </w:pPr>
    </w:p>
    <w:p>
      <w:pPr>
        <w:keepNext w:val="0"/>
        <w:keepLines w:val="0"/>
        <w:pageBreakBefore w:val="0"/>
        <w:widowControl/>
        <w:kinsoku/>
        <w:wordWrap/>
        <w:overflowPunct/>
        <w:topLinePunct w:val="0"/>
        <w:autoSpaceDE/>
        <w:autoSpaceDN/>
        <w:bidi w:val="0"/>
        <w:adjustRightInd/>
        <w:snapToGrid/>
        <w:spacing w:line="360" w:lineRule="auto"/>
        <w:textAlignment w:val="auto"/>
        <w:outlineLvl w:val="9"/>
        <w:rPr>
          <w:color w:val="auto"/>
          <w:sz w:val="36"/>
        </w:rPr>
      </w:pPr>
    </w:p>
    <w:p>
      <w:pPr>
        <w:rPr>
          <w:color w:val="auto"/>
          <w:sz w:val="36"/>
        </w:rPr>
      </w:pPr>
    </w:p>
    <w:p>
      <w:pPr>
        <w:spacing w:line="440" w:lineRule="exact"/>
        <w:rPr>
          <w:color w:val="auto"/>
          <w:sz w:val="36"/>
        </w:rPr>
      </w:pPr>
    </w:p>
    <w:p>
      <w:pPr>
        <w:spacing w:line="360" w:lineRule="auto"/>
        <w:rPr>
          <w:rFonts w:hint="eastAsia" w:eastAsia="宋体"/>
          <w:color w:val="auto"/>
          <w:sz w:val="32"/>
          <w:u w:val="single"/>
          <w:lang w:val="en-US" w:eastAsia="zh-CN"/>
        </w:rPr>
      </w:pPr>
      <w:r>
        <w:rPr>
          <w:rFonts w:hint="eastAsia" w:ascii="宋体" w:hAnsi="宋体"/>
          <w:color w:val="auto"/>
          <w:sz w:val="32"/>
        </w:rPr>
        <w:t>供应商名称：</w:t>
      </w:r>
      <w:r>
        <w:rPr>
          <w:rFonts w:hint="eastAsia" w:ascii="宋体" w:hAnsi="宋体"/>
          <w:color w:val="auto"/>
          <w:sz w:val="32"/>
          <w:u w:val="single"/>
          <w:lang w:val="en-US" w:eastAsia="zh-CN"/>
        </w:rPr>
        <w:t xml:space="preserve">                          </w:t>
      </w:r>
    </w:p>
    <w:p>
      <w:pPr>
        <w:spacing w:line="360" w:lineRule="auto"/>
        <w:rPr>
          <w:rFonts w:hint="eastAsia" w:eastAsia="宋体"/>
          <w:color w:val="auto"/>
          <w:sz w:val="32"/>
          <w:u w:val="single"/>
          <w:lang w:val="en-US" w:eastAsia="zh-CN"/>
        </w:rPr>
      </w:pPr>
      <w:r>
        <w:rPr>
          <w:rFonts w:hint="eastAsia" w:ascii="宋体" w:hAnsi="宋体"/>
          <w:color w:val="auto"/>
          <w:sz w:val="32"/>
        </w:rPr>
        <w:t>地址：</w:t>
      </w:r>
      <w:r>
        <w:rPr>
          <w:rFonts w:hint="eastAsia" w:ascii="宋体" w:hAnsi="宋体"/>
          <w:color w:val="auto"/>
          <w:sz w:val="32"/>
          <w:u w:val="single"/>
          <w:lang w:val="en-US" w:eastAsia="zh-CN"/>
        </w:rPr>
        <w:t xml:space="preserve">                                </w:t>
      </w:r>
    </w:p>
    <w:p>
      <w:pPr>
        <w:spacing w:line="360" w:lineRule="auto"/>
        <w:rPr>
          <w:rFonts w:hint="eastAsia" w:eastAsia="宋体"/>
          <w:color w:val="auto"/>
          <w:sz w:val="32"/>
          <w:u w:val="single"/>
          <w:lang w:val="en-US" w:eastAsia="zh-CN"/>
        </w:rPr>
      </w:pPr>
      <w:r>
        <w:rPr>
          <w:rFonts w:hint="eastAsia" w:ascii="宋体" w:hAnsi="宋体"/>
          <w:color w:val="auto"/>
          <w:sz w:val="32"/>
        </w:rPr>
        <w:t>电话：</w:t>
      </w:r>
      <w:r>
        <w:rPr>
          <w:rFonts w:hint="eastAsia" w:ascii="宋体" w:hAnsi="宋体"/>
          <w:color w:val="auto"/>
          <w:sz w:val="32"/>
          <w:u w:val="single"/>
          <w:lang w:val="en-US" w:eastAsia="zh-CN"/>
        </w:rPr>
        <w:t xml:space="preserve">                                </w:t>
      </w:r>
    </w:p>
    <w:p>
      <w:pPr>
        <w:spacing w:line="360" w:lineRule="auto"/>
        <w:rPr>
          <w:rFonts w:hint="eastAsia" w:eastAsia="宋体"/>
          <w:color w:val="auto"/>
          <w:sz w:val="32"/>
          <w:u w:val="single"/>
          <w:lang w:val="en-US" w:eastAsia="zh-CN"/>
        </w:rPr>
      </w:pPr>
      <w:r>
        <w:rPr>
          <w:rFonts w:hint="eastAsia"/>
          <w:color w:val="auto"/>
          <w:sz w:val="32"/>
        </w:rPr>
        <w:t>法定代表人或授权代表签字：</w:t>
      </w:r>
      <w:r>
        <w:rPr>
          <w:rFonts w:hint="eastAsia"/>
          <w:color w:val="auto"/>
          <w:sz w:val="32"/>
          <w:u w:val="single"/>
          <w:lang w:val="en-US" w:eastAsia="zh-CN"/>
        </w:rPr>
        <w:t xml:space="preserve">                        </w:t>
      </w:r>
    </w:p>
    <w:p>
      <w:pPr>
        <w:spacing w:line="360" w:lineRule="auto"/>
        <w:rPr>
          <w:color w:val="auto"/>
          <w:sz w:val="32"/>
        </w:rPr>
      </w:pPr>
      <w:r>
        <w:rPr>
          <w:rFonts w:hint="eastAsia" w:ascii="宋体" w:hAnsi="宋体"/>
          <w:color w:val="auto"/>
          <w:sz w:val="32"/>
        </w:rPr>
        <w:t>日期：</w:t>
      </w:r>
      <w:r>
        <w:rPr>
          <w:rFonts w:hint="eastAsia" w:ascii="宋体" w:hAnsi="宋体"/>
          <w:color w:val="auto"/>
          <w:sz w:val="32"/>
          <w:u w:val="single"/>
          <w:lang w:val="en-US" w:eastAsia="zh-CN"/>
        </w:rPr>
        <w:t xml:space="preserve">        </w:t>
      </w:r>
      <w:r>
        <w:rPr>
          <w:rFonts w:hint="eastAsia" w:ascii="宋体" w:hAnsi="宋体"/>
          <w:color w:val="auto"/>
          <w:sz w:val="32"/>
        </w:rPr>
        <w:t>年</w:t>
      </w:r>
      <w:r>
        <w:rPr>
          <w:rFonts w:hint="eastAsia" w:ascii="宋体" w:hAnsi="宋体"/>
          <w:color w:val="auto"/>
          <w:sz w:val="32"/>
          <w:u w:val="single"/>
          <w:lang w:val="en-US" w:eastAsia="zh-CN"/>
        </w:rPr>
        <w:t xml:space="preserve">   </w:t>
      </w:r>
      <w:r>
        <w:rPr>
          <w:rFonts w:hint="eastAsia" w:ascii="宋体" w:hAnsi="宋体"/>
          <w:color w:val="auto"/>
          <w:sz w:val="32"/>
        </w:rPr>
        <w:t>月</w:t>
      </w:r>
      <w:r>
        <w:rPr>
          <w:rFonts w:hint="eastAsia" w:ascii="宋体" w:hAnsi="宋体"/>
          <w:color w:val="auto"/>
          <w:sz w:val="32"/>
          <w:u w:val="single"/>
          <w:lang w:val="en-US" w:eastAsia="zh-CN"/>
        </w:rPr>
        <w:t xml:space="preserve">   </w:t>
      </w:r>
      <w:r>
        <w:rPr>
          <w:rFonts w:hint="eastAsia" w:ascii="宋体" w:hAnsi="宋体"/>
          <w:color w:val="auto"/>
          <w:sz w:val="32"/>
        </w:rPr>
        <w:t>日</w:t>
      </w:r>
    </w:p>
    <w:p>
      <w:pPr>
        <w:spacing w:line="360" w:lineRule="auto"/>
        <w:rPr>
          <w:color w:val="auto"/>
        </w:rPr>
        <w:sectPr>
          <w:headerReference r:id="rId11" w:type="default"/>
          <w:footerReference r:id="rId12" w:type="default"/>
          <w:endnotePr>
            <w:numFmt w:val="decimal"/>
          </w:endnotePr>
          <w:pgSz w:w="11906" w:h="16838"/>
          <w:pgMar w:top="1417" w:right="1417" w:bottom="1417" w:left="1417" w:header="851" w:footer="992" w:gutter="0"/>
          <w:pgNumType w:fmt="numberInDash"/>
          <w:cols w:space="720" w:num="1"/>
        </w:sectPr>
      </w:pPr>
    </w:p>
    <w:p>
      <w:pPr>
        <w:spacing w:line="360" w:lineRule="auto"/>
        <w:jc w:val="center"/>
        <w:rPr>
          <w:rFonts w:ascii="宋体" w:cs="宋体"/>
          <w:color w:val="auto"/>
        </w:rPr>
      </w:pPr>
      <w:r>
        <w:rPr>
          <w:rFonts w:hint="eastAsia" w:ascii="宋体" w:hAnsi="宋体" w:cs="宋体"/>
          <w:color w:val="auto"/>
        </w:rPr>
        <w:t>一、</w:t>
      </w:r>
      <w:r>
        <w:rPr>
          <w:rFonts w:hint="eastAsia" w:ascii="宋体" w:hAnsi="宋体" w:cs="宋体"/>
          <w:color w:val="auto"/>
          <w:spacing w:val="39"/>
        </w:rPr>
        <w:t>响应函</w:t>
      </w:r>
    </w:p>
    <w:p>
      <w:pPr>
        <w:spacing w:line="360" w:lineRule="auto"/>
        <w:rPr>
          <w:rFonts w:ascii="宋体" w:cs="宋体"/>
          <w:color w:val="auto"/>
        </w:rPr>
      </w:pPr>
    </w:p>
    <w:p>
      <w:pPr>
        <w:pStyle w:val="5"/>
        <w:spacing w:line="360" w:lineRule="auto"/>
        <w:rPr>
          <w:color w:val="auto"/>
          <w:szCs w:val="24"/>
        </w:rPr>
      </w:pPr>
      <w:r>
        <w:rPr>
          <w:rFonts w:hint="eastAsia"/>
          <w:color w:val="auto"/>
          <w:szCs w:val="24"/>
        </w:rPr>
        <w:t>致：</w:t>
      </w:r>
      <w:r>
        <w:rPr>
          <w:rFonts w:hint="eastAsia"/>
          <w:color w:val="auto"/>
          <w:szCs w:val="24"/>
          <w:u w:val="single"/>
        </w:rPr>
        <w:t>红城国际工程项目管理有限公司：</w:t>
      </w:r>
    </w:p>
    <w:p>
      <w:pPr>
        <w:autoSpaceDE w:val="0"/>
        <w:autoSpaceDN w:val="0"/>
        <w:snapToGrid w:val="0"/>
        <w:spacing w:line="360" w:lineRule="auto"/>
        <w:ind w:firstLine="384" w:firstLineChars="150"/>
        <w:rPr>
          <w:rFonts w:ascii="宋体" w:cs="宋体"/>
          <w:color w:val="auto"/>
          <w:spacing w:val="8"/>
          <w:u w:val="single"/>
        </w:rPr>
      </w:pPr>
      <w:r>
        <w:rPr>
          <w:rFonts w:hint="eastAsia" w:ascii="宋体" w:hAnsi="宋体" w:cs="宋体"/>
          <w:color w:val="auto"/>
          <w:spacing w:val="8"/>
        </w:rPr>
        <w:t>根据贵方项目编号为</w:t>
      </w:r>
      <w:r>
        <w:rPr>
          <w:rFonts w:hint="eastAsia" w:ascii="宋体" w:hAnsi="宋体" w:cs="宋体"/>
          <w:color w:val="auto"/>
          <w:spacing w:val="8"/>
          <w:u w:val="single"/>
          <w:lang w:val="en-US" w:eastAsia="zh-CN"/>
        </w:rPr>
        <w:t xml:space="preserve">         </w:t>
      </w:r>
      <w:r>
        <w:rPr>
          <w:rFonts w:hint="eastAsia" w:ascii="宋体" w:hAnsi="宋体" w:cs="宋体"/>
          <w:color w:val="auto"/>
          <w:spacing w:val="8"/>
        </w:rPr>
        <w:t>的询价邀请，正式授权的下述签字人</w:t>
      </w:r>
      <w:r>
        <w:rPr>
          <w:rFonts w:ascii="宋体" w:hAnsi="宋体" w:cs="宋体"/>
          <w:color w:val="auto"/>
          <w:spacing w:val="8"/>
        </w:rPr>
        <w:t xml:space="preserve"> (</w:t>
      </w:r>
      <w:r>
        <w:rPr>
          <w:rFonts w:hint="eastAsia" w:ascii="宋体" w:hAnsi="宋体" w:cs="宋体"/>
          <w:color w:val="auto"/>
          <w:spacing w:val="8"/>
        </w:rPr>
        <w:t>姓名和职务</w:t>
      </w:r>
      <w:r>
        <w:rPr>
          <w:rFonts w:ascii="宋体" w:hAnsi="宋体" w:cs="宋体"/>
          <w:color w:val="auto"/>
          <w:spacing w:val="8"/>
        </w:rPr>
        <w:t>)</w:t>
      </w:r>
      <w:r>
        <w:rPr>
          <w:rFonts w:hint="eastAsia" w:ascii="宋体" w:hAnsi="宋体" w:cs="宋体"/>
          <w:color w:val="auto"/>
          <w:spacing w:val="8"/>
          <w:u w:val="single"/>
          <w:lang w:val="en-US" w:eastAsia="zh-CN"/>
        </w:rPr>
        <w:t xml:space="preserve">           </w:t>
      </w:r>
      <w:r>
        <w:rPr>
          <w:rFonts w:hint="eastAsia" w:ascii="宋体" w:hAnsi="宋体" w:cs="宋体"/>
          <w:color w:val="auto"/>
          <w:spacing w:val="8"/>
        </w:rPr>
        <w:t>代表供应商</w:t>
      </w:r>
      <w:r>
        <w:rPr>
          <w:rFonts w:hint="eastAsia" w:ascii="宋体" w:hAnsi="宋体" w:cs="宋体"/>
          <w:color w:val="auto"/>
          <w:spacing w:val="8"/>
          <w:u w:val="single"/>
          <w:lang w:val="en-US" w:eastAsia="zh-CN"/>
        </w:rPr>
        <w:t xml:space="preserve">           </w:t>
      </w:r>
      <w:r>
        <w:rPr>
          <w:rFonts w:ascii="宋体" w:hAnsi="宋体" w:cs="宋体"/>
          <w:color w:val="auto"/>
          <w:spacing w:val="8"/>
        </w:rPr>
        <w:t>(</w:t>
      </w:r>
      <w:r>
        <w:rPr>
          <w:rFonts w:hint="eastAsia" w:ascii="宋体" w:hAnsi="宋体" w:cs="宋体"/>
          <w:color w:val="auto"/>
          <w:spacing w:val="8"/>
        </w:rPr>
        <w:t>供应商的名称</w:t>
      </w:r>
      <w:r>
        <w:rPr>
          <w:rFonts w:ascii="宋体" w:hAnsi="宋体" w:cs="宋体"/>
          <w:color w:val="auto"/>
          <w:spacing w:val="8"/>
        </w:rPr>
        <w:t>)</w:t>
      </w:r>
      <w:r>
        <w:rPr>
          <w:rFonts w:hint="eastAsia" w:ascii="宋体" w:hAnsi="宋体" w:cs="宋体"/>
          <w:color w:val="auto"/>
          <w:spacing w:val="8"/>
        </w:rPr>
        <w:t>，提交正本</w:t>
      </w:r>
      <w:r>
        <w:rPr>
          <w:rFonts w:ascii="宋体" w:hAnsi="宋体" w:cs="宋体"/>
          <w:color w:val="auto"/>
          <w:spacing w:val="8"/>
        </w:rPr>
        <w:t>1</w:t>
      </w:r>
      <w:r>
        <w:rPr>
          <w:rFonts w:hint="eastAsia" w:ascii="宋体" w:hAnsi="宋体" w:cs="宋体"/>
          <w:color w:val="auto"/>
          <w:spacing w:val="8"/>
        </w:rPr>
        <w:t>份，副本</w:t>
      </w:r>
      <w:r>
        <w:rPr>
          <w:rFonts w:ascii="宋体" w:hAnsi="宋体" w:cs="宋体"/>
          <w:color w:val="auto"/>
          <w:spacing w:val="8"/>
        </w:rPr>
        <w:t>2</w:t>
      </w:r>
      <w:r>
        <w:rPr>
          <w:rFonts w:hint="eastAsia" w:ascii="宋体" w:hAnsi="宋体" w:cs="宋体"/>
          <w:color w:val="auto"/>
          <w:spacing w:val="8"/>
        </w:rPr>
        <w:t>份，电子版</w:t>
      </w:r>
      <w:r>
        <w:rPr>
          <w:rFonts w:ascii="宋体" w:hAnsi="宋体" w:cs="宋体"/>
          <w:color w:val="auto"/>
          <w:spacing w:val="8"/>
        </w:rPr>
        <w:t>1</w:t>
      </w:r>
      <w:r>
        <w:rPr>
          <w:rFonts w:hint="eastAsia" w:ascii="宋体" w:hAnsi="宋体" w:cs="宋体"/>
          <w:color w:val="auto"/>
          <w:spacing w:val="8"/>
        </w:rPr>
        <w:t>份。</w:t>
      </w:r>
    </w:p>
    <w:p>
      <w:pPr>
        <w:autoSpaceDE w:val="0"/>
        <w:autoSpaceDN w:val="0"/>
        <w:snapToGrid w:val="0"/>
        <w:spacing w:line="360" w:lineRule="auto"/>
        <w:rPr>
          <w:rFonts w:ascii="宋体" w:cs="宋体"/>
          <w:color w:val="auto"/>
          <w:spacing w:val="8"/>
        </w:rPr>
      </w:pPr>
      <w:r>
        <w:rPr>
          <w:rFonts w:hint="eastAsia" w:ascii="宋体" w:hAnsi="宋体" w:cs="宋体"/>
          <w:color w:val="auto"/>
          <w:spacing w:val="8"/>
        </w:rPr>
        <w:t>据此函，签字人兹承诺如下：</w:t>
      </w:r>
    </w:p>
    <w:p>
      <w:pPr>
        <w:autoSpaceDE w:val="0"/>
        <w:autoSpaceDN w:val="0"/>
        <w:snapToGrid w:val="0"/>
        <w:spacing w:line="360" w:lineRule="auto"/>
        <w:rPr>
          <w:rFonts w:ascii="宋体" w:cs="宋体"/>
          <w:color w:val="auto"/>
          <w:spacing w:val="8"/>
        </w:rPr>
      </w:pPr>
      <w:r>
        <w:rPr>
          <w:rFonts w:hint="eastAsia" w:ascii="宋体" w:hAnsi="宋体" w:cs="宋体"/>
          <w:color w:val="auto"/>
          <w:spacing w:val="8"/>
        </w:rPr>
        <w:t>按询价通知书规定提供交付的产品的报价总价为人民币</w:t>
      </w:r>
      <w:r>
        <w:rPr>
          <w:rFonts w:hint="eastAsia" w:ascii="宋体" w:hAnsi="宋体" w:cs="宋体"/>
          <w:color w:val="auto"/>
          <w:spacing w:val="8"/>
          <w:u w:val="single"/>
        </w:rPr>
        <w:t>￥</w:t>
      </w:r>
      <w:r>
        <w:rPr>
          <w:rFonts w:hint="eastAsia" w:ascii="宋体" w:hAnsi="宋体" w:cs="宋体"/>
          <w:color w:val="auto"/>
          <w:spacing w:val="8"/>
          <w:u w:val="single"/>
          <w:lang w:val="en-US" w:eastAsia="zh-CN"/>
        </w:rPr>
        <w:t xml:space="preserve">     </w:t>
      </w:r>
      <w:r>
        <w:rPr>
          <w:rFonts w:hint="eastAsia" w:ascii="宋体" w:hAnsi="宋体" w:cs="宋体"/>
          <w:color w:val="auto"/>
          <w:spacing w:val="8"/>
        </w:rPr>
        <w:t>元，</w:t>
      </w:r>
      <w:r>
        <w:rPr>
          <w:rFonts w:ascii="宋体" w:hAnsi="宋体" w:cs="宋体"/>
          <w:color w:val="auto"/>
          <w:spacing w:val="8"/>
        </w:rPr>
        <w:t>(</w:t>
      </w:r>
      <w:r>
        <w:rPr>
          <w:rFonts w:hint="eastAsia" w:ascii="宋体" w:hAnsi="宋体" w:cs="宋体"/>
          <w:color w:val="auto"/>
          <w:spacing w:val="8"/>
        </w:rPr>
        <w:t>大写：</w:t>
      </w:r>
    </w:p>
    <w:p>
      <w:pPr>
        <w:autoSpaceDE w:val="0"/>
        <w:autoSpaceDN w:val="0"/>
        <w:snapToGrid w:val="0"/>
        <w:spacing w:line="360" w:lineRule="auto"/>
        <w:rPr>
          <w:rFonts w:ascii="宋体" w:cs="宋体"/>
          <w:color w:val="auto"/>
          <w:spacing w:val="8"/>
          <w:u w:val="single"/>
        </w:rPr>
      </w:pPr>
      <w:r>
        <w:rPr>
          <w:rFonts w:hint="eastAsia" w:ascii="宋体" w:hAnsi="宋体" w:cs="宋体"/>
          <w:color w:val="auto"/>
          <w:spacing w:val="8"/>
        </w:rPr>
        <w:t>人民币</w:t>
      </w:r>
      <w:r>
        <w:rPr>
          <w:rFonts w:hint="eastAsia" w:ascii="宋体" w:hAnsi="宋体" w:cs="宋体"/>
          <w:color w:val="auto"/>
          <w:spacing w:val="8"/>
          <w:u w:val="single"/>
          <w:lang w:val="en-US" w:eastAsia="zh-CN"/>
        </w:rPr>
        <w:t xml:space="preserve">        </w:t>
      </w:r>
      <w:r>
        <w:rPr>
          <w:rFonts w:hint="eastAsia" w:ascii="宋体" w:hAnsi="宋体" w:cs="宋体"/>
          <w:color w:val="auto"/>
          <w:spacing w:val="8"/>
        </w:rPr>
        <w:t>）</w:t>
      </w:r>
    </w:p>
    <w:p>
      <w:pPr>
        <w:autoSpaceDE w:val="0"/>
        <w:autoSpaceDN w:val="0"/>
        <w:snapToGrid w:val="0"/>
        <w:spacing w:line="360" w:lineRule="auto"/>
        <w:rPr>
          <w:rFonts w:ascii="宋体" w:cs="宋体"/>
          <w:color w:val="auto"/>
          <w:spacing w:val="8"/>
        </w:rPr>
      </w:pPr>
      <w:r>
        <w:rPr>
          <w:rFonts w:hint="eastAsia" w:ascii="宋体" w:hAnsi="宋体" w:cs="宋体"/>
          <w:color w:val="auto"/>
          <w:spacing w:val="8"/>
        </w:rPr>
        <w:t>（</w:t>
      </w:r>
      <w:r>
        <w:rPr>
          <w:rFonts w:ascii="宋体" w:hAnsi="宋体" w:cs="宋体"/>
          <w:color w:val="auto"/>
          <w:spacing w:val="8"/>
        </w:rPr>
        <w:t>2</w:t>
      </w:r>
      <w:r>
        <w:rPr>
          <w:rFonts w:hint="eastAsia" w:ascii="宋体" w:hAnsi="宋体" w:cs="宋体"/>
          <w:color w:val="auto"/>
          <w:spacing w:val="8"/>
        </w:rPr>
        <w:t>）我们根据询价通知书的规定，承担完成合同的责任和义务。</w:t>
      </w:r>
    </w:p>
    <w:p>
      <w:pPr>
        <w:autoSpaceDE w:val="0"/>
        <w:autoSpaceDN w:val="0"/>
        <w:snapToGrid w:val="0"/>
        <w:spacing w:line="360" w:lineRule="auto"/>
        <w:rPr>
          <w:rFonts w:ascii="宋体" w:cs="宋体"/>
          <w:color w:val="auto"/>
          <w:spacing w:val="8"/>
        </w:rPr>
      </w:pPr>
      <w:r>
        <w:rPr>
          <w:rFonts w:hint="eastAsia" w:ascii="宋体" w:hAnsi="宋体" w:cs="宋体"/>
          <w:color w:val="auto"/>
          <w:spacing w:val="8"/>
        </w:rPr>
        <w:t>（</w:t>
      </w:r>
      <w:r>
        <w:rPr>
          <w:rFonts w:ascii="宋体" w:hAnsi="宋体" w:cs="宋体"/>
          <w:color w:val="auto"/>
          <w:spacing w:val="8"/>
        </w:rPr>
        <w:t>3</w:t>
      </w:r>
      <w:r>
        <w:rPr>
          <w:rFonts w:hint="eastAsia" w:ascii="宋体" w:hAnsi="宋体" w:cs="宋体"/>
          <w:color w:val="auto"/>
          <w:spacing w:val="8"/>
        </w:rPr>
        <w:t>）</w:t>
      </w:r>
      <w:r>
        <w:rPr>
          <w:rFonts w:hint="eastAsia" w:ascii="宋体" w:hAnsi="宋体" w:cs="宋体"/>
          <w:color w:val="auto"/>
        </w:rPr>
        <w:t>我们已详细审核全部询价通知书，包括询价通知书修改书</w:t>
      </w:r>
      <w:r>
        <w:rPr>
          <w:rFonts w:ascii="宋体" w:hAnsi="宋体" w:cs="宋体"/>
          <w:color w:val="auto"/>
        </w:rPr>
        <w:t>(</w:t>
      </w:r>
      <w:r>
        <w:rPr>
          <w:rFonts w:hint="eastAsia" w:ascii="宋体" w:hAnsi="宋体" w:cs="宋体"/>
          <w:color w:val="auto"/>
        </w:rPr>
        <w:t>如果有的话</w:t>
      </w:r>
      <w:r>
        <w:rPr>
          <w:rFonts w:ascii="宋体" w:hAnsi="宋体" w:cs="宋体"/>
          <w:color w:val="auto"/>
        </w:rPr>
        <w:t>)</w:t>
      </w:r>
      <w:r>
        <w:rPr>
          <w:rFonts w:hint="eastAsia" w:ascii="宋体" w:hAnsi="宋体" w:cs="宋体"/>
          <w:color w:val="auto"/>
        </w:rPr>
        <w:t>，参考资料及有关附件，</w:t>
      </w:r>
      <w:r>
        <w:rPr>
          <w:rFonts w:hint="eastAsia" w:ascii="宋体" w:hAnsi="宋体" w:cs="宋体"/>
          <w:color w:val="auto"/>
          <w:spacing w:val="8"/>
        </w:rPr>
        <w:t>我们</w:t>
      </w:r>
      <w:r>
        <w:rPr>
          <w:rFonts w:hint="eastAsia" w:ascii="宋体" w:hAnsi="宋体" w:cs="宋体"/>
          <w:color w:val="auto"/>
        </w:rPr>
        <w:t>完全理解并放弃</w:t>
      </w:r>
      <w:r>
        <w:rPr>
          <w:rFonts w:hint="eastAsia" w:ascii="宋体" w:hAnsi="宋体" w:cs="宋体"/>
          <w:color w:val="auto"/>
          <w:spacing w:val="8"/>
        </w:rPr>
        <w:t>提出含糊不清或误解的问题的权利。</w:t>
      </w:r>
    </w:p>
    <w:p>
      <w:pPr>
        <w:autoSpaceDE w:val="0"/>
        <w:autoSpaceDN w:val="0"/>
        <w:snapToGrid w:val="0"/>
        <w:spacing w:line="360" w:lineRule="auto"/>
        <w:rPr>
          <w:rFonts w:ascii="宋体" w:cs="宋体"/>
          <w:color w:val="auto"/>
          <w:spacing w:val="8"/>
        </w:rPr>
      </w:pPr>
      <w:r>
        <w:rPr>
          <w:rFonts w:hint="eastAsia" w:ascii="宋体" w:hAnsi="宋体" w:cs="宋体"/>
          <w:color w:val="auto"/>
          <w:spacing w:val="8"/>
        </w:rPr>
        <w:t>（</w:t>
      </w:r>
      <w:r>
        <w:rPr>
          <w:rFonts w:ascii="宋体" w:hAnsi="宋体" w:cs="宋体"/>
          <w:color w:val="auto"/>
          <w:spacing w:val="8"/>
        </w:rPr>
        <w:t>4</w:t>
      </w:r>
      <w:r>
        <w:rPr>
          <w:rFonts w:hint="eastAsia" w:ascii="宋体" w:hAnsi="宋体" w:cs="宋体"/>
          <w:color w:val="auto"/>
          <w:spacing w:val="8"/>
        </w:rPr>
        <w:t>）</w:t>
      </w:r>
      <w:r>
        <w:rPr>
          <w:rFonts w:hint="eastAsia" w:ascii="宋体" w:hAnsi="宋体" w:cs="宋体"/>
          <w:color w:val="auto"/>
        </w:rPr>
        <w:t>本</w:t>
      </w:r>
      <w:r>
        <w:rPr>
          <w:rFonts w:hint="eastAsia" w:ascii="宋体" w:hAnsi="宋体" w:cs="宋体"/>
          <w:color w:val="auto"/>
          <w:spacing w:val="8"/>
        </w:rPr>
        <w:t>投标</w:t>
      </w:r>
      <w:r>
        <w:rPr>
          <w:rFonts w:hint="eastAsia" w:ascii="宋体" w:hAnsi="宋体" w:cs="宋体"/>
          <w:color w:val="auto"/>
        </w:rPr>
        <w:t>有效期为自开标日起</w:t>
      </w:r>
      <w:r>
        <w:rPr>
          <w:rFonts w:ascii="宋体" w:hAnsi="宋体" w:cs="宋体"/>
          <w:i/>
          <w:iCs/>
          <w:color w:val="auto"/>
          <w:u w:val="single"/>
        </w:rPr>
        <w:t xml:space="preserve">60 </w:t>
      </w:r>
      <w:r>
        <w:rPr>
          <w:rFonts w:hint="eastAsia" w:ascii="宋体" w:hAnsi="宋体" w:cs="宋体"/>
          <w:color w:val="auto"/>
        </w:rPr>
        <w:t>天。</w:t>
      </w:r>
      <w:r>
        <w:rPr>
          <w:rFonts w:hint="eastAsia" w:ascii="宋体" w:hAnsi="宋体" w:cs="宋体"/>
          <w:color w:val="auto"/>
          <w:spacing w:val="8"/>
        </w:rPr>
        <w:t>报价有效期满之前均具有约束力。</w:t>
      </w:r>
    </w:p>
    <w:p>
      <w:pPr>
        <w:autoSpaceDE w:val="0"/>
        <w:autoSpaceDN w:val="0"/>
        <w:snapToGrid w:val="0"/>
        <w:spacing w:line="360" w:lineRule="auto"/>
        <w:rPr>
          <w:rFonts w:ascii="宋体" w:cs="宋体"/>
          <w:color w:val="auto"/>
          <w:spacing w:val="8"/>
        </w:rPr>
      </w:pPr>
      <w:r>
        <w:rPr>
          <w:rFonts w:hint="eastAsia" w:ascii="宋体" w:hAnsi="宋体" w:cs="宋体"/>
          <w:color w:val="auto"/>
          <w:spacing w:val="8"/>
        </w:rPr>
        <w:t>（</w:t>
      </w:r>
      <w:r>
        <w:rPr>
          <w:rFonts w:ascii="宋体" w:hAnsi="宋体" w:cs="宋体"/>
          <w:color w:val="auto"/>
          <w:spacing w:val="8"/>
        </w:rPr>
        <w:t>5</w:t>
      </w:r>
      <w:r>
        <w:rPr>
          <w:rFonts w:hint="eastAsia" w:ascii="宋体" w:hAnsi="宋体" w:cs="宋体"/>
          <w:color w:val="auto"/>
          <w:spacing w:val="8"/>
        </w:rPr>
        <w:t>）</w:t>
      </w:r>
      <w:r>
        <w:rPr>
          <w:rFonts w:hint="eastAsia" w:ascii="宋体" w:hAnsi="宋体" w:cs="宋体"/>
          <w:color w:val="auto"/>
        </w:rPr>
        <w:t>同意按</w:t>
      </w:r>
      <w:r>
        <w:rPr>
          <w:rFonts w:hint="eastAsia" w:ascii="宋体" w:hAnsi="宋体" w:cs="宋体"/>
          <w:color w:val="auto"/>
          <w:spacing w:val="8"/>
        </w:rPr>
        <w:t>供应商须知中</w:t>
      </w:r>
      <w:r>
        <w:rPr>
          <w:rFonts w:hint="eastAsia" w:ascii="宋体" w:hAnsi="宋体" w:cs="宋体"/>
          <w:color w:val="auto"/>
        </w:rPr>
        <w:t>关于不予退还投标保证金的规定。</w:t>
      </w:r>
    </w:p>
    <w:p>
      <w:pPr>
        <w:autoSpaceDE w:val="0"/>
        <w:autoSpaceDN w:val="0"/>
        <w:snapToGrid w:val="0"/>
        <w:spacing w:line="360" w:lineRule="auto"/>
        <w:rPr>
          <w:rFonts w:ascii="宋体" w:cs="宋体"/>
          <w:color w:val="auto"/>
          <w:spacing w:val="8"/>
        </w:rPr>
      </w:pPr>
      <w:r>
        <w:rPr>
          <w:rFonts w:hint="eastAsia" w:ascii="宋体" w:hAnsi="宋体" w:cs="宋体"/>
          <w:color w:val="auto"/>
          <w:spacing w:val="8"/>
        </w:rPr>
        <w:t>（</w:t>
      </w:r>
      <w:r>
        <w:rPr>
          <w:rFonts w:ascii="宋体" w:hAnsi="宋体" w:cs="宋体"/>
          <w:color w:val="auto"/>
          <w:spacing w:val="8"/>
        </w:rPr>
        <w:t>6</w:t>
      </w:r>
      <w:r>
        <w:rPr>
          <w:rFonts w:hint="eastAsia" w:ascii="宋体" w:hAnsi="宋体" w:cs="宋体"/>
          <w:color w:val="auto"/>
          <w:spacing w:val="8"/>
        </w:rPr>
        <w:t>）同意向贵方提供贵方可能要求的与本报价有关任何证据或资料。</w:t>
      </w:r>
    </w:p>
    <w:p>
      <w:pPr>
        <w:autoSpaceDE w:val="0"/>
        <w:autoSpaceDN w:val="0"/>
        <w:snapToGrid w:val="0"/>
        <w:spacing w:line="360" w:lineRule="auto"/>
        <w:rPr>
          <w:rFonts w:ascii="宋体" w:cs="宋体"/>
          <w:color w:val="auto"/>
          <w:spacing w:val="8"/>
        </w:rPr>
      </w:pPr>
      <w:r>
        <w:rPr>
          <w:rFonts w:hint="eastAsia" w:ascii="宋体" w:hAnsi="宋体" w:cs="宋体"/>
          <w:color w:val="auto"/>
          <w:spacing w:val="8"/>
        </w:rPr>
        <w:t>（</w:t>
      </w:r>
      <w:r>
        <w:rPr>
          <w:rFonts w:ascii="宋体" w:hAnsi="宋体" w:cs="宋体"/>
          <w:color w:val="auto"/>
          <w:spacing w:val="8"/>
        </w:rPr>
        <w:t>7</w:t>
      </w:r>
      <w:r>
        <w:rPr>
          <w:rFonts w:hint="eastAsia" w:ascii="宋体" w:hAnsi="宋体" w:cs="宋体"/>
          <w:color w:val="auto"/>
          <w:spacing w:val="8"/>
        </w:rPr>
        <w:t>）我们完全理解贵方不一定要接受最低报价的报价或收到的任何报价。</w:t>
      </w:r>
    </w:p>
    <w:p>
      <w:pPr>
        <w:autoSpaceDE w:val="0"/>
        <w:autoSpaceDN w:val="0"/>
        <w:snapToGrid w:val="0"/>
        <w:spacing w:line="360" w:lineRule="auto"/>
        <w:rPr>
          <w:rFonts w:ascii="宋体" w:cs="宋体"/>
          <w:color w:val="auto"/>
          <w:spacing w:val="8"/>
        </w:rPr>
      </w:pPr>
      <w:r>
        <w:rPr>
          <w:rFonts w:hint="eastAsia" w:ascii="宋体" w:hAnsi="宋体" w:cs="宋体"/>
          <w:color w:val="auto"/>
          <w:spacing w:val="8"/>
        </w:rPr>
        <w:t>（</w:t>
      </w:r>
      <w:r>
        <w:rPr>
          <w:rFonts w:ascii="宋体" w:hAnsi="宋体" w:cs="宋体"/>
          <w:color w:val="auto"/>
          <w:spacing w:val="8"/>
        </w:rPr>
        <w:t>8</w:t>
      </w:r>
      <w:r>
        <w:rPr>
          <w:rFonts w:hint="eastAsia" w:ascii="宋体" w:hAnsi="宋体" w:cs="宋体"/>
          <w:color w:val="auto"/>
          <w:spacing w:val="8"/>
        </w:rPr>
        <w:t>）如果我方成交，我方保证按照询价通知书的规定向贵方交纳成交服务费</w:t>
      </w:r>
    </w:p>
    <w:p>
      <w:pPr>
        <w:autoSpaceDE w:val="0"/>
        <w:autoSpaceDN w:val="0"/>
        <w:snapToGrid w:val="0"/>
        <w:spacing w:line="360" w:lineRule="auto"/>
        <w:rPr>
          <w:rFonts w:ascii="宋体" w:cs="宋体"/>
          <w:color w:val="auto"/>
          <w:spacing w:val="8"/>
        </w:rPr>
      </w:pPr>
      <w:r>
        <w:rPr>
          <w:rFonts w:hint="eastAsia" w:ascii="宋体" w:hAnsi="宋体" w:cs="宋体"/>
          <w:color w:val="auto"/>
          <w:spacing w:val="8"/>
        </w:rPr>
        <w:t>与本报价有关的正式通讯地址为：</w:t>
      </w:r>
    </w:p>
    <w:p>
      <w:pPr>
        <w:autoSpaceDE w:val="0"/>
        <w:autoSpaceDN w:val="0"/>
        <w:snapToGrid w:val="0"/>
        <w:spacing w:line="360" w:lineRule="auto"/>
        <w:rPr>
          <w:rFonts w:ascii="宋体" w:cs="宋体"/>
          <w:color w:val="auto"/>
          <w:spacing w:val="8"/>
          <w:u w:val="single"/>
        </w:rPr>
      </w:pPr>
      <w:r>
        <w:rPr>
          <w:rFonts w:hint="eastAsia" w:ascii="宋体" w:hAnsi="宋体" w:cs="宋体"/>
          <w:color w:val="auto"/>
          <w:spacing w:val="8"/>
        </w:rPr>
        <w:t>供应商名称：</w:t>
      </w:r>
      <w:r>
        <w:rPr>
          <w:rFonts w:hint="eastAsia" w:ascii="宋体" w:hAnsi="宋体" w:cs="宋体"/>
          <w:color w:val="auto"/>
          <w:spacing w:val="8"/>
          <w:u w:val="single"/>
          <w:lang w:val="en-US" w:eastAsia="zh-CN"/>
        </w:rPr>
        <w:t xml:space="preserve">                  </w:t>
      </w:r>
      <w:r>
        <w:rPr>
          <w:rFonts w:hint="eastAsia" w:ascii="宋体" w:hAnsi="宋体" w:cs="宋体"/>
          <w:color w:val="auto"/>
        </w:rPr>
        <w:t>（盖公章）</w:t>
      </w:r>
    </w:p>
    <w:p>
      <w:pPr>
        <w:spacing w:line="360" w:lineRule="auto"/>
        <w:rPr>
          <w:rFonts w:hint="eastAsia" w:ascii="宋体" w:eastAsia="宋体" w:cs="宋体"/>
          <w:color w:val="auto"/>
          <w:spacing w:val="8"/>
          <w:u w:val="single"/>
          <w:lang w:val="en-US" w:eastAsia="zh-CN"/>
        </w:rPr>
      </w:pPr>
      <w:r>
        <w:rPr>
          <w:rFonts w:hint="eastAsia" w:ascii="宋体" w:hAnsi="宋体" w:cs="宋体"/>
          <w:color w:val="auto"/>
          <w:spacing w:val="8"/>
        </w:rPr>
        <w:t>地址：</w:t>
      </w:r>
      <w:r>
        <w:rPr>
          <w:rFonts w:hint="eastAsia" w:ascii="宋体" w:hAnsi="宋体" w:cs="宋体"/>
          <w:color w:val="auto"/>
          <w:spacing w:val="8"/>
          <w:u w:val="single"/>
          <w:lang w:val="en-US" w:eastAsia="zh-CN"/>
        </w:rPr>
        <w:t xml:space="preserve">                                </w:t>
      </w:r>
    </w:p>
    <w:p>
      <w:pPr>
        <w:autoSpaceDE w:val="0"/>
        <w:autoSpaceDN w:val="0"/>
        <w:snapToGrid w:val="0"/>
        <w:spacing w:line="360" w:lineRule="auto"/>
        <w:rPr>
          <w:rFonts w:hint="eastAsia" w:ascii="宋体" w:eastAsia="宋体" w:cs="宋体"/>
          <w:color w:val="auto"/>
          <w:spacing w:val="8"/>
          <w:u w:val="single"/>
          <w:lang w:val="en-US" w:eastAsia="zh-CN"/>
        </w:rPr>
      </w:pPr>
      <w:r>
        <w:rPr>
          <w:rFonts w:hint="eastAsia" w:ascii="宋体" w:hAnsi="宋体" w:cs="宋体"/>
          <w:color w:val="auto"/>
          <w:spacing w:val="8"/>
        </w:rPr>
        <w:t>电话：</w:t>
      </w:r>
      <w:r>
        <w:rPr>
          <w:rFonts w:hint="eastAsia" w:ascii="宋体" w:hAnsi="宋体" w:cs="宋体"/>
          <w:color w:val="auto"/>
          <w:spacing w:val="8"/>
          <w:u w:val="single"/>
          <w:lang w:val="en-US" w:eastAsia="zh-CN"/>
        </w:rPr>
        <w:t xml:space="preserve">                                </w:t>
      </w:r>
    </w:p>
    <w:p>
      <w:pPr>
        <w:autoSpaceDE w:val="0"/>
        <w:autoSpaceDN w:val="0"/>
        <w:snapToGrid w:val="0"/>
        <w:spacing w:line="360" w:lineRule="auto"/>
        <w:rPr>
          <w:rFonts w:hint="eastAsia" w:ascii="宋体" w:eastAsia="宋体" w:cs="宋体"/>
          <w:color w:val="auto"/>
          <w:spacing w:val="8"/>
          <w:u w:val="single"/>
          <w:lang w:val="en-US" w:eastAsia="zh-CN"/>
        </w:rPr>
      </w:pPr>
      <w:r>
        <w:rPr>
          <w:rFonts w:hint="eastAsia" w:ascii="宋体" w:hAnsi="宋体" w:cs="宋体"/>
          <w:color w:val="auto"/>
        </w:rPr>
        <w:t>法定代表人或授权代表签字：</w:t>
      </w:r>
      <w:r>
        <w:rPr>
          <w:rFonts w:hint="eastAsia" w:ascii="宋体" w:hAnsi="宋体" w:cs="宋体"/>
          <w:color w:val="auto"/>
          <w:u w:val="single"/>
          <w:lang w:val="en-US" w:eastAsia="zh-CN"/>
        </w:rPr>
        <w:t xml:space="preserve">              </w:t>
      </w:r>
    </w:p>
    <w:p>
      <w:pPr>
        <w:autoSpaceDE w:val="0"/>
        <w:autoSpaceDN w:val="0"/>
        <w:snapToGrid w:val="0"/>
        <w:spacing w:line="360" w:lineRule="auto"/>
        <w:rPr>
          <w:rFonts w:ascii="宋体" w:cs="宋体"/>
          <w:color w:val="auto"/>
          <w:spacing w:val="8"/>
          <w:u w:val="single"/>
        </w:rPr>
      </w:pPr>
      <w:r>
        <w:rPr>
          <w:rFonts w:hint="eastAsia" w:ascii="宋体" w:hAnsi="宋体" w:cs="宋体"/>
          <w:color w:val="auto"/>
          <w:spacing w:val="8"/>
        </w:rPr>
        <w:t>日期：</w:t>
      </w:r>
      <w:r>
        <w:rPr>
          <w:rFonts w:hint="eastAsia" w:ascii="宋体" w:hAnsi="宋体" w:cs="宋体"/>
          <w:color w:val="auto"/>
          <w:spacing w:val="8"/>
          <w:u w:val="single"/>
          <w:lang w:val="en-US" w:eastAsia="zh-CN"/>
        </w:rPr>
        <w:t xml:space="preserve">       </w:t>
      </w:r>
      <w:r>
        <w:rPr>
          <w:rFonts w:hint="eastAsia" w:ascii="宋体" w:hAnsi="宋体" w:cs="宋体"/>
          <w:color w:val="auto"/>
          <w:spacing w:val="8"/>
        </w:rPr>
        <w:t>年</w:t>
      </w:r>
      <w:r>
        <w:rPr>
          <w:rFonts w:hint="eastAsia" w:ascii="宋体" w:hAnsi="宋体" w:cs="宋体"/>
          <w:color w:val="auto"/>
          <w:spacing w:val="8"/>
          <w:u w:val="single"/>
          <w:lang w:val="en-US" w:eastAsia="zh-CN"/>
        </w:rPr>
        <w:t xml:space="preserve">    </w:t>
      </w:r>
      <w:r>
        <w:rPr>
          <w:rFonts w:hint="eastAsia" w:ascii="宋体" w:hAnsi="宋体" w:cs="宋体"/>
          <w:color w:val="auto"/>
          <w:spacing w:val="8"/>
        </w:rPr>
        <w:t>月</w:t>
      </w:r>
      <w:r>
        <w:rPr>
          <w:rFonts w:hint="eastAsia" w:ascii="宋体" w:hAnsi="宋体" w:cs="宋体"/>
          <w:color w:val="auto"/>
          <w:spacing w:val="8"/>
          <w:u w:val="single"/>
          <w:lang w:val="en-US" w:eastAsia="zh-CN"/>
        </w:rPr>
        <w:t xml:space="preserve">    </w:t>
      </w:r>
      <w:r>
        <w:rPr>
          <w:rFonts w:hint="eastAsia" w:ascii="宋体" w:hAnsi="宋体" w:cs="宋体"/>
          <w:color w:val="auto"/>
          <w:spacing w:val="8"/>
        </w:rPr>
        <w:t>日</w:t>
      </w:r>
    </w:p>
    <w:p>
      <w:pPr>
        <w:spacing w:line="360" w:lineRule="auto"/>
        <w:rPr>
          <w:rFonts w:ascii="宋体" w:cs="宋体"/>
          <w:color w:val="auto"/>
          <w:spacing w:val="8"/>
        </w:rPr>
      </w:pPr>
    </w:p>
    <w:p>
      <w:pPr>
        <w:spacing w:line="360" w:lineRule="auto"/>
        <w:rPr>
          <w:rFonts w:ascii="宋体" w:cs="宋体"/>
          <w:color w:val="auto"/>
          <w:spacing w:val="8"/>
        </w:rPr>
      </w:pPr>
    </w:p>
    <w:p>
      <w:pPr>
        <w:spacing w:line="360" w:lineRule="auto"/>
        <w:ind w:right="480"/>
        <w:rPr>
          <w:rFonts w:ascii="宋体" w:cs="宋体"/>
          <w:color w:val="auto"/>
        </w:rPr>
      </w:pPr>
    </w:p>
    <w:p>
      <w:pPr>
        <w:spacing w:line="360" w:lineRule="auto"/>
        <w:jc w:val="center"/>
        <w:rPr>
          <w:rFonts w:ascii="宋体" w:cs="宋体"/>
          <w:color w:val="auto"/>
        </w:rPr>
      </w:pPr>
      <w:bookmarkStart w:id="25" w:name="_Toc171325099"/>
      <w:bookmarkEnd w:id="25"/>
    </w:p>
    <w:p>
      <w:pPr>
        <w:spacing w:line="360" w:lineRule="auto"/>
        <w:jc w:val="center"/>
        <w:rPr>
          <w:rFonts w:ascii="宋体" w:cs="宋体"/>
          <w:color w:val="auto"/>
        </w:rPr>
      </w:pPr>
    </w:p>
    <w:p>
      <w:pPr>
        <w:spacing w:line="360" w:lineRule="auto"/>
        <w:jc w:val="center"/>
        <w:rPr>
          <w:rFonts w:ascii="宋体" w:cs="宋体"/>
          <w:color w:val="auto"/>
        </w:rPr>
      </w:pPr>
    </w:p>
    <w:p>
      <w:pPr>
        <w:spacing w:line="360" w:lineRule="auto"/>
        <w:jc w:val="center"/>
        <w:rPr>
          <w:rFonts w:ascii="宋体" w:cs="宋体"/>
          <w:color w:val="auto"/>
        </w:rPr>
      </w:pPr>
    </w:p>
    <w:p>
      <w:pPr>
        <w:spacing w:line="360" w:lineRule="auto"/>
        <w:jc w:val="center"/>
        <w:rPr>
          <w:rFonts w:ascii="宋体" w:cs="宋体"/>
          <w:color w:val="auto"/>
        </w:rPr>
      </w:pPr>
      <w:r>
        <w:rPr>
          <w:rFonts w:hint="eastAsia" w:ascii="宋体" w:hAnsi="宋体" w:cs="宋体"/>
          <w:color w:val="auto"/>
        </w:rPr>
        <w:t>二、报价一览表</w:t>
      </w:r>
    </w:p>
    <w:p>
      <w:pPr>
        <w:spacing w:line="360" w:lineRule="auto"/>
        <w:jc w:val="center"/>
        <w:rPr>
          <w:rFonts w:ascii="宋体" w:cs="宋体"/>
          <w:color w:val="auto"/>
        </w:rPr>
      </w:pPr>
    </w:p>
    <w:p>
      <w:pPr>
        <w:spacing w:line="360" w:lineRule="auto"/>
        <w:rPr>
          <w:rFonts w:hint="eastAsia" w:ascii="宋体" w:eastAsia="宋体" w:cs="宋体"/>
          <w:bCs/>
          <w:color w:val="auto"/>
          <w:lang w:eastAsia="zh-CN"/>
        </w:rPr>
      </w:pPr>
      <w:r>
        <w:rPr>
          <w:rFonts w:hint="eastAsia" w:ascii="宋体" w:hAnsi="宋体" w:cs="宋体"/>
          <w:bCs/>
          <w:color w:val="auto"/>
        </w:rPr>
        <w:t>项目名称：</w:t>
      </w:r>
      <w:r>
        <w:rPr>
          <w:rFonts w:hint="eastAsia" w:ascii="宋体" w:hAnsi="宋体" w:cs="宋体"/>
          <w:color w:val="auto"/>
          <w:u w:val="single"/>
          <w:lang w:eastAsia="zh-CN"/>
        </w:rPr>
        <w:t>海棠湾车辆采购项目(二次招标)</w:t>
      </w:r>
    </w:p>
    <w:p>
      <w:pPr>
        <w:spacing w:line="360" w:lineRule="auto"/>
        <w:rPr>
          <w:rFonts w:hint="eastAsia" w:ascii="宋体" w:eastAsia="宋体" w:cs="宋体"/>
          <w:bCs/>
          <w:color w:val="auto"/>
          <w:u w:val="single"/>
          <w:lang w:eastAsia="zh-CN"/>
        </w:rPr>
      </w:pPr>
      <w:r>
        <w:rPr>
          <w:rFonts w:hint="eastAsia" w:ascii="宋体" w:hAnsi="宋体" w:cs="宋体"/>
          <w:bCs/>
          <w:color w:val="auto"/>
        </w:rPr>
        <w:t>采购编号：</w:t>
      </w:r>
      <w:r>
        <w:rPr>
          <w:rFonts w:hint="eastAsia" w:ascii="宋体" w:hAnsi="宋体" w:cs="宋体"/>
          <w:color w:val="auto"/>
          <w:u w:val="single"/>
          <w:lang w:eastAsia="zh-CN"/>
        </w:rPr>
        <w:t>HCGJ18-215R</w:t>
      </w:r>
    </w:p>
    <w:tbl>
      <w:tblPr>
        <w:tblStyle w:val="16"/>
        <w:tblW w:w="9100" w:type="dxa"/>
        <w:jc w:val="center"/>
        <w:tblInd w:w="-243" w:type="dxa"/>
        <w:tblLayout w:type="fixed"/>
        <w:tblCellMar>
          <w:top w:w="0" w:type="dxa"/>
          <w:left w:w="10" w:type="dxa"/>
          <w:bottom w:w="0" w:type="dxa"/>
          <w:right w:w="10" w:type="dxa"/>
        </w:tblCellMar>
      </w:tblPr>
      <w:tblGrid>
        <w:gridCol w:w="1156"/>
        <w:gridCol w:w="2279"/>
        <w:gridCol w:w="1746"/>
        <w:gridCol w:w="1157"/>
        <w:gridCol w:w="2054"/>
        <w:gridCol w:w="708"/>
      </w:tblGrid>
      <w:tr>
        <w:tblPrEx>
          <w:tblLayout w:type="fixed"/>
          <w:tblCellMar>
            <w:top w:w="0" w:type="dxa"/>
            <w:left w:w="10" w:type="dxa"/>
            <w:bottom w:w="0" w:type="dxa"/>
            <w:right w:w="10" w:type="dxa"/>
          </w:tblCellMar>
        </w:tblPrEx>
        <w:trPr>
          <w:trHeight w:val="1027" w:hRule="atLeast"/>
          <w:jc w:val="center"/>
        </w:trPr>
        <w:tc>
          <w:tcPr>
            <w:tcW w:w="115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ascii="宋体" w:cs="宋体"/>
                <w:color w:val="auto"/>
              </w:rPr>
            </w:pPr>
            <w:r>
              <w:rPr>
                <w:rFonts w:hint="eastAsia" w:ascii="宋体" w:hAnsi="宋体" w:cs="宋体"/>
                <w:color w:val="auto"/>
              </w:rPr>
              <w:t>包号</w:t>
            </w:r>
          </w:p>
        </w:tc>
        <w:tc>
          <w:tcPr>
            <w:tcW w:w="227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ascii="宋体" w:cs="宋体"/>
                <w:color w:val="auto"/>
              </w:rPr>
            </w:pPr>
            <w:r>
              <w:rPr>
                <w:rFonts w:hint="eastAsia" w:ascii="宋体" w:hAnsi="宋体" w:cs="宋体"/>
                <w:color w:val="auto"/>
              </w:rPr>
              <w:t>项目内容</w:t>
            </w:r>
          </w:p>
        </w:tc>
        <w:tc>
          <w:tcPr>
            <w:tcW w:w="174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ascii="宋体" w:cs="宋体"/>
                <w:color w:val="auto"/>
              </w:rPr>
            </w:pPr>
            <w:r>
              <w:rPr>
                <w:rFonts w:hint="eastAsia" w:ascii="宋体" w:hAnsi="宋体" w:cs="宋体"/>
                <w:color w:val="auto"/>
              </w:rPr>
              <w:t>投标报价</w:t>
            </w:r>
          </w:p>
          <w:p>
            <w:pPr>
              <w:spacing w:line="360" w:lineRule="auto"/>
              <w:jc w:val="center"/>
              <w:rPr>
                <w:rFonts w:ascii="宋体" w:cs="宋体"/>
                <w:color w:val="auto"/>
              </w:rPr>
            </w:pPr>
            <w:r>
              <w:rPr>
                <w:rFonts w:hint="eastAsia" w:ascii="宋体" w:hAnsi="宋体" w:cs="宋体"/>
                <w:color w:val="auto"/>
              </w:rPr>
              <w:t>（人民币</w:t>
            </w:r>
            <w:r>
              <w:rPr>
                <w:rFonts w:ascii="宋体" w:hAnsi="宋体" w:cs="宋体"/>
                <w:color w:val="auto"/>
              </w:rPr>
              <w:t>/</w:t>
            </w:r>
            <w:r>
              <w:rPr>
                <w:rFonts w:hint="eastAsia" w:ascii="宋体" w:hAnsi="宋体" w:cs="宋体"/>
                <w:color w:val="auto"/>
              </w:rPr>
              <w:t>元）</w:t>
            </w:r>
          </w:p>
        </w:tc>
        <w:tc>
          <w:tcPr>
            <w:tcW w:w="115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ascii="宋体" w:cs="宋体"/>
                <w:color w:val="auto"/>
              </w:rPr>
            </w:pPr>
            <w:r>
              <w:rPr>
                <w:rFonts w:hint="eastAsia" w:ascii="宋体" w:hAnsi="宋体" w:cs="宋体"/>
                <w:color w:val="auto"/>
              </w:rPr>
              <w:t>交货时间</w:t>
            </w:r>
          </w:p>
        </w:tc>
        <w:tc>
          <w:tcPr>
            <w:tcW w:w="205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hint="eastAsia" w:ascii="宋体" w:hAnsi="宋体" w:cs="宋体"/>
                <w:color w:val="auto"/>
              </w:rPr>
            </w:pPr>
            <w:r>
              <w:rPr>
                <w:rFonts w:hint="eastAsia" w:ascii="宋体" w:hAnsi="宋体" w:cs="宋体"/>
                <w:color w:val="auto"/>
              </w:rPr>
              <w:t>是否为小微型企业</w:t>
            </w:r>
          </w:p>
        </w:tc>
        <w:tc>
          <w:tcPr>
            <w:tcW w:w="70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ascii="宋体" w:cs="宋体"/>
                <w:color w:val="auto"/>
              </w:rPr>
            </w:pPr>
            <w:r>
              <w:rPr>
                <w:rFonts w:hint="eastAsia" w:ascii="宋体" w:hAnsi="宋体" w:cs="宋体"/>
                <w:color w:val="auto"/>
              </w:rPr>
              <w:t>备注</w:t>
            </w:r>
          </w:p>
        </w:tc>
      </w:tr>
      <w:tr>
        <w:tblPrEx>
          <w:tblLayout w:type="fixed"/>
          <w:tblCellMar>
            <w:top w:w="0" w:type="dxa"/>
            <w:left w:w="10" w:type="dxa"/>
            <w:bottom w:w="0" w:type="dxa"/>
            <w:right w:w="10" w:type="dxa"/>
          </w:tblCellMar>
        </w:tblPrEx>
        <w:trPr>
          <w:trHeight w:val="1634" w:hRule="atLeast"/>
          <w:jc w:val="center"/>
        </w:trPr>
        <w:tc>
          <w:tcPr>
            <w:tcW w:w="1156" w:type="dxa"/>
            <w:tcBorders>
              <w:top w:val="single" w:color="000000" w:sz="4" w:space="0"/>
              <w:left w:val="single" w:color="000000" w:sz="4" w:space="0"/>
              <w:bottom w:val="single" w:color="000000" w:sz="4" w:space="0"/>
              <w:right w:val="single" w:color="000000" w:sz="4" w:space="0"/>
            </w:tcBorders>
            <w:shd w:val="solid" w:color="FFFFFF" w:fill="FFFFFF"/>
            <w:tcMar>
              <w:top w:w="0" w:type="dxa"/>
              <w:left w:w="108" w:type="dxa"/>
              <w:bottom w:w="0" w:type="dxa"/>
              <w:right w:w="108" w:type="dxa"/>
            </w:tcMar>
            <w:vAlign w:val="center"/>
          </w:tcPr>
          <w:p>
            <w:pPr>
              <w:shd w:val="solid" w:color="FFFFFF" w:fill="FFFFFF"/>
              <w:spacing w:line="360" w:lineRule="auto"/>
              <w:jc w:val="center"/>
              <w:rPr>
                <w:rFonts w:ascii="宋体" w:cs="宋体"/>
                <w:color w:val="auto"/>
              </w:rPr>
            </w:pPr>
            <w:r>
              <w:rPr>
                <w:rFonts w:hint="eastAsia" w:ascii="宋体" w:hAnsi="宋体" w:cs="宋体"/>
                <w:color w:val="auto"/>
              </w:rPr>
              <w:t>项目本身</w:t>
            </w:r>
          </w:p>
        </w:tc>
        <w:tc>
          <w:tcPr>
            <w:tcW w:w="2279" w:type="dxa"/>
            <w:tcBorders>
              <w:top w:val="single" w:color="000000" w:sz="4" w:space="0"/>
              <w:left w:val="single" w:color="000000" w:sz="4" w:space="0"/>
              <w:bottom w:val="single" w:color="000000" w:sz="4" w:space="0"/>
              <w:right w:val="single" w:color="000000" w:sz="4" w:space="0"/>
            </w:tcBorders>
            <w:shd w:val="solid" w:color="FFFFFF" w:fill="FFFFFF"/>
            <w:tcMar>
              <w:top w:w="0" w:type="dxa"/>
              <w:left w:w="108" w:type="dxa"/>
              <w:bottom w:w="0" w:type="dxa"/>
              <w:right w:w="108" w:type="dxa"/>
            </w:tcMar>
            <w:vAlign w:val="center"/>
          </w:tcPr>
          <w:p>
            <w:pPr>
              <w:shd w:val="solid" w:color="FFFFFF" w:fill="FFFFFF"/>
              <w:spacing w:line="360" w:lineRule="auto"/>
              <w:jc w:val="center"/>
              <w:rPr>
                <w:rFonts w:hint="eastAsia" w:ascii="宋体" w:eastAsia="宋体" w:cs="宋体"/>
                <w:color w:val="auto"/>
                <w:lang w:eastAsia="zh-CN"/>
              </w:rPr>
            </w:pPr>
            <w:r>
              <w:rPr>
                <w:rFonts w:hint="eastAsia" w:ascii="宋体" w:hAnsi="宋体" w:cs="宋体"/>
                <w:color w:val="auto"/>
                <w:lang w:eastAsia="zh-CN"/>
              </w:rPr>
              <w:t>海棠湾车辆采购项目(二次招标)</w:t>
            </w:r>
          </w:p>
        </w:tc>
        <w:tc>
          <w:tcPr>
            <w:tcW w:w="1746" w:type="dxa"/>
            <w:tcBorders>
              <w:top w:val="single" w:color="000000" w:sz="4" w:space="0"/>
              <w:left w:val="single" w:color="000000" w:sz="4" w:space="0"/>
              <w:bottom w:val="single" w:color="000000" w:sz="4" w:space="0"/>
              <w:right w:val="single" w:color="000000" w:sz="4" w:space="0"/>
            </w:tcBorders>
            <w:shd w:val="solid" w:color="FFFFFF" w:fill="FFFFFF"/>
            <w:tcMar>
              <w:top w:w="0" w:type="dxa"/>
              <w:left w:w="108" w:type="dxa"/>
              <w:bottom w:w="0" w:type="dxa"/>
              <w:right w:w="108" w:type="dxa"/>
            </w:tcMar>
            <w:vAlign w:val="center"/>
          </w:tcPr>
          <w:p>
            <w:pPr>
              <w:shd w:val="solid" w:color="FFFFFF" w:fill="FFFFFF"/>
              <w:spacing w:line="360" w:lineRule="auto"/>
              <w:rPr>
                <w:rFonts w:ascii="宋体" w:cs="宋体"/>
                <w:color w:val="auto"/>
              </w:rPr>
            </w:pPr>
            <w:r>
              <w:rPr>
                <w:rFonts w:hint="eastAsia" w:ascii="宋体" w:hAnsi="宋体" w:cs="宋体"/>
                <w:color w:val="auto"/>
              </w:rPr>
              <w:t>大写：</w:t>
            </w:r>
          </w:p>
          <w:p>
            <w:pPr>
              <w:shd w:val="solid" w:color="FFFFFF" w:fill="FFFFFF"/>
              <w:spacing w:line="360" w:lineRule="auto"/>
              <w:rPr>
                <w:rFonts w:ascii="宋体" w:cs="宋体"/>
                <w:color w:val="auto"/>
              </w:rPr>
            </w:pPr>
            <w:r>
              <w:rPr>
                <w:rFonts w:hint="eastAsia" w:ascii="宋体" w:hAnsi="宋体" w:cs="宋体"/>
                <w:color w:val="auto"/>
              </w:rPr>
              <w:t>小写：</w:t>
            </w:r>
          </w:p>
        </w:tc>
        <w:tc>
          <w:tcPr>
            <w:tcW w:w="115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ascii="宋体" w:cs="宋体"/>
                <w:bCs/>
                <w:color w:val="auto"/>
              </w:rPr>
            </w:pPr>
          </w:p>
        </w:tc>
        <w:tc>
          <w:tcPr>
            <w:tcW w:w="205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ascii="宋体" w:cs="宋体"/>
                <w:bCs/>
                <w:color w:val="auto"/>
              </w:rPr>
            </w:pPr>
          </w:p>
        </w:tc>
        <w:tc>
          <w:tcPr>
            <w:tcW w:w="70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ascii="宋体" w:cs="宋体"/>
                <w:bCs/>
                <w:color w:val="auto"/>
              </w:rPr>
            </w:pPr>
          </w:p>
        </w:tc>
      </w:tr>
    </w:tbl>
    <w:p>
      <w:pPr>
        <w:spacing w:line="360" w:lineRule="auto"/>
        <w:ind w:left="840" w:hanging="840"/>
        <w:rPr>
          <w:rFonts w:ascii="宋体" w:cs="宋体"/>
          <w:color w:val="auto"/>
        </w:rPr>
      </w:pPr>
    </w:p>
    <w:p>
      <w:pPr>
        <w:spacing w:line="360" w:lineRule="auto"/>
        <w:ind w:left="840" w:hanging="840"/>
        <w:rPr>
          <w:rFonts w:ascii="宋体" w:cs="宋体"/>
          <w:color w:val="auto"/>
        </w:rPr>
      </w:pPr>
    </w:p>
    <w:p>
      <w:pPr>
        <w:spacing w:line="360" w:lineRule="auto"/>
        <w:ind w:left="840" w:hanging="840"/>
        <w:rPr>
          <w:rFonts w:ascii="宋体" w:cs="宋体"/>
          <w:color w:val="auto"/>
        </w:rPr>
      </w:pPr>
      <w:r>
        <w:rPr>
          <w:rFonts w:hint="eastAsia" w:ascii="宋体" w:hAnsi="宋体" w:cs="宋体"/>
          <w:color w:val="auto"/>
        </w:rPr>
        <w:t>注：</w:t>
      </w:r>
      <w:r>
        <w:rPr>
          <w:rFonts w:ascii="宋体" w:hAnsi="宋体" w:cs="宋体"/>
          <w:color w:val="auto"/>
        </w:rPr>
        <w:t xml:space="preserve">1. </w:t>
      </w:r>
      <w:r>
        <w:rPr>
          <w:rFonts w:hint="eastAsia" w:ascii="宋体" w:hAnsi="宋体" w:cs="宋体"/>
          <w:color w:val="auto"/>
        </w:rPr>
        <w:t>报价应包含</w:t>
      </w:r>
      <w:r>
        <w:rPr>
          <w:rFonts w:hint="eastAsia" w:ascii="宋体" w:hAnsi="宋体" w:cs="宋体"/>
          <w:bCs/>
          <w:color w:val="auto"/>
        </w:rPr>
        <w:t>询价文件所规定的招标范围的全部内容</w:t>
      </w:r>
      <w:r>
        <w:rPr>
          <w:rFonts w:ascii="宋体" w:cs="宋体"/>
          <w:bCs/>
          <w:color w:val="auto"/>
        </w:rPr>
        <w:t>,</w:t>
      </w:r>
      <w:r>
        <w:rPr>
          <w:rFonts w:hint="eastAsia" w:ascii="宋体" w:hAnsi="宋体" w:cs="宋体"/>
          <w:bCs/>
          <w:color w:val="auto"/>
        </w:rPr>
        <w:t>是</w:t>
      </w:r>
      <w:r>
        <w:rPr>
          <w:rFonts w:hint="eastAsia" w:ascii="宋体" w:hAnsi="宋体" w:cs="宋体"/>
          <w:color w:val="auto"/>
        </w:rPr>
        <w:t>最终用户验收合格后的总价，包括设备运输、保险、代理、安装调试、培训、税费和询价文件规定的其它费用。</w:t>
      </w:r>
    </w:p>
    <w:p>
      <w:pPr>
        <w:spacing w:line="360" w:lineRule="auto"/>
        <w:ind w:left="360" w:hanging="360"/>
        <w:rPr>
          <w:rFonts w:ascii="宋体" w:cs="宋体"/>
          <w:color w:val="auto"/>
        </w:rPr>
      </w:pPr>
    </w:p>
    <w:p>
      <w:pPr>
        <w:tabs>
          <w:tab w:val="left" w:pos="360"/>
        </w:tabs>
        <w:spacing w:line="360" w:lineRule="auto"/>
        <w:ind w:firstLine="561"/>
        <w:rPr>
          <w:rFonts w:ascii="宋体" w:cs="宋体"/>
          <w:color w:val="auto"/>
        </w:rPr>
      </w:pPr>
    </w:p>
    <w:p>
      <w:pPr>
        <w:tabs>
          <w:tab w:val="left" w:pos="360"/>
        </w:tabs>
        <w:spacing w:line="360" w:lineRule="auto"/>
        <w:ind w:firstLine="559"/>
        <w:rPr>
          <w:rFonts w:ascii="宋体" w:cs="宋体"/>
          <w:color w:val="auto"/>
        </w:rPr>
      </w:pPr>
    </w:p>
    <w:p>
      <w:pPr>
        <w:tabs>
          <w:tab w:val="left" w:pos="360"/>
        </w:tabs>
        <w:spacing w:line="360" w:lineRule="auto"/>
        <w:ind w:firstLine="559"/>
        <w:rPr>
          <w:rFonts w:ascii="宋体" w:cs="宋体"/>
          <w:color w:val="auto"/>
        </w:rPr>
      </w:pPr>
    </w:p>
    <w:p>
      <w:pPr>
        <w:spacing w:line="360" w:lineRule="auto"/>
        <w:rPr>
          <w:rFonts w:ascii="宋体" w:cs="宋体"/>
          <w:color w:val="auto"/>
        </w:rPr>
      </w:pPr>
      <w:r>
        <w:rPr>
          <w:rFonts w:hint="eastAsia" w:ascii="宋体" w:hAnsi="宋体" w:cs="宋体"/>
          <w:color w:val="auto"/>
        </w:rPr>
        <w:t>投标人名称：</w:t>
      </w:r>
      <w:r>
        <w:rPr>
          <w:rFonts w:hint="eastAsia" w:ascii="宋体" w:hAnsi="宋体" w:cs="宋体"/>
          <w:color w:val="auto"/>
          <w:u w:val="single"/>
          <w:lang w:val="en-US" w:eastAsia="zh-CN"/>
        </w:rPr>
        <w:t xml:space="preserve">                            </w:t>
      </w:r>
      <w:r>
        <w:rPr>
          <w:rFonts w:hint="eastAsia" w:ascii="宋体" w:hAnsi="宋体" w:cs="宋体"/>
          <w:color w:val="auto"/>
        </w:rPr>
        <w:t>（盖公章）</w:t>
      </w:r>
    </w:p>
    <w:p>
      <w:pPr>
        <w:spacing w:line="360" w:lineRule="auto"/>
        <w:rPr>
          <w:rFonts w:hint="eastAsia" w:ascii="宋体" w:eastAsia="宋体" w:cs="宋体"/>
          <w:color w:val="auto"/>
          <w:u w:val="single"/>
          <w:lang w:val="en-US" w:eastAsia="zh-CN"/>
        </w:rPr>
      </w:pPr>
      <w:r>
        <w:rPr>
          <w:rFonts w:hint="eastAsia" w:ascii="宋体" w:hAnsi="宋体" w:cs="宋体"/>
          <w:color w:val="auto"/>
        </w:rPr>
        <w:t>法定代表人或授权代表签字：</w:t>
      </w:r>
      <w:r>
        <w:rPr>
          <w:rFonts w:hint="eastAsia" w:ascii="宋体" w:hAnsi="宋体" w:cs="宋体"/>
          <w:color w:val="auto"/>
          <w:u w:val="single"/>
          <w:lang w:val="en-US" w:eastAsia="zh-CN"/>
        </w:rPr>
        <w:t xml:space="preserve">                      </w:t>
      </w:r>
    </w:p>
    <w:p>
      <w:pPr>
        <w:autoSpaceDE w:val="0"/>
        <w:autoSpaceDN w:val="0"/>
        <w:snapToGrid w:val="0"/>
        <w:spacing w:line="360" w:lineRule="auto"/>
        <w:rPr>
          <w:rFonts w:ascii="宋体" w:cs="宋体"/>
          <w:color w:val="auto"/>
          <w:spacing w:val="8"/>
          <w:u w:val="single"/>
        </w:rPr>
      </w:pPr>
      <w:r>
        <w:rPr>
          <w:rFonts w:hint="eastAsia" w:ascii="宋体" w:hAnsi="宋体" w:cs="宋体"/>
          <w:color w:val="auto"/>
          <w:spacing w:val="8"/>
        </w:rPr>
        <w:t>日期：</w:t>
      </w:r>
      <w:r>
        <w:rPr>
          <w:rFonts w:hint="eastAsia" w:ascii="宋体" w:hAnsi="宋体" w:cs="宋体"/>
          <w:color w:val="auto"/>
          <w:spacing w:val="8"/>
          <w:u w:val="single"/>
          <w:lang w:val="en-US" w:eastAsia="zh-CN"/>
        </w:rPr>
        <w:t xml:space="preserve">         </w:t>
      </w:r>
      <w:r>
        <w:rPr>
          <w:rFonts w:hint="eastAsia" w:ascii="宋体" w:hAnsi="宋体" w:cs="宋体"/>
          <w:color w:val="auto"/>
          <w:spacing w:val="8"/>
        </w:rPr>
        <w:t>年</w:t>
      </w:r>
      <w:r>
        <w:rPr>
          <w:rFonts w:hint="eastAsia" w:ascii="宋体" w:hAnsi="宋体" w:cs="宋体"/>
          <w:color w:val="auto"/>
          <w:spacing w:val="8"/>
          <w:u w:val="single"/>
          <w:lang w:val="en-US" w:eastAsia="zh-CN"/>
        </w:rPr>
        <w:t xml:space="preserve">   </w:t>
      </w:r>
      <w:r>
        <w:rPr>
          <w:rFonts w:hint="eastAsia" w:ascii="宋体" w:hAnsi="宋体" w:cs="宋体"/>
          <w:color w:val="auto"/>
          <w:spacing w:val="8"/>
        </w:rPr>
        <w:t>月</w:t>
      </w:r>
      <w:r>
        <w:rPr>
          <w:rFonts w:hint="eastAsia" w:ascii="宋体" w:hAnsi="宋体" w:cs="宋体"/>
          <w:color w:val="auto"/>
          <w:spacing w:val="8"/>
          <w:u w:val="single"/>
          <w:lang w:val="en-US" w:eastAsia="zh-CN"/>
        </w:rPr>
        <w:t xml:space="preserve">    </w:t>
      </w:r>
      <w:r>
        <w:rPr>
          <w:rFonts w:hint="eastAsia" w:ascii="宋体" w:hAnsi="宋体" w:cs="宋体"/>
          <w:color w:val="auto"/>
          <w:spacing w:val="8"/>
        </w:rPr>
        <w:t>日</w:t>
      </w:r>
    </w:p>
    <w:p>
      <w:pPr>
        <w:spacing w:line="360" w:lineRule="auto"/>
        <w:rPr>
          <w:rFonts w:ascii="宋体" w:cs="宋体"/>
          <w:color w:val="auto"/>
        </w:rPr>
      </w:pPr>
    </w:p>
    <w:p>
      <w:pPr>
        <w:spacing w:line="360" w:lineRule="auto"/>
        <w:rPr>
          <w:rFonts w:ascii="宋体" w:cs="宋体"/>
          <w:color w:val="auto"/>
        </w:rPr>
      </w:pPr>
      <w:r>
        <w:rPr>
          <w:rFonts w:ascii="宋体" w:cs="宋体"/>
          <w:color w:val="auto"/>
        </w:rPr>
        <w:br w:type="page"/>
      </w:r>
    </w:p>
    <w:p>
      <w:pPr>
        <w:spacing w:line="360" w:lineRule="auto"/>
        <w:jc w:val="center"/>
        <w:rPr>
          <w:rFonts w:ascii="宋体" w:cs="宋体"/>
          <w:color w:val="auto"/>
        </w:rPr>
      </w:pPr>
      <w:r>
        <w:rPr>
          <w:rFonts w:hint="eastAsia" w:ascii="宋体" w:hAnsi="宋体" w:cs="宋体"/>
          <w:bCs/>
          <w:iCs/>
          <w:color w:val="auto"/>
        </w:rPr>
        <w:t>三</w:t>
      </w:r>
      <w:r>
        <w:rPr>
          <w:rFonts w:ascii="宋体" w:cs="宋体"/>
          <w:bCs/>
          <w:iCs/>
          <w:color w:val="auto"/>
        </w:rPr>
        <w:t>.</w:t>
      </w:r>
      <w:r>
        <w:rPr>
          <w:rFonts w:hint="eastAsia" w:ascii="宋体" w:hAnsi="宋体" w:cs="宋体"/>
          <w:bCs/>
          <w:iCs/>
          <w:color w:val="auto"/>
        </w:rPr>
        <w:t>、分项报价明细表</w:t>
      </w:r>
    </w:p>
    <w:p>
      <w:pPr>
        <w:spacing w:line="360" w:lineRule="auto"/>
        <w:jc w:val="center"/>
        <w:rPr>
          <w:rFonts w:ascii="宋体" w:cs="宋体"/>
          <w:color w:val="auto"/>
        </w:rPr>
      </w:pPr>
    </w:p>
    <w:p>
      <w:pPr>
        <w:spacing w:line="360" w:lineRule="auto"/>
        <w:jc w:val="left"/>
        <w:rPr>
          <w:rFonts w:hint="eastAsia" w:ascii="宋体" w:eastAsia="宋体" w:cs="宋体"/>
          <w:color w:val="auto"/>
          <w:u w:val="single"/>
          <w:lang w:eastAsia="zh-CN"/>
        </w:rPr>
      </w:pPr>
      <w:r>
        <w:rPr>
          <w:rFonts w:hint="eastAsia" w:ascii="宋体" w:hAnsi="宋体" w:cs="宋体"/>
          <w:color w:val="auto"/>
        </w:rPr>
        <w:t>项目名称：</w:t>
      </w:r>
      <w:r>
        <w:rPr>
          <w:rFonts w:hint="eastAsia" w:ascii="宋体" w:hAnsi="宋体" w:cs="宋体"/>
          <w:color w:val="auto"/>
          <w:u w:val="single"/>
          <w:lang w:eastAsia="zh-CN"/>
        </w:rPr>
        <w:t>海棠湾车辆采购项目(二次招标)</w:t>
      </w:r>
      <w:r>
        <w:rPr>
          <w:rFonts w:hint="eastAsia" w:ascii="宋体" w:hAnsi="宋体" w:cs="宋体"/>
          <w:color w:val="auto"/>
          <w:lang w:eastAsia="zh-CN"/>
        </w:rPr>
        <w:t>项目</w:t>
      </w:r>
      <w:r>
        <w:rPr>
          <w:rFonts w:hint="eastAsia" w:ascii="宋体" w:hAnsi="宋体" w:cs="宋体"/>
          <w:color w:val="auto"/>
        </w:rPr>
        <w:t>编号：</w:t>
      </w:r>
      <w:r>
        <w:rPr>
          <w:rFonts w:hint="eastAsia" w:ascii="宋体" w:hAnsi="宋体" w:cs="宋体"/>
          <w:color w:val="auto"/>
          <w:u w:val="single"/>
          <w:lang w:eastAsia="zh-CN"/>
        </w:rPr>
        <w:t>HCGJ18-215R</w:t>
      </w:r>
    </w:p>
    <w:tbl>
      <w:tblPr>
        <w:tblStyle w:val="16"/>
        <w:tblW w:w="9466" w:type="dxa"/>
        <w:jc w:val="center"/>
        <w:tblInd w:w="0" w:type="dxa"/>
        <w:tblLayout w:type="fixed"/>
        <w:tblCellMar>
          <w:top w:w="0" w:type="dxa"/>
          <w:left w:w="10" w:type="dxa"/>
          <w:bottom w:w="0" w:type="dxa"/>
          <w:right w:w="10" w:type="dxa"/>
        </w:tblCellMar>
      </w:tblPr>
      <w:tblGrid>
        <w:gridCol w:w="1103"/>
        <w:gridCol w:w="2025"/>
        <w:gridCol w:w="1325"/>
        <w:gridCol w:w="1225"/>
        <w:gridCol w:w="725"/>
        <w:gridCol w:w="725"/>
        <w:gridCol w:w="762"/>
        <w:gridCol w:w="725"/>
        <w:gridCol w:w="851"/>
      </w:tblGrid>
      <w:tr>
        <w:tblPrEx>
          <w:tblLayout w:type="fixed"/>
          <w:tblCellMar>
            <w:top w:w="0" w:type="dxa"/>
            <w:left w:w="10" w:type="dxa"/>
            <w:bottom w:w="0" w:type="dxa"/>
            <w:right w:w="10" w:type="dxa"/>
          </w:tblCellMar>
        </w:tblPrEx>
        <w:trPr>
          <w:cantSplit/>
          <w:trHeight w:val="627" w:hRule="exact"/>
          <w:jc w:val="center"/>
        </w:trPr>
        <w:tc>
          <w:tcPr>
            <w:tcW w:w="110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ascii="宋体" w:cs="宋体"/>
                <w:color w:val="auto"/>
              </w:rPr>
            </w:pPr>
            <w:r>
              <w:rPr>
                <w:rFonts w:hint="eastAsia" w:ascii="宋体" w:hAnsi="宋体" w:cs="宋体"/>
                <w:color w:val="auto"/>
              </w:rPr>
              <w:t>序号</w:t>
            </w:r>
          </w:p>
        </w:tc>
        <w:tc>
          <w:tcPr>
            <w:tcW w:w="202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ascii="宋体" w:cs="宋体"/>
                <w:color w:val="auto"/>
              </w:rPr>
            </w:pPr>
            <w:r>
              <w:rPr>
                <w:rFonts w:hint="eastAsia" w:ascii="宋体" w:hAnsi="宋体" w:cs="宋体"/>
                <w:color w:val="auto"/>
              </w:rPr>
              <w:t>产品名称</w:t>
            </w:r>
          </w:p>
        </w:tc>
        <w:tc>
          <w:tcPr>
            <w:tcW w:w="132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ascii="宋体" w:cs="宋体"/>
                <w:color w:val="auto"/>
              </w:rPr>
            </w:pPr>
            <w:r>
              <w:rPr>
                <w:rFonts w:hint="eastAsia" w:ascii="宋体" w:hAnsi="宋体" w:cs="宋体"/>
                <w:color w:val="auto"/>
              </w:rPr>
              <w:t>品牌</w:t>
            </w:r>
            <w:r>
              <w:rPr>
                <w:rFonts w:ascii="宋体" w:hAnsi="宋体" w:cs="宋体"/>
                <w:color w:val="auto"/>
              </w:rPr>
              <w:t>/</w:t>
            </w:r>
            <w:r>
              <w:rPr>
                <w:rFonts w:hint="eastAsia" w:ascii="宋体" w:hAnsi="宋体" w:cs="宋体"/>
                <w:color w:val="auto"/>
              </w:rPr>
              <w:t>产地</w:t>
            </w:r>
          </w:p>
        </w:tc>
        <w:tc>
          <w:tcPr>
            <w:tcW w:w="122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ascii="宋体" w:cs="宋体"/>
                <w:color w:val="auto"/>
              </w:rPr>
            </w:pPr>
            <w:r>
              <w:rPr>
                <w:rFonts w:hint="eastAsia" w:ascii="宋体" w:hAnsi="宋体" w:cs="宋体"/>
                <w:color w:val="auto"/>
              </w:rPr>
              <w:t>规格型号</w:t>
            </w:r>
          </w:p>
        </w:tc>
        <w:tc>
          <w:tcPr>
            <w:tcW w:w="72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ascii="宋体" w:cs="宋体"/>
                <w:color w:val="auto"/>
              </w:rPr>
            </w:pPr>
            <w:r>
              <w:rPr>
                <w:rFonts w:hint="eastAsia" w:ascii="宋体" w:hAnsi="宋体" w:cs="宋体"/>
                <w:color w:val="auto"/>
              </w:rPr>
              <w:t>单位</w:t>
            </w:r>
          </w:p>
        </w:tc>
        <w:tc>
          <w:tcPr>
            <w:tcW w:w="72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ascii="宋体" w:cs="宋体"/>
                <w:color w:val="auto"/>
              </w:rPr>
            </w:pPr>
            <w:r>
              <w:rPr>
                <w:rFonts w:hint="eastAsia" w:ascii="宋体" w:hAnsi="宋体" w:cs="宋体"/>
                <w:color w:val="auto"/>
              </w:rPr>
              <w:t>数量</w:t>
            </w:r>
          </w:p>
        </w:tc>
        <w:tc>
          <w:tcPr>
            <w:tcW w:w="76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ascii="宋体" w:cs="宋体"/>
                <w:color w:val="auto"/>
              </w:rPr>
            </w:pPr>
            <w:r>
              <w:rPr>
                <w:rFonts w:hint="eastAsia" w:ascii="宋体" w:hAnsi="宋体" w:cs="宋体"/>
                <w:color w:val="auto"/>
              </w:rPr>
              <w:t>单价</w:t>
            </w:r>
          </w:p>
        </w:tc>
        <w:tc>
          <w:tcPr>
            <w:tcW w:w="72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ascii="宋体" w:cs="宋体"/>
                <w:color w:val="auto"/>
              </w:rPr>
            </w:pPr>
            <w:r>
              <w:rPr>
                <w:rFonts w:hint="eastAsia" w:ascii="宋体" w:hAnsi="宋体" w:cs="宋体"/>
                <w:color w:val="auto"/>
              </w:rPr>
              <w:t>合价</w:t>
            </w:r>
          </w:p>
        </w:tc>
        <w:tc>
          <w:tcPr>
            <w:tcW w:w="85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ind w:firstLine="105"/>
              <w:jc w:val="center"/>
              <w:rPr>
                <w:rFonts w:ascii="宋体" w:cs="宋体"/>
                <w:color w:val="auto"/>
              </w:rPr>
            </w:pPr>
            <w:r>
              <w:rPr>
                <w:rFonts w:hint="eastAsia" w:ascii="宋体" w:hAnsi="宋体" w:cs="宋体"/>
                <w:color w:val="auto"/>
              </w:rPr>
              <w:t>备注</w:t>
            </w:r>
          </w:p>
        </w:tc>
      </w:tr>
      <w:tr>
        <w:tblPrEx>
          <w:tblLayout w:type="fixed"/>
          <w:tblCellMar>
            <w:top w:w="0" w:type="dxa"/>
            <w:left w:w="10" w:type="dxa"/>
            <w:bottom w:w="0" w:type="dxa"/>
            <w:right w:w="10" w:type="dxa"/>
          </w:tblCellMar>
        </w:tblPrEx>
        <w:trPr>
          <w:cantSplit/>
          <w:trHeight w:val="684" w:hRule="atLeast"/>
          <w:jc w:val="center"/>
        </w:trPr>
        <w:tc>
          <w:tcPr>
            <w:tcW w:w="110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ascii="宋体" w:cs="宋体"/>
                <w:color w:val="auto"/>
              </w:rPr>
            </w:pPr>
          </w:p>
        </w:tc>
        <w:tc>
          <w:tcPr>
            <w:tcW w:w="202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ascii="宋体" w:cs="宋体"/>
                <w:color w:val="auto"/>
              </w:rPr>
            </w:pPr>
          </w:p>
        </w:tc>
        <w:tc>
          <w:tcPr>
            <w:tcW w:w="132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ascii="宋体" w:cs="宋体"/>
                <w:color w:val="auto"/>
              </w:rPr>
            </w:pPr>
          </w:p>
        </w:tc>
        <w:tc>
          <w:tcPr>
            <w:tcW w:w="122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ascii="宋体" w:cs="宋体"/>
                <w:color w:val="auto"/>
              </w:rPr>
            </w:pPr>
          </w:p>
        </w:tc>
        <w:tc>
          <w:tcPr>
            <w:tcW w:w="72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ascii="宋体" w:cs="宋体"/>
                <w:color w:val="auto"/>
              </w:rPr>
            </w:pPr>
          </w:p>
        </w:tc>
        <w:tc>
          <w:tcPr>
            <w:tcW w:w="72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ascii="宋体" w:cs="宋体"/>
                <w:color w:val="auto"/>
              </w:rPr>
            </w:pPr>
          </w:p>
        </w:tc>
        <w:tc>
          <w:tcPr>
            <w:tcW w:w="76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ascii="宋体" w:cs="宋体"/>
                <w:color w:val="auto"/>
              </w:rPr>
            </w:pPr>
          </w:p>
        </w:tc>
        <w:tc>
          <w:tcPr>
            <w:tcW w:w="72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ascii="宋体" w:cs="宋体"/>
                <w:color w:val="auto"/>
              </w:rPr>
            </w:pPr>
          </w:p>
        </w:tc>
        <w:tc>
          <w:tcPr>
            <w:tcW w:w="85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ascii="宋体" w:cs="宋体"/>
                <w:color w:val="auto"/>
              </w:rPr>
            </w:pPr>
          </w:p>
        </w:tc>
      </w:tr>
      <w:tr>
        <w:tblPrEx>
          <w:tblLayout w:type="fixed"/>
          <w:tblCellMar>
            <w:top w:w="0" w:type="dxa"/>
            <w:left w:w="10" w:type="dxa"/>
            <w:bottom w:w="0" w:type="dxa"/>
            <w:right w:w="10" w:type="dxa"/>
          </w:tblCellMar>
        </w:tblPrEx>
        <w:trPr>
          <w:cantSplit/>
          <w:trHeight w:val="684" w:hRule="atLeast"/>
          <w:jc w:val="center"/>
        </w:trPr>
        <w:tc>
          <w:tcPr>
            <w:tcW w:w="110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ascii="宋体" w:cs="宋体"/>
                <w:color w:val="auto"/>
              </w:rPr>
            </w:pPr>
          </w:p>
        </w:tc>
        <w:tc>
          <w:tcPr>
            <w:tcW w:w="202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ascii="宋体" w:cs="宋体"/>
                <w:color w:val="auto"/>
              </w:rPr>
            </w:pPr>
          </w:p>
        </w:tc>
        <w:tc>
          <w:tcPr>
            <w:tcW w:w="132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ascii="宋体" w:cs="宋体"/>
                <w:color w:val="auto"/>
              </w:rPr>
            </w:pPr>
          </w:p>
        </w:tc>
        <w:tc>
          <w:tcPr>
            <w:tcW w:w="122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ascii="宋体" w:cs="宋体"/>
                <w:color w:val="auto"/>
              </w:rPr>
            </w:pPr>
          </w:p>
        </w:tc>
        <w:tc>
          <w:tcPr>
            <w:tcW w:w="72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ascii="宋体" w:cs="宋体"/>
                <w:color w:val="auto"/>
              </w:rPr>
            </w:pPr>
          </w:p>
        </w:tc>
        <w:tc>
          <w:tcPr>
            <w:tcW w:w="72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ascii="宋体" w:cs="宋体"/>
                <w:color w:val="auto"/>
              </w:rPr>
            </w:pPr>
          </w:p>
        </w:tc>
        <w:tc>
          <w:tcPr>
            <w:tcW w:w="76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ascii="宋体" w:cs="宋体"/>
                <w:color w:val="auto"/>
              </w:rPr>
            </w:pPr>
          </w:p>
        </w:tc>
        <w:tc>
          <w:tcPr>
            <w:tcW w:w="72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ascii="宋体" w:cs="宋体"/>
                <w:color w:val="auto"/>
              </w:rPr>
            </w:pPr>
          </w:p>
        </w:tc>
        <w:tc>
          <w:tcPr>
            <w:tcW w:w="85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ascii="宋体" w:cs="宋体"/>
                <w:color w:val="auto"/>
              </w:rPr>
            </w:pPr>
          </w:p>
        </w:tc>
      </w:tr>
      <w:tr>
        <w:tblPrEx>
          <w:tblLayout w:type="fixed"/>
          <w:tblCellMar>
            <w:top w:w="0" w:type="dxa"/>
            <w:left w:w="10" w:type="dxa"/>
            <w:bottom w:w="0" w:type="dxa"/>
            <w:right w:w="10" w:type="dxa"/>
          </w:tblCellMar>
        </w:tblPrEx>
        <w:trPr>
          <w:cantSplit/>
          <w:trHeight w:val="684" w:hRule="atLeast"/>
          <w:jc w:val="center"/>
        </w:trPr>
        <w:tc>
          <w:tcPr>
            <w:tcW w:w="110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ascii="宋体" w:cs="宋体"/>
                <w:color w:val="auto"/>
              </w:rPr>
            </w:pPr>
          </w:p>
        </w:tc>
        <w:tc>
          <w:tcPr>
            <w:tcW w:w="202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ascii="宋体" w:cs="宋体"/>
                <w:color w:val="auto"/>
              </w:rPr>
            </w:pPr>
          </w:p>
        </w:tc>
        <w:tc>
          <w:tcPr>
            <w:tcW w:w="132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ascii="宋体" w:cs="宋体"/>
                <w:color w:val="auto"/>
              </w:rPr>
            </w:pPr>
          </w:p>
        </w:tc>
        <w:tc>
          <w:tcPr>
            <w:tcW w:w="122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ascii="宋体" w:cs="宋体"/>
                <w:color w:val="auto"/>
              </w:rPr>
            </w:pPr>
          </w:p>
        </w:tc>
        <w:tc>
          <w:tcPr>
            <w:tcW w:w="72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ascii="宋体" w:cs="宋体"/>
                <w:color w:val="auto"/>
              </w:rPr>
            </w:pPr>
          </w:p>
        </w:tc>
        <w:tc>
          <w:tcPr>
            <w:tcW w:w="72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ascii="宋体" w:cs="宋体"/>
                <w:color w:val="auto"/>
              </w:rPr>
            </w:pPr>
          </w:p>
        </w:tc>
        <w:tc>
          <w:tcPr>
            <w:tcW w:w="76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ascii="宋体" w:cs="宋体"/>
                <w:color w:val="auto"/>
              </w:rPr>
            </w:pPr>
          </w:p>
        </w:tc>
        <w:tc>
          <w:tcPr>
            <w:tcW w:w="72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ascii="宋体" w:cs="宋体"/>
                <w:color w:val="auto"/>
              </w:rPr>
            </w:pPr>
          </w:p>
        </w:tc>
        <w:tc>
          <w:tcPr>
            <w:tcW w:w="85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ascii="宋体" w:cs="宋体"/>
                <w:color w:val="auto"/>
              </w:rPr>
            </w:pPr>
          </w:p>
        </w:tc>
      </w:tr>
      <w:tr>
        <w:tblPrEx>
          <w:tblLayout w:type="fixed"/>
          <w:tblCellMar>
            <w:top w:w="0" w:type="dxa"/>
            <w:left w:w="10" w:type="dxa"/>
            <w:bottom w:w="0" w:type="dxa"/>
            <w:right w:w="10" w:type="dxa"/>
          </w:tblCellMar>
        </w:tblPrEx>
        <w:trPr>
          <w:cantSplit/>
          <w:trHeight w:val="684" w:hRule="atLeast"/>
          <w:jc w:val="center"/>
        </w:trPr>
        <w:tc>
          <w:tcPr>
            <w:tcW w:w="110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ascii="宋体" w:cs="宋体"/>
                <w:color w:val="auto"/>
              </w:rPr>
            </w:pPr>
          </w:p>
        </w:tc>
        <w:tc>
          <w:tcPr>
            <w:tcW w:w="202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ascii="宋体" w:cs="宋体"/>
                <w:color w:val="auto"/>
              </w:rPr>
            </w:pPr>
          </w:p>
        </w:tc>
        <w:tc>
          <w:tcPr>
            <w:tcW w:w="132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ascii="宋体" w:cs="宋体"/>
                <w:color w:val="auto"/>
              </w:rPr>
            </w:pPr>
          </w:p>
        </w:tc>
        <w:tc>
          <w:tcPr>
            <w:tcW w:w="122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ascii="宋体" w:cs="宋体"/>
                <w:color w:val="auto"/>
              </w:rPr>
            </w:pPr>
          </w:p>
        </w:tc>
        <w:tc>
          <w:tcPr>
            <w:tcW w:w="72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ascii="宋体" w:cs="宋体"/>
                <w:color w:val="auto"/>
              </w:rPr>
            </w:pPr>
          </w:p>
        </w:tc>
        <w:tc>
          <w:tcPr>
            <w:tcW w:w="72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ascii="宋体" w:cs="宋体"/>
                <w:color w:val="auto"/>
              </w:rPr>
            </w:pPr>
          </w:p>
        </w:tc>
        <w:tc>
          <w:tcPr>
            <w:tcW w:w="76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ascii="宋体" w:cs="宋体"/>
                <w:color w:val="auto"/>
              </w:rPr>
            </w:pPr>
          </w:p>
        </w:tc>
        <w:tc>
          <w:tcPr>
            <w:tcW w:w="72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ascii="宋体" w:cs="宋体"/>
                <w:color w:val="auto"/>
              </w:rPr>
            </w:pPr>
          </w:p>
        </w:tc>
        <w:tc>
          <w:tcPr>
            <w:tcW w:w="85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ascii="宋体" w:cs="宋体"/>
                <w:color w:val="auto"/>
              </w:rPr>
            </w:pPr>
          </w:p>
        </w:tc>
      </w:tr>
      <w:tr>
        <w:tblPrEx>
          <w:tblLayout w:type="fixed"/>
          <w:tblCellMar>
            <w:top w:w="0" w:type="dxa"/>
            <w:left w:w="10" w:type="dxa"/>
            <w:bottom w:w="0" w:type="dxa"/>
            <w:right w:w="10" w:type="dxa"/>
          </w:tblCellMar>
        </w:tblPrEx>
        <w:trPr>
          <w:cantSplit/>
          <w:trHeight w:val="684" w:hRule="atLeast"/>
          <w:jc w:val="center"/>
        </w:trPr>
        <w:tc>
          <w:tcPr>
            <w:tcW w:w="110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ascii="宋体" w:cs="宋体"/>
                <w:color w:val="auto"/>
              </w:rPr>
            </w:pPr>
          </w:p>
        </w:tc>
        <w:tc>
          <w:tcPr>
            <w:tcW w:w="202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ascii="宋体" w:cs="宋体"/>
                <w:color w:val="auto"/>
              </w:rPr>
            </w:pPr>
          </w:p>
        </w:tc>
        <w:tc>
          <w:tcPr>
            <w:tcW w:w="132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ascii="宋体" w:cs="宋体"/>
                <w:color w:val="auto"/>
              </w:rPr>
            </w:pPr>
          </w:p>
        </w:tc>
        <w:tc>
          <w:tcPr>
            <w:tcW w:w="122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ascii="宋体" w:cs="宋体"/>
                <w:color w:val="auto"/>
              </w:rPr>
            </w:pPr>
          </w:p>
        </w:tc>
        <w:tc>
          <w:tcPr>
            <w:tcW w:w="72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ascii="宋体" w:cs="宋体"/>
                <w:color w:val="auto"/>
              </w:rPr>
            </w:pPr>
          </w:p>
        </w:tc>
        <w:tc>
          <w:tcPr>
            <w:tcW w:w="72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ascii="宋体" w:cs="宋体"/>
                <w:color w:val="auto"/>
              </w:rPr>
            </w:pPr>
          </w:p>
        </w:tc>
        <w:tc>
          <w:tcPr>
            <w:tcW w:w="76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ascii="宋体" w:cs="宋体"/>
                <w:color w:val="auto"/>
              </w:rPr>
            </w:pPr>
          </w:p>
        </w:tc>
        <w:tc>
          <w:tcPr>
            <w:tcW w:w="72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ascii="宋体" w:cs="宋体"/>
                <w:color w:val="auto"/>
              </w:rPr>
            </w:pPr>
          </w:p>
        </w:tc>
        <w:tc>
          <w:tcPr>
            <w:tcW w:w="85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ascii="宋体" w:cs="宋体"/>
                <w:color w:val="auto"/>
              </w:rPr>
            </w:pPr>
          </w:p>
        </w:tc>
      </w:tr>
      <w:tr>
        <w:tblPrEx>
          <w:tblLayout w:type="fixed"/>
          <w:tblCellMar>
            <w:top w:w="0" w:type="dxa"/>
            <w:left w:w="10" w:type="dxa"/>
            <w:bottom w:w="0" w:type="dxa"/>
            <w:right w:w="10" w:type="dxa"/>
          </w:tblCellMar>
        </w:tblPrEx>
        <w:trPr>
          <w:cantSplit/>
          <w:trHeight w:val="684" w:hRule="atLeast"/>
          <w:jc w:val="center"/>
        </w:trPr>
        <w:tc>
          <w:tcPr>
            <w:tcW w:w="110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ascii="宋体" w:cs="宋体"/>
                <w:color w:val="auto"/>
              </w:rPr>
            </w:pPr>
          </w:p>
        </w:tc>
        <w:tc>
          <w:tcPr>
            <w:tcW w:w="202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ascii="宋体" w:cs="宋体"/>
                <w:color w:val="auto"/>
              </w:rPr>
            </w:pPr>
          </w:p>
        </w:tc>
        <w:tc>
          <w:tcPr>
            <w:tcW w:w="132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ascii="宋体" w:cs="宋体"/>
                <w:color w:val="auto"/>
              </w:rPr>
            </w:pPr>
          </w:p>
        </w:tc>
        <w:tc>
          <w:tcPr>
            <w:tcW w:w="122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ascii="宋体" w:cs="宋体"/>
                <w:color w:val="auto"/>
              </w:rPr>
            </w:pPr>
          </w:p>
        </w:tc>
        <w:tc>
          <w:tcPr>
            <w:tcW w:w="72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ascii="宋体" w:cs="宋体"/>
                <w:color w:val="auto"/>
              </w:rPr>
            </w:pPr>
          </w:p>
        </w:tc>
        <w:tc>
          <w:tcPr>
            <w:tcW w:w="72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ascii="宋体" w:cs="宋体"/>
                <w:color w:val="auto"/>
              </w:rPr>
            </w:pPr>
          </w:p>
        </w:tc>
        <w:tc>
          <w:tcPr>
            <w:tcW w:w="76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ascii="宋体" w:cs="宋体"/>
                <w:color w:val="auto"/>
              </w:rPr>
            </w:pPr>
          </w:p>
        </w:tc>
        <w:tc>
          <w:tcPr>
            <w:tcW w:w="72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ascii="宋体" w:cs="宋体"/>
                <w:color w:val="auto"/>
              </w:rPr>
            </w:pPr>
          </w:p>
        </w:tc>
        <w:tc>
          <w:tcPr>
            <w:tcW w:w="85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ascii="宋体" w:cs="宋体"/>
                <w:color w:val="auto"/>
              </w:rPr>
            </w:pPr>
          </w:p>
        </w:tc>
      </w:tr>
      <w:tr>
        <w:tblPrEx>
          <w:tblLayout w:type="fixed"/>
          <w:tblCellMar>
            <w:top w:w="0" w:type="dxa"/>
            <w:left w:w="10" w:type="dxa"/>
            <w:bottom w:w="0" w:type="dxa"/>
            <w:right w:w="10" w:type="dxa"/>
          </w:tblCellMar>
        </w:tblPrEx>
        <w:trPr>
          <w:cantSplit/>
          <w:trHeight w:val="684" w:hRule="atLeast"/>
          <w:jc w:val="center"/>
        </w:trPr>
        <w:tc>
          <w:tcPr>
            <w:tcW w:w="9466" w:type="dxa"/>
            <w:gridSpan w:val="9"/>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left"/>
              <w:rPr>
                <w:rFonts w:ascii="宋体" w:cs="宋体"/>
                <w:color w:val="auto"/>
              </w:rPr>
            </w:pPr>
            <w:r>
              <w:rPr>
                <w:rFonts w:hint="eastAsia" w:ascii="宋体" w:hAnsi="宋体" w:cs="宋体"/>
                <w:color w:val="auto"/>
              </w:rPr>
              <w:t>分项报价合计</w:t>
            </w:r>
            <w:r>
              <w:rPr>
                <w:rFonts w:hint="eastAsia" w:ascii="宋体" w:hAnsi="宋体" w:eastAsia="宋体" w:cs="宋体"/>
                <w:color w:val="auto"/>
              </w:rPr>
              <w:t>￥</w:t>
            </w:r>
            <w:r>
              <w:rPr>
                <w:rFonts w:hint="eastAsia" w:ascii="宋体" w:hAnsi="宋体" w:cs="宋体"/>
                <w:color w:val="auto"/>
                <w:u w:val="single"/>
                <w:lang w:val="en-US" w:eastAsia="zh-CN"/>
              </w:rPr>
              <w:t xml:space="preserve">         </w:t>
            </w:r>
            <w:r>
              <w:rPr>
                <w:rFonts w:hint="eastAsia" w:ascii="宋体" w:hAnsi="宋体" w:cs="宋体"/>
                <w:color w:val="auto"/>
                <w:u w:val="none"/>
                <w:lang w:val="en-US" w:eastAsia="zh-CN"/>
              </w:rPr>
              <w:t>元</w:t>
            </w:r>
            <w:r>
              <w:rPr>
                <w:rFonts w:hint="eastAsia" w:ascii="宋体" w:hAnsi="宋体" w:cs="宋体"/>
                <w:color w:val="auto"/>
              </w:rPr>
              <w:t>（</w:t>
            </w:r>
            <w:r>
              <w:rPr>
                <w:rFonts w:hint="eastAsia" w:ascii="宋体" w:hAnsi="宋体" w:cs="宋体"/>
                <w:color w:val="auto"/>
                <w:lang w:eastAsia="zh-CN"/>
              </w:rPr>
              <w:t>大写：</w:t>
            </w:r>
            <w:r>
              <w:rPr>
                <w:rFonts w:hint="eastAsia" w:ascii="宋体" w:hAnsi="宋体" w:cs="宋体"/>
                <w:color w:val="auto"/>
              </w:rPr>
              <w:t>人民币</w:t>
            </w:r>
            <w:r>
              <w:rPr>
                <w:rFonts w:hint="eastAsia" w:ascii="宋体" w:hAnsi="宋体" w:cs="宋体"/>
                <w:color w:val="auto"/>
                <w:u w:val="single"/>
                <w:lang w:val="en-US" w:eastAsia="zh-CN"/>
              </w:rPr>
              <w:t xml:space="preserve">         </w:t>
            </w:r>
            <w:r>
              <w:rPr>
                <w:rFonts w:hint="eastAsia" w:ascii="宋体" w:hAnsi="宋体" w:cs="宋体"/>
                <w:color w:val="auto"/>
              </w:rPr>
              <w:t>）</w:t>
            </w:r>
          </w:p>
        </w:tc>
      </w:tr>
    </w:tbl>
    <w:p>
      <w:pPr>
        <w:spacing w:line="360" w:lineRule="auto"/>
        <w:ind w:left="735" w:hanging="735"/>
        <w:rPr>
          <w:rFonts w:ascii="宋体" w:cs="宋体"/>
          <w:color w:val="auto"/>
        </w:rPr>
      </w:pPr>
      <w:r>
        <w:rPr>
          <w:rFonts w:hint="eastAsia" w:ascii="宋体" w:hAnsi="宋体" w:cs="宋体"/>
          <w:color w:val="auto"/>
        </w:rPr>
        <w:t>注：</w:t>
      </w:r>
      <w:r>
        <w:rPr>
          <w:rFonts w:ascii="宋体" w:hAnsi="宋体" w:cs="宋体"/>
          <w:color w:val="auto"/>
        </w:rPr>
        <w:t>1</w:t>
      </w:r>
      <w:r>
        <w:rPr>
          <w:rFonts w:hint="eastAsia" w:ascii="宋体" w:hAnsi="宋体" w:cs="宋体"/>
          <w:color w:val="auto"/>
        </w:rPr>
        <w:t>、投标人必须按“分项报价明细表”的格式详细报出投标总价的各个组成部分的报价。</w:t>
      </w:r>
    </w:p>
    <w:p>
      <w:pPr>
        <w:spacing w:line="360" w:lineRule="auto"/>
        <w:rPr>
          <w:rFonts w:ascii="宋体" w:cs="宋体"/>
          <w:color w:val="auto"/>
        </w:rPr>
      </w:pPr>
      <w:r>
        <w:rPr>
          <w:rFonts w:ascii="宋体" w:hAnsi="宋体" w:cs="宋体"/>
          <w:color w:val="auto"/>
        </w:rPr>
        <w:t xml:space="preserve">    2</w:t>
      </w:r>
      <w:r>
        <w:rPr>
          <w:rFonts w:hint="eastAsia" w:ascii="宋体" w:hAnsi="宋体" w:cs="宋体"/>
          <w:color w:val="auto"/>
        </w:rPr>
        <w:t>、“分项报价明细表”各分项报价合计应当与“开标一览表”报价合计相等。</w:t>
      </w:r>
    </w:p>
    <w:p>
      <w:pPr>
        <w:spacing w:line="360" w:lineRule="auto"/>
        <w:rPr>
          <w:rFonts w:ascii="宋体" w:cs="宋体"/>
          <w:color w:val="auto"/>
        </w:rPr>
      </w:pPr>
    </w:p>
    <w:p>
      <w:pPr>
        <w:spacing w:line="360" w:lineRule="auto"/>
        <w:ind w:firstLine="420"/>
        <w:rPr>
          <w:rFonts w:ascii="宋体" w:cs="宋体"/>
          <w:color w:val="auto"/>
        </w:rPr>
      </w:pPr>
    </w:p>
    <w:p>
      <w:pPr>
        <w:spacing w:line="360" w:lineRule="auto"/>
        <w:rPr>
          <w:rFonts w:ascii="宋体" w:cs="宋体"/>
          <w:color w:val="auto"/>
        </w:rPr>
      </w:pPr>
      <w:r>
        <w:rPr>
          <w:rFonts w:hint="eastAsia" w:ascii="宋体" w:hAnsi="宋体" w:cs="宋体"/>
          <w:color w:val="auto"/>
        </w:rPr>
        <w:t>投标人名称：</w:t>
      </w:r>
      <w:r>
        <w:rPr>
          <w:rFonts w:hint="eastAsia" w:ascii="宋体" w:hAnsi="宋体" w:cs="宋体"/>
          <w:color w:val="auto"/>
          <w:u w:val="single"/>
          <w:lang w:val="en-US" w:eastAsia="zh-CN"/>
        </w:rPr>
        <w:t xml:space="preserve">                   </w:t>
      </w:r>
      <w:r>
        <w:rPr>
          <w:rFonts w:hint="eastAsia" w:ascii="宋体" w:hAnsi="宋体" w:cs="宋体"/>
          <w:color w:val="auto"/>
        </w:rPr>
        <w:t>（盖公章）</w:t>
      </w:r>
    </w:p>
    <w:p>
      <w:pPr>
        <w:spacing w:line="360" w:lineRule="auto"/>
        <w:rPr>
          <w:rFonts w:hint="eastAsia" w:ascii="宋体" w:eastAsia="宋体" w:cs="宋体"/>
          <w:color w:val="auto"/>
          <w:u w:val="single"/>
          <w:lang w:val="en-US" w:eastAsia="zh-CN"/>
        </w:rPr>
      </w:pPr>
      <w:r>
        <w:rPr>
          <w:rFonts w:hint="eastAsia" w:ascii="宋体" w:hAnsi="宋体" w:cs="宋体"/>
          <w:color w:val="auto"/>
        </w:rPr>
        <w:t>法定代表人或授权代表签字：</w:t>
      </w:r>
      <w:r>
        <w:rPr>
          <w:rFonts w:hint="eastAsia" w:ascii="宋体" w:hAnsi="宋体" w:cs="宋体"/>
          <w:color w:val="auto"/>
          <w:u w:val="single"/>
          <w:lang w:val="en-US" w:eastAsia="zh-CN"/>
        </w:rPr>
        <w:t xml:space="preserve">             </w:t>
      </w:r>
    </w:p>
    <w:p>
      <w:pPr>
        <w:autoSpaceDE w:val="0"/>
        <w:autoSpaceDN w:val="0"/>
        <w:snapToGrid w:val="0"/>
        <w:spacing w:line="360" w:lineRule="auto"/>
        <w:rPr>
          <w:rFonts w:ascii="宋体" w:cs="宋体"/>
          <w:color w:val="auto"/>
          <w:spacing w:val="8"/>
          <w:u w:val="single"/>
        </w:rPr>
      </w:pPr>
      <w:r>
        <w:rPr>
          <w:rFonts w:hint="eastAsia" w:ascii="宋体" w:hAnsi="宋体" w:cs="宋体"/>
          <w:color w:val="auto"/>
          <w:spacing w:val="8"/>
        </w:rPr>
        <w:t>日期：</w:t>
      </w:r>
      <w:r>
        <w:rPr>
          <w:rFonts w:hint="eastAsia" w:ascii="宋体" w:hAnsi="宋体" w:cs="宋体"/>
          <w:color w:val="auto"/>
          <w:spacing w:val="8"/>
          <w:u w:val="single"/>
          <w:lang w:val="en-US" w:eastAsia="zh-CN"/>
        </w:rPr>
        <w:t xml:space="preserve">        </w:t>
      </w:r>
      <w:r>
        <w:rPr>
          <w:rFonts w:hint="eastAsia" w:ascii="宋体" w:hAnsi="宋体" w:cs="宋体"/>
          <w:color w:val="auto"/>
          <w:spacing w:val="8"/>
        </w:rPr>
        <w:t>年</w:t>
      </w:r>
      <w:r>
        <w:rPr>
          <w:rFonts w:hint="eastAsia" w:ascii="宋体" w:hAnsi="宋体" w:cs="宋体"/>
          <w:color w:val="auto"/>
          <w:spacing w:val="8"/>
          <w:u w:val="single"/>
          <w:lang w:val="en-US" w:eastAsia="zh-CN"/>
        </w:rPr>
        <w:t xml:space="preserve">   </w:t>
      </w:r>
      <w:r>
        <w:rPr>
          <w:rFonts w:hint="eastAsia" w:ascii="宋体" w:hAnsi="宋体" w:cs="宋体"/>
          <w:color w:val="auto"/>
          <w:spacing w:val="8"/>
        </w:rPr>
        <w:t>月</w:t>
      </w:r>
      <w:r>
        <w:rPr>
          <w:rFonts w:hint="eastAsia" w:ascii="宋体" w:hAnsi="宋体" w:cs="宋体"/>
          <w:color w:val="auto"/>
          <w:spacing w:val="8"/>
          <w:u w:val="single"/>
          <w:lang w:val="en-US" w:eastAsia="zh-CN"/>
        </w:rPr>
        <w:t xml:space="preserve">   </w:t>
      </w:r>
      <w:r>
        <w:rPr>
          <w:rFonts w:hint="eastAsia" w:ascii="宋体" w:hAnsi="宋体" w:cs="宋体"/>
          <w:color w:val="auto"/>
          <w:spacing w:val="8"/>
        </w:rPr>
        <w:t>日</w:t>
      </w:r>
    </w:p>
    <w:p>
      <w:pPr>
        <w:spacing w:line="360" w:lineRule="auto"/>
        <w:rPr>
          <w:rFonts w:ascii="宋体" w:cs="宋体"/>
          <w:color w:val="auto"/>
        </w:rPr>
      </w:pPr>
    </w:p>
    <w:p>
      <w:pPr>
        <w:pStyle w:val="9"/>
        <w:pBdr>
          <w:top w:val="none" w:color="auto" w:sz="0" w:space="0"/>
          <w:left w:val="none" w:color="auto" w:sz="0" w:space="0"/>
          <w:bottom w:val="none" w:color="auto" w:sz="0" w:space="0"/>
          <w:right w:val="none" w:color="auto" w:sz="0" w:space="0"/>
          <w:between w:val="none" w:color="auto" w:sz="0" w:space="0"/>
        </w:pBdr>
        <w:spacing w:line="360" w:lineRule="auto"/>
        <w:rPr>
          <w:color w:val="auto"/>
          <w:sz w:val="24"/>
          <w:szCs w:val="24"/>
        </w:rPr>
      </w:pPr>
    </w:p>
    <w:p>
      <w:pPr>
        <w:pStyle w:val="8"/>
        <w:pBdr>
          <w:top w:val="none" w:color="auto" w:sz="0" w:space="0"/>
          <w:left w:val="none" w:color="auto" w:sz="0" w:space="0"/>
          <w:bottom w:val="none" w:color="auto" w:sz="0" w:space="0"/>
          <w:right w:val="none" w:color="auto" w:sz="0" w:space="0"/>
          <w:between w:val="none" w:color="auto" w:sz="0" w:space="0"/>
        </w:pBdr>
        <w:spacing w:line="360" w:lineRule="auto"/>
        <w:rPr>
          <w:color w:val="auto"/>
          <w:sz w:val="24"/>
          <w:szCs w:val="24"/>
        </w:rPr>
      </w:pPr>
    </w:p>
    <w:p>
      <w:pPr>
        <w:pStyle w:val="8"/>
        <w:pBdr>
          <w:top w:val="none" w:color="auto" w:sz="0" w:space="0"/>
          <w:left w:val="none" w:color="auto" w:sz="0" w:space="0"/>
          <w:bottom w:val="none" w:color="auto" w:sz="0" w:space="0"/>
          <w:right w:val="none" w:color="auto" w:sz="0" w:space="0"/>
          <w:between w:val="none" w:color="auto" w:sz="0" w:space="0"/>
        </w:pBdr>
        <w:spacing w:line="360" w:lineRule="auto"/>
        <w:rPr>
          <w:color w:val="auto"/>
          <w:sz w:val="24"/>
          <w:szCs w:val="24"/>
        </w:rPr>
      </w:pPr>
    </w:p>
    <w:p>
      <w:pPr>
        <w:pStyle w:val="8"/>
        <w:pBdr>
          <w:top w:val="none" w:color="auto" w:sz="0" w:space="0"/>
          <w:left w:val="none" w:color="auto" w:sz="0" w:space="0"/>
          <w:bottom w:val="none" w:color="auto" w:sz="0" w:space="0"/>
          <w:right w:val="none" w:color="auto" w:sz="0" w:space="0"/>
          <w:between w:val="none" w:color="auto" w:sz="0" w:space="0"/>
        </w:pBdr>
        <w:spacing w:line="360" w:lineRule="auto"/>
        <w:jc w:val="both"/>
        <w:rPr>
          <w:color w:val="auto"/>
          <w:sz w:val="24"/>
          <w:szCs w:val="24"/>
        </w:rPr>
      </w:pPr>
    </w:p>
    <w:p>
      <w:pPr>
        <w:spacing w:line="360" w:lineRule="auto"/>
        <w:jc w:val="center"/>
        <w:rPr>
          <w:rFonts w:ascii="宋体" w:cs="宋体"/>
          <w:bCs/>
          <w:color w:val="auto"/>
        </w:rPr>
      </w:pPr>
      <w:r>
        <w:rPr>
          <w:rFonts w:hint="eastAsia" w:ascii="宋体" w:hAnsi="宋体" w:cs="宋体"/>
          <w:bCs/>
          <w:color w:val="auto"/>
        </w:rPr>
        <w:t>四、资格证明文件</w:t>
      </w:r>
    </w:p>
    <w:p>
      <w:pPr>
        <w:spacing w:line="360" w:lineRule="auto"/>
        <w:jc w:val="left"/>
        <w:rPr>
          <w:rFonts w:ascii="宋体" w:cs="宋体"/>
          <w:color w:val="auto"/>
        </w:rPr>
      </w:pPr>
      <w:r>
        <w:rPr>
          <w:rFonts w:ascii="宋体" w:hAnsi="宋体" w:cs="宋体"/>
          <w:color w:val="auto"/>
        </w:rPr>
        <w:t>1</w:t>
      </w:r>
      <w:r>
        <w:rPr>
          <w:rFonts w:hint="eastAsia" w:ascii="宋体" w:hAnsi="宋体" w:cs="宋体"/>
          <w:color w:val="auto"/>
        </w:rPr>
        <w:t>、法定代表人授权书</w:t>
      </w:r>
    </w:p>
    <w:p>
      <w:pPr>
        <w:spacing w:line="360" w:lineRule="auto"/>
        <w:rPr>
          <w:rFonts w:ascii="宋体" w:cs="宋体"/>
          <w:color w:val="auto"/>
        </w:rPr>
      </w:pPr>
      <w:r>
        <w:rPr>
          <w:rFonts w:hint="eastAsia" w:ascii="宋体" w:hAnsi="宋体" w:cs="宋体"/>
          <w:color w:val="auto"/>
        </w:rPr>
        <w:t>致</w:t>
      </w:r>
      <w:r>
        <w:rPr>
          <w:rFonts w:hint="eastAsia" w:ascii="宋体" w:hAnsi="宋体" w:cs="宋体"/>
          <w:color w:val="auto"/>
          <w:u w:val="single"/>
        </w:rPr>
        <w:t>红城国际工程项目管理有限公司</w:t>
      </w:r>
      <w:r>
        <w:rPr>
          <w:rFonts w:hint="eastAsia" w:ascii="宋体" w:hAnsi="宋体" w:cs="宋体"/>
          <w:color w:val="auto"/>
        </w:rPr>
        <w:t>：</w:t>
      </w:r>
    </w:p>
    <w:p>
      <w:pPr>
        <w:spacing w:line="360" w:lineRule="auto"/>
        <w:ind w:firstLine="480" w:firstLineChars="200"/>
        <w:rPr>
          <w:rFonts w:ascii="宋体" w:cs="宋体"/>
          <w:color w:val="auto"/>
        </w:rPr>
      </w:pPr>
      <w:r>
        <w:rPr>
          <w:rFonts w:hint="eastAsia" w:ascii="宋体" w:hAnsi="宋体" w:cs="宋体"/>
          <w:color w:val="auto"/>
        </w:rPr>
        <w:t>兹授权：</w:t>
      </w:r>
      <w:r>
        <w:rPr>
          <w:rFonts w:hint="eastAsia" w:ascii="宋体" w:hAnsi="宋体" w:cs="宋体"/>
          <w:color w:val="auto"/>
          <w:u w:val="single"/>
          <w:lang w:val="en-US" w:eastAsia="zh-CN"/>
        </w:rPr>
        <w:t xml:space="preserve">       </w:t>
      </w:r>
      <w:r>
        <w:rPr>
          <w:rFonts w:hint="eastAsia" w:ascii="宋体" w:hAnsi="宋体" w:cs="宋体"/>
          <w:color w:val="auto"/>
        </w:rPr>
        <w:t>先生</w:t>
      </w:r>
      <w:r>
        <w:rPr>
          <w:rFonts w:ascii="宋体" w:hAnsi="宋体" w:cs="宋体"/>
          <w:color w:val="auto"/>
        </w:rPr>
        <w:t>/</w:t>
      </w:r>
      <w:r>
        <w:rPr>
          <w:rFonts w:hint="eastAsia" w:ascii="宋体" w:hAnsi="宋体" w:cs="宋体"/>
          <w:color w:val="auto"/>
        </w:rPr>
        <w:t>女士作为我公司的合法授权代理人，参加红城国际工程项目管理有限公司组织的（</w:t>
      </w:r>
      <w:r>
        <w:rPr>
          <w:rFonts w:hint="eastAsia" w:ascii="宋体" w:hAnsi="宋体" w:cs="宋体"/>
          <w:color w:val="auto"/>
          <w:lang w:eastAsia="zh-CN"/>
        </w:rPr>
        <w:t>项目</w:t>
      </w:r>
      <w:r>
        <w:rPr>
          <w:rFonts w:hint="eastAsia" w:ascii="宋体" w:hAnsi="宋体" w:cs="宋体"/>
          <w:color w:val="auto"/>
        </w:rPr>
        <w:t>编号：</w:t>
      </w:r>
      <w:r>
        <w:rPr>
          <w:rFonts w:hint="eastAsia" w:ascii="宋体" w:hAnsi="宋体" w:cs="宋体"/>
          <w:color w:val="auto"/>
          <w:u w:val="single"/>
          <w:lang w:eastAsia="zh-CN"/>
        </w:rPr>
        <w:t>HCGJ18-215R</w:t>
      </w:r>
      <w:r>
        <w:rPr>
          <w:rFonts w:hint="eastAsia" w:ascii="宋体" w:hAnsi="宋体" w:cs="宋体"/>
          <w:color w:val="auto"/>
        </w:rPr>
        <w:t>，项目名称：</w:t>
      </w:r>
      <w:r>
        <w:rPr>
          <w:rFonts w:hint="eastAsia" w:ascii="宋体" w:hAnsi="宋体" w:cs="宋体"/>
          <w:color w:val="auto"/>
          <w:u w:val="single"/>
          <w:lang w:eastAsia="zh-CN"/>
        </w:rPr>
        <w:t>海棠湾车辆采购项目(二次招标)</w:t>
      </w:r>
      <w:r>
        <w:rPr>
          <w:rFonts w:hint="eastAsia" w:ascii="宋体" w:hAnsi="宋体" w:cs="宋体"/>
          <w:color w:val="auto"/>
        </w:rPr>
        <w:t>的政府采购活动。</w:t>
      </w:r>
    </w:p>
    <w:p>
      <w:pPr>
        <w:spacing w:line="360" w:lineRule="auto"/>
        <w:ind w:firstLine="480" w:firstLineChars="200"/>
        <w:rPr>
          <w:rFonts w:ascii="宋体" w:cs="宋体"/>
          <w:color w:val="auto"/>
        </w:rPr>
      </w:pPr>
      <w:r>
        <w:rPr>
          <w:rFonts w:hint="eastAsia" w:ascii="宋体" w:hAnsi="宋体" w:cs="宋体"/>
          <w:color w:val="auto"/>
        </w:rPr>
        <w:t>授权权限：全权代表本公司参与上述采购项目的询价，并负责一切响应文件的提供与确认，其签字与我司公章具有相同的法律效力。有效期限：与采购文件（询价通知书）中标注的投标有效期相同，自法定代表人签字之日起生效。</w:t>
      </w:r>
    </w:p>
    <w:p>
      <w:pPr>
        <w:spacing w:line="360" w:lineRule="auto"/>
        <w:ind w:firstLine="480" w:firstLineChars="200"/>
        <w:rPr>
          <w:rFonts w:ascii="宋体" w:cs="宋体"/>
          <w:color w:val="auto"/>
        </w:rPr>
      </w:pPr>
    </w:p>
    <w:p>
      <w:pPr>
        <w:spacing w:line="360" w:lineRule="auto"/>
        <w:ind w:firstLine="480" w:firstLineChars="200"/>
        <w:rPr>
          <w:rFonts w:hint="eastAsia" w:ascii="宋体" w:eastAsia="宋体" w:cs="宋体"/>
          <w:color w:val="auto"/>
          <w:u w:val="single"/>
          <w:lang w:val="en-US" w:eastAsia="zh-CN"/>
        </w:rPr>
      </w:pPr>
      <w:r>
        <w:rPr>
          <w:rFonts w:hint="eastAsia" w:ascii="宋体" w:hAnsi="宋体" w:cs="宋体"/>
          <w:color w:val="auto"/>
        </w:rPr>
        <w:t>被授权人：</w:t>
      </w:r>
      <w:r>
        <w:rPr>
          <w:rFonts w:hint="eastAsia" w:ascii="宋体" w:hAnsi="宋体" w:cs="宋体"/>
          <w:color w:val="auto"/>
          <w:u w:val="single"/>
          <w:lang w:val="en-US" w:eastAsia="zh-CN"/>
        </w:rPr>
        <w:t xml:space="preserve">           </w:t>
      </w:r>
      <w:r>
        <w:rPr>
          <w:rFonts w:hint="eastAsia" w:ascii="宋体" w:hAnsi="宋体" w:cs="宋体"/>
          <w:color w:val="auto"/>
          <w:u w:val="single"/>
        </w:rPr>
        <w:t>（亲笔签名）</w:t>
      </w:r>
      <w:r>
        <w:rPr>
          <w:rFonts w:hint="eastAsia" w:ascii="宋体" w:hAnsi="宋体" w:cs="宋体"/>
          <w:color w:val="auto"/>
        </w:rPr>
        <w:t>联系电话：</w:t>
      </w:r>
      <w:r>
        <w:rPr>
          <w:rFonts w:hint="eastAsia" w:ascii="宋体" w:hAnsi="宋体" w:cs="宋体"/>
          <w:color w:val="auto"/>
          <w:u w:val="single"/>
          <w:lang w:val="en-US" w:eastAsia="zh-CN"/>
        </w:rPr>
        <w:t xml:space="preserve">                      </w:t>
      </w:r>
    </w:p>
    <w:p>
      <w:pPr>
        <w:spacing w:line="360" w:lineRule="auto"/>
        <w:ind w:firstLine="480" w:firstLineChars="200"/>
        <w:rPr>
          <w:rFonts w:hint="eastAsia" w:ascii="宋体" w:eastAsia="宋体" w:cs="宋体"/>
          <w:color w:val="auto"/>
          <w:u w:val="single"/>
          <w:lang w:val="en-US" w:eastAsia="zh-CN"/>
        </w:rPr>
      </w:pPr>
      <w:r>
        <w:rPr>
          <w:rFonts w:hint="eastAsia" w:ascii="宋体" w:hAnsi="宋体" w:cs="宋体"/>
          <w:color w:val="auto"/>
        </w:rPr>
        <w:t>职务：</w:t>
      </w:r>
      <w:r>
        <w:rPr>
          <w:rFonts w:hint="eastAsia" w:ascii="宋体" w:hAnsi="宋体" w:cs="宋体"/>
          <w:color w:val="auto"/>
          <w:u w:val="single"/>
          <w:lang w:val="en-US" w:eastAsia="zh-CN"/>
        </w:rPr>
        <w:t xml:space="preserve">                  </w:t>
      </w:r>
      <w:r>
        <w:rPr>
          <w:rFonts w:hint="eastAsia" w:ascii="宋体" w:hAnsi="宋体" w:cs="宋体"/>
          <w:color w:val="auto"/>
        </w:rPr>
        <w:t>身份证号码：</w:t>
      </w:r>
      <w:r>
        <w:rPr>
          <w:rFonts w:hint="eastAsia" w:ascii="宋体" w:hAnsi="宋体" w:cs="宋体"/>
          <w:color w:val="auto"/>
          <w:u w:val="single"/>
          <w:lang w:val="en-US" w:eastAsia="zh-CN"/>
        </w:rPr>
        <w:t xml:space="preserve">                               </w:t>
      </w:r>
    </w:p>
    <w:p>
      <w:pPr>
        <w:spacing w:line="360" w:lineRule="auto"/>
        <w:ind w:firstLine="480" w:firstLineChars="200"/>
        <w:rPr>
          <w:rFonts w:hint="eastAsia" w:ascii="宋体" w:eastAsia="宋体" w:cs="宋体"/>
          <w:color w:val="auto"/>
          <w:u w:val="single"/>
          <w:lang w:val="en-US" w:eastAsia="zh-CN"/>
        </w:rPr>
      </w:pPr>
      <w:r>
        <w:rPr>
          <w:rFonts w:hint="eastAsia" w:ascii="宋体" w:hAnsi="宋体" w:cs="宋体"/>
          <w:color w:val="auto"/>
        </w:rPr>
        <w:t>公司名称：</w:t>
      </w:r>
      <w:r>
        <w:rPr>
          <w:rFonts w:hint="eastAsia" w:ascii="宋体" w:hAnsi="宋体" w:cs="宋体"/>
          <w:color w:val="auto"/>
          <w:u w:val="single"/>
          <w:lang w:val="en-US" w:eastAsia="zh-CN"/>
        </w:rPr>
        <w:t xml:space="preserve">             </w:t>
      </w:r>
      <w:r>
        <w:rPr>
          <w:rFonts w:hint="eastAsia" w:ascii="宋体" w:hAnsi="宋体" w:cs="宋体"/>
          <w:color w:val="auto"/>
          <w:u w:val="single"/>
        </w:rPr>
        <w:t>（盖公章）</w:t>
      </w:r>
      <w:r>
        <w:rPr>
          <w:rFonts w:hint="eastAsia" w:ascii="宋体" w:hAnsi="宋体" w:cs="宋体"/>
          <w:color w:val="auto"/>
        </w:rPr>
        <w:t>营业执照号码：</w:t>
      </w:r>
      <w:r>
        <w:rPr>
          <w:rFonts w:hint="eastAsia" w:ascii="宋体" w:hAnsi="宋体" w:cs="宋体"/>
          <w:color w:val="auto"/>
          <w:u w:val="single"/>
          <w:lang w:val="en-US" w:eastAsia="zh-CN"/>
        </w:rPr>
        <w:t xml:space="preserve">                   </w:t>
      </w:r>
    </w:p>
    <w:p>
      <w:pPr>
        <w:spacing w:line="360" w:lineRule="auto"/>
        <w:ind w:firstLine="480" w:firstLineChars="200"/>
        <w:rPr>
          <w:rFonts w:hint="eastAsia" w:ascii="宋体" w:eastAsia="宋体" w:cs="宋体"/>
          <w:color w:val="auto"/>
          <w:u w:val="single"/>
          <w:lang w:val="en-US" w:eastAsia="zh-CN"/>
        </w:rPr>
      </w:pPr>
      <w:r>
        <w:rPr>
          <w:rFonts w:hint="eastAsia" w:ascii="宋体" w:hAnsi="宋体" w:cs="宋体"/>
          <w:color w:val="auto"/>
        </w:rPr>
        <w:t>法定代表人：</w:t>
      </w:r>
      <w:r>
        <w:rPr>
          <w:rFonts w:hint="eastAsia" w:ascii="宋体" w:hAnsi="宋体" w:cs="宋体"/>
          <w:color w:val="auto"/>
          <w:u w:val="single"/>
          <w:lang w:val="en-US" w:eastAsia="zh-CN"/>
        </w:rPr>
        <w:t xml:space="preserve">              </w:t>
      </w:r>
      <w:r>
        <w:rPr>
          <w:rFonts w:hint="eastAsia" w:ascii="宋体" w:hAnsi="宋体" w:cs="宋体"/>
          <w:color w:val="auto"/>
          <w:u w:val="single"/>
        </w:rPr>
        <w:t>（亲笔签名）</w:t>
      </w:r>
      <w:r>
        <w:rPr>
          <w:rFonts w:hint="eastAsia" w:ascii="宋体" w:hAnsi="宋体" w:cs="宋体"/>
          <w:color w:val="auto"/>
        </w:rPr>
        <w:t>联系电话：</w:t>
      </w:r>
      <w:r>
        <w:rPr>
          <w:rFonts w:hint="eastAsia" w:ascii="宋体" w:hAnsi="宋体" w:cs="宋体"/>
          <w:color w:val="auto"/>
          <w:u w:val="single"/>
          <w:lang w:val="en-US" w:eastAsia="zh-CN"/>
        </w:rPr>
        <w:t xml:space="preserve">                  </w:t>
      </w:r>
    </w:p>
    <w:p>
      <w:pPr>
        <w:spacing w:line="360" w:lineRule="auto"/>
        <w:ind w:firstLine="480" w:firstLineChars="200"/>
        <w:rPr>
          <w:rFonts w:hint="eastAsia" w:ascii="宋体" w:eastAsia="宋体" w:cs="宋体"/>
          <w:color w:val="auto"/>
          <w:u w:val="single"/>
          <w:lang w:val="en-US" w:eastAsia="zh-CN"/>
        </w:rPr>
      </w:pPr>
      <w:r>
        <w:rPr>
          <w:rFonts w:hint="eastAsia" w:ascii="宋体" w:hAnsi="宋体" w:cs="宋体"/>
          <w:color w:val="auto"/>
        </w:rPr>
        <w:t>职务：</w:t>
      </w:r>
      <w:r>
        <w:rPr>
          <w:rFonts w:hint="eastAsia" w:ascii="宋体" w:hAnsi="宋体" w:cs="宋体"/>
          <w:color w:val="auto"/>
          <w:u w:val="single"/>
          <w:lang w:val="en-US" w:eastAsia="zh-CN"/>
        </w:rPr>
        <w:t xml:space="preserve">             </w:t>
      </w:r>
      <w:r>
        <w:rPr>
          <w:rFonts w:hint="eastAsia" w:ascii="宋体" w:hAnsi="宋体" w:cs="宋体"/>
          <w:color w:val="auto"/>
        </w:rPr>
        <w:t>身份证号码：</w:t>
      </w:r>
      <w:r>
        <w:rPr>
          <w:rFonts w:hint="eastAsia" w:ascii="宋体" w:hAnsi="宋体" w:cs="宋体"/>
          <w:color w:val="auto"/>
          <w:u w:val="single"/>
          <w:lang w:val="en-US" w:eastAsia="zh-CN"/>
        </w:rPr>
        <w:t xml:space="preserve">                                    </w:t>
      </w:r>
    </w:p>
    <w:p>
      <w:pPr>
        <w:spacing w:line="360" w:lineRule="auto"/>
        <w:ind w:firstLine="480" w:firstLineChars="200"/>
        <w:rPr>
          <w:rFonts w:ascii="宋体" w:cs="宋体"/>
          <w:color w:val="auto"/>
        </w:rPr>
      </w:pPr>
      <w:r>
        <w:rPr>
          <w:rFonts w:hint="eastAsia" w:ascii="宋体" w:hAnsi="宋体" w:cs="宋体"/>
          <w:color w:val="auto"/>
        </w:rPr>
        <w:t>生效日期：</w:t>
      </w:r>
      <w:r>
        <w:rPr>
          <w:rFonts w:hint="eastAsia" w:ascii="宋体" w:hAnsi="宋体" w:cs="宋体"/>
          <w:color w:val="auto"/>
          <w:u w:val="single"/>
          <w:lang w:val="en-US" w:eastAsia="zh-CN"/>
        </w:rPr>
        <w:t xml:space="preserve">        </w:t>
      </w:r>
      <w:r>
        <w:rPr>
          <w:rFonts w:hint="eastAsia" w:ascii="宋体" w:hAnsi="宋体" w:cs="宋体"/>
          <w:color w:val="auto"/>
        </w:rPr>
        <w:t>年</w:t>
      </w:r>
      <w:r>
        <w:rPr>
          <w:rFonts w:hint="eastAsia" w:ascii="宋体" w:hAnsi="宋体" w:cs="宋体"/>
          <w:color w:val="auto"/>
          <w:u w:val="single"/>
          <w:lang w:val="en-US" w:eastAsia="zh-CN"/>
        </w:rPr>
        <w:t xml:space="preserve">   </w:t>
      </w:r>
      <w:r>
        <w:rPr>
          <w:rFonts w:hint="eastAsia" w:ascii="宋体" w:hAnsi="宋体" w:cs="宋体"/>
          <w:color w:val="auto"/>
        </w:rPr>
        <w:t>月</w:t>
      </w:r>
      <w:r>
        <w:rPr>
          <w:rFonts w:hint="eastAsia" w:ascii="宋体" w:hAnsi="宋体" w:cs="宋体"/>
          <w:color w:val="auto"/>
          <w:u w:val="single"/>
          <w:lang w:val="en-US" w:eastAsia="zh-CN"/>
        </w:rPr>
        <w:t xml:space="preserve">   </w:t>
      </w:r>
      <w:r>
        <w:rPr>
          <w:rFonts w:hint="eastAsia" w:ascii="宋体" w:hAnsi="宋体" w:cs="宋体"/>
          <w:color w:val="auto"/>
        </w:rPr>
        <w:t>日</w:t>
      </w:r>
    </w:p>
    <w:p>
      <w:pPr>
        <w:spacing w:line="360" w:lineRule="auto"/>
        <w:rPr>
          <w:rFonts w:ascii="宋体" w:cs="宋体"/>
          <w:color w:val="auto"/>
        </w:rPr>
      </w:pPr>
      <w:r>
        <w:rPr>
          <w:color w:val="auto"/>
        </w:rPr>
        <w:pict>
          <v:rect id="矩形 2" o:spid="_x0000_s1032" o:spt="1" style="position:absolute;left:0pt;margin-left:-36pt;margin-top:5.3pt;height:150.4pt;width:234pt;z-index:251658240;mso-width-relative:page;mso-height-relative:page;" coordsize="21600,21600" o:gfxdata="UEsDBAoAAAAAAIdO4kAAAAAAAAAAAAAAAAAEAAAAZHJzL1BLAwQUAAAACACHTuJApHCzfNgAAAAK&#10;AQAADwAAAGRycy9kb3ducmV2LnhtbE2PMU/DMBCFdyT+g3VIbK2dFAUa4nQAFYmxTRe2S2ySQHyO&#10;YqcN/HqOCba7e0/vvlfsFjeIs51C70lDslYgLDXe9NRqOFX71QOIEJEMDp6shi8bYFdeXxWYG3+h&#10;gz0fYys4hEKOGroYx1zK0HTWYVj70RJr735yGHmdWmkmvHC4G2SqVCYd9sQfOhztU2ebz+PsNNR9&#10;esLvQ/Wi3Ha/ia9L9TG/PWt9e5OoRxDRLvHPDL/4jA4lM9V+JhPEoGF1n3KXyILKQLBhs834UPOQ&#10;JHcgy0L+r1D+AFBLAwQUAAAACACHTuJAxmDEyOkBAADcAwAADgAAAGRycy9lMm9Eb2MueG1srVNL&#10;jhMxEN0jcQfLe9IfaSBppTMLQtggGGmYA1T86bbkn2xPunMaJHYcguMgrkHZCZkZYIEQvXCX7fLz&#10;e6/K6+vZaHIQISpne9osakqEZY4rO/T07uPuxZKSmMBy0M6Knh5FpNeb58/Wk+9E60anuQgEQWzs&#10;Jt/TMSXfVVVkozAQF84Li5vSBQMJp2GoeIAJ0Y2u2rp+WU0ucB8cEzHi6va0STcFX0rB0gcpo0hE&#10;9xS5pTKGMu7zWG3W0A0B/KjYmQb8AwsDyuKlF6gtJCD3Qf0GZRQLLjqZFsyZykmpmCgaUE1T/6Lm&#10;dgQvihY0J/qLTfH/wbL3h5tAFO9pS4kFgyX6/unLt6+fSZu9mXzsMOXW34TzLGKYhc4ymPxHCWQu&#10;fh4vfoo5EYaL7epVs6zRdoZ7zaqp62VxvHo47kNMb4UzJAc9DViw4iMc3sWEV2Lqz5R8W3Ra8Z3S&#10;ukzCsH+tAzkAFndXvswZjzxJ05ZMPV1dtVdIBLDHpIaEofGoOtqh3PfkRHwMXJfvT8CZ2BbieCJQ&#10;EHIadEYlkf2CbhTA31hO0tGjsxafAM1kjOCUaIEvJkclM4HSf5OJ6rRFkbkyp1rkKM37GWFyuHf8&#10;iCW990ENI1raFOp5B1uouHNu99yjj+cF9OFRbn4A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pHCz&#10;fNgAAAAKAQAADwAAAAAAAAABACAAAAAiAAAAZHJzL2Rvd25yZXYueG1sUEsBAhQAFAAAAAgAh07i&#10;QMZgxMjpAQAA3AMAAA4AAAAAAAAAAQAgAAAAJwEAAGRycy9lMm9Eb2MueG1sUEsFBgAAAAAGAAYA&#10;WQEAAIIFAAAAAA==&#10;">
            <v:path/>
            <v:fill focussize="0,0"/>
            <v:stroke/>
            <v:imagedata o:title=""/>
            <o:lock v:ext="edit"/>
            <v:textbox>
              <w:txbxContent>
                <w:p>
                  <w:pPr>
                    <w:ind w:left="-1234" w:leftChars="-514"/>
                    <w:jc w:val="center"/>
                    <w:rPr>
                      <w:rFonts w:eastAsia="黑体"/>
                      <w:b/>
                      <w:sz w:val="30"/>
                    </w:rPr>
                  </w:pPr>
                </w:p>
                <w:p>
                  <w:pPr>
                    <w:ind w:left="-1234" w:leftChars="-514"/>
                    <w:jc w:val="center"/>
                    <w:rPr>
                      <w:rFonts w:ascii="宋体"/>
                      <w:b/>
                      <w:sz w:val="28"/>
                    </w:rPr>
                  </w:pPr>
                  <w:r>
                    <w:rPr>
                      <w:rFonts w:hint="eastAsia" w:ascii="宋体" w:hAnsi="宋体"/>
                      <w:b/>
                      <w:sz w:val="28"/>
                    </w:rPr>
                    <w:t>法定代表人</w:t>
                  </w:r>
                </w:p>
                <w:p>
                  <w:pPr>
                    <w:ind w:left="-1234" w:leftChars="-514"/>
                    <w:jc w:val="center"/>
                    <w:rPr>
                      <w:rFonts w:ascii="宋体"/>
                      <w:sz w:val="28"/>
                    </w:rPr>
                  </w:pPr>
                  <w:r>
                    <w:rPr>
                      <w:rFonts w:hint="eastAsia" w:ascii="宋体" w:hAnsi="宋体"/>
                      <w:b/>
                      <w:sz w:val="28"/>
                    </w:rPr>
                    <w:t>居民身份证复印件粘贴处</w:t>
                  </w:r>
                </w:p>
              </w:txbxContent>
            </v:textbox>
          </v:rect>
        </w:pict>
      </w:r>
      <w:r>
        <w:rPr>
          <w:color w:val="auto"/>
        </w:rPr>
        <w:pict>
          <v:rect id="矩形 1" o:spid="_x0000_s1033" o:spt="1" style="position:absolute;left:0pt;margin-left:225pt;margin-top:5.3pt;height:150.4pt;width:225pt;z-index:251659264;mso-width-relative:page;mso-height-relative:page;" coordsize="21600,21600" o:gfxdata="UEsDBAoAAAAAAIdO4kAAAAAAAAAAAAAAAAAEAAAAZHJzL1BLAwQUAAAACACHTuJAzabmyNgAAAAK&#10;AQAADwAAAGRycy9kb3ducmV2LnhtbE2PwU7DMBBE70j8g7VI3KidtlRtiNMDqEgc2/TS2yY2SSBe&#10;R7HTBr6e7Yked2Y0+ybbTq4TZzuE1pOGZKZAWKq8aanWcCx2T2sQISIZ7DxZDT82wDa/v8swNf5C&#10;e3s+xFpwCYUUNTQx9qmUoWqswzDzvSX2Pv3gMPI51NIMeOFy18m5UivpsCX+0GBvXxtbfR9Gp6Fs&#10;50f83Rfvym12i/gxFV/j6U3rx4dEvYCIdor/YbjiMzrkzFT6kUwQnYbls+ItkQ21AsGBjboKpYZF&#10;kixB5pm8nZD/AVBLAwQUAAAACACHTuJACTk4oekBAADcAwAADgAAAGRycy9lMm9Eb2MueG1srVPN&#10;jtMwEL4j8Q6W7zRppUI3aroHSrkgWGnZB5jaTmLJf/J4m/RpkLjxEDwO4jUYu6W7CxwQIgdnxh5/&#10;M9834/X1ZA07qIjau5bPZzVnygkvtetbfvdx92LFGSZwEox3quVHhfx68/zZegyNWvjBG6kiIxCH&#10;zRhaPqQUmqpCMSgLOPNBOTrsfLSQyI19JSOMhG5Ntajrl9XoowzRC4VIu9vTId8U/K5TIn3oOlSJ&#10;mZZTbamssaz7vFabNTR9hDBocS4D/qEKC9pR0gvUFhKw+6h/g7JaRI++SzPhbeW7TgtVOBCbef0L&#10;m9sBgipcSBwMF5nw/8GK94ebyLSk3nHmwFKLvn/68u3rZzbP2owBGwq5DTfx7CGZmejURZv/RIFN&#10;Rc/jRU81JSZoc7FavlrWJLugs/nVvK5XRfHq4XqImN4qb1k2Wh6pYUVHOLzDRCkp9GdIzobeaLnT&#10;xhQn9vvXJrIDUHN35cs105UnYcaxseVXy8WSCgGasc5AItMGYo2uL/me3MDHwHX5/gScC9sCDqcC&#10;CkIOg8bqpLJe0AwK5BsnWToGUtbRE+C5GKskZ0bRi8lWiUygzd9EEjvjiGTuzKkX2UrTfiKYbO69&#10;PFJL70PU/UCSlj6WcBqhos553POMPvYL6MOj3PwA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zabm&#10;yNgAAAAKAQAADwAAAAAAAAABACAAAAAiAAAAZHJzL2Rvd25yZXYueG1sUEsBAhQAFAAAAAgAh07i&#10;QAk5OKHpAQAA3AMAAA4AAAAAAAAAAQAgAAAAJwEAAGRycy9lMm9Eb2MueG1sUEsFBgAAAAAGAAYA&#10;WQEAAIIFAAAAAA==&#10;">
            <v:path/>
            <v:fill focussize="0,0"/>
            <v:stroke/>
            <v:imagedata o:title=""/>
            <o:lock v:ext="edit"/>
            <v:textbox>
              <w:txbxContent>
                <w:p>
                  <w:pPr>
                    <w:rPr>
                      <w:rFonts w:eastAsia="黑体"/>
                      <w:b/>
                      <w:sz w:val="30"/>
                    </w:rPr>
                  </w:pPr>
                </w:p>
                <w:p>
                  <w:pPr>
                    <w:jc w:val="center"/>
                    <w:rPr>
                      <w:rFonts w:ascii="宋体"/>
                      <w:b/>
                      <w:sz w:val="28"/>
                    </w:rPr>
                  </w:pPr>
                  <w:r>
                    <w:rPr>
                      <w:rFonts w:hint="eastAsia" w:ascii="宋体" w:hAnsi="宋体"/>
                      <w:b/>
                      <w:sz w:val="28"/>
                    </w:rPr>
                    <w:t>被授权人</w:t>
                  </w:r>
                </w:p>
                <w:p>
                  <w:pPr>
                    <w:jc w:val="center"/>
                    <w:rPr>
                      <w:rFonts w:ascii="宋体"/>
                      <w:sz w:val="28"/>
                    </w:rPr>
                  </w:pPr>
                  <w:r>
                    <w:rPr>
                      <w:rFonts w:hint="eastAsia" w:ascii="宋体" w:hAnsi="宋体"/>
                      <w:b/>
                      <w:sz w:val="28"/>
                    </w:rPr>
                    <w:t>居民身份证复印件粘贴处</w:t>
                  </w:r>
                </w:p>
              </w:txbxContent>
            </v:textbox>
          </v:rect>
        </w:pict>
      </w:r>
    </w:p>
    <w:p>
      <w:pPr>
        <w:spacing w:line="360" w:lineRule="auto"/>
        <w:rPr>
          <w:rFonts w:ascii="宋体" w:cs="宋体"/>
          <w:color w:val="auto"/>
        </w:rPr>
      </w:pPr>
    </w:p>
    <w:p>
      <w:pPr>
        <w:spacing w:line="360" w:lineRule="auto"/>
        <w:rPr>
          <w:rFonts w:ascii="宋体" w:cs="宋体"/>
          <w:color w:val="auto"/>
        </w:rPr>
      </w:pPr>
    </w:p>
    <w:p>
      <w:pPr>
        <w:spacing w:line="360" w:lineRule="auto"/>
        <w:rPr>
          <w:rFonts w:ascii="宋体" w:cs="宋体"/>
          <w:color w:val="auto"/>
        </w:rPr>
      </w:pPr>
    </w:p>
    <w:p>
      <w:pPr>
        <w:spacing w:line="360" w:lineRule="auto"/>
        <w:rPr>
          <w:rFonts w:ascii="宋体" w:cs="宋体"/>
          <w:color w:val="auto"/>
        </w:rPr>
      </w:pPr>
    </w:p>
    <w:p>
      <w:pPr>
        <w:spacing w:line="360" w:lineRule="auto"/>
        <w:rPr>
          <w:rFonts w:ascii="宋体" w:cs="宋体"/>
          <w:color w:val="auto"/>
        </w:rPr>
      </w:pPr>
    </w:p>
    <w:p>
      <w:pPr>
        <w:spacing w:line="360" w:lineRule="auto"/>
        <w:rPr>
          <w:rFonts w:ascii="宋体" w:cs="宋体"/>
          <w:color w:val="auto"/>
        </w:rPr>
      </w:pPr>
    </w:p>
    <w:p>
      <w:pPr>
        <w:spacing w:line="360" w:lineRule="auto"/>
        <w:rPr>
          <w:rFonts w:ascii="宋体" w:cs="宋体"/>
          <w:color w:val="auto"/>
        </w:rPr>
      </w:pPr>
    </w:p>
    <w:p>
      <w:pPr>
        <w:spacing w:line="360" w:lineRule="auto"/>
        <w:rPr>
          <w:rFonts w:ascii="宋体" w:cs="宋体"/>
          <w:color w:val="auto"/>
        </w:rPr>
      </w:pPr>
    </w:p>
    <w:p>
      <w:pPr>
        <w:pStyle w:val="9"/>
        <w:pBdr>
          <w:top w:val="none" w:color="auto" w:sz="0" w:space="0"/>
          <w:left w:val="none" w:color="auto" w:sz="0" w:space="0"/>
          <w:bottom w:val="none" w:color="auto" w:sz="0" w:space="0"/>
          <w:right w:val="none" w:color="auto" w:sz="0" w:space="0"/>
          <w:between w:val="none" w:color="auto" w:sz="0" w:space="0"/>
        </w:pBdr>
        <w:rPr>
          <w:color w:val="auto"/>
        </w:rPr>
      </w:pPr>
    </w:p>
    <w:p>
      <w:pPr>
        <w:pStyle w:val="8"/>
        <w:pBdr>
          <w:top w:val="none" w:color="auto" w:sz="0" w:space="0"/>
          <w:left w:val="none" w:color="auto" w:sz="0" w:space="0"/>
          <w:bottom w:val="none" w:color="auto" w:sz="0" w:space="0"/>
          <w:right w:val="none" w:color="auto" w:sz="0" w:space="0"/>
          <w:between w:val="none" w:color="auto" w:sz="0" w:space="0"/>
        </w:pBdr>
        <w:rPr>
          <w:color w:val="auto"/>
        </w:rPr>
      </w:pPr>
    </w:p>
    <w:p>
      <w:pPr>
        <w:pStyle w:val="8"/>
        <w:pBdr>
          <w:top w:val="none" w:color="auto" w:sz="0" w:space="0"/>
          <w:left w:val="none" w:color="auto" w:sz="0" w:space="0"/>
          <w:bottom w:val="none" w:color="auto" w:sz="0" w:space="0"/>
          <w:right w:val="none" w:color="auto" w:sz="0" w:space="0"/>
          <w:between w:val="none" w:color="auto" w:sz="0" w:space="0"/>
        </w:pBdr>
        <w:rPr>
          <w:color w:val="auto"/>
        </w:rPr>
      </w:pPr>
    </w:p>
    <w:p>
      <w:pPr>
        <w:pStyle w:val="8"/>
        <w:pBdr>
          <w:top w:val="none" w:color="auto" w:sz="0" w:space="0"/>
          <w:left w:val="none" w:color="auto" w:sz="0" w:space="0"/>
          <w:bottom w:val="none" w:color="auto" w:sz="0" w:space="0"/>
          <w:right w:val="none" w:color="auto" w:sz="0" w:space="0"/>
          <w:between w:val="none" w:color="auto" w:sz="0" w:space="0"/>
        </w:pBdr>
        <w:rPr>
          <w:color w:val="auto"/>
        </w:rPr>
      </w:pPr>
    </w:p>
    <w:p>
      <w:pPr>
        <w:pStyle w:val="8"/>
        <w:pBdr>
          <w:top w:val="none" w:color="auto" w:sz="0" w:space="0"/>
          <w:left w:val="none" w:color="auto" w:sz="0" w:space="0"/>
          <w:bottom w:val="none" w:color="auto" w:sz="0" w:space="0"/>
          <w:right w:val="none" w:color="auto" w:sz="0" w:space="0"/>
          <w:between w:val="none" w:color="auto" w:sz="0" w:space="0"/>
        </w:pBdr>
        <w:rPr>
          <w:color w:val="auto"/>
        </w:rPr>
      </w:pPr>
    </w:p>
    <w:p>
      <w:pPr>
        <w:pStyle w:val="8"/>
        <w:pBdr>
          <w:top w:val="none" w:color="auto" w:sz="0" w:space="0"/>
          <w:left w:val="none" w:color="auto" w:sz="0" w:space="0"/>
          <w:bottom w:val="none" w:color="auto" w:sz="0" w:space="0"/>
          <w:right w:val="none" w:color="auto" w:sz="0" w:space="0"/>
          <w:between w:val="none" w:color="auto" w:sz="0" w:space="0"/>
        </w:pBdr>
        <w:rPr>
          <w:color w:val="auto"/>
        </w:rPr>
      </w:pPr>
    </w:p>
    <w:p>
      <w:pPr>
        <w:spacing w:line="360" w:lineRule="auto"/>
        <w:jc w:val="center"/>
        <w:rPr>
          <w:rFonts w:ascii="宋体" w:cs="宋体"/>
          <w:b/>
          <w:bCs/>
          <w:color w:val="auto"/>
        </w:rPr>
      </w:pPr>
      <w:r>
        <w:rPr>
          <w:rFonts w:hint="eastAsia" w:ascii="宋体" w:hAnsi="宋体" w:cs="宋体"/>
          <w:b/>
          <w:bCs/>
          <w:color w:val="auto"/>
        </w:rPr>
        <w:t>注：本授权书内容不得擅自修改。</w:t>
      </w:r>
    </w:p>
    <w:p>
      <w:pPr>
        <w:spacing w:line="360" w:lineRule="auto"/>
        <w:ind w:firstLine="480"/>
        <w:rPr>
          <w:rFonts w:ascii="宋体" w:cs="宋体"/>
          <w:color w:val="auto"/>
        </w:rPr>
      </w:pPr>
    </w:p>
    <w:p>
      <w:pPr>
        <w:spacing w:line="360" w:lineRule="auto"/>
        <w:rPr>
          <w:rFonts w:ascii="宋体" w:cs="宋体"/>
          <w:color w:val="auto"/>
        </w:rPr>
      </w:pPr>
      <w:r>
        <w:rPr>
          <w:rFonts w:ascii="宋体" w:hAnsi="宋体" w:cs="宋体"/>
          <w:color w:val="auto"/>
        </w:rPr>
        <w:t>2</w:t>
      </w:r>
      <w:r>
        <w:rPr>
          <w:rFonts w:hint="eastAsia" w:ascii="宋体" w:hAnsi="宋体" w:cs="宋体"/>
          <w:color w:val="auto"/>
        </w:rPr>
        <w:t>、在中华人民共和国注册，具有独立承担民事责任能力的法人（需提供营业执照副本复印件、组织机构代码证、税务登记证复印件或三证合一的营业执照副本复印件）须具备与本项目相关的营业范围</w:t>
      </w:r>
      <w:r>
        <w:rPr>
          <w:rFonts w:ascii="宋体" w:hAnsi="宋体" w:cs="宋体"/>
          <w:color w:val="auto"/>
        </w:rPr>
        <w:t>(</w:t>
      </w:r>
      <w:r>
        <w:rPr>
          <w:rFonts w:hint="eastAsia" w:ascii="宋体" w:hAnsi="宋体" w:cs="宋体"/>
          <w:color w:val="auto"/>
        </w:rPr>
        <w:t>提供原件现场备查</w:t>
      </w:r>
      <w:r>
        <w:rPr>
          <w:rFonts w:ascii="宋体" w:hAnsi="宋体" w:cs="宋体"/>
          <w:color w:val="auto"/>
        </w:rPr>
        <w:t>)</w:t>
      </w:r>
      <w:r>
        <w:rPr>
          <w:rFonts w:hint="eastAsia" w:ascii="宋体" w:hAnsi="宋体" w:cs="宋体"/>
          <w:color w:val="auto"/>
        </w:rPr>
        <w:t>；</w:t>
      </w:r>
    </w:p>
    <w:p>
      <w:pPr>
        <w:spacing w:line="360" w:lineRule="auto"/>
        <w:rPr>
          <w:rFonts w:ascii="宋体" w:cs="宋体"/>
          <w:color w:val="auto"/>
        </w:rPr>
      </w:pPr>
      <w:r>
        <w:rPr>
          <w:rFonts w:ascii="宋体" w:hAnsi="宋体" w:cs="宋体"/>
          <w:color w:val="auto"/>
        </w:rPr>
        <w:t>3</w:t>
      </w:r>
      <w:r>
        <w:rPr>
          <w:rFonts w:hint="eastAsia" w:ascii="宋体" w:hAnsi="宋体" w:cs="宋体"/>
          <w:color w:val="auto"/>
        </w:rPr>
        <w:t>、具有依法缴纳税收和社会保障资金的良好记录</w:t>
      </w:r>
      <w:r>
        <w:rPr>
          <w:rFonts w:ascii="宋体" w:hAnsi="宋体" w:cs="宋体"/>
          <w:color w:val="auto"/>
        </w:rPr>
        <w:t>(</w:t>
      </w:r>
      <w:r>
        <w:rPr>
          <w:rFonts w:hint="eastAsia" w:ascii="宋体" w:hAnsi="宋体" w:cs="宋体"/>
          <w:color w:val="auto"/>
        </w:rPr>
        <w:t>需提供</w:t>
      </w:r>
      <w:r>
        <w:rPr>
          <w:rFonts w:ascii="宋体" w:hAnsi="宋体" w:cs="宋体"/>
          <w:color w:val="auto"/>
        </w:rPr>
        <w:t>2018</w:t>
      </w:r>
      <w:r>
        <w:rPr>
          <w:rFonts w:hint="eastAsia" w:ascii="宋体" w:hAnsi="宋体" w:cs="宋体"/>
          <w:color w:val="auto"/>
        </w:rPr>
        <w:t>年至今连续</w:t>
      </w:r>
      <w:r>
        <w:rPr>
          <w:rFonts w:ascii="宋体" w:hAnsi="宋体" w:cs="宋体"/>
          <w:color w:val="auto"/>
        </w:rPr>
        <w:t>3</w:t>
      </w:r>
      <w:r>
        <w:rPr>
          <w:rFonts w:hint="eastAsia" w:ascii="宋体" w:hAnsi="宋体" w:cs="宋体"/>
          <w:color w:val="auto"/>
        </w:rPr>
        <w:t>个月的税收和社保记录凭证复印件加盖公章，提供原件现场备查）；</w:t>
      </w:r>
    </w:p>
    <w:p>
      <w:pPr>
        <w:pStyle w:val="9"/>
        <w:pBdr>
          <w:top w:val="none" w:color="auto" w:sz="0" w:space="0"/>
          <w:left w:val="none" w:color="auto" w:sz="0" w:space="0"/>
          <w:bottom w:val="none" w:color="auto" w:sz="0" w:space="0"/>
          <w:right w:val="none" w:color="auto" w:sz="0" w:space="0"/>
          <w:between w:val="none" w:color="auto" w:sz="0" w:space="0"/>
        </w:pBdr>
        <w:spacing w:line="360" w:lineRule="auto"/>
        <w:rPr>
          <w:color w:val="auto"/>
          <w:sz w:val="24"/>
          <w:szCs w:val="24"/>
        </w:rPr>
      </w:pPr>
      <w:bookmarkStart w:id="26" w:name="_Toc183588711"/>
      <w:bookmarkEnd w:id="26"/>
    </w:p>
    <w:p>
      <w:pPr>
        <w:pStyle w:val="8"/>
        <w:pBdr>
          <w:top w:val="none" w:color="auto" w:sz="0" w:space="0"/>
          <w:left w:val="none" w:color="auto" w:sz="0" w:space="0"/>
          <w:bottom w:val="none" w:color="auto" w:sz="0" w:space="0"/>
          <w:right w:val="none" w:color="auto" w:sz="0" w:space="0"/>
          <w:between w:val="none" w:color="auto" w:sz="0" w:space="0"/>
        </w:pBdr>
        <w:spacing w:line="360" w:lineRule="auto"/>
        <w:rPr>
          <w:color w:val="auto"/>
          <w:sz w:val="24"/>
          <w:szCs w:val="24"/>
        </w:rPr>
      </w:pPr>
    </w:p>
    <w:p>
      <w:pPr>
        <w:pStyle w:val="8"/>
        <w:pBdr>
          <w:top w:val="none" w:color="auto" w:sz="0" w:space="0"/>
          <w:left w:val="none" w:color="auto" w:sz="0" w:space="0"/>
          <w:bottom w:val="none" w:color="auto" w:sz="0" w:space="0"/>
          <w:right w:val="none" w:color="auto" w:sz="0" w:space="0"/>
          <w:between w:val="none" w:color="auto" w:sz="0" w:space="0"/>
        </w:pBdr>
        <w:spacing w:line="360" w:lineRule="auto"/>
        <w:rPr>
          <w:color w:val="auto"/>
          <w:sz w:val="24"/>
          <w:szCs w:val="24"/>
        </w:rPr>
      </w:pPr>
    </w:p>
    <w:p>
      <w:pPr>
        <w:pStyle w:val="8"/>
        <w:pBdr>
          <w:top w:val="none" w:color="auto" w:sz="0" w:space="0"/>
          <w:left w:val="none" w:color="auto" w:sz="0" w:space="0"/>
          <w:bottom w:val="none" w:color="auto" w:sz="0" w:space="0"/>
          <w:right w:val="none" w:color="auto" w:sz="0" w:space="0"/>
          <w:between w:val="none" w:color="auto" w:sz="0" w:space="0"/>
        </w:pBdr>
        <w:spacing w:line="360" w:lineRule="auto"/>
        <w:rPr>
          <w:color w:val="auto"/>
          <w:sz w:val="24"/>
          <w:szCs w:val="24"/>
        </w:rPr>
      </w:pPr>
    </w:p>
    <w:p>
      <w:pPr>
        <w:pStyle w:val="8"/>
        <w:pBdr>
          <w:top w:val="none" w:color="auto" w:sz="0" w:space="0"/>
          <w:left w:val="none" w:color="auto" w:sz="0" w:space="0"/>
          <w:bottom w:val="none" w:color="auto" w:sz="0" w:space="0"/>
          <w:right w:val="none" w:color="auto" w:sz="0" w:space="0"/>
          <w:between w:val="none" w:color="auto" w:sz="0" w:space="0"/>
        </w:pBdr>
        <w:spacing w:line="360" w:lineRule="auto"/>
        <w:rPr>
          <w:color w:val="auto"/>
          <w:sz w:val="24"/>
          <w:szCs w:val="24"/>
        </w:rPr>
      </w:pPr>
    </w:p>
    <w:p>
      <w:pPr>
        <w:pStyle w:val="8"/>
        <w:pBdr>
          <w:top w:val="none" w:color="auto" w:sz="0" w:space="0"/>
          <w:left w:val="none" w:color="auto" w:sz="0" w:space="0"/>
          <w:bottom w:val="none" w:color="auto" w:sz="0" w:space="0"/>
          <w:right w:val="none" w:color="auto" w:sz="0" w:space="0"/>
          <w:between w:val="none" w:color="auto" w:sz="0" w:space="0"/>
        </w:pBdr>
        <w:spacing w:line="360" w:lineRule="auto"/>
        <w:rPr>
          <w:color w:val="auto"/>
          <w:sz w:val="24"/>
          <w:szCs w:val="24"/>
        </w:rPr>
      </w:pPr>
    </w:p>
    <w:p>
      <w:pPr>
        <w:pStyle w:val="8"/>
        <w:pBdr>
          <w:top w:val="none" w:color="auto" w:sz="0" w:space="0"/>
          <w:left w:val="none" w:color="auto" w:sz="0" w:space="0"/>
          <w:bottom w:val="none" w:color="auto" w:sz="0" w:space="0"/>
          <w:right w:val="none" w:color="auto" w:sz="0" w:space="0"/>
          <w:between w:val="none" w:color="auto" w:sz="0" w:space="0"/>
        </w:pBdr>
        <w:spacing w:line="360" w:lineRule="auto"/>
        <w:rPr>
          <w:color w:val="auto"/>
          <w:sz w:val="24"/>
          <w:szCs w:val="24"/>
        </w:rPr>
      </w:pPr>
    </w:p>
    <w:p>
      <w:pPr>
        <w:spacing w:line="360" w:lineRule="auto"/>
        <w:ind w:firstLine="354"/>
        <w:rPr>
          <w:rFonts w:ascii="宋体" w:cs="宋体"/>
          <w:color w:val="auto"/>
        </w:rPr>
      </w:pPr>
    </w:p>
    <w:p>
      <w:pPr>
        <w:spacing w:line="360" w:lineRule="auto"/>
        <w:ind w:firstLine="354"/>
        <w:rPr>
          <w:rFonts w:ascii="宋体" w:cs="宋体"/>
          <w:color w:val="auto"/>
        </w:rPr>
      </w:pPr>
    </w:p>
    <w:p>
      <w:pPr>
        <w:spacing w:line="360" w:lineRule="auto"/>
        <w:ind w:firstLine="354"/>
        <w:rPr>
          <w:rFonts w:ascii="宋体" w:cs="宋体"/>
          <w:color w:val="auto"/>
        </w:rPr>
      </w:pPr>
    </w:p>
    <w:p>
      <w:pPr>
        <w:spacing w:line="360" w:lineRule="auto"/>
        <w:ind w:firstLine="354"/>
        <w:rPr>
          <w:rFonts w:ascii="宋体" w:cs="宋体"/>
          <w:color w:val="auto"/>
        </w:rPr>
      </w:pPr>
    </w:p>
    <w:p>
      <w:pPr>
        <w:spacing w:line="360" w:lineRule="auto"/>
        <w:ind w:firstLine="354"/>
        <w:rPr>
          <w:rFonts w:ascii="宋体" w:cs="宋体"/>
          <w:color w:val="auto"/>
        </w:rPr>
      </w:pPr>
    </w:p>
    <w:p>
      <w:pPr>
        <w:spacing w:line="360" w:lineRule="auto"/>
        <w:ind w:firstLine="354"/>
        <w:rPr>
          <w:rFonts w:ascii="宋体" w:cs="宋体"/>
          <w:color w:val="auto"/>
        </w:rPr>
      </w:pPr>
    </w:p>
    <w:p>
      <w:pPr>
        <w:spacing w:line="360" w:lineRule="auto"/>
        <w:ind w:firstLine="354"/>
        <w:rPr>
          <w:rFonts w:ascii="宋体" w:cs="宋体"/>
          <w:color w:val="auto"/>
        </w:rPr>
      </w:pPr>
    </w:p>
    <w:p>
      <w:pPr>
        <w:spacing w:line="360" w:lineRule="auto"/>
        <w:ind w:firstLine="354"/>
        <w:rPr>
          <w:rFonts w:ascii="宋体" w:cs="宋体"/>
          <w:color w:val="auto"/>
        </w:rPr>
      </w:pPr>
    </w:p>
    <w:p>
      <w:pPr>
        <w:spacing w:line="360" w:lineRule="auto"/>
        <w:ind w:firstLine="354"/>
        <w:rPr>
          <w:rFonts w:ascii="宋体" w:cs="宋体"/>
          <w:color w:val="auto"/>
        </w:rPr>
      </w:pPr>
    </w:p>
    <w:p>
      <w:pPr>
        <w:spacing w:line="360" w:lineRule="auto"/>
        <w:ind w:firstLine="354"/>
        <w:rPr>
          <w:rFonts w:ascii="宋体" w:cs="宋体"/>
          <w:color w:val="auto"/>
        </w:rPr>
      </w:pPr>
    </w:p>
    <w:p>
      <w:pPr>
        <w:spacing w:line="360" w:lineRule="auto"/>
        <w:ind w:firstLine="354"/>
        <w:rPr>
          <w:rFonts w:ascii="宋体" w:cs="宋体"/>
          <w:color w:val="auto"/>
        </w:rPr>
      </w:pPr>
    </w:p>
    <w:p>
      <w:pPr>
        <w:spacing w:line="360" w:lineRule="auto"/>
        <w:ind w:firstLine="354"/>
        <w:rPr>
          <w:rFonts w:ascii="宋体" w:cs="宋体"/>
          <w:color w:val="auto"/>
        </w:rPr>
      </w:pPr>
    </w:p>
    <w:p>
      <w:pPr>
        <w:spacing w:line="360" w:lineRule="auto"/>
        <w:ind w:firstLine="354"/>
        <w:rPr>
          <w:rFonts w:ascii="宋体" w:cs="宋体"/>
          <w:color w:val="auto"/>
        </w:rPr>
      </w:pPr>
    </w:p>
    <w:p>
      <w:pPr>
        <w:spacing w:line="360" w:lineRule="auto"/>
        <w:ind w:firstLine="354"/>
        <w:rPr>
          <w:rFonts w:ascii="宋体" w:cs="宋体"/>
          <w:color w:val="auto"/>
        </w:rPr>
      </w:pPr>
    </w:p>
    <w:p>
      <w:pPr>
        <w:spacing w:line="360" w:lineRule="auto"/>
        <w:ind w:firstLine="354"/>
        <w:rPr>
          <w:rFonts w:ascii="宋体" w:cs="宋体"/>
          <w:color w:val="auto"/>
        </w:rPr>
      </w:pPr>
    </w:p>
    <w:p>
      <w:pPr>
        <w:spacing w:line="360" w:lineRule="auto"/>
        <w:ind w:firstLine="354"/>
        <w:rPr>
          <w:rFonts w:ascii="宋体" w:cs="宋体"/>
          <w:color w:val="auto"/>
        </w:rPr>
      </w:pPr>
    </w:p>
    <w:p>
      <w:pPr>
        <w:spacing w:line="360" w:lineRule="auto"/>
        <w:ind w:firstLine="354"/>
        <w:rPr>
          <w:rFonts w:ascii="宋体" w:cs="宋体"/>
          <w:color w:val="auto"/>
        </w:rPr>
      </w:pPr>
      <w:r>
        <w:rPr>
          <w:rFonts w:ascii="宋体" w:hAnsi="宋体" w:cs="宋体"/>
          <w:color w:val="auto"/>
        </w:rPr>
        <w:t>4</w:t>
      </w:r>
      <w:r>
        <w:rPr>
          <w:rFonts w:hint="eastAsia" w:ascii="宋体" w:hAnsi="宋体" w:cs="宋体"/>
          <w:color w:val="auto"/>
        </w:rPr>
        <w:t>、投标人参加政府采购活动近三年内，在经营活动中没有重大事故、没有任何违法行为记录的声明（格式）</w:t>
      </w:r>
    </w:p>
    <w:p>
      <w:pPr>
        <w:spacing w:line="360" w:lineRule="auto"/>
        <w:jc w:val="center"/>
        <w:rPr>
          <w:rFonts w:ascii="宋体" w:cs="宋体"/>
          <w:color w:val="auto"/>
        </w:rPr>
      </w:pPr>
    </w:p>
    <w:p>
      <w:pPr>
        <w:spacing w:line="360" w:lineRule="auto"/>
        <w:ind w:firstLine="480"/>
        <w:rPr>
          <w:rFonts w:ascii="宋体" w:cs="宋体"/>
          <w:color w:val="auto"/>
        </w:rPr>
      </w:pPr>
      <w:r>
        <w:rPr>
          <w:rFonts w:hint="eastAsia" w:ascii="宋体" w:hAnsi="宋体" w:cs="宋体"/>
          <w:color w:val="auto"/>
        </w:rPr>
        <w:t>我公司在参加本次政府采购（采购编号</w:t>
      </w:r>
      <w:r>
        <w:rPr>
          <w:rFonts w:ascii="宋体" w:hAnsi="宋体" w:cs="宋体"/>
          <w:color w:val="auto"/>
        </w:rPr>
        <w:t xml:space="preserve">: </w:t>
      </w:r>
      <w:r>
        <w:rPr>
          <w:rFonts w:hint="eastAsia" w:ascii="宋体" w:hAnsi="宋体" w:cs="宋体"/>
          <w:color w:val="auto"/>
          <w:lang w:eastAsia="zh-CN"/>
        </w:rPr>
        <w:t>HCGJ18-215R</w:t>
      </w:r>
      <w:r>
        <w:rPr>
          <w:rFonts w:ascii="宋体" w:hAnsi="宋体" w:cs="宋体"/>
          <w:color w:val="auto"/>
        </w:rPr>
        <w:t xml:space="preserve"> </w:t>
      </w:r>
      <w:r>
        <w:rPr>
          <w:rFonts w:hint="eastAsia" w:ascii="宋体" w:hAnsi="宋体" w:cs="宋体"/>
          <w:color w:val="auto"/>
        </w:rPr>
        <w:t>）活动近三年内，在经营活动中没有重大事故，没有任何违法行为记录。</w:t>
      </w:r>
    </w:p>
    <w:p>
      <w:pPr>
        <w:spacing w:line="360" w:lineRule="auto"/>
        <w:rPr>
          <w:rFonts w:ascii="宋体" w:cs="宋体"/>
          <w:color w:val="auto"/>
        </w:rPr>
      </w:pPr>
    </w:p>
    <w:p>
      <w:pPr>
        <w:spacing w:line="360" w:lineRule="auto"/>
        <w:ind w:firstLine="480"/>
        <w:rPr>
          <w:rFonts w:ascii="宋体" w:cs="宋体"/>
          <w:color w:val="auto"/>
        </w:rPr>
      </w:pPr>
      <w:r>
        <w:rPr>
          <w:rFonts w:hint="eastAsia" w:ascii="宋体" w:hAnsi="宋体" w:cs="宋体"/>
          <w:color w:val="auto"/>
        </w:rPr>
        <w:t>特此声明。</w:t>
      </w:r>
    </w:p>
    <w:p>
      <w:pPr>
        <w:spacing w:line="360" w:lineRule="auto"/>
        <w:rPr>
          <w:rFonts w:ascii="宋体" w:cs="宋体"/>
          <w:color w:val="auto"/>
        </w:rPr>
      </w:pPr>
    </w:p>
    <w:p>
      <w:pPr>
        <w:spacing w:line="360" w:lineRule="auto"/>
        <w:rPr>
          <w:rFonts w:ascii="宋体" w:cs="宋体"/>
          <w:color w:val="auto"/>
        </w:rPr>
      </w:pPr>
    </w:p>
    <w:p>
      <w:pPr>
        <w:spacing w:line="360" w:lineRule="auto"/>
        <w:rPr>
          <w:rFonts w:ascii="宋体" w:cs="宋体"/>
          <w:color w:val="auto"/>
        </w:rPr>
      </w:pPr>
    </w:p>
    <w:p>
      <w:pPr>
        <w:spacing w:line="360" w:lineRule="auto"/>
        <w:ind w:firstLine="1800" w:firstLineChars="750"/>
        <w:rPr>
          <w:rFonts w:ascii="宋体" w:cs="宋体"/>
          <w:color w:val="auto"/>
        </w:rPr>
      </w:pPr>
      <w:r>
        <w:rPr>
          <w:rFonts w:hint="eastAsia" w:ascii="宋体" w:hAnsi="宋体" w:cs="宋体"/>
          <w:color w:val="auto"/>
        </w:rPr>
        <w:t>投标人名称：</w:t>
      </w:r>
      <w:r>
        <w:rPr>
          <w:rFonts w:hint="eastAsia" w:ascii="宋体" w:hAnsi="宋体" w:cs="宋体"/>
          <w:color w:val="auto"/>
          <w:u w:val="single"/>
          <w:lang w:val="en-US" w:eastAsia="zh-CN"/>
        </w:rPr>
        <w:t xml:space="preserve">                   </w:t>
      </w:r>
      <w:r>
        <w:rPr>
          <w:rFonts w:hint="eastAsia" w:ascii="宋体" w:hAnsi="宋体" w:cs="宋体"/>
          <w:color w:val="auto"/>
        </w:rPr>
        <w:t>（盖公章）</w:t>
      </w:r>
    </w:p>
    <w:p>
      <w:pPr>
        <w:spacing w:line="360" w:lineRule="auto"/>
        <w:rPr>
          <w:rFonts w:ascii="宋体" w:cs="宋体"/>
          <w:color w:val="auto"/>
        </w:rPr>
      </w:pPr>
    </w:p>
    <w:p>
      <w:pPr>
        <w:spacing w:line="360" w:lineRule="auto"/>
        <w:ind w:firstLine="1800" w:firstLineChars="750"/>
        <w:rPr>
          <w:rFonts w:hint="eastAsia" w:ascii="宋体" w:eastAsia="宋体" w:cs="宋体"/>
          <w:color w:val="auto"/>
          <w:u w:val="single"/>
          <w:lang w:val="en-US" w:eastAsia="zh-CN"/>
        </w:rPr>
      </w:pPr>
      <w:r>
        <w:rPr>
          <w:rFonts w:hint="eastAsia" w:ascii="宋体" w:hAnsi="宋体" w:cs="宋体"/>
          <w:color w:val="auto"/>
        </w:rPr>
        <w:t>法定代表人或</w:t>
      </w:r>
      <w:r>
        <w:rPr>
          <w:rFonts w:hint="eastAsia" w:ascii="宋体" w:hAnsi="宋体" w:cs="宋体"/>
          <w:color w:val="auto"/>
          <w:lang w:val="en-GB"/>
        </w:rPr>
        <w:t>被授权人</w:t>
      </w:r>
      <w:r>
        <w:rPr>
          <w:rFonts w:hint="eastAsia" w:ascii="宋体" w:hAnsi="宋体" w:cs="宋体"/>
          <w:color w:val="auto"/>
        </w:rPr>
        <w:t>：</w:t>
      </w:r>
      <w:r>
        <w:rPr>
          <w:rFonts w:hint="eastAsia" w:ascii="宋体" w:hAnsi="宋体" w:cs="宋体"/>
          <w:color w:val="auto"/>
          <w:u w:val="single"/>
          <w:lang w:val="en-US" w:eastAsia="zh-CN"/>
        </w:rPr>
        <w:t xml:space="preserve">               </w:t>
      </w:r>
    </w:p>
    <w:p>
      <w:pPr>
        <w:spacing w:line="360" w:lineRule="auto"/>
        <w:rPr>
          <w:rFonts w:ascii="宋体" w:cs="宋体"/>
          <w:color w:val="auto"/>
        </w:rPr>
      </w:pPr>
    </w:p>
    <w:p>
      <w:pPr>
        <w:spacing w:line="360" w:lineRule="auto"/>
        <w:ind w:firstLine="1800" w:firstLineChars="750"/>
        <w:rPr>
          <w:rFonts w:ascii="宋体" w:cs="宋体"/>
          <w:color w:val="auto"/>
        </w:rPr>
      </w:pPr>
      <w:r>
        <w:rPr>
          <w:rFonts w:hint="eastAsia" w:ascii="宋体" w:hAnsi="宋体" w:cs="宋体"/>
          <w:color w:val="auto"/>
        </w:rPr>
        <w:t>日期：</w:t>
      </w:r>
      <w:r>
        <w:rPr>
          <w:rFonts w:hint="eastAsia" w:ascii="宋体" w:hAnsi="宋体" w:cs="宋体"/>
          <w:color w:val="auto"/>
          <w:u w:val="single"/>
          <w:lang w:val="en-US" w:eastAsia="zh-CN"/>
        </w:rPr>
        <w:t xml:space="preserve">       </w:t>
      </w:r>
      <w:r>
        <w:rPr>
          <w:rFonts w:hint="eastAsia" w:ascii="宋体" w:hAnsi="宋体" w:cs="宋体"/>
          <w:color w:val="auto"/>
        </w:rPr>
        <w:t>年</w:t>
      </w:r>
      <w:r>
        <w:rPr>
          <w:rFonts w:hint="eastAsia" w:ascii="宋体" w:hAnsi="宋体" w:cs="宋体"/>
          <w:color w:val="auto"/>
          <w:u w:val="single"/>
          <w:lang w:val="en-US" w:eastAsia="zh-CN"/>
        </w:rPr>
        <w:t xml:space="preserve">   </w:t>
      </w:r>
      <w:r>
        <w:rPr>
          <w:rFonts w:hint="eastAsia" w:ascii="宋体" w:hAnsi="宋体" w:cs="宋体"/>
          <w:color w:val="auto"/>
        </w:rPr>
        <w:t>月</w:t>
      </w:r>
      <w:r>
        <w:rPr>
          <w:rFonts w:hint="eastAsia" w:ascii="宋体" w:hAnsi="宋体" w:cs="宋体"/>
          <w:color w:val="auto"/>
          <w:u w:val="single"/>
          <w:lang w:val="en-US" w:eastAsia="zh-CN"/>
        </w:rPr>
        <w:t xml:space="preserve">   </w:t>
      </w:r>
      <w:r>
        <w:rPr>
          <w:rFonts w:hint="eastAsia" w:ascii="宋体" w:hAnsi="宋体" w:cs="宋体"/>
          <w:color w:val="auto"/>
        </w:rPr>
        <w:t>日</w:t>
      </w:r>
    </w:p>
    <w:p>
      <w:pPr>
        <w:spacing w:line="360" w:lineRule="auto"/>
        <w:rPr>
          <w:rFonts w:ascii="宋体" w:cs="宋体"/>
          <w:color w:val="auto"/>
        </w:rPr>
      </w:pPr>
    </w:p>
    <w:p>
      <w:pPr>
        <w:spacing w:line="360" w:lineRule="auto"/>
        <w:rPr>
          <w:rFonts w:ascii="宋体" w:cs="宋体"/>
          <w:color w:val="auto"/>
        </w:rPr>
      </w:pPr>
    </w:p>
    <w:p>
      <w:pPr>
        <w:spacing w:line="360" w:lineRule="auto"/>
        <w:rPr>
          <w:rFonts w:ascii="宋体" w:cs="宋体"/>
          <w:color w:val="auto"/>
        </w:rPr>
      </w:pPr>
    </w:p>
    <w:p>
      <w:pPr>
        <w:pStyle w:val="9"/>
        <w:pBdr>
          <w:top w:val="none" w:color="auto" w:sz="0" w:space="0"/>
          <w:left w:val="none" w:color="auto" w:sz="0" w:space="0"/>
          <w:bottom w:val="none" w:color="auto" w:sz="0" w:space="0"/>
          <w:right w:val="none" w:color="auto" w:sz="0" w:space="0"/>
          <w:between w:val="none" w:color="auto" w:sz="0" w:space="0"/>
        </w:pBdr>
        <w:rPr>
          <w:color w:val="auto"/>
        </w:rPr>
      </w:pPr>
    </w:p>
    <w:p>
      <w:pPr>
        <w:pStyle w:val="8"/>
        <w:pBdr>
          <w:top w:val="none" w:color="auto" w:sz="0" w:space="0"/>
          <w:left w:val="none" w:color="auto" w:sz="0" w:space="0"/>
          <w:bottom w:val="none" w:color="auto" w:sz="0" w:space="0"/>
          <w:right w:val="none" w:color="auto" w:sz="0" w:space="0"/>
          <w:between w:val="none" w:color="auto" w:sz="0" w:space="0"/>
        </w:pBdr>
        <w:rPr>
          <w:color w:val="auto"/>
        </w:rPr>
      </w:pPr>
    </w:p>
    <w:p>
      <w:pPr>
        <w:pStyle w:val="8"/>
        <w:pBdr>
          <w:top w:val="none" w:color="auto" w:sz="0" w:space="0"/>
          <w:left w:val="none" w:color="auto" w:sz="0" w:space="0"/>
          <w:bottom w:val="none" w:color="auto" w:sz="0" w:space="0"/>
          <w:right w:val="none" w:color="auto" w:sz="0" w:space="0"/>
          <w:between w:val="none" w:color="auto" w:sz="0" w:space="0"/>
        </w:pBdr>
        <w:rPr>
          <w:color w:val="auto"/>
        </w:rPr>
      </w:pPr>
    </w:p>
    <w:p>
      <w:pPr>
        <w:pStyle w:val="8"/>
        <w:pBdr>
          <w:top w:val="none" w:color="auto" w:sz="0" w:space="0"/>
          <w:left w:val="none" w:color="auto" w:sz="0" w:space="0"/>
          <w:bottom w:val="none" w:color="auto" w:sz="0" w:space="0"/>
          <w:right w:val="none" w:color="auto" w:sz="0" w:space="0"/>
          <w:between w:val="none" w:color="auto" w:sz="0" w:space="0"/>
        </w:pBdr>
        <w:rPr>
          <w:color w:val="auto"/>
        </w:rPr>
      </w:pPr>
    </w:p>
    <w:p>
      <w:pPr>
        <w:pStyle w:val="8"/>
        <w:pBdr>
          <w:top w:val="none" w:color="auto" w:sz="0" w:space="0"/>
          <w:left w:val="none" w:color="auto" w:sz="0" w:space="0"/>
          <w:bottom w:val="none" w:color="auto" w:sz="0" w:space="0"/>
          <w:right w:val="none" w:color="auto" w:sz="0" w:space="0"/>
          <w:between w:val="none" w:color="auto" w:sz="0" w:space="0"/>
        </w:pBdr>
        <w:rPr>
          <w:color w:val="auto"/>
        </w:rPr>
      </w:pPr>
    </w:p>
    <w:p>
      <w:pPr>
        <w:pStyle w:val="8"/>
        <w:pBdr>
          <w:top w:val="none" w:color="auto" w:sz="0" w:space="0"/>
          <w:left w:val="none" w:color="auto" w:sz="0" w:space="0"/>
          <w:bottom w:val="none" w:color="auto" w:sz="0" w:space="0"/>
          <w:right w:val="none" w:color="auto" w:sz="0" w:space="0"/>
          <w:between w:val="none" w:color="auto" w:sz="0" w:space="0"/>
        </w:pBdr>
        <w:rPr>
          <w:color w:val="auto"/>
        </w:rPr>
      </w:pPr>
    </w:p>
    <w:p>
      <w:pPr>
        <w:pStyle w:val="8"/>
        <w:pBdr>
          <w:top w:val="none" w:color="auto" w:sz="0" w:space="0"/>
          <w:left w:val="none" w:color="auto" w:sz="0" w:space="0"/>
          <w:bottom w:val="none" w:color="auto" w:sz="0" w:space="0"/>
          <w:right w:val="none" w:color="auto" w:sz="0" w:space="0"/>
          <w:between w:val="none" w:color="auto" w:sz="0" w:space="0"/>
        </w:pBdr>
        <w:rPr>
          <w:color w:val="auto"/>
        </w:rPr>
      </w:pPr>
    </w:p>
    <w:p>
      <w:pPr>
        <w:pStyle w:val="8"/>
        <w:pBdr>
          <w:top w:val="none" w:color="auto" w:sz="0" w:space="0"/>
          <w:left w:val="none" w:color="auto" w:sz="0" w:space="0"/>
          <w:bottom w:val="none" w:color="auto" w:sz="0" w:space="0"/>
          <w:right w:val="none" w:color="auto" w:sz="0" w:space="0"/>
          <w:between w:val="none" w:color="auto" w:sz="0" w:space="0"/>
        </w:pBdr>
        <w:rPr>
          <w:color w:val="auto"/>
        </w:rPr>
      </w:pPr>
    </w:p>
    <w:p>
      <w:pPr>
        <w:pStyle w:val="8"/>
        <w:pBdr>
          <w:top w:val="none" w:color="auto" w:sz="0" w:space="0"/>
          <w:left w:val="none" w:color="auto" w:sz="0" w:space="0"/>
          <w:bottom w:val="none" w:color="auto" w:sz="0" w:space="0"/>
          <w:right w:val="none" w:color="auto" w:sz="0" w:space="0"/>
          <w:between w:val="none" w:color="auto" w:sz="0" w:space="0"/>
        </w:pBdr>
        <w:rPr>
          <w:color w:val="auto"/>
        </w:rPr>
      </w:pPr>
    </w:p>
    <w:p>
      <w:pPr>
        <w:pStyle w:val="8"/>
        <w:pBdr>
          <w:top w:val="none" w:color="auto" w:sz="0" w:space="0"/>
          <w:left w:val="none" w:color="auto" w:sz="0" w:space="0"/>
          <w:bottom w:val="none" w:color="auto" w:sz="0" w:space="0"/>
          <w:right w:val="none" w:color="auto" w:sz="0" w:space="0"/>
          <w:between w:val="none" w:color="auto" w:sz="0" w:space="0"/>
        </w:pBdr>
        <w:rPr>
          <w:color w:val="auto"/>
        </w:rPr>
      </w:pPr>
    </w:p>
    <w:p>
      <w:pPr>
        <w:pStyle w:val="8"/>
        <w:pBdr>
          <w:top w:val="none" w:color="auto" w:sz="0" w:space="0"/>
          <w:left w:val="none" w:color="auto" w:sz="0" w:space="0"/>
          <w:bottom w:val="none" w:color="auto" w:sz="0" w:space="0"/>
          <w:right w:val="none" w:color="auto" w:sz="0" w:space="0"/>
          <w:between w:val="none" w:color="auto" w:sz="0" w:space="0"/>
        </w:pBdr>
        <w:rPr>
          <w:color w:val="auto"/>
        </w:rPr>
      </w:pPr>
    </w:p>
    <w:p>
      <w:pPr>
        <w:pStyle w:val="8"/>
        <w:pBdr>
          <w:top w:val="none" w:color="auto" w:sz="0" w:space="0"/>
          <w:left w:val="none" w:color="auto" w:sz="0" w:space="0"/>
          <w:bottom w:val="none" w:color="auto" w:sz="0" w:space="0"/>
          <w:right w:val="none" w:color="auto" w:sz="0" w:space="0"/>
          <w:between w:val="none" w:color="auto" w:sz="0" w:space="0"/>
        </w:pBdr>
        <w:rPr>
          <w:color w:val="auto"/>
        </w:rPr>
      </w:pPr>
    </w:p>
    <w:p>
      <w:pPr>
        <w:pStyle w:val="8"/>
        <w:pBdr>
          <w:top w:val="none" w:color="auto" w:sz="0" w:space="0"/>
          <w:left w:val="none" w:color="auto" w:sz="0" w:space="0"/>
          <w:bottom w:val="none" w:color="auto" w:sz="0" w:space="0"/>
          <w:right w:val="none" w:color="auto" w:sz="0" w:space="0"/>
          <w:between w:val="none" w:color="auto" w:sz="0" w:space="0"/>
        </w:pBdr>
        <w:rPr>
          <w:color w:val="auto"/>
        </w:rPr>
      </w:pPr>
    </w:p>
    <w:p>
      <w:pPr>
        <w:pStyle w:val="8"/>
        <w:pBdr>
          <w:top w:val="none" w:color="auto" w:sz="0" w:space="0"/>
          <w:left w:val="none" w:color="auto" w:sz="0" w:space="0"/>
          <w:bottom w:val="none" w:color="auto" w:sz="0" w:space="0"/>
          <w:right w:val="none" w:color="auto" w:sz="0" w:space="0"/>
          <w:between w:val="none" w:color="auto" w:sz="0" w:space="0"/>
        </w:pBdr>
        <w:rPr>
          <w:color w:val="auto"/>
        </w:rPr>
      </w:pPr>
    </w:p>
    <w:p>
      <w:pPr>
        <w:pStyle w:val="8"/>
        <w:pBdr>
          <w:top w:val="none" w:color="auto" w:sz="0" w:space="0"/>
          <w:left w:val="none" w:color="auto" w:sz="0" w:space="0"/>
          <w:bottom w:val="none" w:color="auto" w:sz="0" w:space="0"/>
          <w:right w:val="none" w:color="auto" w:sz="0" w:space="0"/>
          <w:between w:val="none" w:color="auto" w:sz="0" w:space="0"/>
        </w:pBdr>
        <w:rPr>
          <w:color w:val="auto"/>
        </w:rPr>
      </w:pPr>
    </w:p>
    <w:p>
      <w:pPr>
        <w:pStyle w:val="8"/>
        <w:pBdr>
          <w:top w:val="none" w:color="auto" w:sz="0" w:space="0"/>
          <w:left w:val="none" w:color="auto" w:sz="0" w:space="0"/>
          <w:bottom w:val="none" w:color="auto" w:sz="0" w:space="0"/>
          <w:right w:val="none" w:color="auto" w:sz="0" w:space="0"/>
          <w:between w:val="none" w:color="auto" w:sz="0" w:space="0"/>
        </w:pBdr>
        <w:rPr>
          <w:color w:val="auto"/>
        </w:rPr>
      </w:pPr>
    </w:p>
    <w:p>
      <w:pPr>
        <w:pStyle w:val="8"/>
        <w:pBdr>
          <w:top w:val="none" w:color="auto" w:sz="0" w:space="0"/>
          <w:left w:val="none" w:color="auto" w:sz="0" w:space="0"/>
          <w:bottom w:val="none" w:color="auto" w:sz="0" w:space="0"/>
          <w:right w:val="none" w:color="auto" w:sz="0" w:space="0"/>
          <w:between w:val="none" w:color="auto" w:sz="0" w:space="0"/>
        </w:pBdr>
        <w:rPr>
          <w:color w:val="auto"/>
        </w:rPr>
      </w:pPr>
    </w:p>
    <w:p>
      <w:pPr>
        <w:pStyle w:val="8"/>
        <w:pBdr>
          <w:top w:val="none" w:color="auto" w:sz="0" w:space="0"/>
          <w:left w:val="none" w:color="auto" w:sz="0" w:space="0"/>
          <w:bottom w:val="none" w:color="auto" w:sz="0" w:space="0"/>
          <w:right w:val="none" w:color="auto" w:sz="0" w:space="0"/>
          <w:between w:val="none" w:color="auto" w:sz="0" w:space="0"/>
        </w:pBdr>
        <w:rPr>
          <w:color w:val="auto"/>
        </w:rPr>
      </w:pPr>
    </w:p>
    <w:p>
      <w:pPr>
        <w:pStyle w:val="8"/>
        <w:pBdr>
          <w:top w:val="none" w:color="auto" w:sz="0" w:space="0"/>
          <w:left w:val="none" w:color="auto" w:sz="0" w:space="0"/>
          <w:bottom w:val="none" w:color="auto" w:sz="0" w:space="0"/>
          <w:right w:val="none" w:color="auto" w:sz="0" w:space="0"/>
          <w:between w:val="none" w:color="auto" w:sz="0" w:space="0"/>
        </w:pBdr>
        <w:rPr>
          <w:color w:val="auto"/>
        </w:rPr>
      </w:pPr>
    </w:p>
    <w:p>
      <w:pPr>
        <w:pStyle w:val="8"/>
        <w:pBdr>
          <w:top w:val="none" w:color="auto" w:sz="0" w:space="0"/>
          <w:left w:val="none" w:color="auto" w:sz="0" w:space="0"/>
          <w:bottom w:val="none" w:color="auto" w:sz="0" w:space="0"/>
          <w:right w:val="none" w:color="auto" w:sz="0" w:space="0"/>
          <w:between w:val="none" w:color="auto" w:sz="0" w:space="0"/>
        </w:pBdr>
        <w:rPr>
          <w:color w:val="auto"/>
        </w:rPr>
      </w:pPr>
    </w:p>
    <w:p>
      <w:pPr>
        <w:pStyle w:val="8"/>
        <w:pBdr>
          <w:top w:val="none" w:color="auto" w:sz="0" w:space="0"/>
          <w:left w:val="none" w:color="auto" w:sz="0" w:space="0"/>
          <w:bottom w:val="none" w:color="auto" w:sz="0" w:space="0"/>
          <w:right w:val="none" w:color="auto" w:sz="0" w:space="0"/>
          <w:between w:val="none" w:color="auto" w:sz="0" w:space="0"/>
        </w:pBdr>
        <w:rPr>
          <w:color w:val="auto"/>
        </w:rPr>
      </w:pPr>
    </w:p>
    <w:p>
      <w:pPr>
        <w:pStyle w:val="8"/>
        <w:pBdr>
          <w:top w:val="none" w:color="auto" w:sz="0" w:space="0"/>
          <w:left w:val="none" w:color="auto" w:sz="0" w:space="0"/>
          <w:bottom w:val="none" w:color="auto" w:sz="0" w:space="0"/>
          <w:right w:val="none" w:color="auto" w:sz="0" w:space="0"/>
          <w:between w:val="none" w:color="auto" w:sz="0" w:space="0"/>
        </w:pBdr>
        <w:rPr>
          <w:color w:val="auto"/>
        </w:rPr>
      </w:pPr>
    </w:p>
    <w:p>
      <w:pPr>
        <w:pStyle w:val="8"/>
        <w:pBdr>
          <w:top w:val="none" w:color="auto" w:sz="0" w:space="0"/>
          <w:left w:val="none" w:color="auto" w:sz="0" w:space="0"/>
          <w:bottom w:val="none" w:color="auto" w:sz="0" w:space="0"/>
          <w:right w:val="none" w:color="auto" w:sz="0" w:space="0"/>
          <w:between w:val="none" w:color="auto" w:sz="0" w:space="0"/>
        </w:pBdr>
        <w:rPr>
          <w:color w:val="auto"/>
        </w:rPr>
      </w:pPr>
    </w:p>
    <w:p>
      <w:pPr>
        <w:pStyle w:val="8"/>
        <w:pBdr>
          <w:top w:val="none" w:color="auto" w:sz="0" w:space="0"/>
          <w:left w:val="none" w:color="auto" w:sz="0" w:space="0"/>
          <w:bottom w:val="none" w:color="auto" w:sz="0" w:space="0"/>
          <w:right w:val="none" w:color="auto" w:sz="0" w:space="0"/>
          <w:between w:val="none" w:color="auto" w:sz="0" w:space="0"/>
        </w:pBdr>
        <w:jc w:val="both"/>
        <w:rPr>
          <w:color w:val="auto"/>
        </w:rPr>
      </w:pPr>
    </w:p>
    <w:p>
      <w:pPr>
        <w:numPr>
          <w:ilvl w:val="0"/>
          <w:numId w:val="4"/>
        </w:numPr>
        <w:spacing w:line="360" w:lineRule="auto"/>
        <w:rPr>
          <w:rFonts w:ascii="宋体" w:cs="宋体"/>
          <w:color w:val="auto"/>
        </w:rPr>
      </w:pPr>
      <w:r>
        <w:rPr>
          <w:rFonts w:hint="eastAsia" w:ascii="宋体" w:hAnsi="宋体" w:cs="宋体"/>
          <w:color w:val="auto"/>
        </w:rPr>
        <w:t>根据《财政部关于在政府采购活动中查询及使用信用记录有关问题的通知》（财库〔</w:t>
      </w:r>
      <w:r>
        <w:rPr>
          <w:rFonts w:ascii="宋体" w:hAnsi="宋体" w:cs="宋体"/>
          <w:color w:val="auto"/>
        </w:rPr>
        <w:t>2016</w:t>
      </w:r>
      <w:r>
        <w:rPr>
          <w:rFonts w:hint="eastAsia" w:ascii="宋体" w:hAnsi="宋体" w:cs="宋体"/>
          <w:color w:val="auto"/>
        </w:rPr>
        <w:t>〕</w:t>
      </w:r>
      <w:r>
        <w:rPr>
          <w:rFonts w:ascii="宋体" w:hAnsi="宋体" w:cs="宋体"/>
          <w:color w:val="auto"/>
        </w:rPr>
        <w:t>125</w:t>
      </w:r>
      <w:r>
        <w:rPr>
          <w:rFonts w:hint="eastAsia" w:ascii="宋体" w:hAnsi="宋体" w:cs="宋体"/>
          <w:color w:val="auto"/>
        </w:rPr>
        <w:t>号）的要求，在政府采购活动中查询及使用信用记录。查询渠道：通过“信用中国”网站（</w:t>
      </w:r>
      <w:r>
        <w:rPr>
          <w:rFonts w:ascii="宋体" w:hAnsi="宋体" w:cs="宋体"/>
          <w:color w:val="auto"/>
        </w:rPr>
        <w:t>www.creditchina.gov.cn</w:t>
      </w:r>
      <w:r>
        <w:rPr>
          <w:rFonts w:hint="eastAsia" w:ascii="宋体" w:hAnsi="宋体" w:cs="宋体"/>
          <w:color w:val="auto"/>
        </w:rPr>
        <w:t>）或中国政府采购网（</w:t>
      </w:r>
      <w:r>
        <w:rPr>
          <w:rFonts w:ascii="宋体" w:hAnsi="宋体" w:cs="宋体"/>
          <w:color w:val="auto"/>
        </w:rPr>
        <w:t>www.ccgp.gov.cn</w:t>
      </w:r>
      <w:r>
        <w:rPr>
          <w:rFonts w:hint="eastAsia" w:ascii="宋体" w:hAnsi="宋体" w:cs="宋体"/>
          <w:color w:val="auto"/>
        </w:rPr>
        <w:t>）查询相关供应商的信用记录。</w:t>
      </w:r>
      <w:r>
        <w:rPr>
          <w:rFonts w:ascii="宋体" w:hAnsi="宋体" w:cs="宋体"/>
          <w:color w:val="auto"/>
        </w:rPr>
        <w:t>(</w:t>
      </w:r>
      <w:r>
        <w:rPr>
          <w:rFonts w:hint="eastAsia" w:ascii="宋体" w:hAnsi="宋体" w:cs="宋体"/>
          <w:color w:val="auto"/>
        </w:rPr>
        <w:t>投标时提供加盖公章的网上查询截图</w:t>
      </w:r>
      <w:r>
        <w:rPr>
          <w:rFonts w:ascii="宋体" w:hAnsi="宋体" w:cs="宋体"/>
          <w:color w:val="auto"/>
        </w:rPr>
        <w:t>)</w:t>
      </w:r>
    </w:p>
    <w:p>
      <w:pPr>
        <w:numPr>
          <w:ilvl w:val="0"/>
          <w:numId w:val="4"/>
        </w:numPr>
        <w:spacing w:line="360" w:lineRule="auto"/>
        <w:ind w:left="360" w:leftChars="0" w:hanging="360" w:firstLineChars="0"/>
        <w:rPr>
          <w:color w:val="auto"/>
        </w:rPr>
      </w:pPr>
      <w:r>
        <w:rPr>
          <w:rFonts w:hint="eastAsia" w:ascii="宋体" w:hAnsi="宋体" w:cs="宋体"/>
          <w:color w:val="auto"/>
        </w:rPr>
        <w:t>购买本项目询价文件并按时缴纳保证金，提供缴纳保证金凭证的复印件；</w:t>
      </w:r>
    </w:p>
    <w:p>
      <w:pPr>
        <w:rPr>
          <w:rFonts w:hint="eastAsia" w:ascii="宋体" w:hAnsi="宋体" w:eastAsia="宋体" w:cs="宋体"/>
          <w:b w:val="0"/>
          <w:bCs w:val="0"/>
          <w:iCs w:val="0"/>
          <w:color w:val="auto"/>
          <w:kern w:val="0"/>
          <w:sz w:val="24"/>
          <w:szCs w:val="24"/>
          <w:lang w:val="en-US" w:eastAsia="zh-CN" w:bidi="ar-SA"/>
        </w:rPr>
      </w:pPr>
      <w:r>
        <w:rPr>
          <w:rFonts w:hint="eastAsia" w:ascii="宋体" w:hAnsi="宋体" w:eastAsia="宋体" w:cs="宋体"/>
          <w:b w:val="0"/>
          <w:bCs w:val="0"/>
          <w:iCs w:val="0"/>
          <w:color w:val="auto"/>
          <w:kern w:val="0"/>
          <w:sz w:val="24"/>
          <w:szCs w:val="24"/>
          <w:lang w:val="en-US" w:eastAsia="zh-CN" w:bidi="ar-SA"/>
        </w:rPr>
        <w:t>7、中小企业声明函</w:t>
      </w:r>
    </w:p>
    <w:p>
      <w:pPr>
        <w:pStyle w:val="11"/>
        <w:keepNext w:val="0"/>
        <w:keepLines w:val="0"/>
        <w:widowControl/>
        <w:suppressLineNumbers w:val="0"/>
        <w:shd w:val="clear" w:fill="FFFFFF"/>
        <w:spacing w:line="432" w:lineRule="atLeast"/>
        <w:ind w:left="0" w:firstLine="480" w:firstLineChars="200"/>
        <w:jc w:val="left"/>
        <w:rPr>
          <w:rFonts w:hint="eastAsia" w:ascii="宋体" w:hAnsi="宋体" w:eastAsia="宋体" w:cs="宋体"/>
          <w:b w:val="0"/>
          <w:i w:val="0"/>
          <w:caps w:val="0"/>
          <w:color w:val="auto"/>
          <w:spacing w:val="0"/>
          <w:sz w:val="24"/>
          <w:szCs w:val="24"/>
        </w:rPr>
      </w:pPr>
      <w:r>
        <w:rPr>
          <w:rFonts w:hint="eastAsia" w:ascii="宋体" w:hAnsi="宋体" w:eastAsia="宋体" w:cs="宋体"/>
          <w:b w:val="0"/>
          <w:i w:val="0"/>
          <w:caps w:val="0"/>
          <w:color w:val="auto"/>
          <w:spacing w:val="0"/>
          <w:sz w:val="24"/>
          <w:szCs w:val="24"/>
          <w:shd w:val="clear" w:fill="FFFFFF"/>
        </w:rPr>
        <w:t>本公司郑重声明，根据《政府采购促进中小企业发展暂行办法》（财库[2011]181号）的规定，本公司为______（请填写：中型、小型、微型）企业。即，本公司同时满足以下条件：</w:t>
      </w:r>
    </w:p>
    <w:p>
      <w:pPr>
        <w:pStyle w:val="11"/>
        <w:keepNext w:val="0"/>
        <w:keepLines w:val="0"/>
        <w:widowControl/>
        <w:suppressLineNumbers w:val="0"/>
        <w:shd w:val="clear" w:fill="FFFFFF"/>
        <w:spacing w:line="432" w:lineRule="atLeast"/>
        <w:ind w:left="0" w:firstLine="0"/>
        <w:jc w:val="left"/>
        <w:rPr>
          <w:rFonts w:hint="eastAsia" w:ascii="宋体" w:hAnsi="宋体" w:eastAsia="宋体" w:cs="宋体"/>
          <w:b w:val="0"/>
          <w:i w:val="0"/>
          <w:caps w:val="0"/>
          <w:color w:val="auto"/>
          <w:spacing w:val="0"/>
          <w:sz w:val="24"/>
          <w:szCs w:val="24"/>
        </w:rPr>
      </w:pPr>
      <w:r>
        <w:rPr>
          <w:rFonts w:hint="eastAsia" w:ascii="宋体" w:hAnsi="宋体" w:eastAsia="宋体" w:cs="宋体"/>
          <w:b w:val="0"/>
          <w:i w:val="0"/>
          <w:caps w:val="0"/>
          <w:color w:val="auto"/>
          <w:spacing w:val="0"/>
          <w:sz w:val="24"/>
          <w:szCs w:val="24"/>
          <w:shd w:val="clear" w:fill="FFFFFF"/>
        </w:rPr>
        <w:t>　　1.根据《工业和信息化部、国家统计局、国家发展和改革委员会、财政部关于印发中小企业划型标准规定的通知》（工信部联企业[2011]300号）规定的划分标准，本公司为______（请填写：中型、小型、微型）企业。</w:t>
      </w:r>
    </w:p>
    <w:p>
      <w:pPr>
        <w:pStyle w:val="11"/>
        <w:keepNext w:val="0"/>
        <w:keepLines w:val="0"/>
        <w:widowControl/>
        <w:suppressLineNumbers w:val="0"/>
        <w:shd w:val="clear" w:fill="FFFFFF"/>
        <w:spacing w:line="432" w:lineRule="atLeast"/>
        <w:ind w:left="0" w:firstLine="0"/>
        <w:jc w:val="left"/>
        <w:rPr>
          <w:rFonts w:hint="eastAsia" w:ascii="宋体" w:hAnsi="宋体" w:eastAsia="宋体" w:cs="宋体"/>
          <w:b w:val="0"/>
          <w:i w:val="0"/>
          <w:caps w:val="0"/>
          <w:color w:val="auto"/>
          <w:spacing w:val="0"/>
          <w:sz w:val="24"/>
          <w:szCs w:val="24"/>
        </w:rPr>
      </w:pPr>
      <w:r>
        <w:rPr>
          <w:rFonts w:hint="eastAsia" w:ascii="宋体" w:hAnsi="宋体" w:eastAsia="宋体" w:cs="宋体"/>
          <w:b w:val="0"/>
          <w:i w:val="0"/>
          <w:caps w:val="0"/>
          <w:color w:val="auto"/>
          <w:spacing w:val="0"/>
          <w:sz w:val="24"/>
          <w:szCs w:val="24"/>
          <w:shd w:val="clear" w:fill="FFFFFF"/>
        </w:rPr>
        <w:t>　　2.本公司参加______单位的______项目采购活动提供本企业制造的货物，由本企业承担工程、提供服务，或者提供其他______（请填写：中型、小型、微型）企业制造的货物。本条所称货物不包括使用大型企业注册商标的货物。</w:t>
      </w:r>
    </w:p>
    <w:p>
      <w:pPr>
        <w:pStyle w:val="11"/>
        <w:keepNext w:val="0"/>
        <w:keepLines w:val="0"/>
        <w:widowControl/>
        <w:suppressLineNumbers w:val="0"/>
        <w:shd w:val="clear" w:fill="FFFFFF"/>
        <w:spacing w:line="432" w:lineRule="atLeast"/>
        <w:ind w:left="0" w:firstLine="0"/>
        <w:jc w:val="left"/>
        <w:rPr>
          <w:rFonts w:hint="eastAsia" w:ascii="宋体" w:hAnsi="宋体" w:eastAsia="宋体" w:cs="宋体"/>
          <w:b w:val="0"/>
          <w:i w:val="0"/>
          <w:caps w:val="0"/>
          <w:color w:val="auto"/>
          <w:spacing w:val="0"/>
          <w:sz w:val="24"/>
          <w:szCs w:val="24"/>
        </w:rPr>
      </w:pPr>
      <w:r>
        <w:rPr>
          <w:rFonts w:hint="eastAsia" w:ascii="宋体" w:hAnsi="宋体" w:eastAsia="宋体" w:cs="宋体"/>
          <w:b w:val="0"/>
          <w:i w:val="0"/>
          <w:caps w:val="0"/>
          <w:color w:val="auto"/>
          <w:spacing w:val="0"/>
          <w:sz w:val="24"/>
          <w:szCs w:val="24"/>
          <w:shd w:val="clear" w:fill="FFFFFF"/>
        </w:rPr>
        <w:t>　　本公司对上述声明的真实性负责。如有虚假，将依法承担相应责任。</w:t>
      </w:r>
    </w:p>
    <w:p>
      <w:pPr>
        <w:pStyle w:val="11"/>
        <w:keepNext w:val="0"/>
        <w:keepLines w:val="0"/>
        <w:widowControl/>
        <w:suppressLineNumbers w:val="0"/>
        <w:shd w:val="clear" w:fill="FFFFFF"/>
        <w:spacing w:line="432" w:lineRule="atLeast"/>
        <w:ind w:left="0" w:firstLine="0"/>
        <w:jc w:val="both"/>
        <w:rPr>
          <w:rFonts w:hint="eastAsia" w:ascii="宋体" w:hAnsi="宋体" w:eastAsia="宋体" w:cs="宋体"/>
          <w:b w:val="0"/>
          <w:i w:val="0"/>
          <w:caps w:val="0"/>
          <w:color w:val="auto"/>
          <w:spacing w:val="0"/>
          <w:sz w:val="24"/>
          <w:szCs w:val="24"/>
          <w:u w:val="single"/>
          <w:lang w:val="en-US" w:eastAsia="zh-CN"/>
        </w:rPr>
      </w:pPr>
      <w:r>
        <w:rPr>
          <w:rFonts w:hint="eastAsia" w:ascii="宋体" w:hAnsi="宋体" w:eastAsia="宋体" w:cs="宋体"/>
          <w:b w:val="0"/>
          <w:i w:val="0"/>
          <w:caps w:val="0"/>
          <w:color w:val="auto"/>
          <w:spacing w:val="0"/>
          <w:sz w:val="24"/>
          <w:szCs w:val="24"/>
          <w:shd w:val="clear" w:fill="FFFFFF"/>
        </w:rPr>
        <w:t>　　　　　　  　　　　　　　　　　　企业名称（盖章）：</w:t>
      </w:r>
      <w:r>
        <w:rPr>
          <w:rFonts w:hint="eastAsia" w:ascii="宋体" w:hAnsi="宋体" w:cs="宋体"/>
          <w:b w:val="0"/>
          <w:i w:val="0"/>
          <w:caps w:val="0"/>
          <w:color w:val="auto"/>
          <w:spacing w:val="0"/>
          <w:sz w:val="24"/>
          <w:szCs w:val="24"/>
          <w:u w:val="single"/>
          <w:shd w:val="clear" w:fill="FFFFFF"/>
          <w:lang w:val="en-US" w:eastAsia="zh-CN"/>
        </w:rPr>
        <w:t xml:space="preserve">           </w:t>
      </w:r>
    </w:p>
    <w:p>
      <w:pPr>
        <w:pStyle w:val="11"/>
        <w:keepNext w:val="0"/>
        <w:keepLines w:val="0"/>
        <w:widowControl/>
        <w:suppressLineNumbers w:val="0"/>
        <w:shd w:val="clear" w:fill="FFFFFF"/>
        <w:spacing w:line="432" w:lineRule="atLeast"/>
        <w:ind w:left="0" w:firstLine="0"/>
        <w:jc w:val="left"/>
        <w:rPr>
          <w:rFonts w:hint="eastAsia" w:ascii="宋体" w:hAnsi="宋体" w:eastAsia="宋体" w:cs="宋体"/>
          <w:b w:val="0"/>
          <w:i w:val="0"/>
          <w:caps w:val="0"/>
          <w:color w:val="auto"/>
          <w:spacing w:val="0"/>
          <w:sz w:val="24"/>
          <w:szCs w:val="24"/>
        </w:rPr>
      </w:pPr>
      <w:r>
        <w:rPr>
          <w:rFonts w:hint="eastAsia" w:ascii="宋体" w:hAnsi="宋体" w:eastAsia="宋体" w:cs="宋体"/>
          <w:b w:val="0"/>
          <w:i w:val="0"/>
          <w:caps w:val="0"/>
          <w:color w:val="auto"/>
          <w:spacing w:val="0"/>
          <w:sz w:val="24"/>
          <w:szCs w:val="24"/>
          <w:shd w:val="clear" w:fill="FFFFFF"/>
        </w:rPr>
        <w:t>　　　　　　　　　　　　　　　　　　　　日  期：</w:t>
      </w:r>
      <w:r>
        <w:rPr>
          <w:rFonts w:hint="eastAsia" w:ascii="宋体" w:hAnsi="宋体" w:cs="宋体"/>
          <w:b w:val="0"/>
          <w:i w:val="0"/>
          <w:caps w:val="0"/>
          <w:color w:val="auto"/>
          <w:spacing w:val="0"/>
          <w:sz w:val="24"/>
          <w:szCs w:val="24"/>
          <w:u w:val="single"/>
          <w:shd w:val="clear" w:fill="FFFFFF"/>
          <w:lang w:val="en-US" w:eastAsia="zh-CN"/>
        </w:rPr>
        <w:t xml:space="preserve">                 </w:t>
      </w:r>
      <w:r>
        <w:rPr>
          <w:rFonts w:hint="eastAsia" w:ascii="宋体" w:hAnsi="宋体" w:eastAsia="宋体" w:cs="宋体"/>
          <w:b w:val="0"/>
          <w:i w:val="0"/>
          <w:caps w:val="0"/>
          <w:color w:val="auto"/>
          <w:spacing w:val="0"/>
          <w:sz w:val="24"/>
          <w:szCs w:val="24"/>
          <w:shd w:val="clear" w:fill="FFFFFF"/>
        </w:rPr>
        <w:t>　　　　　　</w:t>
      </w:r>
    </w:p>
    <w:p>
      <w:pPr>
        <w:spacing w:line="360" w:lineRule="auto"/>
        <w:rPr>
          <w:rFonts w:ascii="宋体" w:cs="宋体"/>
          <w:color w:val="auto"/>
        </w:rPr>
      </w:pPr>
    </w:p>
    <w:p>
      <w:pPr>
        <w:spacing w:line="360" w:lineRule="auto"/>
        <w:jc w:val="center"/>
        <w:rPr>
          <w:rFonts w:ascii="宋体" w:cs="宋体"/>
          <w:color w:val="auto"/>
        </w:rPr>
      </w:pPr>
    </w:p>
    <w:p>
      <w:pPr>
        <w:spacing w:line="360" w:lineRule="auto"/>
        <w:jc w:val="center"/>
        <w:rPr>
          <w:rFonts w:ascii="宋体" w:cs="宋体"/>
          <w:color w:val="auto"/>
        </w:rPr>
      </w:pPr>
    </w:p>
    <w:p>
      <w:pPr>
        <w:spacing w:line="360" w:lineRule="auto"/>
        <w:jc w:val="center"/>
        <w:rPr>
          <w:rFonts w:ascii="宋体" w:cs="宋体"/>
          <w:color w:val="auto"/>
        </w:rPr>
      </w:pPr>
    </w:p>
    <w:p>
      <w:pPr>
        <w:spacing w:line="360" w:lineRule="auto"/>
        <w:jc w:val="center"/>
        <w:rPr>
          <w:rFonts w:ascii="宋体" w:cs="宋体"/>
          <w:color w:val="auto"/>
        </w:rPr>
      </w:pPr>
    </w:p>
    <w:p>
      <w:pPr>
        <w:spacing w:line="360" w:lineRule="auto"/>
        <w:jc w:val="both"/>
        <w:rPr>
          <w:rFonts w:ascii="宋体" w:cs="宋体"/>
          <w:color w:val="auto"/>
        </w:rPr>
      </w:pPr>
    </w:p>
    <w:p>
      <w:pPr>
        <w:spacing w:line="360" w:lineRule="auto"/>
        <w:jc w:val="center"/>
        <w:rPr>
          <w:rFonts w:hint="eastAsia" w:ascii="宋体" w:hAnsi="宋体" w:cs="宋体"/>
          <w:color w:val="auto"/>
        </w:rPr>
      </w:pPr>
    </w:p>
    <w:p>
      <w:pPr>
        <w:spacing w:line="360" w:lineRule="auto"/>
        <w:jc w:val="center"/>
        <w:rPr>
          <w:rFonts w:ascii="宋体" w:cs="宋体"/>
          <w:color w:val="auto"/>
        </w:rPr>
      </w:pPr>
      <w:r>
        <w:rPr>
          <w:rFonts w:hint="eastAsia" w:ascii="宋体" w:hAnsi="宋体" w:cs="宋体"/>
          <w:color w:val="auto"/>
        </w:rPr>
        <w:t>五、售后服务承诺</w:t>
      </w:r>
    </w:p>
    <w:p>
      <w:pPr>
        <w:spacing w:line="360" w:lineRule="auto"/>
        <w:ind w:firstLine="944"/>
        <w:rPr>
          <w:rFonts w:ascii="宋体" w:cs="宋体"/>
          <w:color w:val="auto"/>
        </w:rPr>
      </w:pPr>
    </w:p>
    <w:p>
      <w:pPr>
        <w:spacing w:line="360" w:lineRule="auto"/>
        <w:rPr>
          <w:rFonts w:ascii="宋体" w:cs="宋体"/>
          <w:color w:val="auto"/>
        </w:rPr>
      </w:pPr>
    </w:p>
    <w:p>
      <w:pPr>
        <w:tabs>
          <w:tab w:val="left" w:pos="720"/>
        </w:tabs>
        <w:autoSpaceDE w:val="0"/>
        <w:autoSpaceDN w:val="0"/>
        <w:adjustRightInd w:val="0"/>
        <w:spacing w:line="360" w:lineRule="auto"/>
        <w:ind w:firstLine="480" w:firstLineChars="200"/>
        <w:rPr>
          <w:rFonts w:ascii="宋体" w:cs="宋体"/>
          <w:color w:val="auto"/>
        </w:rPr>
      </w:pPr>
      <w:r>
        <w:rPr>
          <w:rFonts w:ascii="宋体" w:hAnsi="宋体" w:cs="宋体"/>
          <w:color w:val="auto"/>
        </w:rPr>
        <w:t>1</w:t>
      </w:r>
      <w:r>
        <w:rPr>
          <w:rFonts w:hint="eastAsia" w:ascii="宋体" w:hAnsi="宋体" w:cs="宋体"/>
          <w:color w:val="auto"/>
        </w:rPr>
        <w:t>、</w:t>
      </w:r>
      <w:r>
        <w:rPr>
          <w:rFonts w:hint="eastAsia" w:ascii="宋体" w:hAnsi="宋体" w:cs="宋体"/>
          <w:color w:val="auto"/>
          <w:lang w:val="zh-CN"/>
        </w:rPr>
        <w:t>本附件内容由各投标人自行填写，应至少包括询价通知书要求的所有服务内容的响应条件；</w:t>
      </w:r>
    </w:p>
    <w:p>
      <w:pPr>
        <w:tabs>
          <w:tab w:val="left" w:pos="720"/>
        </w:tabs>
        <w:autoSpaceDE w:val="0"/>
        <w:autoSpaceDN w:val="0"/>
        <w:adjustRightInd w:val="0"/>
        <w:spacing w:line="360" w:lineRule="auto"/>
        <w:ind w:firstLine="480" w:firstLineChars="200"/>
        <w:rPr>
          <w:rFonts w:ascii="宋体" w:cs="宋体"/>
          <w:color w:val="auto"/>
        </w:rPr>
      </w:pPr>
      <w:r>
        <w:rPr>
          <w:rFonts w:ascii="宋体" w:hAnsi="宋体" w:cs="宋体"/>
          <w:color w:val="auto"/>
          <w:lang w:val="zh-CN"/>
        </w:rPr>
        <w:t>2</w:t>
      </w:r>
      <w:r>
        <w:rPr>
          <w:rFonts w:hint="eastAsia" w:ascii="宋体" w:hAnsi="宋体" w:cs="宋体"/>
          <w:color w:val="auto"/>
          <w:lang w:val="zh-CN"/>
        </w:rPr>
        <w:t>、保修期应明确；</w:t>
      </w:r>
    </w:p>
    <w:p>
      <w:pPr>
        <w:tabs>
          <w:tab w:val="left" w:pos="720"/>
        </w:tabs>
        <w:autoSpaceDE w:val="0"/>
        <w:autoSpaceDN w:val="0"/>
        <w:adjustRightInd w:val="0"/>
        <w:spacing w:line="360" w:lineRule="auto"/>
        <w:ind w:firstLine="480" w:firstLineChars="200"/>
        <w:rPr>
          <w:rFonts w:ascii="宋体" w:cs="宋体"/>
          <w:color w:val="auto"/>
          <w:lang w:val="zh-CN"/>
        </w:rPr>
      </w:pPr>
      <w:r>
        <w:rPr>
          <w:rFonts w:ascii="宋体" w:hAnsi="宋体" w:cs="宋体"/>
          <w:color w:val="auto"/>
        </w:rPr>
        <w:t>3</w:t>
      </w:r>
      <w:r>
        <w:rPr>
          <w:rFonts w:hint="eastAsia" w:ascii="宋体" w:hAnsi="宋体" w:cs="宋体"/>
          <w:color w:val="auto"/>
        </w:rPr>
        <w:t>、</w:t>
      </w:r>
      <w:r>
        <w:rPr>
          <w:rFonts w:hint="eastAsia" w:ascii="宋体" w:hAnsi="宋体" w:cs="宋体"/>
          <w:color w:val="auto"/>
          <w:lang w:val="zh-CN"/>
        </w:rPr>
        <w:t>其他的及售后方面的承诺参照以上进行，务求详细、可操作。</w:t>
      </w:r>
    </w:p>
    <w:p>
      <w:pPr>
        <w:tabs>
          <w:tab w:val="left" w:pos="720"/>
        </w:tabs>
        <w:autoSpaceDE w:val="0"/>
        <w:autoSpaceDN w:val="0"/>
        <w:adjustRightInd w:val="0"/>
        <w:spacing w:line="360" w:lineRule="auto"/>
        <w:ind w:firstLine="480" w:firstLineChars="200"/>
        <w:rPr>
          <w:rFonts w:ascii="宋体" w:cs="宋体"/>
          <w:color w:val="auto"/>
          <w:lang w:val="zh-CN"/>
        </w:rPr>
      </w:pPr>
    </w:p>
    <w:p>
      <w:pPr>
        <w:tabs>
          <w:tab w:val="left" w:pos="720"/>
        </w:tabs>
        <w:autoSpaceDE w:val="0"/>
        <w:autoSpaceDN w:val="0"/>
        <w:adjustRightInd w:val="0"/>
        <w:spacing w:line="360" w:lineRule="auto"/>
        <w:ind w:firstLine="480" w:firstLineChars="200"/>
        <w:rPr>
          <w:rFonts w:ascii="宋体" w:cs="宋体"/>
          <w:color w:val="auto"/>
          <w:lang w:val="zh-CN"/>
        </w:rPr>
      </w:pPr>
    </w:p>
    <w:p>
      <w:pPr>
        <w:tabs>
          <w:tab w:val="left" w:pos="720"/>
        </w:tabs>
        <w:autoSpaceDE w:val="0"/>
        <w:autoSpaceDN w:val="0"/>
        <w:adjustRightInd w:val="0"/>
        <w:spacing w:line="360" w:lineRule="auto"/>
        <w:ind w:firstLine="480" w:firstLineChars="200"/>
        <w:rPr>
          <w:rFonts w:ascii="宋体" w:cs="宋体"/>
          <w:color w:val="auto"/>
          <w:lang w:val="zh-CN"/>
        </w:rPr>
      </w:pPr>
    </w:p>
    <w:p>
      <w:pPr>
        <w:tabs>
          <w:tab w:val="left" w:pos="720"/>
        </w:tabs>
        <w:autoSpaceDE w:val="0"/>
        <w:autoSpaceDN w:val="0"/>
        <w:adjustRightInd w:val="0"/>
        <w:spacing w:line="360" w:lineRule="auto"/>
        <w:ind w:firstLine="480" w:firstLineChars="200"/>
        <w:rPr>
          <w:rFonts w:ascii="宋体" w:cs="宋体"/>
          <w:color w:val="auto"/>
          <w:lang w:val="zh-CN"/>
        </w:rPr>
      </w:pPr>
    </w:p>
    <w:p>
      <w:pPr>
        <w:adjustRightInd w:val="0"/>
        <w:snapToGrid w:val="0"/>
        <w:spacing w:line="360" w:lineRule="auto"/>
        <w:ind w:right="240" w:rightChars="100"/>
        <w:jc w:val="center"/>
        <w:rPr>
          <w:rFonts w:ascii="宋体" w:cs="宋体"/>
          <w:color w:val="auto"/>
          <w:u w:val="single"/>
        </w:rPr>
      </w:pPr>
      <w:r>
        <w:rPr>
          <w:rFonts w:hint="eastAsia" w:ascii="宋体" w:hAnsi="宋体" w:cs="宋体"/>
          <w:color w:val="auto"/>
          <w:lang w:val="en-US" w:eastAsia="zh-CN"/>
        </w:rPr>
        <w:t xml:space="preserve">              </w:t>
      </w:r>
      <w:r>
        <w:rPr>
          <w:rFonts w:hint="eastAsia" w:ascii="宋体" w:hAnsi="宋体" w:cs="宋体"/>
          <w:color w:val="auto"/>
        </w:rPr>
        <w:t>供应商</w:t>
      </w:r>
      <w:r>
        <w:rPr>
          <w:rFonts w:hint="eastAsia" w:ascii="宋体" w:hAnsi="宋体" w:cs="宋体"/>
          <w:iCs/>
          <w:color w:val="auto"/>
        </w:rPr>
        <w:t>名称</w:t>
      </w:r>
      <w:r>
        <w:rPr>
          <w:rFonts w:hint="eastAsia" w:ascii="宋体" w:hAnsi="宋体" w:cs="宋体"/>
          <w:color w:val="auto"/>
        </w:rPr>
        <w:t>：</w:t>
      </w:r>
      <w:r>
        <w:rPr>
          <w:rFonts w:hint="eastAsia" w:ascii="宋体" w:hAnsi="宋体" w:cs="宋体"/>
          <w:color w:val="auto"/>
          <w:u w:val="single"/>
          <w:lang w:val="en-US" w:eastAsia="zh-CN"/>
        </w:rPr>
        <w:t xml:space="preserve">                </w:t>
      </w:r>
      <w:r>
        <w:rPr>
          <w:rFonts w:hint="eastAsia" w:ascii="宋体" w:hAnsi="宋体" w:cs="宋体"/>
          <w:color w:val="auto"/>
          <w:u w:val="single"/>
        </w:rPr>
        <w:t>（公章）</w:t>
      </w:r>
    </w:p>
    <w:p>
      <w:pPr>
        <w:adjustRightInd w:val="0"/>
        <w:snapToGrid w:val="0"/>
        <w:spacing w:line="360" w:lineRule="auto"/>
        <w:ind w:right="240" w:rightChars="100"/>
        <w:jc w:val="center"/>
        <w:rPr>
          <w:rFonts w:hint="eastAsia" w:ascii="宋体" w:eastAsia="宋体" w:cs="宋体"/>
          <w:color w:val="auto"/>
          <w:u w:val="single"/>
          <w:lang w:val="en-US" w:eastAsia="zh-CN"/>
        </w:rPr>
      </w:pPr>
      <w:r>
        <w:rPr>
          <w:rFonts w:hint="eastAsia" w:ascii="宋体" w:hAnsi="宋体" w:cs="宋体"/>
          <w:color w:val="auto"/>
        </w:rPr>
        <w:t>法定代表人或被授权人：</w:t>
      </w:r>
      <w:r>
        <w:rPr>
          <w:rFonts w:hint="eastAsia" w:ascii="宋体" w:hAnsi="宋体" w:cs="宋体"/>
          <w:color w:val="auto"/>
          <w:u w:val="single"/>
          <w:lang w:val="en-US" w:eastAsia="zh-CN"/>
        </w:rPr>
        <w:t xml:space="preserve">              </w:t>
      </w:r>
    </w:p>
    <w:p>
      <w:pPr>
        <w:adjustRightInd w:val="0"/>
        <w:snapToGrid w:val="0"/>
        <w:spacing w:line="360" w:lineRule="auto"/>
        <w:ind w:right="240" w:rightChars="100" w:firstLine="2880" w:firstLineChars="1200"/>
        <w:rPr>
          <w:rFonts w:ascii="宋体" w:cs="宋体"/>
          <w:bCs/>
          <w:color w:val="auto"/>
          <w:lang w:val="en-GB"/>
        </w:rPr>
      </w:pPr>
      <w:r>
        <w:rPr>
          <w:rFonts w:hint="eastAsia" w:ascii="宋体" w:hAnsi="宋体" w:cs="宋体"/>
          <w:color w:val="auto"/>
        </w:rPr>
        <w:t>承诺日期：</w:t>
      </w:r>
      <w:r>
        <w:rPr>
          <w:rFonts w:hint="eastAsia" w:ascii="宋体" w:hAnsi="宋体" w:cs="宋体"/>
          <w:color w:val="auto"/>
          <w:u w:val="single"/>
          <w:lang w:val="en-US" w:eastAsia="zh-CN"/>
        </w:rPr>
        <w:t xml:space="preserve">        </w:t>
      </w:r>
      <w:r>
        <w:rPr>
          <w:rFonts w:hint="eastAsia" w:ascii="宋体" w:hAnsi="宋体" w:cs="宋体"/>
          <w:color w:val="auto"/>
          <w:lang w:val="en-GB"/>
        </w:rPr>
        <w:t>年</w:t>
      </w:r>
      <w:r>
        <w:rPr>
          <w:rFonts w:hint="eastAsia" w:ascii="宋体" w:hAnsi="宋体" w:cs="宋体"/>
          <w:color w:val="auto"/>
          <w:u w:val="single"/>
          <w:lang w:val="en-US" w:eastAsia="zh-CN"/>
        </w:rPr>
        <w:t xml:space="preserve">   </w:t>
      </w:r>
      <w:r>
        <w:rPr>
          <w:rFonts w:hint="eastAsia" w:ascii="宋体" w:hAnsi="宋体" w:cs="宋体"/>
          <w:color w:val="auto"/>
          <w:lang w:val="en-GB"/>
        </w:rPr>
        <w:t>月</w:t>
      </w:r>
      <w:r>
        <w:rPr>
          <w:rFonts w:hint="eastAsia" w:ascii="宋体" w:hAnsi="宋体" w:cs="宋体"/>
          <w:color w:val="auto"/>
          <w:u w:val="single"/>
          <w:lang w:val="en-US" w:eastAsia="zh-CN"/>
        </w:rPr>
        <w:t xml:space="preserve">   </w:t>
      </w:r>
      <w:r>
        <w:rPr>
          <w:rFonts w:hint="eastAsia" w:ascii="宋体" w:hAnsi="宋体" w:cs="宋体"/>
          <w:color w:val="auto"/>
          <w:lang w:val="en-GB"/>
        </w:rPr>
        <w:t>日</w:t>
      </w:r>
    </w:p>
    <w:p>
      <w:pPr>
        <w:spacing w:line="360" w:lineRule="auto"/>
        <w:rPr>
          <w:rFonts w:ascii="宋体" w:cs="宋体"/>
          <w:color w:val="auto"/>
        </w:rPr>
      </w:pPr>
    </w:p>
    <w:p>
      <w:pPr>
        <w:spacing w:line="360" w:lineRule="auto"/>
        <w:rPr>
          <w:rFonts w:ascii="宋体" w:cs="宋体"/>
          <w:color w:val="auto"/>
        </w:rPr>
      </w:pPr>
    </w:p>
    <w:p>
      <w:pPr>
        <w:spacing w:line="360" w:lineRule="auto"/>
        <w:rPr>
          <w:rFonts w:ascii="宋体" w:cs="宋体"/>
          <w:color w:val="auto"/>
        </w:rPr>
      </w:pPr>
    </w:p>
    <w:p>
      <w:pPr>
        <w:spacing w:line="360" w:lineRule="auto"/>
        <w:rPr>
          <w:rFonts w:ascii="宋体" w:cs="宋体"/>
          <w:color w:val="auto"/>
        </w:rPr>
      </w:pPr>
    </w:p>
    <w:p>
      <w:pPr>
        <w:spacing w:line="360" w:lineRule="auto"/>
        <w:rPr>
          <w:rFonts w:ascii="宋体" w:cs="宋体"/>
          <w:color w:val="auto"/>
        </w:rPr>
      </w:pPr>
    </w:p>
    <w:p>
      <w:pPr>
        <w:spacing w:line="360" w:lineRule="auto"/>
        <w:rPr>
          <w:rFonts w:ascii="宋体" w:cs="宋体"/>
          <w:color w:val="auto"/>
        </w:rPr>
      </w:pPr>
    </w:p>
    <w:p>
      <w:pPr>
        <w:tabs>
          <w:tab w:val="left" w:pos="360"/>
        </w:tabs>
        <w:spacing w:before="67" w:line="360" w:lineRule="auto"/>
        <w:ind w:right="-360"/>
        <w:rPr>
          <w:rFonts w:ascii="宋体" w:cs="宋体"/>
          <w:color w:val="auto"/>
        </w:rPr>
      </w:pPr>
    </w:p>
    <w:p>
      <w:pPr>
        <w:spacing w:line="360" w:lineRule="auto"/>
        <w:jc w:val="center"/>
        <w:rPr>
          <w:rFonts w:ascii="宋体" w:cs="宋体"/>
          <w:color w:val="auto"/>
        </w:rPr>
      </w:pPr>
    </w:p>
    <w:p>
      <w:pPr>
        <w:spacing w:line="360" w:lineRule="auto"/>
        <w:jc w:val="center"/>
        <w:rPr>
          <w:rFonts w:ascii="宋体" w:cs="宋体"/>
          <w:color w:val="auto"/>
        </w:rPr>
      </w:pPr>
    </w:p>
    <w:p>
      <w:pPr>
        <w:tabs>
          <w:tab w:val="left" w:pos="360"/>
        </w:tabs>
        <w:spacing w:before="67" w:line="360" w:lineRule="auto"/>
        <w:ind w:right="-360"/>
        <w:jc w:val="both"/>
        <w:rPr>
          <w:rFonts w:ascii="宋体" w:cs="宋体"/>
          <w:color w:val="auto"/>
        </w:rPr>
      </w:pPr>
    </w:p>
    <w:p>
      <w:pPr>
        <w:tabs>
          <w:tab w:val="left" w:pos="360"/>
        </w:tabs>
        <w:spacing w:before="67" w:line="360" w:lineRule="auto"/>
        <w:ind w:right="-360"/>
        <w:jc w:val="center"/>
        <w:rPr>
          <w:rFonts w:ascii="宋体" w:cs="宋体"/>
          <w:color w:val="auto"/>
        </w:rPr>
      </w:pPr>
    </w:p>
    <w:p>
      <w:pPr>
        <w:tabs>
          <w:tab w:val="left" w:pos="360"/>
        </w:tabs>
        <w:spacing w:before="67" w:line="360" w:lineRule="auto"/>
        <w:ind w:right="-360"/>
        <w:jc w:val="center"/>
        <w:rPr>
          <w:rFonts w:ascii="宋体" w:cs="宋体"/>
          <w:color w:val="auto"/>
        </w:rPr>
      </w:pPr>
    </w:p>
    <w:p>
      <w:pPr>
        <w:tabs>
          <w:tab w:val="left" w:pos="360"/>
        </w:tabs>
        <w:spacing w:before="67" w:line="360" w:lineRule="auto"/>
        <w:ind w:right="-360"/>
        <w:jc w:val="center"/>
        <w:rPr>
          <w:rFonts w:ascii="宋体" w:cs="宋体"/>
          <w:color w:val="auto"/>
        </w:rPr>
      </w:pPr>
    </w:p>
    <w:p>
      <w:pPr>
        <w:tabs>
          <w:tab w:val="left" w:pos="360"/>
        </w:tabs>
        <w:spacing w:before="67" w:line="360" w:lineRule="auto"/>
        <w:ind w:right="-360"/>
        <w:jc w:val="center"/>
        <w:rPr>
          <w:rFonts w:ascii="宋体" w:cs="宋体"/>
          <w:color w:val="auto"/>
        </w:rPr>
      </w:pPr>
    </w:p>
    <w:p>
      <w:pPr>
        <w:tabs>
          <w:tab w:val="left" w:pos="360"/>
        </w:tabs>
        <w:spacing w:before="67" w:line="360" w:lineRule="auto"/>
        <w:ind w:right="-360"/>
        <w:jc w:val="center"/>
        <w:rPr>
          <w:rFonts w:ascii="宋体" w:cs="宋体"/>
          <w:color w:val="auto"/>
        </w:rPr>
      </w:pPr>
    </w:p>
    <w:p>
      <w:pPr>
        <w:tabs>
          <w:tab w:val="left" w:pos="360"/>
        </w:tabs>
        <w:spacing w:before="67" w:line="360" w:lineRule="auto"/>
        <w:ind w:right="-360"/>
        <w:jc w:val="center"/>
        <w:rPr>
          <w:color w:val="auto"/>
        </w:rPr>
      </w:pPr>
    </w:p>
    <w:p>
      <w:pPr>
        <w:tabs>
          <w:tab w:val="left" w:pos="360"/>
        </w:tabs>
        <w:spacing w:before="67" w:line="360" w:lineRule="auto"/>
        <w:ind w:right="-360"/>
        <w:jc w:val="center"/>
        <w:rPr>
          <w:rFonts w:ascii="宋体" w:cs="宋体"/>
          <w:color w:val="auto"/>
        </w:rPr>
      </w:pPr>
      <w:r>
        <w:rPr>
          <w:rFonts w:hint="eastAsia" w:ascii="宋体" w:hAnsi="宋体" w:cs="宋体"/>
          <w:color w:val="auto"/>
        </w:rPr>
        <w:t>六、用户需求响应情况表</w:t>
      </w:r>
    </w:p>
    <w:p>
      <w:pPr>
        <w:spacing w:line="360" w:lineRule="auto"/>
        <w:rPr>
          <w:rFonts w:hint="eastAsia" w:ascii="宋体" w:eastAsia="宋体" w:cs="宋体"/>
          <w:bCs/>
          <w:color w:val="auto"/>
          <w:u w:val="single"/>
          <w:lang w:eastAsia="zh-CN"/>
        </w:rPr>
      </w:pPr>
      <w:r>
        <w:rPr>
          <w:rFonts w:hint="eastAsia" w:ascii="宋体" w:hAnsi="宋体" w:cs="宋体"/>
          <w:color w:val="auto"/>
        </w:rPr>
        <w:t>项目名称：</w:t>
      </w:r>
      <w:r>
        <w:rPr>
          <w:rFonts w:hint="eastAsia" w:ascii="宋体" w:hAnsi="宋体" w:cs="宋体"/>
          <w:color w:val="auto"/>
          <w:u w:val="single"/>
          <w:lang w:eastAsia="zh-CN"/>
        </w:rPr>
        <w:t>海棠湾车辆采购项目(二次招标)</w:t>
      </w:r>
      <w:r>
        <w:rPr>
          <w:rFonts w:hint="eastAsia" w:ascii="宋体" w:hAnsi="宋体" w:cs="宋体"/>
          <w:color w:val="auto"/>
          <w:lang w:eastAsia="zh-CN"/>
        </w:rPr>
        <w:t>项目</w:t>
      </w:r>
      <w:r>
        <w:rPr>
          <w:rFonts w:hint="eastAsia" w:ascii="宋体" w:hAnsi="宋体" w:cs="宋体"/>
          <w:color w:val="auto"/>
        </w:rPr>
        <w:t>编号：</w:t>
      </w:r>
      <w:r>
        <w:rPr>
          <w:rFonts w:hint="eastAsia" w:ascii="宋体" w:hAnsi="宋体" w:cs="宋体"/>
          <w:color w:val="auto"/>
          <w:u w:val="single"/>
          <w:lang w:eastAsia="zh-CN"/>
        </w:rPr>
        <w:t>HCGJ18-215R</w:t>
      </w:r>
    </w:p>
    <w:tbl>
      <w:tblPr>
        <w:tblStyle w:val="16"/>
        <w:tblW w:w="9175" w:type="dxa"/>
        <w:tblInd w:w="-108" w:type="dxa"/>
        <w:tblLayout w:type="fixed"/>
        <w:tblCellMar>
          <w:top w:w="0" w:type="dxa"/>
          <w:left w:w="10" w:type="dxa"/>
          <w:bottom w:w="0" w:type="dxa"/>
          <w:right w:w="10" w:type="dxa"/>
        </w:tblCellMar>
      </w:tblPr>
      <w:tblGrid>
        <w:gridCol w:w="767"/>
        <w:gridCol w:w="2318"/>
        <w:gridCol w:w="2677"/>
        <w:gridCol w:w="2514"/>
        <w:gridCol w:w="899"/>
      </w:tblGrid>
      <w:tr>
        <w:tblPrEx>
          <w:tblLayout w:type="fixed"/>
          <w:tblCellMar>
            <w:top w:w="0" w:type="dxa"/>
            <w:left w:w="10" w:type="dxa"/>
            <w:bottom w:w="0" w:type="dxa"/>
            <w:right w:w="10" w:type="dxa"/>
          </w:tblCellMar>
        </w:tblPrEx>
        <w:tc>
          <w:tcPr>
            <w:tcW w:w="76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rPr>
                <w:rFonts w:ascii="宋体" w:cs="宋体"/>
                <w:color w:val="auto"/>
              </w:rPr>
            </w:pPr>
            <w:r>
              <w:rPr>
                <w:rFonts w:hint="eastAsia" w:ascii="宋体" w:hAnsi="宋体" w:cs="宋体"/>
                <w:color w:val="auto"/>
              </w:rPr>
              <w:t>序号</w:t>
            </w:r>
          </w:p>
        </w:tc>
        <w:tc>
          <w:tcPr>
            <w:tcW w:w="23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ascii="宋体" w:cs="宋体"/>
                <w:color w:val="auto"/>
              </w:rPr>
            </w:pPr>
            <w:r>
              <w:rPr>
                <w:rFonts w:hint="eastAsia" w:ascii="宋体" w:hAnsi="宋体" w:cs="宋体"/>
                <w:color w:val="auto"/>
              </w:rPr>
              <w:t>用户需求书要求</w:t>
            </w:r>
          </w:p>
        </w:tc>
        <w:tc>
          <w:tcPr>
            <w:tcW w:w="267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ind w:firstLine="480"/>
              <w:rPr>
                <w:rFonts w:ascii="宋体" w:cs="宋体"/>
                <w:color w:val="auto"/>
              </w:rPr>
            </w:pPr>
            <w:r>
              <w:rPr>
                <w:rFonts w:hint="eastAsia" w:ascii="宋体" w:hAnsi="宋体" w:cs="宋体"/>
                <w:color w:val="auto"/>
              </w:rPr>
              <w:t>投标响应情况</w:t>
            </w:r>
          </w:p>
        </w:tc>
        <w:tc>
          <w:tcPr>
            <w:tcW w:w="251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rPr>
                <w:rFonts w:ascii="宋体" w:cs="宋体"/>
                <w:color w:val="auto"/>
              </w:rPr>
            </w:pPr>
            <w:r>
              <w:rPr>
                <w:rFonts w:hint="eastAsia" w:ascii="宋体" w:hAnsi="宋体" w:cs="宋体"/>
                <w:color w:val="auto"/>
              </w:rPr>
              <w:t>正偏离</w:t>
            </w:r>
            <w:r>
              <w:rPr>
                <w:rFonts w:ascii="宋体" w:hAnsi="宋体" w:cs="宋体"/>
                <w:color w:val="auto"/>
              </w:rPr>
              <w:t>/</w:t>
            </w:r>
            <w:r>
              <w:rPr>
                <w:rFonts w:hint="eastAsia" w:ascii="宋体" w:hAnsi="宋体" w:cs="宋体"/>
                <w:color w:val="auto"/>
              </w:rPr>
              <w:t>响应</w:t>
            </w:r>
            <w:r>
              <w:rPr>
                <w:rFonts w:ascii="宋体" w:hAnsi="宋体" w:cs="宋体"/>
                <w:color w:val="auto"/>
              </w:rPr>
              <w:t>/</w:t>
            </w:r>
            <w:r>
              <w:rPr>
                <w:rFonts w:hint="eastAsia" w:ascii="宋体" w:hAnsi="宋体" w:cs="宋体"/>
                <w:color w:val="auto"/>
              </w:rPr>
              <w:t>负偏离</w:t>
            </w:r>
          </w:p>
        </w:tc>
        <w:tc>
          <w:tcPr>
            <w:tcW w:w="89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rPr>
                <w:rFonts w:ascii="宋体" w:cs="宋体"/>
                <w:color w:val="auto"/>
              </w:rPr>
            </w:pPr>
            <w:r>
              <w:rPr>
                <w:rFonts w:hint="eastAsia" w:ascii="宋体" w:hAnsi="宋体" w:cs="宋体"/>
                <w:color w:val="auto"/>
              </w:rPr>
              <w:t>备注</w:t>
            </w:r>
          </w:p>
        </w:tc>
      </w:tr>
      <w:tr>
        <w:tblPrEx>
          <w:tblLayout w:type="fixed"/>
          <w:tblCellMar>
            <w:top w:w="0" w:type="dxa"/>
            <w:left w:w="10" w:type="dxa"/>
            <w:bottom w:w="0" w:type="dxa"/>
            <w:right w:w="10" w:type="dxa"/>
          </w:tblCellMar>
        </w:tblPrEx>
        <w:tc>
          <w:tcPr>
            <w:tcW w:w="76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360" w:lineRule="auto"/>
              <w:rPr>
                <w:rFonts w:ascii="宋体" w:cs="宋体"/>
                <w:color w:val="auto"/>
              </w:rPr>
            </w:pPr>
          </w:p>
        </w:tc>
        <w:tc>
          <w:tcPr>
            <w:tcW w:w="23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360" w:lineRule="auto"/>
              <w:rPr>
                <w:rFonts w:ascii="宋体" w:cs="宋体"/>
                <w:color w:val="auto"/>
              </w:rPr>
            </w:pPr>
          </w:p>
        </w:tc>
        <w:tc>
          <w:tcPr>
            <w:tcW w:w="267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360" w:lineRule="auto"/>
              <w:rPr>
                <w:rFonts w:ascii="宋体" w:cs="宋体"/>
                <w:color w:val="auto"/>
              </w:rPr>
            </w:pPr>
          </w:p>
        </w:tc>
        <w:tc>
          <w:tcPr>
            <w:tcW w:w="251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360" w:lineRule="auto"/>
              <w:rPr>
                <w:rFonts w:ascii="宋体" w:cs="宋体"/>
                <w:color w:val="auto"/>
              </w:rPr>
            </w:pPr>
          </w:p>
        </w:tc>
        <w:tc>
          <w:tcPr>
            <w:tcW w:w="89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360" w:lineRule="auto"/>
              <w:rPr>
                <w:rFonts w:ascii="宋体" w:cs="宋体"/>
                <w:color w:val="auto"/>
              </w:rPr>
            </w:pPr>
          </w:p>
        </w:tc>
      </w:tr>
      <w:tr>
        <w:tblPrEx>
          <w:tblLayout w:type="fixed"/>
          <w:tblCellMar>
            <w:top w:w="0" w:type="dxa"/>
            <w:left w:w="10" w:type="dxa"/>
            <w:bottom w:w="0" w:type="dxa"/>
            <w:right w:w="10" w:type="dxa"/>
          </w:tblCellMar>
        </w:tblPrEx>
        <w:tc>
          <w:tcPr>
            <w:tcW w:w="76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360" w:lineRule="auto"/>
              <w:rPr>
                <w:rFonts w:ascii="宋体" w:cs="宋体"/>
                <w:color w:val="auto"/>
              </w:rPr>
            </w:pPr>
          </w:p>
        </w:tc>
        <w:tc>
          <w:tcPr>
            <w:tcW w:w="23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360" w:lineRule="auto"/>
              <w:rPr>
                <w:rFonts w:ascii="宋体" w:cs="宋体"/>
                <w:color w:val="auto"/>
              </w:rPr>
            </w:pPr>
          </w:p>
        </w:tc>
        <w:tc>
          <w:tcPr>
            <w:tcW w:w="267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360" w:lineRule="auto"/>
              <w:rPr>
                <w:rFonts w:ascii="宋体" w:cs="宋体"/>
                <w:color w:val="auto"/>
              </w:rPr>
            </w:pPr>
          </w:p>
        </w:tc>
        <w:tc>
          <w:tcPr>
            <w:tcW w:w="251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360" w:lineRule="auto"/>
              <w:rPr>
                <w:rFonts w:ascii="宋体" w:cs="宋体"/>
                <w:color w:val="auto"/>
              </w:rPr>
            </w:pPr>
          </w:p>
        </w:tc>
        <w:tc>
          <w:tcPr>
            <w:tcW w:w="89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360" w:lineRule="auto"/>
              <w:rPr>
                <w:rFonts w:ascii="宋体" w:cs="宋体"/>
                <w:color w:val="auto"/>
              </w:rPr>
            </w:pPr>
          </w:p>
        </w:tc>
      </w:tr>
      <w:tr>
        <w:tblPrEx>
          <w:tblLayout w:type="fixed"/>
          <w:tblCellMar>
            <w:top w:w="0" w:type="dxa"/>
            <w:left w:w="10" w:type="dxa"/>
            <w:bottom w:w="0" w:type="dxa"/>
            <w:right w:w="10" w:type="dxa"/>
          </w:tblCellMar>
        </w:tblPrEx>
        <w:tc>
          <w:tcPr>
            <w:tcW w:w="76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360" w:lineRule="auto"/>
              <w:rPr>
                <w:rFonts w:ascii="宋体" w:cs="宋体"/>
                <w:color w:val="auto"/>
              </w:rPr>
            </w:pPr>
          </w:p>
        </w:tc>
        <w:tc>
          <w:tcPr>
            <w:tcW w:w="23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360" w:lineRule="auto"/>
              <w:rPr>
                <w:rFonts w:ascii="宋体" w:cs="宋体"/>
                <w:color w:val="auto"/>
              </w:rPr>
            </w:pPr>
          </w:p>
        </w:tc>
        <w:tc>
          <w:tcPr>
            <w:tcW w:w="267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360" w:lineRule="auto"/>
              <w:rPr>
                <w:rFonts w:ascii="宋体" w:cs="宋体"/>
                <w:color w:val="auto"/>
              </w:rPr>
            </w:pPr>
          </w:p>
        </w:tc>
        <w:tc>
          <w:tcPr>
            <w:tcW w:w="251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360" w:lineRule="auto"/>
              <w:rPr>
                <w:rFonts w:ascii="宋体" w:cs="宋体"/>
                <w:color w:val="auto"/>
              </w:rPr>
            </w:pPr>
          </w:p>
        </w:tc>
        <w:tc>
          <w:tcPr>
            <w:tcW w:w="89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360" w:lineRule="auto"/>
              <w:rPr>
                <w:rFonts w:ascii="宋体" w:cs="宋体"/>
                <w:color w:val="auto"/>
              </w:rPr>
            </w:pPr>
          </w:p>
        </w:tc>
      </w:tr>
      <w:tr>
        <w:tblPrEx>
          <w:tblLayout w:type="fixed"/>
          <w:tblCellMar>
            <w:top w:w="0" w:type="dxa"/>
            <w:left w:w="10" w:type="dxa"/>
            <w:bottom w:w="0" w:type="dxa"/>
            <w:right w:w="10" w:type="dxa"/>
          </w:tblCellMar>
        </w:tblPrEx>
        <w:tc>
          <w:tcPr>
            <w:tcW w:w="76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360" w:lineRule="auto"/>
              <w:rPr>
                <w:rFonts w:ascii="宋体" w:cs="宋体"/>
                <w:color w:val="auto"/>
              </w:rPr>
            </w:pPr>
          </w:p>
        </w:tc>
        <w:tc>
          <w:tcPr>
            <w:tcW w:w="23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360" w:lineRule="auto"/>
              <w:rPr>
                <w:rFonts w:ascii="宋体" w:cs="宋体"/>
                <w:color w:val="auto"/>
              </w:rPr>
            </w:pPr>
          </w:p>
        </w:tc>
        <w:tc>
          <w:tcPr>
            <w:tcW w:w="267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360" w:lineRule="auto"/>
              <w:rPr>
                <w:rFonts w:ascii="宋体" w:cs="宋体"/>
                <w:color w:val="auto"/>
              </w:rPr>
            </w:pPr>
          </w:p>
        </w:tc>
        <w:tc>
          <w:tcPr>
            <w:tcW w:w="251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360" w:lineRule="auto"/>
              <w:rPr>
                <w:rFonts w:ascii="宋体" w:cs="宋体"/>
                <w:color w:val="auto"/>
              </w:rPr>
            </w:pPr>
          </w:p>
        </w:tc>
        <w:tc>
          <w:tcPr>
            <w:tcW w:w="89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360" w:lineRule="auto"/>
              <w:rPr>
                <w:rFonts w:ascii="宋体" w:cs="宋体"/>
                <w:color w:val="auto"/>
              </w:rPr>
            </w:pPr>
          </w:p>
        </w:tc>
      </w:tr>
      <w:tr>
        <w:tblPrEx>
          <w:tblLayout w:type="fixed"/>
          <w:tblCellMar>
            <w:top w:w="0" w:type="dxa"/>
            <w:left w:w="10" w:type="dxa"/>
            <w:bottom w:w="0" w:type="dxa"/>
            <w:right w:w="10" w:type="dxa"/>
          </w:tblCellMar>
        </w:tblPrEx>
        <w:tc>
          <w:tcPr>
            <w:tcW w:w="76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360" w:lineRule="auto"/>
              <w:rPr>
                <w:rFonts w:ascii="宋体" w:cs="宋体"/>
                <w:color w:val="auto"/>
              </w:rPr>
            </w:pPr>
          </w:p>
        </w:tc>
        <w:tc>
          <w:tcPr>
            <w:tcW w:w="23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360" w:lineRule="auto"/>
              <w:rPr>
                <w:rFonts w:ascii="宋体" w:cs="宋体"/>
                <w:color w:val="auto"/>
              </w:rPr>
            </w:pPr>
          </w:p>
        </w:tc>
        <w:tc>
          <w:tcPr>
            <w:tcW w:w="267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360" w:lineRule="auto"/>
              <w:rPr>
                <w:rFonts w:ascii="宋体" w:cs="宋体"/>
                <w:color w:val="auto"/>
              </w:rPr>
            </w:pPr>
          </w:p>
        </w:tc>
        <w:tc>
          <w:tcPr>
            <w:tcW w:w="251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360" w:lineRule="auto"/>
              <w:rPr>
                <w:rFonts w:ascii="宋体" w:cs="宋体"/>
                <w:color w:val="auto"/>
              </w:rPr>
            </w:pPr>
          </w:p>
        </w:tc>
        <w:tc>
          <w:tcPr>
            <w:tcW w:w="89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360" w:lineRule="auto"/>
              <w:rPr>
                <w:rFonts w:ascii="宋体" w:cs="宋体"/>
                <w:color w:val="auto"/>
              </w:rPr>
            </w:pPr>
          </w:p>
        </w:tc>
      </w:tr>
      <w:tr>
        <w:tblPrEx>
          <w:tblLayout w:type="fixed"/>
          <w:tblCellMar>
            <w:top w:w="0" w:type="dxa"/>
            <w:left w:w="10" w:type="dxa"/>
            <w:bottom w:w="0" w:type="dxa"/>
            <w:right w:w="10" w:type="dxa"/>
          </w:tblCellMar>
        </w:tblPrEx>
        <w:tc>
          <w:tcPr>
            <w:tcW w:w="76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360" w:lineRule="auto"/>
              <w:rPr>
                <w:rFonts w:ascii="宋体" w:cs="宋体"/>
                <w:color w:val="auto"/>
              </w:rPr>
            </w:pPr>
          </w:p>
        </w:tc>
        <w:tc>
          <w:tcPr>
            <w:tcW w:w="23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360" w:lineRule="auto"/>
              <w:rPr>
                <w:rFonts w:ascii="宋体" w:cs="宋体"/>
                <w:color w:val="auto"/>
              </w:rPr>
            </w:pPr>
          </w:p>
        </w:tc>
        <w:tc>
          <w:tcPr>
            <w:tcW w:w="267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360" w:lineRule="auto"/>
              <w:rPr>
                <w:rFonts w:ascii="宋体" w:cs="宋体"/>
                <w:color w:val="auto"/>
              </w:rPr>
            </w:pPr>
          </w:p>
        </w:tc>
        <w:tc>
          <w:tcPr>
            <w:tcW w:w="251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360" w:lineRule="auto"/>
              <w:rPr>
                <w:rFonts w:ascii="宋体" w:cs="宋体"/>
                <w:color w:val="auto"/>
              </w:rPr>
            </w:pPr>
          </w:p>
        </w:tc>
        <w:tc>
          <w:tcPr>
            <w:tcW w:w="89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360" w:lineRule="auto"/>
              <w:rPr>
                <w:rFonts w:ascii="宋体" w:cs="宋体"/>
                <w:color w:val="auto"/>
              </w:rPr>
            </w:pPr>
          </w:p>
        </w:tc>
      </w:tr>
      <w:tr>
        <w:tblPrEx>
          <w:tblLayout w:type="fixed"/>
          <w:tblCellMar>
            <w:top w:w="0" w:type="dxa"/>
            <w:left w:w="10" w:type="dxa"/>
            <w:bottom w:w="0" w:type="dxa"/>
            <w:right w:w="10" w:type="dxa"/>
          </w:tblCellMar>
        </w:tblPrEx>
        <w:tc>
          <w:tcPr>
            <w:tcW w:w="76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360" w:lineRule="auto"/>
              <w:rPr>
                <w:rFonts w:ascii="宋体" w:cs="宋体"/>
                <w:color w:val="auto"/>
              </w:rPr>
            </w:pPr>
          </w:p>
        </w:tc>
        <w:tc>
          <w:tcPr>
            <w:tcW w:w="23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360" w:lineRule="auto"/>
              <w:rPr>
                <w:rFonts w:ascii="宋体" w:cs="宋体"/>
                <w:color w:val="auto"/>
              </w:rPr>
            </w:pPr>
          </w:p>
        </w:tc>
        <w:tc>
          <w:tcPr>
            <w:tcW w:w="267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360" w:lineRule="auto"/>
              <w:rPr>
                <w:rFonts w:ascii="宋体" w:cs="宋体"/>
                <w:color w:val="auto"/>
              </w:rPr>
            </w:pPr>
          </w:p>
        </w:tc>
        <w:tc>
          <w:tcPr>
            <w:tcW w:w="251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360" w:lineRule="auto"/>
              <w:rPr>
                <w:rFonts w:ascii="宋体" w:cs="宋体"/>
                <w:color w:val="auto"/>
              </w:rPr>
            </w:pPr>
          </w:p>
        </w:tc>
        <w:tc>
          <w:tcPr>
            <w:tcW w:w="89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360" w:lineRule="auto"/>
              <w:rPr>
                <w:rFonts w:ascii="宋体" w:cs="宋体"/>
                <w:color w:val="auto"/>
              </w:rPr>
            </w:pPr>
          </w:p>
        </w:tc>
      </w:tr>
    </w:tbl>
    <w:p>
      <w:pPr>
        <w:tabs>
          <w:tab w:val="left" w:pos="360"/>
        </w:tabs>
        <w:spacing w:before="67" w:line="360" w:lineRule="auto"/>
        <w:ind w:right="-360"/>
        <w:rPr>
          <w:rFonts w:ascii="宋体" w:cs="宋体"/>
          <w:color w:val="auto"/>
        </w:rPr>
      </w:pPr>
      <w:r>
        <w:rPr>
          <w:rFonts w:hint="eastAsia" w:ascii="宋体" w:hAnsi="宋体" w:cs="宋体"/>
          <w:color w:val="auto"/>
        </w:rPr>
        <w:t>说明：</w:t>
      </w:r>
      <w:r>
        <w:rPr>
          <w:rFonts w:ascii="宋体" w:hAnsi="宋体" w:cs="宋体"/>
          <w:color w:val="auto"/>
        </w:rPr>
        <w:t>1</w:t>
      </w:r>
      <w:r>
        <w:rPr>
          <w:rFonts w:hint="eastAsia" w:ascii="宋体" w:hAnsi="宋体" w:cs="宋体"/>
          <w:color w:val="auto"/>
        </w:rPr>
        <w:t>、本表“用户需求书要求”应列出第</w:t>
      </w:r>
      <w:r>
        <w:rPr>
          <w:rFonts w:hint="eastAsia" w:ascii="宋体" w:hAnsi="宋体" w:cs="宋体"/>
          <w:color w:val="auto"/>
          <w:lang w:eastAsia="zh-CN"/>
        </w:rPr>
        <w:t>四</w:t>
      </w:r>
      <w:r>
        <w:rPr>
          <w:rFonts w:hint="eastAsia" w:ascii="宋体" w:hAnsi="宋体" w:cs="宋体"/>
          <w:color w:val="auto"/>
        </w:rPr>
        <w:t>章“用户需求书”技术要求所有条款，各投标人须对所有条款一一予以描述应答（在本表“投标响应情况”填写）。</w:t>
      </w:r>
    </w:p>
    <w:p>
      <w:pPr>
        <w:tabs>
          <w:tab w:val="left" w:pos="360"/>
        </w:tabs>
        <w:spacing w:before="67" w:line="360" w:lineRule="auto"/>
        <w:ind w:right="-360" w:firstLine="632"/>
        <w:rPr>
          <w:rFonts w:ascii="宋体" w:cs="宋体"/>
          <w:color w:val="auto"/>
        </w:rPr>
      </w:pPr>
      <w:r>
        <w:rPr>
          <w:rFonts w:ascii="宋体" w:hAnsi="宋体" w:cs="宋体"/>
          <w:color w:val="auto"/>
        </w:rPr>
        <w:t>2</w:t>
      </w:r>
      <w:r>
        <w:rPr>
          <w:rFonts w:hint="eastAsia" w:ascii="宋体" w:hAnsi="宋体" w:cs="宋体"/>
          <w:color w:val="auto"/>
        </w:rPr>
        <w:t>、请各投标人认真填写本表内容，行数可自行添加，但表式不变。</w:t>
      </w:r>
    </w:p>
    <w:p>
      <w:pPr>
        <w:tabs>
          <w:tab w:val="left" w:pos="360"/>
        </w:tabs>
        <w:spacing w:before="67" w:line="360" w:lineRule="auto"/>
        <w:ind w:right="-360"/>
        <w:rPr>
          <w:rFonts w:ascii="宋体" w:cs="宋体"/>
          <w:color w:val="auto"/>
        </w:rPr>
      </w:pPr>
    </w:p>
    <w:p>
      <w:pPr>
        <w:tabs>
          <w:tab w:val="left" w:pos="360"/>
        </w:tabs>
        <w:spacing w:before="67" w:line="360" w:lineRule="auto"/>
        <w:ind w:right="-360"/>
        <w:rPr>
          <w:rFonts w:ascii="宋体" w:cs="宋体"/>
          <w:color w:val="auto"/>
        </w:rPr>
      </w:pPr>
    </w:p>
    <w:p>
      <w:pPr>
        <w:tabs>
          <w:tab w:val="left" w:pos="360"/>
        </w:tabs>
        <w:spacing w:before="67" w:line="360" w:lineRule="auto"/>
        <w:ind w:right="-360"/>
        <w:rPr>
          <w:rFonts w:ascii="宋体" w:cs="宋体"/>
          <w:color w:val="auto"/>
        </w:rPr>
      </w:pPr>
    </w:p>
    <w:p>
      <w:pPr>
        <w:spacing w:line="360" w:lineRule="auto"/>
        <w:ind w:firstLine="3240" w:firstLineChars="1350"/>
        <w:rPr>
          <w:rFonts w:ascii="宋体" w:cs="宋体"/>
          <w:color w:val="auto"/>
        </w:rPr>
      </w:pPr>
      <w:r>
        <w:rPr>
          <w:rFonts w:hint="eastAsia" w:ascii="宋体" w:hAnsi="宋体" w:cs="宋体"/>
          <w:color w:val="auto"/>
        </w:rPr>
        <w:t>投标人名称：</w:t>
      </w:r>
      <w:r>
        <w:rPr>
          <w:rFonts w:hint="eastAsia" w:ascii="宋体" w:hAnsi="宋体" w:cs="宋体"/>
          <w:color w:val="auto"/>
          <w:u w:val="single"/>
          <w:lang w:val="en-US" w:eastAsia="zh-CN"/>
        </w:rPr>
        <w:t xml:space="preserve">                    </w:t>
      </w:r>
      <w:r>
        <w:rPr>
          <w:rFonts w:hint="eastAsia" w:ascii="宋体" w:hAnsi="宋体" w:cs="宋体"/>
          <w:color w:val="auto"/>
        </w:rPr>
        <w:t>（盖公章）</w:t>
      </w:r>
    </w:p>
    <w:p>
      <w:pPr>
        <w:spacing w:line="360" w:lineRule="auto"/>
        <w:rPr>
          <w:rFonts w:ascii="宋体" w:cs="宋体"/>
          <w:color w:val="auto"/>
        </w:rPr>
      </w:pPr>
    </w:p>
    <w:p>
      <w:pPr>
        <w:spacing w:line="360" w:lineRule="auto"/>
        <w:ind w:firstLine="3240" w:firstLineChars="1350"/>
        <w:rPr>
          <w:rFonts w:hint="eastAsia" w:ascii="宋体" w:eastAsia="宋体" w:cs="宋体"/>
          <w:color w:val="auto"/>
          <w:u w:val="single"/>
          <w:lang w:val="en-US" w:eastAsia="zh-CN"/>
        </w:rPr>
      </w:pPr>
      <w:r>
        <w:rPr>
          <w:rFonts w:hint="eastAsia" w:ascii="宋体" w:hAnsi="宋体" w:cs="宋体"/>
          <w:color w:val="auto"/>
        </w:rPr>
        <w:t>法定代表人或</w:t>
      </w:r>
      <w:r>
        <w:rPr>
          <w:rFonts w:hint="eastAsia" w:ascii="宋体" w:hAnsi="宋体" w:cs="宋体"/>
          <w:color w:val="auto"/>
          <w:lang w:val="en-GB"/>
        </w:rPr>
        <w:t>被授权人</w:t>
      </w:r>
      <w:r>
        <w:rPr>
          <w:rFonts w:hint="eastAsia" w:ascii="宋体" w:hAnsi="宋体" w:cs="宋体"/>
          <w:color w:val="auto"/>
        </w:rPr>
        <w:t>：</w:t>
      </w:r>
      <w:r>
        <w:rPr>
          <w:rFonts w:hint="eastAsia" w:ascii="宋体" w:hAnsi="宋体" w:cs="宋体"/>
          <w:color w:val="auto"/>
          <w:u w:val="single"/>
          <w:lang w:val="en-US" w:eastAsia="zh-CN"/>
        </w:rPr>
        <w:t xml:space="preserve">                  </w:t>
      </w:r>
    </w:p>
    <w:p>
      <w:pPr>
        <w:spacing w:line="360" w:lineRule="auto"/>
        <w:rPr>
          <w:rFonts w:ascii="宋体" w:cs="宋体"/>
          <w:color w:val="auto"/>
        </w:rPr>
      </w:pPr>
    </w:p>
    <w:p>
      <w:pPr>
        <w:tabs>
          <w:tab w:val="left" w:pos="315"/>
        </w:tabs>
        <w:spacing w:line="360" w:lineRule="auto"/>
        <w:ind w:firstLine="3360" w:firstLineChars="1400"/>
        <w:rPr>
          <w:rFonts w:ascii="宋体" w:cs="宋体"/>
          <w:color w:val="auto"/>
        </w:rPr>
      </w:pPr>
      <w:r>
        <w:rPr>
          <w:rFonts w:hint="eastAsia" w:ascii="宋体" w:hAnsi="宋体" w:cs="宋体"/>
          <w:color w:val="auto"/>
        </w:rPr>
        <w:t>日期：</w:t>
      </w:r>
      <w:r>
        <w:rPr>
          <w:rFonts w:hint="eastAsia" w:ascii="宋体" w:hAnsi="宋体" w:cs="宋体"/>
          <w:color w:val="auto"/>
          <w:u w:val="single"/>
          <w:lang w:val="en-US" w:eastAsia="zh-CN"/>
        </w:rPr>
        <w:t xml:space="preserve">       </w:t>
      </w:r>
      <w:r>
        <w:rPr>
          <w:rFonts w:hint="eastAsia" w:ascii="宋体" w:hAnsi="宋体" w:cs="宋体"/>
          <w:color w:val="auto"/>
        </w:rPr>
        <w:t>年</w:t>
      </w:r>
      <w:r>
        <w:rPr>
          <w:rFonts w:hint="eastAsia" w:ascii="宋体" w:hAnsi="宋体" w:cs="宋体"/>
          <w:color w:val="auto"/>
          <w:u w:val="single"/>
          <w:lang w:val="en-US" w:eastAsia="zh-CN"/>
        </w:rPr>
        <w:t xml:space="preserve">    </w:t>
      </w:r>
      <w:r>
        <w:rPr>
          <w:rFonts w:hint="eastAsia" w:ascii="宋体" w:hAnsi="宋体" w:cs="宋体"/>
          <w:color w:val="auto"/>
        </w:rPr>
        <w:t>月</w:t>
      </w:r>
      <w:r>
        <w:rPr>
          <w:rFonts w:hint="eastAsia" w:ascii="宋体" w:hAnsi="宋体" w:cs="宋体"/>
          <w:color w:val="auto"/>
          <w:u w:val="single"/>
          <w:lang w:val="en-US" w:eastAsia="zh-CN"/>
        </w:rPr>
        <w:t xml:space="preserve">    </w:t>
      </w:r>
      <w:r>
        <w:rPr>
          <w:rFonts w:hint="eastAsia" w:ascii="宋体" w:hAnsi="宋体" w:cs="宋体"/>
          <w:color w:val="auto"/>
        </w:rPr>
        <w:t>日</w:t>
      </w:r>
    </w:p>
    <w:p>
      <w:pPr>
        <w:tabs>
          <w:tab w:val="left" w:pos="315"/>
        </w:tabs>
        <w:spacing w:line="360" w:lineRule="auto"/>
        <w:rPr>
          <w:rFonts w:ascii="宋体" w:cs="宋体"/>
          <w:color w:val="auto"/>
        </w:rPr>
      </w:pPr>
    </w:p>
    <w:p>
      <w:pPr>
        <w:pStyle w:val="3"/>
        <w:spacing w:before="0" w:after="0"/>
        <w:jc w:val="left"/>
        <w:rPr>
          <w:rFonts w:cs="宋体"/>
          <w:b w:val="0"/>
          <w:bCs w:val="0"/>
          <w:color w:val="auto"/>
          <w:sz w:val="24"/>
          <w:szCs w:val="24"/>
        </w:rPr>
      </w:pPr>
    </w:p>
    <w:p>
      <w:pPr>
        <w:spacing w:line="360" w:lineRule="auto"/>
        <w:rPr>
          <w:rFonts w:ascii="宋体" w:cs="宋体"/>
          <w:color w:val="auto"/>
        </w:rPr>
      </w:pPr>
    </w:p>
    <w:p>
      <w:pPr>
        <w:spacing w:line="360" w:lineRule="auto"/>
        <w:rPr>
          <w:rFonts w:ascii="宋体" w:cs="宋体"/>
          <w:color w:val="auto"/>
        </w:rPr>
      </w:pPr>
    </w:p>
    <w:p>
      <w:pPr>
        <w:spacing w:line="360" w:lineRule="auto"/>
        <w:rPr>
          <w:rFonts w:ascii="宋体" w:cs="宋体"/>
          <w:color w:val="auto"/>
        </w:rPr>
      </w:pPr>
    </w:p>
    <w:p>
      <w:pPr>
        <w:spacing w:line="360" w:lineRule="auto"/>
        <w:rPr>
          <w:rFonts w:ascii="宋体" w:cs="宋体"/>
          <w:color w:val="auto"/>
        </w:rPr>
      </w:pPr>
    </w:p>
    <w:p>
      <w:pPr>
        <w:spacing w:line="360" w:lineRule="auto"/>
        <w:rPr>
          <w:rFonts w:ascii="宋体" w:cs="宋体"/>
          <w:color w:val="auto"/>
        </w:rPr>
      </w:pPr>
    </w:p>
    <w:p>
      <w:pPr>
        <w:tabs>
          <w:tab w:val="left" w:pos="360"/>
        </w:tabs>
        <w:spacing w:before="67" w:line="360" w:lineRule="auto"/>
        <w:ind w:right="-360"/>
        <w:jc w:val="both"/>
        <w:rPr>
          <w:rFonts w:hint="eastAsia" w:ascii="宋体" w:hAnsi="宋体" w:cs="宋体"/>
          <w:color w:val="auto"/>
        </w:rPr>
      </w:pPr>
    </w:p>
    <w:p>
      <w:pPr>
        <w:tabs>
          <w:tab w:val="left" w:pos="360"/>
        </w:tabs>
        <w:spacing w:before="67" w:line="360" w:lineRule="auto"/>
        <w:ind w:right="-360"/>
        <w:jc w:val="center"/>
        <w:rPr>
          <w:rFonts w:ascii="宋体" w:cs="宋体"/>
          <w:color w:val="auto"/>
        </w:rPr>
      </w:pPr>
      <w:r>
        <w:rPr>
          <w:rFonts w:hint="eastAsia" w:ascii="宋体" w:hAnsi="宋体" w:cs="宋体"/>
          <w:color w:val="auto"/>
        </w:rPr>
        <w:t>七、其他资料</w:t>
      </w:r>
    </w:p>
    <w:p>
      <w:pPr>
        <w:spacing w:line="360" w:lineRule="auto"/>
        <w:ind w:firstLine="422"/>
        <w:rPr>
          <w:rStyle w:val="28"/>
          <w:rFonts w:hAnsi="Times New Roman"/>
          <w:color w:val="auto"/>
          <w:sz w:val="24"/>
          <w:szCs w:val="24"/>
          <w:u w:val="none"/>
        </w:rPr>
      </w:pPr>
      <w:r>
        <w:rPr>
          <w:rStyle w:val="28"/>
          <w:rFonts w:hint="eastAsia"/>
          <w:color w:val="auto"/>
          <w:sz w:val="24"/>
          <w:szCs w:val="24"/>
          <w:u w:val="none"/>
        </w:rPr>
        <w:t>附本项目询价文件要求的其他材料和投标人认为有助于本次招标的其他资料，格式自拟。</w:t>
      </w:r>
    </w:p>
    <w:p>
      <w:pPr>
        <w:spacing w:line="360" w:lineRule="auto"/>
        <w:rPr>
          <w:rFonts w:ascii="宋体" w:cs="宋体"/>
          <w:color w:val="auto"/>
        </w:rPr>
      </w:pPr>
    </w:p>
    <w:p>
      <w:pPr>
        <w:spacing w:line="480" w:lineRule="exact"/>
        <w:jc w:val="center"/>
        <w:rPr>
          <w:color w:val="auto"/>
        </w:rPr>
      </w:pPr>
    </w:p>
    <w:p>
      <w:pPr>
        <w:rPr>
          <w:color w:val="auto"/>
        </w:rPr>
      </w:pPr>
    </w:p>
    <w:sectPr>
      <w:headerReference r:id="rId13" w:type="default"/>
      <w:footerReference r:id="rId14" w:type="default"/>
      <w:endnotePr>
        <w:numFmt w:val="decimal"/>
      </w:endnotePr>
      <w:pgSz w:w="11907" w:h="16840"/>
      <w:pgMar w:top="1440" w:right="1712" w:bottom="1440" w:left="1797" w:header="964" w:footer="964" w:gutter="0"/>
      <w:pgNumType w:fmt="numberInDash"/>
      <w:cols w:space="720" w:num="1"/>
      <w:rtlGutter w:val="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华文中宋">
    <w:panose1 w:val="02010600040101010101"/>
    <w:charset w:val="86"/>
    <w:family w:val="auto"/>
    <w:pitch w:val="default"/>
    <w:sig w:usb0="00000287" w:usb1="080F0000" w:usb2="00000000" w:usb3="00000000" w:csb0="0004009F" w:csb1="DFD70000"/>
  </w:font>
  <w:font w:name="??_GB2312">
    <w:altName w:val="Arial"/>
    <w:panose1 w:val="00000000000000000000"/>
    <w:charset w:val="00"/>
    <w:family w:val="auto"/>
    <w:pitch w:val="default"/>
    <w:sig w:usb0="00000000" w:usb1="00000000" w:usb2="00000000" w:usb3="00000000" w:csb0="00000001" w:csb1="00000000"/>
  </w:font>
  <w:font w:name="Cambria">
    <w:panose1 w:val="02040503050406030204"/>
    <w:charset w:val="00"/>
    <w:family w:val="roman"/>
    <w:pitch w:val="default"/>
    <w:sig w:usb0="E00002FF" w:usb1="400004FF" w:usb2="00000000" w:usb3="00000000" w:csb0="2000019F" w:csb1="00000000"/>
  </w:font>
  <w:font w:name="楷体_GB2312">
    <w:altName w:val="楷体"/>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rPr>
        <w:b/>
        <w:sz w:val="21"/>
        <w:szCs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rPr>
        <w:b/>
        <w:sz w:val="21"/>
        <w:szCs w:val="21"/>
      </w:rPr>
    </w:pPr>
    <w:r>
      <w:pict>
        <v:shape id="_x0000_s2056" o:spid="_x0000_s2056" o:spt="202" type="#_x0000_t202" style="position:absolute;left:0pt;margin-top:0pt;height:144pt;width:144pt;mso-position-horizontal:center;mso-position-horizontal-relative:margin;mso-wrap-style:none;z-index:251689984;mso-width-relative:page;mso-height-relative:page;" filled="f" stroked="f" coordsize="21600,21600">
          <v:path/>
          <v:fill on="f" focussize="0,0"/>
          <v:stroke on="f" joinstyle="miter"/>
          <v:imagedata o:title=""/>
          <o:lock v:ext="edit"/>
          <v:textbox inset="0mm,0mm,0mm,0mm" style="mso-fit-shape-to-text:t;">
            <w:txbxContent>
              <w:p>
                <w:pPr>
                  <w:jc w:val="center"/>
                </w:pPr>
                <w:r>
                  <w:rPr>
                    <w:b/>
                    <w:sz w:val="21"/>
                    <w:szCs w:val="21"/>
                  </w:rPr>
                  <w:fldChar w:fldCharType="begin"/>
                </w:r>
                <w:r>
                  <w:rPr>
                    <w:b/>
                    <w:sz w:val="21"/>
                    <w:szCs w:val="21"/>
                  </w:rPr>
                  <w:instrText xml:space="preserve"> PAGE \* Arabic </w:instrText>
                </w:r>
                <w:r>
                  <w:rPr>
                    <w:b/>
                    <w:sz w:val="21"/>
                    <w:szCs w:val="21"/>
                  </w:rPr>
                  <w:fldChar w:fldCharType="separate"/>
                </w:r>
                <w:r>
                  <w:rPr>
                    <w:b/>
                    <w:sz w:val="21"/>
                    <w:szCs w:val="21"/>
                  </w:rPr>
                  <w:t>3</w:t>
                </w:r>
                <w:r>
                  <w:rPr>
                    <w:b/>
                    <w:sz w:val="21"/>
                    <w:szCs w:val="21"/>
                  </w:rP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rPr>
        <w:b/>
        <w:sz w:val="21"/>
        <w:szCs w:val="21"/>
      </w:rPr>
    </w:pPr>
    <w:r>
      <w:pict>
        <v:shape id="_x0000_s2050" o:spid="_x0000_s2050" o:spt="202" type="#_x0000_t202" style="position:absolute;left:0pt;margin-top:0pt;height:144pt;width:144pt;mso-position-horizontal:center;mso-position-horizontal-relative:margin;mso-wrap-style:none;z-index:251662336;mso-width-relative:page;mso-height-relative:page;" filled="f" stroked="f" coordsize="21600,21600">
          <v:path/>
          <v:fill on="f" focussize="0,0"/>
          <v:stroke on="f" joinstyle="miter"/>
          <v:imagedata o:title=""/>
          <o:lock v:ext="edit"/>
          <v:textbox inset="0mm,0mm,0mm,0mm" style="mso-fit-shape-to-text:t;">
            <w:txbxContent>
              <w:p>
                <w:pPr>
                  <w:jc w:val="center"/>
                </w:pPr>
                <w:r>
                  <w:rPr>
                    <w:b/>
                    <w:sz w:val="21"/>
                    <w:szCs w:val="21"/>
                  </w:rPr>
                  <w:fldChar w:fldCharType="begin"/>
                </w:r>
                <w:r>
                  <w:rPr>
                    <w:b/>
                    <w:sz w:val="21"/>
                    <w:szCs w:val="21"/>
                  </w:rPr>
                  <w:instrText xml:space="preserve"> PAGE \* Arabic </w:instrText>
                </w:r>
                <w:r>
                  <w:rPr>
                    <w:b/>
                    <w:sz w:val="21"/>
                    <w:szCs w:val="21"/>
                  </w:rPr>
                  <w:fldChar w:fldCharType="separate"/>
                </w:r>
                <w:r>
                  <w:rPr>
                    <w:b/>
                    <w:sz w:val="21"/>
                    <w:szCs w:val="21"/>
                  </w:rPr>
                  <w:t>17</w:t>
                </w:r>
                <w:r>
                  <w:rPr>
                    <w:b/>
                    <w:sz w:val="21"/>
                    <w:szCs w:val="21"/>
                  </w:rP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rPr>
        <w:b/>
        <w:sz w:val="21"/>
        <w:szCs w:val="21"/>
      </w:rPr>
    </w:pPr>
    <w:r>
      <w:pict>
        <v:shape id="_x0000_s2051" o:spid="_x0000_s2051" o:spt="202" type="#_x0000_t202" style="position:absolute;left:0pt;margin-top:0pt;height:144pt;width:144pt;mso-position-horizontal:center;mso-position-horizontal-relative:margin;mso-wrap-style:none;z-index:251664384;mso-width-relative:page;mso-height-relative:page;" filled="f" stroked="f" coordsize="21600,21600">
          <v:path/>
          <v:fill on="f" focussize="0,0"/>
          <v:stroke on="f" joinstyle="miter"/>
          <v:imagedata o:title=""/>
          <o:lock v:ext="edit"/>
          <v:textbox inset="0mm,0mm,0mm,0mm" style="mso-fit-shape-to-text:t;">
            <w:txbxContent>
              <w:p>
                <w:pPr>
                  <w:jc w:val="center"/>
                </w:pPr>
                <w:r>
                  <w:rPr>
                    <w:b/>
                    <w:sz w:val="21"/>
                    <w:szCs w:val="21"/>
                  </w:rPr>
                  <w:fldChar w:fldCharType="begin"/>
                </w:r>
                <w:r>
                  <w:rPr>
                    <w:b/>
                    <w:sz w:val="21"/>
                    <w:szCs w:val="21"/>
                  </w:rPr>
                  <w:instrText xml:space="preserve"> PAGE \* Arabic </w:instrText>
                </w:r>
                <w:r>
                  <w:rPr>
                    <w:b/>
                    <w:sz w:val="21"/>
                    <w:szCs w:val="21"/>
                  </w:rPr>
                  <w:fldChar w:fldCharType="separate"/>
                </w:r>
                <w:r>
                  <w:rPr>
                    <w:b/>
                    <w:sz w:val="21"/>
                    <w:szCs w:val="21"/>
                  </w:rPr>
                  <w:t>32</w:t>
                </w:r>
                <w:r>
                  <w:rPr>
                    <w:b/>
                    <w:sz w:val="21"/>
                    <w:szCs w:val="21"/>
                  </w:rPr>
                  <w:fldChar w:fldCharType="end"/>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rPr>
        <w:b/>
        <w:sz w:val="21"/>
        <w:szCs w:val="21"/>
      </w:rPr>
    </w:pPr>
    <w:r>
      <w:pict>
        <v:shape id="_x0000_s2052" o:spid="_x0000_s2052" o:spt="202" type="#_x0000_t202" style="position:absolute;left:0pt;margin-top:0pt;height:144pt;width:144pt;mso-position-horizontal:center;mso-position-horizontal-relative:margin;mso-wrap-style:none;z-index:251666432;mso-width-relative:page;mso-height-relative:page;" filled="f" stroked="f" coordsize="21600,21600">
          <v:path/>
          <v:fill on="f" focussize="0,0"/>
          <v:stroke on="f" joinstyle="miter"/>
          <v:imagedata o:title=""/>
          <o:lock v:ext="edit"/>
          <v:textbox inset="0mm,0mm,0mm,0mm" style="mso-fit-shape-to-text:t;">
            <w:txbxContent>
              <w:p>
                <w:pPr>
                  <w:jc w:val="center"/>
                </w:pPr>
                <w:r>
                  <w:rPr>
                    <w:b/>
                    <w:sz w:val="21"/>
                    <w:szCs w:val="21"/>
                  </w:rPr>
                  <w:fldChar w:fldCharType="begin"/>
                </w:r>
                <w:r>
                  <w:rPr>
                    <w:b/>
                    <w:sz w:val="21"/>
                    <w:szCs w:val="21"/>
                  </w:rPr>
                  <w:instrText xml:space="preserve"> PAGE \* Arabic </w:instrText>
                </w:r>
                <w:r>
                  <w:rPr>
                    <w:b/>
                    <w:sz w:val="21"/>
                    <w:szCs w:val="21"/>
                  </w:rPr>
                  <w:fldChar w:fldCharType="separate"/>
                </w:r>
                <w:r>
                  <w:rPr>
                    <w:b/>
                    <w:sz w:val="21"/>
                    <w:szCs w:val="21"/>
                  </w:rPr>
                  <w:t>37</w:t>
                </w:r>
                <w:r>
                  <w:rPr>
                    <w:b/>
                    <w:sz w:val="21"/>
                    <w:szCs w:val="21"/>
                  </w:rPr>
                  <w:fldChar w:fldCharType="end"/>
                </w: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rPr>
        <w:b/>
        <w:sz w:val="21"/>
        <w:szCs w:val="21"/>
      </w:rPr>
    </w:pPr>
    <w:r>
      <w:pict>
        <v:shape id="_x0000_s2053" o:spid="_x0000_s2053" o:spt="202" type="#_x0000_t202" style="position:absolute;left:0pt;margin-top:0pt;height:144pt;width:144pt;mso-position-horizontal:center;mso-position-horizontal-relative:margin;mso-wrap-style:none;z-index:251668480;mso-width-relative:page;mso-height-relative:page;" filled="f" stroked="f" coordsize="21600,21600">
          <v:path/>
          <v:fill on="f" focussize="0,0"/>
          <v:stroke on="f" joinstyle="miter"/>
          <v:imagedata o:title=""/>
          <o:lock v:ext="edit"/>
          <v:textbox inset="0mm,0mm,0mm,0mm" style="mso-fit-shape-to-text:t;">
            <w:txbxContent>
              <w:p>
                <w:pPr>
                  <w:jc w:val="center"/>
                </w:pPr>
                <w:r>
                  <w:rPr>
                    <w:b/>
                    <w:sz w:val="21"/>
                    <w:szCs w:val="21"/>
                  </w:rPr>
                  <w:fldChar w:fldCharType="begin"/>
                </w:r>
                <w:r>
                  <w:rPr>
                    <w:b/>
                    <w:sz w:val="21"/>
                    <w:szCs w:val="21"/>
                  </w:rPr>
                  <w:instrText xml:space="preserve"> PAGE \* Arabic </w:instrText>
                </w:r>
                <w:r>
                  <w:rPr>
                    <w:b/>
                    <w:sz w:val="21"/>
                    <w:szCs w:val="21"/>
                  </w:rPr>
                  <w:fldChar w:fldCharType="separate"/>
                </w:r>
                <w:r>
                  <w:rPr>
                    <w:b/>
                    <w:sz w:val="21"/>
                    <w:szCs w:val="21"/>
                  </w:rPr>
                  <w:t>40</w:t>
                </w:r>
                <w:r>
                  <w:rPr>
                    <w:b/>
                    <w:sz w:val="21"/>
                    <w:szCs w:val="21"/>
                  </w:rPr>
                  <w:fldChar w:fldCharType="end"/>
                </w:r>
              </w:p>
            </w:txbxContent>
          </v:textbox>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rPr>
        <w:b/>
        <w:sz w:val="21"/>
        <w:szCs w:val="21"/>
      </w:rPr>
    </w:pPr>
    <w:r>
      <w:pict>
        <v:shape id="_x0000_s2054" o:spid="_x0000_s2054" o:spt="202" type="#_x0000_t202" style="position:absolute;left:0pt;margin-top:0pt;height:144pt;width:144pt;mso-position-horizontal:center;mso-position-horizontal-relative:margin;mso-wrap-style:none;z-index:251670528;mso-width-relative:page;mso-height-relative:page;" filled="f" stroked="f" coordsize="21600,21600">
          <v:path/>
          <v:fill on="f" focussize="0,0"/>
          <v:stroke on="f" joinstyle="miter"/>
          <v:imagedata o:title=""/>
          <o:lock v:ext="edit"/>
          <v:textbox inset="0mm,0mm,0mm,0mm" style="mso-fit-shape-to-text:t;">
            <w:txbxContent>
              <w:p>
                <w:pPr>
                  <w:jc w:val="center"/>
                </w:pPr>
                <w:r>
                  <w:rPr>
                    <w:b/>
                    <w:sz w:val="21"/>
                    <w:szCs w:val="21"/>
                  </w:rPr>
                  <w:fldChar w:fldCharType="begin"/>
                </w:r>
                <w:r>
                  <w:rPr>
                    <w:b/>
                    <w:sz w:val="21"/>
                    <w:szCs w:val="21"/>
                  </w:rPr>
                  <w:instrText xml:space="preserve"> PAGE \* Arabic </w:instrText>
                </w:r>
                <w:r>
                  <w:rPr>
                    <w:b/>
                    <w:sz w:val="21"/>
                    <w:szCs w:val="21"/>
                  </w:rPr>
                  <w:fldChar w:fldCharType="separate"/>
                </w:r>
                <w:r>
                  <w:rPr>
                    <w:b/>
                    <w:sz w:val="21"/>
                    <w:szCs w:val="21"/>
                  </w:rPr>
                  <w:t>50</w:t>
                </w:r>
                <w:r>
                  <w:rPr>
                    <w:b/>
                    <w:sz w:val="21"/>
                    <w:szCs w:val="21"/>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F389A15"/>
    <w:multiLevelType w:val="singleLevel"/>
    <w:tmpl w:val="EF389A15"/>
    <w:lvl w:ilvl="0" w:tentative="0">
      <w:start w:val="21"/>
      <w:numFmt w:val="decimal"/>
      <w:lvlText w:val="%1."/>
      <w:lvlJc w:val="left"/>
      <w:pPr>
        <w:tabs>
          <w:tab w:val="left" w:pos="312"/>
        </w:tabs>
      </w:pPr>
      <w:rPr>
        <w:rFonts w:cs="Times New Roman"/>
      </w:rPr>
    </w:lvl>
  </w:abstractNum>
  <w:abstractNum w:abstractNumId="1">
    <w:nsid w:val="0F723393"/>
    <w:multiLevelType w:val="multilevel"/>
    <w:tmpl w:val="0F723393"/>
    <w:lvl w:ilvl="0" w:tentative="0">
      <w:start w:val="5"/>
      <w:numFmt w:val="decimal"/>
      <w:lvlText w:val="%1、"/>
      <w:lvlJc w:val="left"/>
      <w:pPr>
        <w:tabs>
          <w:tab w:val="left" w:pos="360"/>
        </w:tabs>
        <w:ind w:left="360" w:hanging="360"/>
      </w:pPr>
      <w:rPr>
        <w:rFonts w:hint="default" w:hAnsi="宋体"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2">
    <w:nsid w:val="5D530663"/>
    <w:multiLevelType w:val="multilevel"/>
    <w:tmpl w:val="5D530663"/>
    <w:lvl w:ilvl="0" w:tentative="0">
      <w:start w:val="1"/>
      <w:numFmt w:val="decimal"/>
      <w:pStyle w:val="2"/>
      <w:lvlText w:val="第%1章"/>
      <w:lvlJc w:val="left"/>
      <w:pPr>
        <w:ind w:left="3840"/>
      </w:pPr>
      <w:rPr>
        <w:rFonts w:ascii="Times New Roman" w:hAnsi="Times New Roman" w:eastAsia="宋体" w:cs="Times New Roman"/>
        <w:b/>
        <w:sz w:val="28"/>
        <w:szCs w:val="28"/>
      </w:rPr>
    </w:lvl>
    <w:lvl w:ilvl="1" w:tentative="0">
      <w:start w:val="1"/>
      <w:numFmt w:val="decimal"/>
      <w:lvlText w:val="%1.%2."/>
      <w:lvlJc w:val="left"/>
      <w:pPr>
        <w:ind w:left="4200"/>
      </w:pPr>
      <w:rPr>
        <w:rFonts w:ascii="Times New Roman" w:hAnsi="Times New Roman" w:eastAsia="宋体" w:cs="Times New Roman"/>
        <w:b/>
        <w:sz w:val="28"/>
        <w:szCs w:val="28"/>
      </w:rPr>
    </w:lvl>
    <w:lvl w:ilvl="2" w:tentative="0">
      <w:start w:val="1"/>
      <w:numFmt w:val="decimal"/>
      <w:lvlText w:val="%1.%2.%3."/>
      <w:lvlJc w:val="left"/>
      <w:pPr>
        <w:ind w:left="4560"/>
      </w:pPr>
      <w:rPr>
        <w:rFonts w:ascii="Times New Roman" w:hAnsi="Times New Roman" w:eastAsia="宋体" w:cs="Times New Roman"/>
        <w:b/>
        <w:sz w:val="28"/>
        <w:szCs w:val="28"/>
      </w:rPr>
    </w:lvl>
    <w:lvl w:ilvl="3" w:tentative="0">
      <w:start w:val="1"/>
      <w:numFmt w:val="decimal"/>
      <w:lvlText w:val="%1.1.%2.%4."/>
      <w:lvlJc w:val="left"/>
      <w:pPr>
        <w:ind w:left="5280"/>
      </w:pPr>
      <w:rPr>
        <w:rFonts w:ascii="Times New Roman" w:hAnsi="Times New Roman" w:eastAsia="宋体" w:cs="Times New Roman"/>
        <w:b/>
        <w:smallCaps w:val="0"/>
        <w:spacing w:val="0"/>
        <w:sz w:val="28"/>
        <w:szCs w:val="28"/>
        <w:vertAlign w:val="baseline"/>
      </w:rPr>
    </w:lvl>
    <w:lvl w:ilvl="4" w:tentative="0">
      <w:start w:val="1"/>
      <w:numFmt w:val="decimal"/>
      <w:lvlText w:val="%1.%2.%3.%4.%5."/>
      <w:lvlJc w:val="left"/>
      <w:pPr>
        <w:ind w:left="3840"/>
      </w:pPr>
      <w:rPr>
        <w:rFonts w:ascii="Times New Roman" w:hAnsi="Times New Roman" w:eastAsia="宋体" w:cs="Times New Roman"/>
        <w:b/>
        <w:sz w:val="28"/>
        <w:szCs w:val="28"/>
      </w:rPr>
    </w:lvl>
    <w:lvl w:ilvl="5" w:tentative="0">
      <w:start w:val="1"/>
      <w:numFmt w:val="decimal"/>
      <w:lvlText w:val="%1.%2.%3.%4.%5.%6."/>
      <w:lvlJc w:val="left"/>
      <w:pPr>
        <w:ind w:left="3840"/>
      </w:pPr>
      <w:rPr>
        <w:rFonts w:ascii="Times New Roman" w:hAnsi="Times New Roman" w:eastAsia="宋体" w:cs="Times New Roman"/>
        <w:b/>
        <w:sz w:val="28"/>
        <w:szCs w:val="28"/>
      </w:rPr>
    </w:lvl>
    <w:lvl w:ilvl="6" w:tentative="0">
      <w:start w:val="1"/>
      <w:numFmt w:val="decimal"/>
      <w:lvlText w:val="%1.%2.%3.%4.%5.%6.%7."/>
      <w:lvlJc w:val="left"/>
      <w:pPr>
        <w:ind w:left="3840"/>
      </w:pPr>
      <w:rPr>
        <w:rFonts w:cs="Times New Roman"/>
      </w:rPr>
    </w:lvl>
    <w:lvl w:ilvl="7" w:tentative="0">
      <w:start w:val="1"/>
      <w:numFmt w:val="decimal"/>
      <w:lvlText w:val="%1.%2.%3.%4.%5.%6.%7.%8."/>
      <w:lvlJc w:val="left"/>
      <w:pPr>
        <w:ind w:left="3840"/>
      </w:pPr>
      <w:rPr>
        <w:rFonts w:cs="Times New Roman"/>
      </w:rPr>
    </w:lvl>
    <w:lvl w:ilvl="8" w:tentative="0">
      <w:start w:val="1"/>
      <w:numFmt w:val="decimal"/>
      <w:lvlText w:val="%1.%2.%3.%4.%5.%6.%7.%8.%9."/>
      <w:lvlJc w:val="left"/>
      <w:pPr>
        <w:ind w:left="3840"/>
      </w:pPr>
      <w:rPr>
        <w:rFonts w:cs="Times New Roman"/>
      </w:rPr>
    </w:lvl>
  </w:abstractNum>
  <w:abstractNum w:abstractNumId="3">
    <w:nsid w:val="7A5148AA"/>
    <w:multiLevelType w:val="multilevel"/>
    <w:tmpl w:val="7A5148AA"/>
    <w:lvl w:ilvl="0" w:tentative="0">
      <w:start w:val="1"/>
      <w:numFmt w:val="chineseCounting"/>
      <w:suff w:val="nothing"/>
      <w:lvlText w:val="%1、"/>
      <w:lvlJc w:val="left"/>
      <w:rPr>
        <w:rFonts w:cs="Times New Roman"/>
      </w:rPr>
    </w:lvl>
    <w:lvl w:ilvl="1" w:tentative="0">
      <w:start w:val="0"/>
      <w:numFmt w:val="bullet"/>
      <w:lvlText w:val=""/>
      <w:lvlJc w:val="left"/>
      <w:pPr>
        <w:ind w:left="3190"/>
      </w:pPr>
      <w:rPr>
        <w:rFonts w:ascii="Wingdings" w:hAnsi="Wingdings"/>
      </w:rPr>
    </w:lvl>
    <w:lvl w:ilvl="2" w:tentative="0">
      <w:start w:val="0"/>
      <w:numFmt w:val="bullet"/>
      <w:lvlText w:val=""/>
      <w:lvlJc w:val="left"/>
      <w:pPr>
        <w:ind w:left="3610"/>
      </w:pPr>
      <w:rPr>
        <w:rFonts w:ascii="Wingdings" w:hAnsi="Wingdings"/>
      </w:rPr>
    </w:lvl>
    <w:lvl w:ilvl="3" w:tentative="0">
      <w:start w:val="0"/>
      <w:numFmt w:val="bullet"/>
      <w:lvlText w:val=""/>
      <w:lvlJc w:val="left"/>
      <w:pPr>
        <w:ind w:left="4030"/>
      </w:pPr>
      <w:rPr>
        <w:rFonts w:ascii="Wingdings" w:hAnsi="Wingdings"/>
      </w:rPr>
    </w:lvl>
    <w:lvl w:ilvl="4" w:tentative="0">
      <w:start w:val="0"/>
      <w:numFmt w:val="bullet"/>
      <w:lvlText w:val=""/>
      <w:lvlJc w:val="left"/>
      <w:pPr>
        <w:ind w:left="4450"/>
      </w:pPr>
      <w:rPr>
        <w:rFonts w:ascii="Wingdings" w:hAnsi="Wingdings"/>
      </w:rPr>
    </w:lvl>
    <w:lvl w:ilvl="5" w:tentative="0">
      <w:start w:val="0"/>
      <w:numFmt w:val="bullet"/>
      <w:lvlText w:val=""/>
      <w:lvlJc w:val="left"/>
      <w:pPr>
        <w:ind w:left="4870"/>
      </w:pPr>
      <w:rPr>
        <w:rFonts w:ascii="Wingdings" w:hAnsi="Wingdings"/>
      </w:rPr>
    </w:lvl>
    <w:lvl w:ilvl="6" w:tentative="0">
      <w:start w:val="0"/>
      <w:numFmt w:val="bullet"/>
      <w:lvlText w:val=""/>
      <w:lvlJc w:val="left"/>
      <w:pPr>
        <w:ind w:left="5290"/>
      </w:pPr>
      <w:rPr>
        <w:rFonts w:ascii="Wingdings" w:hAnsi="Wingdings"/>
      </w:rPr>
    </w:lvl>
    <w:lvl w:ilvl="7" w:tentative="0">
      <w:start w:val="0"/>
      <w:numFmt w:val="bullet"/>
      <w:lvlText w:val=""/>
      <w:lvlJc w:val="left"/>
      <w:pPr>
        <w:ind w:left="5710"/>
      </w:pPr>
      <w:rPr>
        <w:rFonts w:ascii="Wingdings" w:hAnsi="Wingdings"/>
      </w:rPr>
    </w:lvl>
    <w:lvl w:ilvl="8" w:tentative="0">
      <w:start w:val="0"/>
      <w:numFmt w:val="bullet"/>
      <w:lvlText w:val=""/>
      <w:lvlJc w:val="left"/>
      <w:pPr>
        <w:ind w:left="6130"/>
      </w:pPr>
      <w:rPr>
        <w:rFonts w:ascii="Wingdings" w:hAnsi="Wingdings"/>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val="0"/>
  <w:bordersDoNotSurroundFooter w:val="0"/>
  <w:documentProtection w:enforcement="0"/>
  <w:defaultTabStop w:val="420"/>
  <w:drawingGridHorizontalSpacing w:val="0"/>
  <w:drawingGridVerticalSpacing w:val="156"/>
  <w:displayHorizontalDrawingGridEvery w:val="1"/>
  <w:displayVerticalDrawingGridEvery w:val="1"/>
  <w:noPunctuationKerning w:val="1"/>
  <w:characterSpacingControl w:val="doNotCompress"/>
  <w:noLineBreaksAfter w:lang="zh-CN" w:val="$([{£¥·‘“〈《「『【〔〖〝﹙﹛﹝＄（．［｛￡￥"/>
  <w:noLineBreaksBefore w:lang="zh-CN" w:val="!%),.:;&gt;?]}¢¨°·ˇˉ―‖’”…‰′″›℃∶、。〃〉》」』】〕〗〞︶︺︾﹀﹄﹚﹜﹞！＂％＇），．：；？］｀｜｝～￠"/>
  <w:hdrShapeDefaults>
    <o:shapelayout v:ext="edit">
      <o:idmap v:ext="edit" data="2"/>
    </o:shapelayout>
  </w:hdrShapeDefaults>
  <w:endnotePr>
    <w:numFmt w:val="decimal"/>
  </w:endnotePr>
  <w:compat>
    <w:ulTrailSpace/>
    <w:doNotExpandShiftReturn/>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A2AB8"/>
    <w:rsid w:val="00005D5E"/>
    <w:rsid w:val="00014164"/>
    <w:rsid w:val="000629CB"/>
    <w:rsid w:val="000926F9"/>
    <w:rsid w:val="000B104D"/>
    <w:rsid w:val="000B3E8F"/>
    <w:rsid w:val="000D6204"/>
    <w:rsid w:val="000E5CF1"/>
    <w:rsid w:val="00100989"/>
    <w:rsid w:val="001047FD"/>
    <w:rsid w:val="001766F0"/>
    <w:rsid w:val="001B7499"/>
    <w:rsid w:val="00205C58"/>
    <w:rsid w:val="00217665"/>
    <w:rsid w:val="0022203B"/>
    <w:rsid w:val="002366FA"/>
    <w:rsid w:val="00263812"/>
    <w:rsid w:val="00284396"/>
    <w:rsid w:val="0028565D"/>
    <w:rsid w:val="00285B2F"/>
    <w:rsid w:val="002B5EB8"/>
    <w:rsid w:val="002D36D9"/>
    <w:rsid w:val="002D766C"/>
    <w:rsid w:val="002F7B55"/>
    <w:rsid w:val="003412E0"/>
    <w:rsid w:val="00342344"/>
    <w:rsid w:val="00350FD9"/>
    <w:rsid w:val="0035334D"/>
    <w:rsid w:val="00357496"/>
    <w:rsid w:val="00384C47"/>
    <w:rsid w:val="003900A8"/>
    <w:rsid w:val="003B1764"/>
    <w:rsid w:val="003D4EFA"/>
    <w:rsid w:val="003E4841"/>
    <w:rsid w:val="004223E2"/>
    <w:rsid w:val="00461CF8"/>
    <w:rsid w:val="0048416A"/>
    <w:rsid w:val="004A2AB8"/>
    <w:rsid w:val="004A5273"/>
    <w:rsid w:val="004A662F"/>
    <w:rsid w:val="004D47CA"/>
    <w:rsid w:val="00507F0E"/>
    <w:rsid w:val="005275E3"/>
    <w:rsid w:val="00570D68"/>
    <w:rsid w:val="0057253D"/>
    <w:rsid w:val="005774AA"/>
    <w:rsid w:val="005B0A93"/>
    <w:rsid w:val="005C71B8"/>
    <w:rsid w:val="005D2DAC"/>
    <w:rsid w:val="005E2DD5"/>
    <w:rsid w:val="005E471F"/>
    <w:rsid w:val="005F1ADD"/>
    <w:rsid w:val="005F2E07"/>
    <w:rsid w:val="006005CD"/>
    <w:rsid w:val="00654E6D"/>
    <w:rsid w:val="00663AF5"/>
    <w:rsid w:val="0068764C"/>
    <w:rsid w:val="006B2EFB"/>
    <w:rsid w:val="006B33FE"/>
    <w:rsid w:val="006F0860"/>
    <w:rsid w:val="006F4278"/>
    <w:rsid w:val="007268D5"/>
    <w:rsid w:val="00737121"/>
    <w:rsid w:val="007453FD"/>
    <w:rsid w:val="007530BE"/>
    <w:rsid w:val="00756612"/>
    <w:rsid w:val="00785153"/>
    <w:rsid w:val="007C7060"/>
    <w:rsid w:val="007D6F3B"/>
    <w:rsid w:val="007D7B46"/>
    <w:rsid w:val="007E434A"/>
    <w:rsid w:val="007E4861"/>
    <w:rsid w:val="007E6B57"/>
    <w:rsid w:val="00812A38"/>
    <w:rsid w:val="00815F5C"/>
    <w:rsid w:val="008A4D68"/>
    <w:rsid w:val="008B4638"/>
    <w:rsid w:val="008C55CE"/>
    <w:rsid w:val="009107AF"/>
    <w:rsid w:val="00950E53"/>
    <w:rsid w:val="00950FD2"/>
    <w:rsid w:val="0098466A"/>
    <w:rsid w:val="009A650A"/>
    <w:rsid w:val="009B4A31"/>
    <w:rsid w:val="009C6625"/>
    <w:rsid w:val="00A2585B"/>
    <w:rsid w:val="00A33176"/>
    <w:rsid w:val="00A46092"/>
    <w:rsid w:val="00AB4623"/>
    <w:rsid w:val="00AC68CD"/>
    <w:rsid w:val="00AE7ED5"/>
    <w:rsid w:val="00B5707E"/>
    <w:rsid w:val="00C26BEE"/>
    <w:rsid w:val="00C45A69"/>
    <w:rsid w:val="00C56DAC"/>
    <w:rsid w:val="00C6731F"/>
    <w:rsid w:val="00C836FD"/>
    <w:rsid w:val="00C94124"/>
    <w:rsid w:val="00CE0F6B"/>
    <w:rsid w:val="00CF5020"/>
    <w:rsid w:val="00D21CE4"/>
    <w:rsid w:val="00D23DB1"/>
    <w:rsid w:val="00D41691"/>
    <w:rsid w:val="00D4777C"/>
    <w:rsid w:val="00D5208D"/>
    <w:rsid w:val="00D63D29"/>
    <w:rsid w:val="00D70B14"/>
    <w:rsid w:val="00D769EB"/>
    <w:rsid w:val="00D85B58"/>
    <w:rsid w:val="00D87CB2"/>
    <w:rsid w:val="00DB73AA"/>
    <w:rsid w:val="00E01ED5"/>
    <w:rsid w:val="00E25724"/>
    <w:rsid w:val="00EA0DCF"/>
    <w:rsid w:val="00EE4012"/>
    <w:rsid w:val="00EF4F7E"/>
    <w:rsid w:val="00F14B21"/>
    <w:rsid w:val="00F70A96"/>
    <w:rsid w:val="00FA6E85"/>
    <w:rsid w:val="00FB3203"/>
    <w:rsid w:val="00FB579E"/>
    <w:rsid w:val="048E459D"/>
    <w:rsid w:val="07290941"/>
    <w:rsid w:val="0E4A2F86"/>
    <w:rsid w:val="119C6976"/>
    <w:rsid w:val="13667839"/>
    <w:rsid w:val="15784936"/>
    <w:rsid w:val="163A1367"/>
    <w:rsid w:val="1B025828"/>
    <w:rsid w:val="1B847B67"/>
    <w:rsid w:val="1BE717F5"/>
    <w:rsid w:val="1DA52219"/>
    <w:rsid w:val="1E942765"/>
    <w:rsid w:val="1FFE401B"/>
    <w:rsid w:val="23D80F0F"/>
    <w:rsid w:val="24B90188"/>
    <w:rsid w:val="25932387"/>
    <w:rsid w:val="27BF3BDA"/>
    <w:rsid w:val="281458AD"/>
    <w:rsid w:val="2DA63B52"/>
    <w:rsid w:val="2DB76305"/>
    <w:rsid w:val="2E8311C5"/>
    <w:rsid w:val="304110A8"/>
    <w:rsid w:val="30C34DA8"/>
    <w:rsid w:val="33183B4A"/>
    <w:rsid w:val="33667C3B"/>
    <w:rsid w:val="34373473"/>
    <w:rsid w:val="34C936EF"/>
    <w:rsid w:val="3590759F"/>
    <w:rsid w:val="37824DFB"/>
    <w:rsid w:val="394A4521"/>
    <w:rsid w:val="3AC301C9"/>
    <w:rsid w:val="3D0A3670"/>
    <w:rsid w:val="41276A7E"/>
    <w:rsid w:val="41E57939"/>
    <w:rsid w:val="4203687E"/>
    <w:rsid w:val="42F04A62"/>
    <w:rsid w:val="432E09C0"/>
    <w:rsid w:val="43C2678C"/>
    <w:rsid w:val="44BD32F4"/>
    <w:rsid w:val="46F439C8"/>
    <w:rsid w:val="4B3B27F5"/>
    <w:rsid w:val="4D852C8C"/>
    <w:rsid w:val="4E4F1B20"/>
    <w:rsid w:val="56B72BD6"/>
    <w:rsid w:val="56C50FD0"/>
    <w:rsid w:val="573F2099"/>
    <w:rsid w:val="57FD20A4"/>
    <w:rsid w:val="5AA50758"/>
    <w:rsid w:val="5DC009A8"/>
    <w:rsid w:val="5E841EEA"/>
    <w:rsid w:val="61275FD1"/>
    <w:rsid w:val="62951D20"/>
    <w:rsid w:val="6305277B"/>
    <w:rsid w:val="652E33C0"/>
    <w:rsid w:val="65E20510"/>
    <w:rsid w:val="66F843A4"/>
    <w:rsid w:val="68EE7BE1"/>
    <w:rsid w:val="69007B89"/>
    <w:rsid w:val="6B24108B"/>
    <w:rsid w:val="6B747D44"/>
    <w:rsid w:val="71016333"/>
    <w:rsid w:val="71365BC0"/>
    <w:rsid w:val="735D194E"/>
    <w:rsid w:val="74913AAA"/>
    <w:rsid w:val="7A3D14CF"/>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99" w:semiHidden="0" w:name="toc 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qFormat="1" w:unhideWhenUsed="0" w:uiPriority="99" w:semiHidden="0" w:name="Normal Indent"/>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nhideWhenUsed="0" w:uiPriority="99"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qFormat="1" w:unhideWhenUsed="0" w:uiPriority="99" w:semiHidden="0" w:name="Body Text 2"/>
    <w:lsdException w:uiPriority="99" w:name="Body Text 3" w:locked="1"/>
    <w:lsdException w:qFormat="1" w:unhideWhenUsed="0" w:uiPriority="99" w:semiHidden="0" w:name="Body Text Indent 2"/>
    <w:lsdException w:uiPriority="99" w:name="Body Text Indent 3" w:locked="1"/>
    <w:lsdException w:uiPriority="99" w:name="Block Text" w:locked="1"/>
    <w:lsdException w:qFormat="1" w:unhideWhenUsed="0" w:uiPriority="99" w:semiHidden="0" w:name="Hyperlink"/>
    <w:lsdException w:uiPriority="99" w:name="FollowedHyperlink" w:locked="1"/>
    <w:lsdException w:qFormat="1" w:unhideWhenUsed="0" w:uiPriority="0" w:semiHidden="0" w:name="Strong" w:locked="1"/>
    <w:lsdException w:qFormat="1" w:unhideWhenUsed="0" w:uiPriority="20" w:semiHidden="0" w:name="Emphasis" w:locked="1"/>
    <w:lsdException w:uiPriority="99" w:name="Document Map" w:locked="1"/>
    <w:lsdException w:qFormat="1" w:unhideWhenUsed="0" w:uiPriority="99"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Times New Roman" w:hAnsi="Times New Roman" w:eastAsia="宋体" w:cs="Times New Roman"/>
      <w:kern w:val="0"/>
      <w:sz w:val="24"/>
      <w:szCs w:val="24"/>
      <w:lang w:val="en-US" w:eastAsia="zh-CN" w:bidi="ar-SA"/>
    </w:rPr>
  </w:style>
  <w:style w:type="paragraph" w:styleId="2">
    <w:name w:val="heading 1"/>
    <w:basedOn w:val="1"/>
    <w:next w:val="1"/>
    <w:link w:val="17"/>
    <w:qFormat/>
    <w:uiPriority w:val="99"/>
    <w:pPr>
      <w:keepNext/>
      <w:keepLines/>
      <w:numPr>
        <w:ilvl w:val="0"/>
        <w:numId w:val="1"/>
      </w:numPr>
      <w:tabs>
        <w:tab w:val="left" w:pos="425"/>
      </w:tabs>
      <w:spacing w:before="340" w:after="330" w:line="360" w:lineRule="auto"/>
      <w:ind w:left="4265" w:hanging="425"/>
      <w:jc w:val="center"/>
      <w:outlineLvl w:val="0"/>
    </w:pPr>
    <w:rPr>
      <w:rFonts w:ascii="华文中宋" w:hAnsi="华文中宋" w:eastAsia="华文中宋"/>
      <w:b/>
      <w:bCs/>
      <w:sz w:val="32"/>
      <w:szCs w:val="32"/>
    </w:rPr>
  </w:style>
  <w:style w:type="paragraph" w:styleId="3">
    <w:name w:val="heading 2"/>
    <w:basedOn w:val="1"/>
    <w:next w:val="1"/>
    <w:link w:val="18"/>
    <w:qFormat/>
    <w:uiPriority w:val="99"/>
    <w:pPr>
      <w:keepNext/>
      <w:keepLines/>
      <w:widowControl w:val="0"/>
      <w:tabs>
        <w:tab w:val="left" w:pos="720"/>
      </w:tabs>
      <w:spacing w:before="260" w:after="260" w:line="360" w:lineRule="auto"/>
      <w:jc w:val="center"/>
      <w:outlineLvl w:val="1"/>
    </w:pPr>
    <w:rPr>
      <w:rFonts w:ascii="宋体" w:hAnsi="宋体" w:cs="Arial"/>
      <w:b/>
      <w:bCs/>
      <w:iCs/>
      <w:sz w:val="28"/>
      <w:szCs w:val="28"/>
    </w:rPr>
  </w:style>
  <w:style w:type="character" w:default="1" w:styleId="12">
    <w:name w:val="Default Paragraph Font"/>
    <w:semiHidden/>
    <w:qFormat/>
    <w:uiPriority w:val="99"/>
  </w:style>
  <w:style w:type="table" w:default="1" w:styleId="16">
    <w:name w:val="Normal Table"/>
    <w:semiHidden/>
    <w:unhideWhenUsed/>
    <w:qFormat/>
    <w:uiPriority w:val="99"/>
    <w:tblPr>
      <w:tblLayout w:type="fixed"/>
      <w:tblCellMar>
        <w:top w:w="0" w:type="dxa"/>
        <w:left w:w="108" w:type="dxa"/>
        <w:bottom w:w="0" w:type="dxa"/>
        <w:right w:w="108" w:type="dxa"/>
      </w:tblCellMar>
    </w:tblPr>
  </w:style>
  <w:style w:type="paragraph" w:styleId="4">
    <w:name w:val="Normal Indent"/>
    <w:basedOn w:val="1"/>
    <w:qFormat/>
    <w:uiPriority w:val="99"/>
    <w:pPr>
      <w:widowControl w:val="0"/>
      <w:spacing w:line="360" w:lineRule="auto"/>
      <w:ind w:firstLine="420"/>
      <w:jc w:val="both"/>
    </w:pPr>
    <w:rPr>
      <w:kern w:val="1"/>
      <w:sz w:val="21"/>
    </w:rPr>
  </w:style>
  <w:style w:type="paragraph" w:styleId="5">
    <w:name w:val="Plain Text"/>
    <w:basedOn w:val="1"/>
    <w:link w:val="21"/>
    <w:qFormat/>
    <w:uiPriority w:val="99"/>
    <w:rPr>
      <w:rFonts w:ascii="宋体" w:hAnsi="宋体" w:cs="宋体"/>
      <w:szCs w:val="21"/>
    </w:rPr>
  </w:style>
  <w:style w:type="paragraph" w:styleId="6">
    <w:name w:val="Body Text Indent 2"/>
    <w:basedOn w:val="1"/>
    <w:link w:val="22"/>
    <w:qFormat/>
    <w:uiPriority w:val="99"/>
    <w:pPr>
      <w:widowControl w:val="0"/>
      <w:spacing w:after="120" w:line="480" w:lineRule="auto"/>
      <w:ind w:left="420" w:leftChars="200"/>
      <w:jc w:val="both"/>
    </w:pPr>
    <w:rPr>
      <w:rFonts w:ascii="Calibri" w:hAnsi="Calibri"/>
      <w:kern w:val="2"/>
      <w:sz w:val="21"/>
      <w:szCs w:val="22"/>
    </w:rPr>
  </w:style>
  <w:style w:type="paragraph" w:styleId="7">
    <w:name w:val="footer"/>
    <w:basedOn w:val="5"/>
    <w:link w:val="20"/>
    <w:qFormat/>
    <w:uiPriority w:val="99"/>
    <w:pPr>
      <w:tabs>
        <w:tab w:val="center" w:pos="4153"/>
        <w:tab w:val="right" w:pos="8306"/>
      </w:tabs>
    </w:pPr>
    <w:rPr>
      <w:sz w:val="18"/>
      <w:szCs w:val="18"/>
    </w:rPr>
  </w:style>
  <w:style w:type="paragraph" w:styleId="8">
    <w:name w:val="header"/>
    <w:basedOn w:val="7"/>
    <w:link w:val="19"/>
    <w:qFormat/>
    <w:uiPriority w:val="99"/>
    <w:pPr>
      <w:pBdr>
        <w:top w:val="none" w:color="000000" w:sz="0" w:space="3"/>
        <w:left w:val="none" w:color="000000" w:sz="0" w:space="3"/>
        <w:bottom w:val="single" w:color="000000" w:sz="6" w:space="1"/>
        <w:right w:val="none" w:color="000000" w:sz="0" w:space="3"/>
        <w:between w:val="none" w:color="000000" w:sz="0" w:space="0"/>
      </w:pBdr>
      <w:jc w:val="center"/>
    </w:pPr>
  </w:style>
  <w:style w:type="paragraph" w:styleId="9">
    <w:name w:val="toc 1"/>
    <w:basedOn w:val="8"/>
    <w:next w:val="8"/>
    <w:qFormat/>
    <w:uiPriority w:val="99"/>
  </w:style>
  <w:style w:type="paragraph" w:styleId="10">
    <w:name w:val="Body Text 2"/>
    <w:basedOn w:val="1"/>
    <w:link w:val="23"/>
    <w:qFormat/>
    <w:uiPriority w:val="99"/>
    <w:pPr>
      <w:widowControl w:val="0"/>
      <w:spacing w:after="120" w:line="480" w:lineRule="auto"/>
      <w:jc w:val="both"/>
    </w:pPr>
    <w:rPr>
      <w:rFonts w:ascii="??_GB2312"/>
      <w:b/>
      <w:sz w:val="20"/>
    </w:rPr>
  </w:style>
  <w:style w:type="paragraph" w:styleId="11">
    <w:name w:val="Normal (Web)"/>
    <w:basedOn w:val="1"/>
    <w:qFormat/>
    <w:uiPriority w:val="99"/>
    <w:pPr>
      <w:spacing w:before="100" w:beforeAutospacing="1" w:after="100" w:afterAutospacing="1"/>
    </w:pPr>
  </w:style>
  <w:style w:type="character" w:styleId="13">
    <w:name w:val="Strong"/>
    <w:basedOn w:val="12"/>
    <w:qFormat/>
    <w:locked/>
    <w:uiPriority w:val="0"/>
    <w:rPr>
      <w:b/>
    </w:rPr>
  </w:style>
  <w:style w:type="character" w:styleId="14">
    <w:name w:val="page number"/>
    <w:basedOn w:val="12"/>
    <w:qFormat/>
    <w:uiPriority w:val="99"/>
    <w:rPr>
      <w:rFonts w:cs="Times New Roman"/>
    </w:rPr>
  </w:style>
  <w:style w:type="character" w:styleId="15">
    <w:name w:val="Hyperlink"/>
    <w:basedOn w:val="14"/>
    <w:qFormat/>
    <w:uiPriority w:val="99"/>
    <w:rPr>
      <w:color w:val="0000FF"/>
      <w:u w:val="single"/>
    </w:rPr>
  </w:style>
  <w:style w:type="character" w:customStyle="1" w:styleId="17">
    <w:name w:val="Heading 1 Char"/>
    <w:basedOn w:val="12"/>
    <w:link w:val="2"/>
    <w:qFormat/>
    <w:locked/>
    <w:uiPriority w:val="99"/>
    <w:rPr>
      <w:rFonts w:cs="Times New Roman"/>
      <w:b/>
      <w:bCs/>
      <w:kern w:val="44"/>
      <w:sz w:val="44"/>
      <w:szCs w:val="44"/>
    </w:rPr>
  </w:style>
  <w:style w:type="character" w:customStyle="1" w:styleId="18">
    <w:name w:val="Heading 2 Char"/>
    <w:basedOn w:val="12"/>
    <w:link w:val="3"/>
    <w:semiHidden/>
    <w:qFormat/>
    <w:locked/>
    <w:uiPriority w:val="99"/>
    <w:rPr>
      <w:rFonts w:ascii="Cambria" w:hAnsi="Cambria" w:eastAsia="宋体" w:cs="Times New Roman"/>
      <w:b/>
      <w:bCs/>
      <w:kern w:val="0"/>
      <w:sz w:val="32"/>
      <w:szCs w:val="32"/>
    </w:rPr>
  </w:style>
  <w:style w:type="character" w:customStyle="1" w:styleId="19">
    <w:name w:val="Header Char"/>
    <w:basedOn w:val="12"/>
    <w:link w:val="8"/>
    <w:semiHidden/>
    <w:qFormat/>
    <w:locked/>
    <w:uiPriority w:val="99"/>
    <w:rPr>
      <w:rFonts w:cs="Times New Roman"/>
      <w:kern w:val="0"/>
      <w:sz w:val="18"/>
      <w:szCs w:val="18"/>
    </w:rPr>
  </w:style>
  <w:style w:type="character" w:customStyle="1" w:styleId="20">
    <w:name w:val="Footer Char"/>
    <w:basedOn w:val="12"/>
    <w:link w:val="7"/>
    <w:semiHidden/>
    <w:qFormat/>
    <w:locked/>
    <w:uiPriority w:val="99"/>
    <w:rPr>
      <w:rFonts w:cs="Times New Roman"/>
      <w:kern w:val="0"/>
      <w:sz w:val="18"/>
      <w:szCs w:val="18"/>
    </w:rPr>
  </w:style>
  <w:style w:type="character" w:customStyle="1" w:styleId="21">
    <w:name w:val="Plain Text Char"/>
    <w:basedOn w:val="12"/>
    <w:link w:val="5"/>
    <w:semiHidden/>
    <w:qFormat/>
    <w:locked/>
    <w:uiPriority w:val="99"/>
    <w:rPr>
      <w:rFonts w:ascii="宋体" w:hAnsi="Courier New" w:cs="Courier New"/>
      <w:kern w:val="0"/>
      <w:sz w:val="21"/>
      <w:szCs w:val="21"/>
    </w:rPr>
  </w:style>
  <w:style w:type="character" w:customStyle="1" w:styleId="22">
    <w:name w:val="Body Text Indent 2 Char"/>
    <w:basedOn w:val="12"/>
    <w:link w:val="6"/>
    <w:semiHidden/>
    <w:qFormat/>
    <w:locked/>
    <w:uiPriority w:val="99"/>
    <w:rPr>
      <w:rFonts w:ascii="Calibri" w:hAnsi="Calibri" w:eastAsia="宋体" w:cs="Times New Roman"/>
      <w:kern w:val="2"/>
      <w:sz w:val="22"/>
      <w:szCs w:val="22"/>
      <w:lang w:val="en-US" w:eastAsia="zh-CN" w:bidi="ar-SA"/>
    </w:rPr>
  </w:style>
  <w:style w:type="character" w:customStyle="1" w:styleId="23">
    <w:name w:val="Body Text 2 Char"/>
    <w:basedOn w:val="12"/>
    <w:link w:val="10"/>
    <w:semiHidden/>
    <w:qFormat/>
    <w:locked/>
    <w:uiPriority w:val="99"/>
    <w:rPr>
      <w:rFonts w:ascii="??_GB2312" w:eastAsia="宋体" w:cs="Times New Roman"/>
      <w:b/>
      <w:sz w:val="24"/>
      <w:szCs w:val="24"/>
      <w:lang w:val="en-US" w:eastAsia="zh-CN" w:bidi="ar-SA"/>
    </w:rPr>
  </w:style>
  <w:style w:type="paragraph" w:customStyle="1" w:styleId="24">
    <w:name w:val="正文首行缩进两字符"/>
    <w:basedOn w:val="8"/>
    <w:qFormat/>
    <w:uiPriority w:val="99"/>
    <w:pPr>
      <w:ind w:firstLine="200"/>
      <w:jc w:val="both"/>
    </w:pPr>
    <w:rPr>
      <w:sz w:val="21"/>
      <w:szCs w:val="20"/>
    </w:rPr>
  </w:style>
  <w:style w:type="paragraph" w:customStyle="1" w:styleId="25">
    <w:name w:val="09正文_wh"/>
    <w:qFormat/>
    <w:uiPriority w:val="99"/>
    <w:pPr>
      <w:spacing w:line="300" w:lineRule="auto"/>
      <w:ind w:firstLine="200"/>
      <w:jc w:val="both"/>
    </w:pPr>
    <w:rPr>
      <w:rFonts w:ascii="Times New Roman" w:hAnsi="Times New Roman" w:eastAsia="宋体" w:cs="Times New Roman"/>
      <w:kern w:val="1"/>
      <w:sz w:val="28"/>
      <w:szCs w:val="24"/>
      <w:lang w:val="en-US" w:eastAsia="zh-CN" w:bidi="ar-SA"/>
    </w:rPr>
  </w:style>
  <w:style w:type="paragraph" w:customStyle="1" w:styleId="26">
    <w:name w:val="表格"/>
    <w:basedOn w:val="24"/>
    <w:qFormat/>
    <w:uiPriority w:val="99"/>
    <w:pPr>
      <w:spacing w:line="400" w:lineRule="exact"/>
    </w:pPr>
    <w:rPr>
      <w:sz w:val="20"/>
    </w:rPr>
  </w:style>
  <w:style w:type="paragraph" w:customStyle="1" w:styleId="27">
    <w:name w:val="标准"/>
    <w:basedOn w:val="26"/>
    <w:qFormat/>
    <w:uiPriority w:val="99"/>
    <w:pPr>
      <w:spacing w:line="240" w:lineRule="atLeast"/>
    </w:pPr>
    <w:rPr>
      <w:rFonts w:eastAsia="楷体_GB2312"/>
    </w:rPr>
  </w:style>
  <w:style w:type="character" w:customStyle="1" w:styleId="28">
    <w:name w:val="纯文本 Char"/>
    <w:basedOn w:val="15"/>
    <w:qFormat/>
    <w:uiPriority w:val="99"/>
    <w:rPr>
      <w:rFonts w:ascii="宋体" w:hAnsi="宋体" w:eastAsia="宋体" w:cs="宋体"/>
      <w:sz w:val="21"/>
      <w:szCs w:val="21"/>
      <w:lang w:val="en-US" w:eastAsia="zh-CN" w:bidi="ar-SA"/>
    </w:rPr>
  </w:style>
  <w:style w:type="character" w:customStyle="1" w:styleId="29">
    <w:name w:val="font01"/>
    <w:basedOn w:val="15"/>
    <w:qFormat/>
    <w:uiPriority w:val="99"/>
    <w:rPr>
      <w:rFonts w:ascii="仿宋" w:hAnsi="仿宋" w:eastAsia="仿宋" w:cs="仿宋"/>
      <w:color w:val="000000"/>
      <w:sz w:val="18"/>
      <w:szCs w:val="18"/>
      <w:u w:val="none"/>
      <w:vertAlign w:val="superscript"/>
    </w:rPr>
  </w:style>
  <w:style w:type="character" w:customStyle="1" w:styleId="30">
    <w:name w:val="font21"/>
    <w:basedOn w:val="15"/>
    <w:qFormat/>
    <w:uiPriority w:val="99"/>
    <w:rPr>
      <w:rFonts w:ascii="仿宋" w:hAnsi="仿宋" w:eastAsia="仿宋" w:cs="仿宋"/>
      <w:color w:val="000000"/>
      <w:sz w:val="18"/>
      <w:szCs w:val="18"/>
      <w:u w:val="none"/>
    </w:rPr>
  </w:style>
  <w:style w:type="character" w:customStyle="1" w:styleId="31">
    <w:name w:val="bord3"/>
    <w:basedOn w:val="15"/>
    <w:qFormat/>
    <w:uiPriority w:val="99"/>
  </w:style>
  <w:style w:type="paragraph" w:customStyle="1" w:styleId="32">
    <w:name w:val="表格文字"/>
    <w:basedOn w:val="1"/>
    <w:qFormat/>
    <w:uiPriority w:val="99"/>
    <w:rPr>
      <w:bCs/>
      <w:spacing w:val="10"/>
      <w:szCs w:val="20"/>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4.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1.jpeg"/><Relationship Id="rId15" Type="http://schemas.openxmlformats.org/officeDocument/2006/relationships/theme" Target="theme/theme1.xml"/><Relationship Id="rId14" Type="http://schemas.openxmlformats.org/officeDocument/2006/relationships/footer" Target="footer7.xml"/><Relationship Id="rId13" Type="http://schemas.openxmlformats.org/officeDocument/2006/relationships/header" Target="header5.xml"/><Relationship Id="rId12" Type="http://schemas.openxmlformats.org/officeDocument/2006/relationships/footer" Target="footer6.xml"/><Relationship Id="rId11" Type="http://schemas.openxmlformats.org/officeDocument/2006/relationships/header" Target="header4.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2056"/>
    <customShpInfo spid="_x0000_s2050"/>
    <customShpInfo spid="_x0000_s2051"/>
    <customShpInfo spid="_x0000_s2052"/>
    <customShpInfo spid="_x0000_s2053"/>
    <customShpInfo spid="_x0000_s2054"/>
    <customShpInfo spid="_x0000_s1032"/>
    <customShpInfo spid="_x0000_s103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3</Pages>
  <Words>3590</Words>
  <Characters>20463</Characters>
  <Lines>0</Lines>
  <Paragraphs>0</Paragraphs>
  <TotalTime>4</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2018-11-14T09:43:00Z</dcterms:created>
  <dc:creator>王</dc:creator>
  <cp:lastModifiedBy>Administrator</cp:lastModifiedBy>
  <dcterms:modified xsi:type="dcterms:W3CDTF">2019-01-31T02:29:14Z</dcterms:modified>
  <dc:title>三亚市公安消防支队</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