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120"/>
        <w:gridCol w:w="1330"/>
        <w:gridCol w:w="2079"/>
        <w:gridCol w:w="708"/>
        <w:gridCol w:w="581"/>
        <w:gridCol w:w="1248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spacing w:before="0" w:after="0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压缩式垃圾车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东风牌、</w:t>
            </w:r>
            <w:r>
              <w:rPr>
                <w:rFonts w:ascii="宋体" w:hAnsi="宋体" w:cs="宋体"/>
                <w:bCs/>
                <w:sz w:val="24"/>
                <w:lang w:val="en-GB"/>
              </w:rPr>
              <w:t>EQ5123ZYSS5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深圳、大亚湾/深圳东风汽车有限公司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辆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495,000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990,000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2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安装、运输保险费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辆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4,000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3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相关安装调试费用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辆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0（免费）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0（免费）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4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质保及人员培训、售后服务及其他所有费用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辆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含总价内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含总价内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E0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