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564"/>
        </w:tabs>
        <w:ind w:left="2798"/>
      </w:pPr>
      <w:r>
        <w:t>用户需求书</w:t>
      </w:r>
    </w:p>
    <w:p>
      <w:pPr>
        <w:pStyle w:val="5"/>
        <w:spacing w:before="292" w:line="362" w:lineRule="auto"/>
        <w:ind w:left="420" w:right="469"/>
        <w:rPr>
          <w:rFonts w:hint="eastAsia" w:eastAsia="宋体"/>
          <w:lang w:eastAsia="zh-CN"/>
        </w:rPr>
      </w:pPr>
      <w:r>
        <w:rPr>
          <w:b/>
          <w:spacing w:val="-7"/>
        </w:rPr>
        <w:t>一、项目名称</w:t>
      </w:r>
      <w:r>
        <w:rPr>
          <w:spacing w:val="-8"/>
        </w:rPr>
        <w:t>：</w:t>
      </w:r>
      <w:r>
        <w:rPr>
          <w:rFonts w:hint="eastAsia"/>
          <w:spacing w:val="-8"/>
          <w:lang w:eastAsia="zh-CN"/>
        </w:rPr>
        <w:t>陵水黎族自治县中山小学拼装式游泳池设备政府采购项目</w:t>
      </w:r>
    </w:p>
    <w:p>
      <w:pPr>
        <w:spacing w:before="5"/>
        <w:ind w:left="420" w:right="0" w:firstLine="0"/>
        <w:jc w:val="left"/>
        <w:rPr>
          <w:rFonts w:hint="eastAsia" w:eastAsia="宋体"/>
          <w:sz w:val="24"/>
          <w:lang w:eastAsia="zh-CN"/>
        </w:rPr>
      </w:pPr>
      <w:r>
        <w:rPr>
          <w:b/>
          <w:sz w:val="24"/>
        </w:rPr>
        <w:t>二、采购人</w:t>
      </w:r>
      <w:r>
        <w:rPr>
          <w:sz w:val="24"/>
        </w:rPr>
        <w:t>：</w:t>
      </w:r>
      <w:r>
        <w:rPr>
          <w:rFonts w:hint="eastAsia"/>
          <w:sz w:val="24"/>
          <w:lang w:eastAsia="zh-CN"/>
        </w:rPr>
        <w:t>陵水黎族自治县中山小学</w:t>
      </w:r>
    </w:p>
    <w:p>
      <w:pPr>
        <w:spacing w:before="158"/>
        <w:ind w:left="420" w:right="0" w:firstLine="0"/>
        <w:jc w:val="left"/>
        <w:rPr>
          <w:rFonts w:hint="eastAsia" w:eastAsia="宋体"/>
          <w:sz w:val="24"/>
          <w:lang w:val="en-US" w:eastAsia="zh-CN"/>
        </w:rPr>
      </w:pPr>
      <w:r>
        <w:rPr>
          <w:b/>
          <w:sz w:val="24"/>
        </w:rPr>
        <w:t>三、采购预算（人民币）</w:t>
      </w:r>
      <w:r>
        <w:rPr>
          <w:sz w:val="24"/>
        </w:rPr>
        <w:t>：</w:t>
      </w:r>
      <w:r>
        <w:rPr>
          <w:rFonts w:hint="eastAsia"/>
          <w:sz w:val="24"/>
          <w:lang w:val="en-US" w:eastAsia="zh-CN"/>
        </w:rPr>
        <w:t>1404376.4元</w:t>
      </w:r>
    </w:p>
    <w:p>
      <w:pPr>
        <w:pStyle w:val="5"/>
        <w:spacing w:before="160" w:line="364" w:lineRule="auto"/>
        <w:ind w:left="420" w:right="476" w:firstLine="480"/>
      </w:pPr>
      <w:r>
        <w:rPr>
          <w:spacing w:val="-6"/>
        </w:rPr>
        <w:t>供应商的报价不得超出采购预算，并且该报价包含货物、运费、包装、税费</w:t>
      </w:r>
      <w:r>
        <w:t>等相关的所有费用。</w:t>
      </w:r>
    </w:p>
    <w:p>
      <w:pPr>
        <w:pStyle w:val="4"/>
        <w:spacing w:line="306" w:lineRule="exact"/>
        <w:ind w:left="420" w:firstLine="0"/>
      </w:pPr>
      <w:r>
        <w:t>四、采购清单</w:t>
      </w:r>
    </w:p>
    <w:p>
      <w:pPr>
        <w:pStyle w:val="5"/>
        <w:spacing w:before="4"/>
        <w:rPr>
          <w:b/>
          <w:sz w:val="12"/>
        </w:rPr>
      </w:pPr>
    </w:p>
    <w:tbl>
      <w:tblPr>
        <w:tblStyle w:val="7"/>
        <w:tblW w:w="101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9"/>
        <w:gridCol w:w="1470"/>
        <w:gridCol w:w="3061"/>
        <w:gridCol w:w="750"/>
        <w:gridCol w:w="855"/>
        <w:gridCol w:w="1230"/>
        <w:gridCol w:w="111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jc w:val="center"/>
        </w:trPr>
        <w:tc>
          <w:tcPr>
            <w:tcW w:w="719"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7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游泳池结构</w:t>
            </w:r>
          </w:p>
        </w:tc>
        <w:tc>
          <w:tcPr>
            <w:tcW w:w="3061"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技术参数</w:t>
            </w:r>
          </w:p>
        </w:tc>
        <w:tc>
          <w:tcPr>
            <w:tcW w:w="75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85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23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11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合价（元）</w:t>
            </w:r>
          </w:p>
        </w:tc>
        <w:tc>
          <w:tcPr>
            <w:tcW w:w="952"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游泳池</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池体</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钢结构框架</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采用国标型钢制造的钢结构框架，主材选用150mm×150mm方管，壁厚4.0mm，确保强度，所有钢结构承压框架均采用热镀锌防腐处理，保证框架15年不生锈，保证池体不变形，每个相同的框架都能互换。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不锈钢内围板</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不锈钢材质，1.2M*1M,厚度为2mm</w:t>
            </w:r>
            <w:r>
              <w:rPr>
                <w:rFonts w:hint="eastAsia" w:cs="宋体"/>
                <w:i w:val="0"/>
                <w:color w:val="000000"/>
                <w:kern w:val="0"/>
                <w:sz w:val="22"/>
                <w:szCs w:val="22"/>
                <w:u w:val="none"/>
                <w:lang w:val="en-US" w:eastAsia="zh-CN" w:bidi="ar"/>
              </w:rPr>
              <w:t>（须符合GB/T28935-2012标准，提供相关产品认证证书复印件并加盖公章）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泳池专用胶膜</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厚度1.2mm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池底垫层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厚度50mm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池底排水器</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SUS304不锈钢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防撞护边</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食品级硅胶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平台踏板</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材质：SMC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1250mm*1000mm*30mm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泳池配套附件</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含格栅，进、回水口，扶梯，标准件及辅材等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B</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水处理系统</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超静音水泵</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SE7.5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砂缸</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直径1400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石英砂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5.5KW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加药系统</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全自动侦测加药一体机可同时检测PH与ORP</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水循环管路</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救生系统</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救生椅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不锈钢304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救生杆</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救生圈</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 聚氨酯外径为60cm，内径为37cm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急救箱</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通用型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救生板</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脊柱板1个，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尺寸：185*45*6cm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头部固定器1个，3个绑带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监控照明系统</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钢膜遮阳棚</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eastAsia="zh-CN"/>
              </w:rPr>
            </w:pPr>
            <w:r>
              <w:rPr>
                <w:rFonts w:hint="eastAsia" w:cs="宋体"/>
                <w:i w:val="0"/>
                <w:color w:val="000000"/>
                <w:sz w:val="22"/>
                <w:szCs w:val="22"/>
                <w:u w:val="none"/>
                <w:lang w:eastAsia="zh-CN"/>
              </w:rPr>
              <w:t>含钢筋混凝土基础和预埋件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470.67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运费</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税金</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19"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147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报价合计</w:t>
            </w:r>
          </w:p>
        </w:tc>
        <w:tc>
          <w:tcPr>
            <w:tcW w:w="306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一+二+三+四+五</w:t>
            </w:r>
          </w:p>
        </w:tc>
        <w:tc>
          <w:tcPr>
            <w:tcW w:w="75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52"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bl>
    <w:p>
      <w:pPr>
        <w:spacing w:after="0"/>
        <w:jc w:val="both"/>
        <w:rPr>
          <w:sz w:val="21"/>
        </w:rPr>
        <w:sectPr>
          <w:footerReference r:id="rId3" w:type="default"/>
          <w:footerReference r:id="rId4" w:type="even"/>
          <w:pgSz w:w="11910" w:h="16840"/>
          <w:pgMar w:top="1420" w:right="1321" w:bottom="1080" w:left="1380" w:header="0" w:footer="895" w:gutter="0"/>
          <w:pgNumType w:start="10"/>
        </w:sectPr>
      </w:pPr>
    </w:p>
    <w:p>
      <w:pPr>
        <w:pStyle w:val="4"/>
        <w:spacing w:before="43"/>
        <w:ind w:left="0" w:leftChars="0" w:firstLine="441" w:firstLineChars="183"/>
      </w:pPr>
      <w:bookmarkStart w:id="0" w:name="第四章  合同条款"/>
      <w:bookmarkEnd w:id="0"/>
      <w:r>
        <w:t>五、交货时间及地点</w:t>
      </w:r>
    </w:p>
    <w:p>
      <w:pPr>
        <w:spacing w:before="160" w:line="362" w:lineRule="auto"/>
        <w:ind w:left="420" w:right="5184" w:firstLine="480"/>
        <w:jc w:val="left"/>
        <w:rPr>
          <w:b/>
          <w:sz w:val="24"/>
        </w:rPr>
      </w:pPr>
      <w:r>
        <w:rPr>
          <w:sz w:val="24"/>
        </w:rPr>
        <w:t>按用户指定的时间及地点交货</w:t>
      </w:r>
      <w:r>
        <w:rPr>
          <w:b/>
          <w:sz w:val="24"/>
        </w:rPr>
        <w:t>六、质量保证</w:t>
      </w:r>
    </w:p>
    <w:p>
      <w:pPr>
        <w:pStyle w:val="5"/>
        <w:spacing w:before="5" w:line="362" w:lineRule="auto"/>
        <w:ind w:left="420" w:right="476" w:firstLine="480"/>
      </w:pPr>
      <w:r>
        <w:rPr>
          <w:spacing w:val="-6"/>
        </w:rPr>
        <w:t>供应商提供的产品必须是厂商原装、全新的正品，并符合国家及该产品的出</w:t>
      </w:r>
      <w:r>
        <w:t>厂标准，同时完全符合用户提出的要求。</w:t>
      </w:r>
    </w:p>
    <w:p>
      <w:pPr>
        <w:pStyle w:val="4"/>
        <w:spacing w:before="5"/>
        <w:ind w:left="420" w:firstLine="0"/>
      </w:pPr>
      <w:r>
        <w:t>七、验收标准</w:t>
      </w:r>
    </w:p>
    <w:p>
      <w:pPr>
        <w:pStyle w:val="5"/>
        <w:spacing w:before="158" w:line="364" w:lineRule="auto"/>
        <w:ind w:left="420" w:right="476" w:firstLine="480"/>
        <w:sectPr>
          <w:pgSz w:w="11910" w:h="16840"/>
          <w:pgMar w:top="1380" w:right="1321" w:bottom="1160" w:left="1380" w:header="0" w:footer="975" w:gutter="0"/>
        </w:sectPr>
      </w:pPr>
      <w:r>
        <w:rPr>
          <w:spacing w:val="-7"/>
        </w:rPr>
        <w:t>由采购人对所购货物进行验收，验收标准除采购要求的货物技术参数外，</w:t>
      </w:r>
      <w:r>
        <w:rPr>
          <w:rFonts w:hint="eastAsia"/>
          <w:spacing w:val="-7"/>
          <w:lang w:eastAsia="zh-CN"/>
        </w:rPr>
        <w:t>还需符合《海南省教育厅关于开展全省普及中小学游泳教育游泳池检测验收工作的通知</w:t>
      </w:r>
      <w:r>
        <w:rPr>
          <w:rFonts w:hint="eastAsia"/>
          <w:spacing w:val="-7"/>
          <w:lang w:val="en-US" w:eastAsia="zh-CN"/>
        </w:rPr>
        <w:t>-琼教体{2018}130号</w:t>
      </w:r>
      <w:r>
        <w:rPr>
          <w:rFonts w:hint="eastAsia"/>
          <w:spacing w:val="-7"/>
          <w:lang w:eastAsia="zh-CN"/>
        </w:rPr>
        <w:t>》或</w:t>
      </w:r>
      <w:r>
        <w:rPr>
          <w:spacing w:val="-7"/>
        </w:rPr>
        <w:t>可</w:t>
      </w:r>
      <w:r>
        <w:t>溯源到</w:t>
      </w:r>
      <w:r>
        <w:rPr>
          <w:rFonts w:hint="eastAsia"/>
          <w:lang w:eastAsia="zh-CN"/>
        </w:rPr>
        <w:t>的</w:t>
      </w:r>
      <w:r>
        <w:t>国家相关标准。</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503276544"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pt;margin-top:782.1pt;height:11pt;width:13.15pt;mso-position-horizontal-relative:page;mso-position-vertical-relative:page;z-index:-39936;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iOHtNoAAAANAQAA&#10;DwAAAAAAAAABACAAAAAiAAAAZHJzL2Rvd25yZXYueG1sUEsBAhQAFAAAAAgAh07iQKfsvkGlAQAA&#10;LAMAAA4AAAAAAAAAAQAgAAAAKQEAAGRycy9lMm9Eb2MueG1sUEsFBgAAAAAGAAYAWQEAAEAFAAAA&#10;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mc:AlternateContent>
        <mc:Choice Requires="wps">
          <w:drawing>
            <wp:anchor distT="0" distB="0" distL="114300" distR="114300" simplePos="0" relativeHeight="503276544"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14</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pt;margin-top:782.1pt;height:11pt;width:13.15pt;mso-position-horizontal-relative:page;mso-position-vertical-relative:page;z-index:-39936;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iOHtNoAAAANAQAA&#10;DwAAAAAAAAABACAAAAAiAAAAZHJzL2Rvd25yZXYueG1sUEsBAhQAFAAAAAgAh07iQIbUYOqlAQAA&#10;LAMAAA4AAAAAAAAAAQAgAAAAKQEAAGRycy9lMm9Eb2MueG1sUEsFBgAAAAAGAAYAWQEAAEAFAAAA&#10;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B132D"/>
    <w:rsid w:val="12EB132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4"/>
      <w:ind w:left="2808"/>
      <w:outlineLvl w:val="1"/>
    </w:pPr>
    <w:rPr>
      <w:rFonts w:ascii="宋体" w:hAnsi="宋体" w:eastAsia="宋体" w:cs="宋体"/>
      <w:b/>
      <w:bCs/>
      <w:sz w:val="44"/>
      <w:szCs w:val="44"/>
      <w:lang w:val="zh-CN" w:eastAsia="zh-CN" w:bidi="zh-CN"/>
    </w:rPr>
  </w:style>
  <w:style w:type="paragraph" w:styleId="4">
    <w:name w:val="heading 6"/>
    <w:basedOn w:val="1"/>
    <w:next w:val="1"/>
    <w:qFormat/>
    <w:uiPriority w:val="1"/>
    <w:pPr>
      <w:ind w:left="984" w:hanging="420"/>
      <w:outlineLvl w:val="6"/>
    </w:pPr>
    <w:rPr>
      <w:rFonts w:ascii="宋体" w:hAnsi="宋体" w:eastAsia="宋体" w:cs="宋体"/>
      <w:b/>
      <w:bCs/>
      <w:sz w:val="24"/>
      <w:szCs w:val="24"/>
      <w:lang w:val="zh-CN" w:eastAsia="zh-CN" w:bidi="zh-CN"/>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2018-11-28T09:27:00Z</dcterms:created>
  <dc:creator>Administrator</dc:creator>
  <cp:lastModifiedBy>Administrator</cp:lastModifiedBy>
  <dcterms:modified xsi:type="dcterms:W3CDTF">2018-11-28T09:27:50Z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