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cs="Arial"/>
          <w:kern w:val="2"/>
          <w:sz w:val="36"/>
          <w:szCs w:val="36"/>
        </w:rPr>
      </w:pPr>
      <w:r>
        <w:rPr>
          <w:rFonts w:hint="eastAsia" w:cs="Arial"/>
          <w:kern w:val="2"/>
          <w:sz w:val="44"/>
          <w:szCs w:val="44"/>
        </w:rPr>
        <w:t>用户需求</w:t>
      </w:r>
    </w:p>
    <w:p>
      <w:pPr>
        <w:numPr>
          <w:ilvl w:val="0"/>
          <w:numId w:val="1"/>
        </w:numPr>
        <w:rPr>
          <w:rFonts w:hint="eastAsia" w:cs="Times New Roman"/>
          <w:b/>
          <w:bCs/>
          <w:kern w:val="2"/>
          <w:sz w:val="24"/>
          <w:szCs w:val="24"/>
          <w:lang w:val="en-US" w:eastAsia="zh-CN" w:bidi="ar-SA"/>
        </w:rPr>
      </w:pPr>
      <w:r>
        <w:rPr>
          <w:rFonts w:hint="eastAsia" w:cs="Times New Roman"/>
          <w:b/>
          <w:bCs/>
          <w:kern w:val="2"/>
          <w:sz w:val="24"/>
          <w:szCs w:val="24"/>
          <w:lang w:val="en-US" w:eastAsia="zh-CN" w:bidi="ar-SA"/>
        </w:rPr>
        <w:t>货物规格和配置技术参数</w:t>
      </w:r>
    </w:p>
    <w:p>
      <w:pPr>
        <w:numPr>
          <w:ilvl w:val="0"/>
          <w:numId w:val="0"/>
        </w:numPr>
        <w:rPr>
          <w:rFonts w:hint="eastAsia" w:cs="Times New Roman"/>
          <w:b/>
          <w:bCs/>
          <w:kern w:val="2"/>
          <w:sz w:val="24"/>
          <w:szCs w:val="24"/>
          <w:lang w:val="en-US" w:eastAsia="zh-CN" w:bidi="ar-SA"/>
        </w:rPr>
      </w:pPr>
    </w:p>
    <w:p>
      <w:pPr>
        <w:numPr>
          <w:ilvl w:val="0"/>
          <w:numId w:val="0"/>
        </w:numPr>
        <w:rPr>
          <w:rFonts w:hint="eastAsia" w:cs="Times New Roman"/>
          <w:b/>
          <w:bCs/>
          <w:kern w:val="2"/>
          <w:sz w:val="24"/>
          <w:szCs w:val="24"/>
          <w:lang w:val="en-US" w:eastAsia="zh-CN" w:bidi="ar-SA"/>
        </w:rPr>
      </w:pPr>
    </w:p>
    <w:tbl>
      <w:tblPr>
        <w:tblStyle w:val="6"/>
        <w:tblpPr w:leftFromText="180" w:rightFromText="180" w:vertAnchor="text" w:horzAnchor="page" w:tblpX="717" w:tblpY="574"/>
        <w:tblOverlap w:val="never"/>
        <w:tblW w:w="10417" w:type="dxa"/>
        <w:tblInd w:w="0" w:type="dxa"/>
        <w:tblLayout w:type="fixed"/>
        <w:tblCellMar>
          <w:top w:w="15" w:type="dxa"/>
          <w:left w:w="15" w:type="dxa"/>
          <w:bottom w:w="15" w:type="dxa"/>
          <w:right w:w="15" w:type="dxa"/>
        </w:tblCellMar>
      </w:tblPr>
      <w:tblGrid>
        <w:gridCol w:w="1065"/>
        <w:gridCol w:w="2227"/>
        <w:gridCol w:w="4680"/>
        <w:gridCol w:w="1110"/>
        <w:gridCol w:w="1335"/>
      </w:tblGrid>
      <w:tr>
        <w:tblPrEx>
          <w:tblLayout w:type="fixed"/>
          <w:tblCellMar>
            <w:top w:w="15" w:type="dxa"/>
            <w:left w:w="15" w:type="dxa"/>
            <w:bottom w:w="15" w:type="dxa"/>
            <w:right w:w="15" w:type="dxa"/>
          </w:tblCellMar>
        </w:tblPrEx>
        <w:trPr>
          <w:trHeight w:val="632"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采购品目名称</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规格和配置技术参数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数量</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单位</w:t>
            </w:r>
          </w:p>
        </w:tc>
      </w:tr>
      <w:tr>
        <w:tblPrEx>
          <w:tblLayout w:type="fixed"/>
          <w:tblCellMar>
            <w:top w:w="15" w:type="dxa"/>
            <w:left w:w="15" w:type="dxa"/>
            <w:bottom w:w="15" w:type="dxa"/>
            <w:right w:w="15" w:type="dxa"/>
          </w:tblCellMar>
        </w:tblPrEx>
        <w:trPr>
          <w:trHeight w:val="2804"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1</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color w:val="000000"/>
                <w:sz w:val="22"/>
                <w:szCs w:val="22"/>
                <w:lang w:eastAsia="zh-CN"/>
              </w:rPr>
            </w:pPr>
            <w:r>
              <w:rPr>
                <w:rFonts w:hint="eastAsia" w:ascii="宋体" w:hAnsi="宋体" w:cs="宋体"/>
                <w:b w:val="0"/>
                <w:bCs/>
                <w:color w:val="000000"/>
                <w:sz w:val="22"/>
                <w:szCs w:val="22"/>
                <w:lang w:eastAsia="zh-CN"/>
              </w:rPr>
              <w:t>警报遥控终端控制器</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color w:val="000000"/>
                <w:sz w:val="22"/>
                <w:szCs w:val="22"/>
                <w:lang w:val="en-US" w:eastAsia="zh-CN"/>
              </w:rPr>
            </w:pPr>
            <w:r>
              <w:rPr>
                <w:rFonts w:hint="eastAsia" w:ascii="宋体" w:hAnsi="宋体" w:cs="宋体"/>
                <w:b w:val="0"/>
                <w:bCs/>
                <w:color w:val="000000"/>
                <w:sz w:val="22"/>
                <w:szCs w:val="22"/>
                <w:lang w:eastAsia="zh-CN"/>
              </w:rPr>
              <w:t>每套包括无线电台、无线微处理机及接口单元、控制机箱、控制软件和天馈线等。人防专用</w:t>
            </w:r>
            <w:r>
              <w:rPr>
                <w:rFonts w:hint="eastAsia" w:ascii="宋体" w:hAnsi="宋体" w:cs="宋体"/>
                <w:b w:val="0"/>
                <w:bCs/>
                <w:color w:val="000000"/>
                <w:sz w:val="22"/>
                <w:szCs w:val="22"/>
                <w:lang w:val="en-US" w:eastAsia="zh-CN"/>
              </w:rPr>
              <w:t>UHF频段、电台功率达到25W以上、交直流供电方式、能实现通信和数据传输功能，具备遥控关闭和开启警报控制器，接口满足国家人防办相关规定要求等。</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套</w:t>
            </w:r>
          </w:p>
        </w:tc>
      </w:tr>
      <w:tr>
        <w:tblPrEx>
          <w:tblLayout w:type="fixed"/>
          <w:tblCellMar>
            <w:top w:w="15" w:type="dxa"/>
            <w:left w:w="15" w:type="dxa"/>
            <w:bottom w:w="15" w:type="dxa"/>
            <w:right w:w="15" w:type="dxa"/>
          </w:tblCellMar>
        </w:tblPrEx>
        <w:trPr>
          <w:trHeight w:val="249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bidi="ar"/>
              </w:rPr>
              <w:t>2</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电声警报控制器</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eastAsia="zh-CN"/>
              </w:rPr>
              <w:t>每套包括</w:t>
            </w:r>
            <w:r>
              <w:rPr>
                <w:rFonts w:hint="eastAsia" w:ascii="宋体" w:hAnsi="宋体" w:cs="宋体"/>
                <w:color w:val="000000"/>
                <w:sz w:val="22"/>
                <w:szCs w:val="22"/>
                <w:lang w:val="en-US" w:eastAsia="zh-CN"/>
              </w:rPr>
              <w:t>2000W警报器主机、室外组合扬声器四只、连接电缆和热镀锌角铁等。输出功率2000W主机、交直流供电方式、镀锌角铁和室外组合扬声器四只等，能实现二次警报功能，具备遥控关闭和开启警报控制器，满足国家人防办相关规定要求等。</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套</w:t>
            </w:r>
          </w:p>
        </w:tc>
      </w:tr>
      <w:tr>
        <w:tblPrEx>
          <w:tblLayout w:type="fixed"/>
          <w:tblCellMar>
            <w:top w:w="15" w:type="dxa"/>
            <w:left w:w="15" w:type="dxa"/>
            <w:bottom w:w="15" w:type="dxa"/>
            <w:right w:w="15" w:type="dxa"/>
          </w:tblCellMar>
        </w:tblPrEx>
        <w:trPr>
          <w:trHeight w:val="56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val="en-US" w:eastAsia="zh-CN" w:bidi="ar"/>
              </w:rPr>
              <w:t>3</w:t>
            </w:r>
            <w:r>
              <w:rPr>
                <w:rFonts w:hint="eastAsia" w:ascii="宋体" w:hAnsi="宋体" w:cs="宋体"/>
                <w:color w:val="000000"/>
                <w:kern w:val="0"/>
                <w:sz w:val="22"/>
                <w:szCs w:val="22"/>
                <w:lang w:bidi="ar"/>
              </w:rPr>
              <w:t xml:space="preserve"> </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设备安装服务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设备安装须牢固、线缆布局合理规范、铺设套管整齐美观、做好防水等事项。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套</w:t>
            </w:r>
          </w:p>
        </w:tc>
      </w:tr>
    </w:tbl>
    <w:p>
      <w:pPr>
        <w:spacing w:line="480" w:lineRule="auto"/>
        <w:jc w:val="left"/>
        <w:rPr>
          <w:rFonts w:hint="eastAsia" w:cs="Times New Roman"/>
          <w:b/>
          <w:bCs/>
          <w:kern w:val="2"/>
          <w:sz w:val="24"/>
          <w:szCs w:val="24"/>
          <w:lang w:val="en-US" w:eastAsia="zh-CN" w:bidi="ar-SA"/>
        </w:rPr>
      </w:pPr>
    </w:p>
    <w:p>
      <w:pPr>
        <w:spacing w:line="480" w:lineRule="auto"/>
        <w:jc w:val="left"/>
        <w:rPr>
          <w:rFonts w:hint="eastAsia" w:cs="Times New Roman"/>
          <w:b/>
          <w:bCs/>
          <w:kern w:val="2"/>
          <w:sz w:val="24"/>
          <w:szCs w:val="24"/>
          <w:lang w:val="en-US" w:eastAsia="zh-CN" w:bidi="ar-SA"/>
        </w:rPr>
      </w:pPr>
      <w:bookmarkStart w:id="0" w:name="_GoBack"/>
      <w:bookmarkEnd w:id="0"/>
    </w:p>
    <w:p>
      <w:pPr>
        <w:spacing w:line="480" w:lineRule="auto"/>
        <w:jc w:val="left"/>
        <w:rPr>
          <w:rFonts w:hint="eastAsia" w:cs="Times New Roman"/>
          <w:b/>
          <w:bCs/>
          <w:kern w:val="2"/>
          <w:sz w:val="24"/>
          <w:szCs w:val="24"/>
          <w:lang w:val="en-US" w:eastAsia="zh-CN" w:bidi="ar-SA"/>
        </w:rPr>
      </w:pPr>
      <w:r>
        <w:rPr>
          <w:rFonts w:hint="eastAsia" w:cs="Times New Roman"/>
          <w:b/>
          <w:bCs/>
          <w:kern w:val="2"/>
          <w:sz w:val="24"/>
          <w:szCs w:val="24"/>
          <w:lang w:val="en-US" w:eastAsia="zh-CN" w:bidi="ar-SA"/>
        </w:rPr>
        <w:t>二、交货事项</w:t>
      </w:r>
    </w:p>
    <w:p>
      <w:pPr>
        <w:numPr>
          <w:ilvl w:val="0"/>
          <w:numId w:val="2"/>
        </w:numPr>
        <w:spacing w:line="480" w:lineRule="auto"/>
        <w:jc w:val="left"/>
        <w:rPr>
          <w:rFonts w:hint="eastAsia" w:cs="Times New Roman"/>
          <w:b w:val="0"/>
          <w:bCs w:val="0"/>
          <w:kern w:val="2"/>
          <w:sz w:val="24"/>
          <w:szCs w:val="24"/>
          <w:lang w:val="en-US" w:eastAsia="zh-CN" w:bidi="ar-SA"/>
        </w:rPr>
      </w:pPr>
      <w:r>
        <w:rPr>
          <w:rFonts w:hint="eastAsia" w:cs="Times New Roman"/>
          <w:b w:val="0"/>
          <w:bCs w:val="0"/>
          <w:kern w:val="2"/>
          <w:sz w:val="24"/>
          <w:szCs w:val="24"/>
          <w:lang w:val="en-US" w:eastAsia="zh-CN" w:bidi="ar-SA"/>
        </w:rPr>
        <w:t>交货期限:签订合同后15天交货。</w:t>
      </w:r>
    </w:p>
    <w:p>
      <w:pPr>
        <w:numPr>
          <w:ilvl w:val="0"/>
          <w:numId w:val="2"/>
        </w:numPr>
        <w:spacing w:line="480" w:lineRule="auto"/>
        <w:jc w:val="left"/>
        <w:rPr>
          <w:rFonts w:hint="eastAsia" w:cs="Times New Roman"/>
          <w:b w:val="0"/>
          <w:bCs w:val="0"/>
          <w:kern w:val="2"/>
          <w:sz w:val="24"/>
          <w:szCs w:val="24"/>
          <w:lang w:val="en-US" w:eastAsia="zh-CN" w:bidi="ar-SA"/>
        </w:rPr>
      </w:pPr>
      <w:r>
        <w:rPr>
          <w:rFonts w:hint="eastAsia" w:cs="Times New Roman"/>
          <w:b w:val="0"/>
          <w:bCs w:val="0"/>
          <w:kern w:val="2"/>
          <w:sz w:val="24"/>
          <w:szCs w:val="24"/>
          <w:lang w:val="en-US" w:eastAsia="zh-CN" w:bidi="ar-SA"/>
        </w:rPr>
        <w:t>交货地点:采购人指定地点。</w:t>
      </w:r>
    </w:p>
    <w:p>
      <w:pPr>
        <w:numPr>
          <w:ilvl w:val="0"/>
          <w:numId w:val="2"/>
        </w:numPr>
        <w:tabs>
          <w:tab w:val="left" w:pos="1371"/>
        </w:tabs>
        <w:spacing w:line="480" w:lineRule="auto"/>
        <w:jc w:val="left"/>
        <w:rPr>
          <w:rFonts w:hint="eastAsia" w:cs="Times New Roman"/>
          <w:b w:val="0"/>
          <w:bCs w:val="0"/>
          <w:kern w:val="2"/>
          <w:sz w:val="24"/>
          <w:szCs w:val="24"/>
          <w:lang w:val="en-US" w:eastAsia="zh-CN" w:bidi="ar-SA"/>
        </w:rPr>
      </w:pPr>
      <w:r>
        <w:rPr>
          <w:rFonts w:hint="eastAsia" w:cs="Times New Roman"/>
          <w:b w:val="0"/>
          <w:bCs w:val="0"/>
          <w:kern w:val="2"/>
          <w:sz w:val="24"/>
          <w:szCs w:val="24"/>
          <w:lang w:val="en-US" w:eastAsia="zh-CN" w:bidi="ar-SA"/>
        </w:rPr>
        <w:t>交货时必须向采购人提供有关设备的安装、调试、使用、维修和保养所需的中文技术文件（图纸、手册、说明书等）。</w:t>
      </w:r>
    </w:p>
    <w:p>
      <w:pPr>
        <w:numPr>
          <w:ilvl w:val="0"/>
          <w:numId w:val="0"/>
        </w:numPr>
        <w:spacing w:line="480" w:lineRule="auto"/>
        <w:jc w:val="left"/>
        <w:rPr>
          <w:rFonts w:hint="eastAsia" w:cs="Times New Roman"/>
          <w:b/>
          <w:bCs/>
          <w:kern w:val="2"/>
          <w:sz w:val="24"/>
          <w:szCs w:val="24"/>
          <w:lang w:val="en-US" w:eastAsia="zh-CN" w:bidi="ar-SA"/>
        </w:rPr>
      </w:pPr>
      <w:r>
        <w:rPr>
          <w:rFonts w:hint="eastAsia" w:cs="Times New Roman"/>
          <w:b/>
          <w:bCs/>
          <w:kern w:val="2"/>
          <w:sz w:val="24"/>
          <w:szCs w:val="24"/>
          <w:lang w:val="en-US" w:eastAsia="zh-CN" w:bidi="ar-SA"/>
        </w:rPr>
        <w:t>三、安装、调试与验收</w:t>
      </w:r>
    </w:p>
    <w:p>
      <w:pPr>
        <w:numPr>
          <w:ilvl w:val="0"/>
          <w:numId w:val="0"/>
        </w:numPr>
        <w:spacing w:line="480" w:lineRule="auto"/>
        <w:jc w:val="left"/>
        <w:rPr>
          <w:rFonts w:hint="eastAsia" w:cs="Times New Roman"/>
          <w:b w:val="0"/>
          <w:bCs w:val="0"/>
          <w:kern w:val="2"/>
          <w:sz w:val="24"/>
          <w:szCs w:val="24"/>
          <w:lang w:val="en-US" w:eastAsia="zh-CN" w:bidi="ar-SA"/>
        </w:rPr>
      </w:pPr>
      <w:r>
        <w:rPr>
          <w:rFonts w:hint="eastAsia" w:cs="Times New Roman"/>
          <w:b w:val="0"/>
          <w:bCs w:val="0"/>
          <w:kern w:val="2"/>
          <w:sz w:val="24"/>
          <w:szCs w:val="24"/>
          <w:lang w:val="en-US" w:eastAsia="zh-CN" w:bidi="ar-SA"/>
        </w:rPr>
        <w:t>1、安装调试：有供应商负责在买方现场进行整机安装、调试及试运行。</w:t>
      </w:r>
    </w:p>
    <w:p>
      <w:pPr>
        <w:numPr>
          <w:ilvl w:val="0"/>
          <w:numId w:val="0"/>
        </w:numPr>
        <w:spacing w:line="480" w:lineRule="auto"/>
        <w:jc w:val="left"/>
        <w:rPr>
          <w:rFonts w:hint="eastAsia" w:cs="Times New Roman"/>
          <w:b w:val="0"/>
          <w:bCs w:val="0"/>
          <w:kern w:val="2"/>
          <w:sz w:val="24"/>
          <w:szCs w:val="24"/>
          <w:lang w:val="en-US" w:eastAsia="zh-CN" w:bidi="ar-SA"/>
        </w:rPr>
      </w:pPr>
      <w:r>
        <w:rPr>
          <w:rFonts w:hint="eastAsia" w:cs="Times New Roman"/>
          <w:b w:val="0"/>
          <w:bCs w:val="0"/>
          <w:kern w:val="2"/>
          <w:sz w:val="24"/>
          <w:szCs w:val="24"/>
          <w:lang w:val="en-US" w:eastAsia="zh-CN" w:bidi="ar-SA"/>
        </w:rPr>
        <w:t>2、验收：根据招标文件要求有关规定标准由采购方进行验收。</w:t>
      </w:r>
    </w:p>
    <w:p>
      <w:pPr>
        <w:numPr>
          <w:ilvl w:val="0"/>
          <w:numId w:val="0"/>
        </w:numPr>
        <w:spacing w:line="480" w:lineRule="auto"/>
        <w:jc w:val="left"/>
        <w:rPr>
          <w:rFonts w:hint="eastAsia" w:cs="Times New Roman"/>
          <w:b/>
          <w:bCs/>
          <w:kern w:val="2"/>
          <w:sz w:val="24"/>
          <w:szCs w:val="24"/>
          <w:lang w:val="en-US" w:eastAsia="zh-CN" w:bidi="ar-SA"/>
        </w:rPr>
      </w:pPr>
      <w:r>
        <w:rPr>
          <w:rFonts w:hint="eastAsia" w:cs="Times New Roman"/>
          <w:b/>
          <w:bCs/>
          <w:kern w:val="2"/>
          <w:sz w:val="24"/>
          <w:szCs w:val="24"/>
          <w:lang w:val="en-US" w:eastAsia="zh-CN" w:bidi="ar-SA"/>
        </w:rPr>
        <w:t>四、售后服务和质量保证</w:t>
      </w:r>
    </w:p>
    <w:p>
      <w:pPr>
        <w:numPr>
          <w:ilvl w:val="0"/>
          <w:numId w:val="0"/>
        </w:numPr>
        <w:spacing w:line="480" w:lineRule="auto"/>
        <w:jc w:val="left"/>
        <w:rPr>
          <w:rFonts w:hint="eastAsia" w:cs="Times New Roman"/>
          <w:b w:val="0"/>
          <w:bCs w:val="0"/>
          <w:kern w:val="2"/>
          <w:sz w:val="24"/>
          <w:szCs w:val="24"/>
          <w:lang w:val="en-US" w:eastAsia="zh-CN" w:bidi="ar-SA"/>
        </w:rPr>
      </w:pPr>
      <w:r>
        <w:rPr>
          <w:rFonts w:hint="eastAsia" w:cs="Times New Roman"/>
          <w:b w:val="0"/>
          <w:bCs w:val="0"/>
          <w:kern w:val="2"/>
          <w:sz w:val="24"/>
          <w:szCs w:val="24"/>
          <w:lang w:val="en-US" w:eastAsia="zh-CN" w:bidi="ar-SA"/>
        </w:rPr>
        <w:t>1、交货时提供产品质量合格保证书。</w:t>
      </w:r>
    </w:p>
    <w:p>
      <w:pPr>
        <w:numPr>
          <w:ilvl w:val="0"/>
          <w:numId w:val="0"/>
        </w:numPr>
        <w:spacing w:line="480" w:lineRule="auto"/>
        <w:jc w:val="left"/>
        <w:rPr>
          <w:rFonts w:hint="eastAsia" w:ascii="Times New Roman" w:hAnsi="Times New Roman" w:eastAsia="宋体" w:cs="Times New Roman"/>
          <w:b/>
          <w:bCs/>
          <w:kern w:val="2"/>
          <w:sz w:val="24"/>
          <w:szCs w:val="24"/>
          <w:lang w:val="en-US" w:eastAsia="zh-CN" w:bidi="ar-SA"/>
        </w:rPr>
      </w:pPr>
      <w:r>
        <w:rPr>
          <w:rFonts w:hint="eastAsia" w:cs="Times New Roman"/>
          <w:b w:val="0"/>
          <w:bCs w:val="0"/>
          <w:kern w:val="2"/>
          <w:sz w:val="24"/>
          <w:szCs w:val="24"/>
          <w:lang w:val="en-US" w:eastAsia="zh-CN" w:bidi="ar-SA"/>
        </w:rPr>
        <w:t>2、供应商应对所投货物提供</w:t>
      </w:r>
      <w:r>
        <w:rPr>
          <w:rFonts w:hint="eastAsia" w:cs="Times New Roman"/>
          <w:b w:val="0"/>
          <w:bCs w:val="0"/>
          <w:kern w:val="2"/>
          <w:sz w:val="24"/>
          <w:szCs w:val="24"/>
          <w:u w:val="single"/>
          <w:lang w:val="en-US" w:eastAsia="zh-CN" w:bidi="ar-SA"/>
        </w:rPr>
        <w:t>3个月</w:t>
      </w:r>
      <w:r>
        <w:rPr>
          <w:rFonts w:hint="eastAsia" w:cs="Times New Roman"/>
          <w:b w:val="0"/>
          <w:bCs w:val="0"/>
          <w:kern w:val="2"/>
          <w:sz w:val="24"/>
          <w:szCs w:val="24"/>
          <w:lang w:val="en-US" w:eastAsia="zh-CN" w:bidi="ar-SA"/>
        </w:rPr>
        <w:t>的包换期，</w:t>
      </w:r>
      <w:r>
        <w:rPr>
          <w:rFonts w:hint="eastAsia" w:cs="Times New Roman"/>
          <w:b w:val="0"/>
          <w:bCs w:val="0"/>
          <w:kern w:val="2"/>
          <w:sz w:val="24"/>
          <w:szCs w:val="24"/>
          <w:u w:val="single"/>
          <w:lang w:val="en-US" w:eastAsia="zh-CN" w:bidi="ar-SA"/>
        </w:rPr>
        <w:t>1</w:t>
      </w:r>
      <w:r>
        <w:rPr>
          <w:rFonts w:hint="eastAsia" w:cs="Times New Roman"/>
          <w:b w:val="0"/>
          <w:bCs w:val="0"/>
          <w:kern w:val="2"/>
          <w:sz w:val="24"/>
          <w:szCs w:val="24"/>
          <w:lang w:val="en-US" w:eastAsia="zh-CN" w:bidi="ar-SA"/>
        </w:rPr>
        <w:t>年（验收合格之日起计）免费维修服务和终身维修、保养服务。</w:t>
      </w:r>
    </w:p>
    <w:p>
      <w:pPr>
        <w:spacing w:line="480" w:lineRule="auto"/>
        <w:rPr>
          <w:rFonts w:hint="eastAsia"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3、 供应商应开通</w:t>
      </w:r>
      <w:r>
        <w:rPr>
          <w:rFonts w:hint="eastAsia" w:ascii="Times New Roman" w:hAnsi="Times New Roman" w:eastAsia="宋体" w:cs="Times New Roman"/>
          <w:b w:val="0"/>
          <w:bCs w:val="0"/>
          <w:kern w:val="2"/>
          <w:sz w:val="24"/>
          <w:szCs w:val="24"/>
          <w:u w:val="single"/>
          <w:lang w:val="en-US" w:eastAsia="zh-CN" w:bidi="ar-SA"/>
        </w:rPr>
        <w:t>24</w:t>
      </w:r>
      <w:r>
        <w:rPr>
          <w:rFonts w:hint="eastAsia" w:ascii="Times New Roman" w:hAnsi="Times New Roman" w:eastAsia="宋体" w:cs="Times New Roman"/>
          <w:b w:val="0"/>
          <w:bCs w:val="0"/>
          <w:kern w:val="2"/>
          <w:sz w:val="24"/>
          <w:szCs w:val="24"/>
          <w:lang w:val="en-US" w:eastAsia="zh-CN" w:bidi="ar-SA"/>
        </w:rPr>
        <w:t>小时服务热线。 保证在接到故障电话后响应时间小于</w:t>
      </w:r>
      <w:r>
        <w:rPr>
          <w:rFonts w:hint="eastAsia" w:ascii="Times New Roman" w:hAnsi="Times New Roman" w:eastAsia="宋体" w:cs="Times New Roman"/>
          <w:b w:val="0"/>
          <w:bCs w:val="0"/>
          <w:kern w:val="2"/>
          <w:sz w:val="24"/>
          <w:szCs w:val="24"/>
          <w:u w:val="single"/>
          <w:lang w:val="en-US" w:eastAsia="zh-CN" w:bidi="ar-SA"/>
        </w:rPr>
        <w:t>2</w:t>
      </w:r>
      <w:r>
        <w:rPr>
          <w:rFonts w:hint="eastAsia" w:ascii="Times New Roman" w:hAnsi="Times New Roman" w:eastAsia="宋体" w:cs="Times New Roman"/>
          <w:b w:val="0"/>
          <w:bCs w:val="0"/>
          <w:kern w:val="2"/>
          <w:sz w:val="24"/>
          <w:szCs w:val="24"/>
          <w:lang w:val="en-US" w:eastAsia="zh-CN" w:bidi="ar-SA"/>
        </w:rPr>
        <w:t>小时,如需现场解决,保证</w:t>
      </w:r>
      <w:r>
        <w:rPr>
          <w:rFonts w:hint="eastAsia" w:ascii="Times New Roman" w:hAnsi="Times New Roman" w:eastAsia="宋体" w:cs="Times New Roman"/>
          <w:b w:val="0"/>
          <w:bCs w:val="0"/>
          <w:kern w:val="2"/>
          <w:sz w:val="24"/>
          <w:szCs w:val="24"/>
          <w:u w:val="single"/>
          <w:lang w:val="en-US" w:eastAsia="zh-CN" w:bidi="ar-SA"/>
        </w:rPr>
        <w:t>12</w:t>
      </w:r>
      <w:r>
        <w:rPr>
          <w:rFonts w:hint="eastAsia" w:ascii="Times New Roman" w:hAnsi="Times New Roman" w:eastAsia="宋体" w:cs="Times New Roman"/>
          <w:b w:val="0"/>
          <w:bCs w:val="0"/>
          <w:kern w:val="2"/>
          <w:sz w:val="24"/>
          <w:szCs w:val="24"/>
          <w:lang w:val="en-US" w:eastAsia="zh-CN" w:bidi="ar-SA"/>
        </w:rPr>
        <w:t>小时内派出技术服务人员赶到现场。</w:t>
      </w:r>
    </w:p>
    <w:p>
      <w:pPr>
        <w:spacing w:line="480" w:lineRule="auto"/>
        <w:rPr>
          <w:rFonts w:hint="eastAsia"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4、产品或主要部件在质保期内发生二次故障而无法排除并影响用户使用时,供应</w:t>
      </w:r>
    </w:p>
    <w:p>
      <w:pPr>
        <w:spacing w:line="480" w:lineRule="auto"/>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商承诺免费更换产品。</w:t>
      </w:r>
    </w:p>
    <w:p>
      <w:pPr>
        <w:keepNext w:val="0"/>
        <w:keepLines w:val="0"/>
        <w:widowControl/>
        <w:suppressLineNumbers w:val="0"/>
        <w:spacing w:line="480" w:lineRule="auto"/>
        <w:jc w:val="left"/>
        <w:rPr>
          <w:rFonts w:ascii="宋体" w:hAnsi="宋体" w:eastAsia="宋体" w:cs="宋体"/>
          <w:kern w:val="0"/>
          <w:sz w:val="24"/>
          <w:szCs w:val="24"/>
          <w:lang w:val="en-US" w:eastAsia="zh-CN" w:bidi="ar"/>
        </w:rPr>
      </w:pPr>
      <w:r>
        <w:rPr>
          <w:rFonts w:hint="eastAsia" w:ascii="宋体" w:hAnsi="宋体" w:cs="宋体"/>
          <w:b/>
          <w:bCs/>
          <w:kern w:val="0"/>
          <w:sz w:val="24"/>
          <w:szCs w:val="24"/>
          <w:lang w:val="en-US" w:eastAsia="zh-CN" w:bidi="ar"/>
        </w:rPr>
        <w:t>五、</w:t>
      </w:r>
      <w:r>
        <w:rPr>
          <w:rFonts w:ascii="宋体" w:hAnsi="宋体" w:eastAsia="宋体" w:cs="宋体"/>
          <w:b/>
          <w:bCs/>
          <w:kern w:val="0"/>
          <w:sz w:val="24"/>
          <w:szCs w:val="24"/>
          <w:lang w:val="en-US" w:eastAsia="zh-CN" w:bidi="ar"/>
        </w:rPr>
        <w:t>伴随服务</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1、</w:t>
      </w:r>
      <w:r>
        <w:rPr>
          <w:rFonts w:ascii="宋体" w:hAnsi="宋体" w:eastAsia="宋体" w:cs="宋体"/>
          <w:kern w:val="0"/>
          <w:sz w:val="24"/>
          <w:szCs w:val="24"/>
          <w:lang w:val="en-US" w:eastAsia="zh-CN" w:bidi="ar"/>
        </w:rPr>
        <w:t>免费提供现场培训及相关技术咨询,培训内容应包括技术原理,操作,日常基本维护与保养,使参加培训的人员能独立使用,同时能独立处理常见性故障</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定期到用户单位回访,及时向用户了解设备使用情况,协助用户进行设备日常维护与保养</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hint="eastAsia" w:ascii="宋体" w:hAnsi="宋体" w:cs="宋体"/>
          <w:b/>
          <w:bCs/>
          <w:kern w:val="0"/>
          <w:sz w:val="24"/>
          <w:szCs w:val="24"/>
          <w:lang w:val="en-US" w:eastAsia="zh-CN" w:bidi="ar"/>
        </w:rPr>
        <w:t>六、</w:t>
      </w:r>
      <w:r>
        <w:rPr>
          <w:rFonts w:ascii="宋体" w:hAnsi="宋体" w:eastAsia="宋体" w:cs="宋体"/>
          <w:b/>
          <w:bCs/>
          <w:kern w:val="0"/>
          <w:sz w:val="24"/>
          <w:szCs w:val="24"/>
          <w:lang w:val="en-US" w:eastAsia="zh-CN" w:bidi="ar"/>
        </w:rPr>
        <w:t>综合说明</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1、</w:t>
      </w:r>
      <w:r>
        <w:rPr>
          <w:rFonts w:ascii="宋体" w:hAnsi="宋体" w:eastAsia="宋体" w:cs="宋体"/>
          <w:kern w:val="0"/>
          <w:sz w:val="24"/>
          <w:szCs w:val="24"/>
          <w:lang w:val="en-US" w:eastAsia="zh-CN" w:bidi="ar"/>
        </w:rPr>
        <w:t>招标文件对货物品牌和型号的要求仅作为参考指标,投标人所投产品应能够至少达到招标文件的要求,同时必须明确所投产品的品牌,型号,规格和外形,尺寸、安装尺寸、重量及一些必须说明的技术参数,并提供详细的技术参数、性能说明书、产品图片等资料</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提供相同品牌产品且通过资格审查</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符合性审查的不同投标人参加同一合同项下投标的,按一家投标人计算</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评审后得分最高的同品牌投标人获得中标人推荐资格</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评审得分相同的</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投标报价最低的同品牌投标人获得中标人推荐资格</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其他同品牌投标人不作为中标候选人。多家公司提供的核心产品品牌相同的</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按本条款规定处理。</w:t>
      </w:r>
    </w:p>
    <w:p>
      <w:pPr>
        <w:keepNext w:val="0"/>
        <w:keepLines w:val="0"/>
        <w:widowControl/>
        <w:suppressLineNumbers w:val="0"/>
        <w:spacing w:line="480" w:lineRule="auto"/>
        <w:jc w:val="left"/>
      </w:pPr>
      <w:r>
        <w:rPr>
          <w:rFonts w:ascii="宋体" w:hAnsi="宋体" w:eastAsia="宋体" w:cs="宋体"/>
          <w:kern w:val="0"/>
          <w:sz w:val="24"/>
          <w:szCs w:val="24"/>
          <w:lang w:val="en-US" w:eastAsia="zh-CN" w:bidi="ar"/>
        </w:rPr>
        <w:t>3</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本项目不允许进口产品参加投标。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4、投标报价是包括全部货物、运输、辅助材料、安装、调试、国家有关部检测、强制性认证等费用,以及人工、机械、运输、仓储、保险、运费、各种税费、劳保、专利技术及质保期间一切费用的总报价。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5、投标人必须响应招标文件中提出的全部技术规格与要求。如果对其中某些条款不响应时,应在投标文件中逐条列出。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所有设备和附(配)件应符合其规定的性能,无瑕疵和缺陷,质量为合格产品,同时有明确的生产制造厂商。交货时必须原包装现场拆封验收。供应商对质量问题负责包退、包换和包修,因此发生的费用由供应商负责。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凡涉及招标文件的补充说明和修改,均以采购代理机构在</w:t>
      </w:r>
      <w:r>
        <w:rPr>
          <w:rFonts w:hint="eastAsia" w:ascii="宋体" w:hAnsi="宋体" w:eastAsia="宋体" w:cs="宋体"/>
          <w:kern w:val="0"/>
          <w:sz w:val="24"/>
          <w:szCs w:val="24"/>
          <w:lang w:val="en-US" w:eastAsia="zh-CN" w:bidi="ar"/>
        </w:rPr>
        <w:t>全国公共资源交易平台（海南省）•三亚市</w:t>
      </w:r>
      <w:r>
        <w:rPr>
          <w:rFonts w:ascii="宋体" w:hAnsi="宋体" w:eastAsia="宋体" w:cs="宋体"/>
          <w:kern w:val="0"/>
          <w:sz w:val="24"/>
          <w:szCs w:val="24"/>
          <w:lang w:val="en-US" w:eastAsia="zh-CN" w:bidi="ar"/>
        </w:rPr>
        <w:t>和中国海南政府采购网上发布的公告为准。</w:t>
      </w:r>
    </w:p>
    <w:p>
      <w:pPr>
        <w:rPr>
          <w:rFonts w:hint="eastAsia" w:ascii="Times New Roman" w:hAnsi="Times New Roman" w:eastAsia="宋体" w:cs="Times New Roman"/>
          <w:b/>
          <w:bCs/>
          <w:kern w:val="2"/>
          <w:sz w:val="24"/>
          <w:szCs w:val="24"/>
          <w:lang w:val="en-US" w:eastAsia="zh-CN" w:bidi="ar-SA"/>
        </w:rPr>
      </w:pPr>
    </w:p>
    <w:p>
      <w:pPr>
        <w:rPr>
          <w:rFonts w:hint="eastAsia" w:ascii="Times New Roman" w:hAnsi="Times New Roman" w:eastAsia="宋体" w:cs="Times New Roman"/>
          <w:b/>
          <w:bCs/>
          <w:kern w:val="2"/>
          <w:sz w:val="24"/>
          <w:szCs w:val="24"/>
          <w:lang w:val="en-US" w:eastAsia="zh-CN" w:bidi="ar-SA"/>
        </w:rPr>
      </w:pPr>
    </w:p>
    <w:p>
      <w:pPr>
        <w:jc w:val="righ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C547"/>
    <w:multiLevelType w:val="singleLevel"/>
    <w:tmpl w:val="2D62C547"/>
    <w:lvl w:ilvl="0" w:tentative="0">
      <w:start w:val="1"/>
      <w:numFmt w:val="chineseCounting"/>
      <w:suff w:val="nothing"/>
      <w:lvlText w:val="%1、"/>
      <w:lvlJc w:val="left"/>
      <w:rPr>
        <w:rFonts w:hint="eastAsia"/>
      </w:rPr>
    </w:lvl>
  </w:abstractNum>
  <w:abstractNum w:abstractNumId="1">
    <w:nsid w:val="674EFBE9"/>
    <w:multiLevelType w:val="singleLevel"/>
    <w:tmpl w:val="674EFBE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C7F46"/>
    <w:rsid w:val="00000816"/>
    <w:rsid w:val="00166A52"/>
    <w:rsid w:val="00527439"/>
    <w:rsid w:val="005D3E35"/>
    <w:rsid w:val="005F1D14"/>
    <w:rsid w:val="00602742"/>
    <w:rsid w:val="006249A2"/>
    <w:rsid w:val="00744FBF"/>
    <w:rsid w:val="007F5736"/>
    <w:rsid w:val="00820CF2"/>
    <w:rsid w:val="00897421"/>
    <w:rsid w:val="009A7EE1"/>
    <w:rsid w:val="00AE41DB"/>
    <w:rsid w:val="00B12E61"/>
    <w:rsid w:val="00B32571"/>
    <w:rsid w:val="00B34326"/>
    <w:rsid w:val="00DB51D9"/>
    <w:rsid w:val="00E67902"/>
    <w:rsid w:val="00F7669A"/>
    <w:rsid w:val="00FC16F8"/>
    <w:rsid w:val="0C13224A"/>
    <w:rsid w:val="0E131EC2"/>
    <w:rsid w:val="24DE27A4"/>
    <w:rsid w:val="302B1259"/>
    <w:rsid w:val="38FC5004"/>
    <w:rsid w:val="438853F3"/>
    <w:rsid w:val="49AB09A7"/>
    <w:rsid w:val="4BCE155B"/>
    <w:rsid w:val="4F9C7F46"/>
    <w:rsid w:val="6ABA2C0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customStyle="1" w:styleId="7">
    <w:name w:val="font141"/>
    <w:basedOn w:val="5"/>
    <w:qFormat/>
    <w:uiPriority w:val="0"/>
    <w:rPr>
      <w:rFonts w:ascii="Arial" w:hAnsi="Arial" w:cs="Arial"/>
      <w:color w:val="000000"/>
      <w:sz w:val="21"/>
      <w:szCs w:val="21"/>
      <w:u w:val="none"/>
    </w:rPr>
  </w:style>
  <w:style w:type="character" w:customStyle="1" w:styleId="8">
    <w:name w:val="font101"/>
    <w:basedOn w:val="5"/>
    <w:qFormat/>
    <w:uiPriority w:val="0"/>
    <w:rPr>
      <w:rFonts w:hint="eastAsia" w:ascii="宋体" w:hAnsi="宋体" w:eastAsia="宋体" w:cs="宋体"/>
      <w:color w:val="000000"/>
      <w:sz w:val="21"/>
      <w:szCs w:val="21"/>
      <w:u w:val="none"/>
    </w:rPr>
  </w:style>
  <w:style w:type="character" w:customStyle="1" w:styleId="9">
    <w:name w:val="font71"/>
    <w:basedOn w:val="5"/>
    <w:qFormat/>
    <w:uiPriority w:val="0"/>
    <w:rPr>
      <w:rFonts w:ascii="Calibri" w:hAnsi="Calibri" w:cs="Calibri"/>
      <w:color w:val="000000"/>
      <w:sz w:val="21"/>
      <w:szCs w:val="21"/>
      <w:u w:val="none"/>
    </w:rPr>
  </w:style>
  <w:style w:type="character" w:customStyle="1" w:styleId="10">
    <w:name w:val="font01"/>
    <w:basedOn w:val="5"/>
    <w:qFormat/>
    <w:uiPriority w:val="0"/>
    <w:rPr>
      <w:rFonts w:hint="eastAsia" w:ascii="宋体" w:hAnsi="宋体" w:eastAsia="宋体" w:cs="宋体"/>
      <w:color w:val="000000"/>
      <w:sz w:val="20"/>
      <w:szCs w:val="20"/>
      <w:u w:val="none"/>
    </w:rPr>
  </w:style>
  <w:style w:type="character" w:customStyle="1" w:styleId="11">
    <w:name w:val="font91"/>
    <w:basedOn w:val="5"/>
    <w:qFormat/>
    <w:uiPriority w:val="0"/>
    <w:rPr>
      <w:rFonts w:ascii="Calibri" w:hAnsi="Calibri" w:cs="Calibri"/>
      <w:color w:val="000000"/>
      <w:sz w:val="20"/>
      <w:szCs w:val="20"/>
      <w:u w:val="none"/>
    </w:rPr>
  </w:style>
  <w:style w:type="character" w:customStyle="1" w:styleId="12">
    <w:name w:val="页眉 Char"/>
    <w:basedOn w:val="5"/>
    <w:link w:val="4"/>
    <w:qFormat/>
    <w:uiPriority w:val="0"/>
    <w:rPr>
      <w:kern w:val="2"/>
      <w:sz w:val="18"/>
      <w:szCs w:val="18"/>
    </w:rPr>
  </w:style>
  <w:style w:type="character" w:customStyle="1" w:styleId="13">
    <w:name w:val="页脚 Char"/>
    <w:basedOn w:val="5"/>
    <w:link w:val="3"/>
    <w:qFormat/>
    <w:uiPriority w:val="0"/>
    <w:rPr>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45</Pages>
  <Words>3845</Words>
  <Characters>21923</Characters>
  <Lines>182</Lines>
  <Paragraphs>51</Paragraphs>
  <TotalTime>1</TotalTime>
  <ScaleCrop>false</ScaleCrop>
  <LinksUpToDate>false</LinksUpToDate>
  <CharactersWithSpaces>25717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2018-09-27T07:18:00Z</dcterms:created>
  <dc:creator>Administrator</dc:creator>
  <cp:lastModifiedBy>Administrator</cp:lastModifiedBy>
  <cp:lastPrinted>2018-10-19T09:05:00Z</cp:lastPrinted>
  <dcterms:modified xsi:type="dcterms:W3CDTF">2018-10-19T10:00:45Z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