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</w:t>
      </w:r>
    </w:p>
    <w:p>
      <w:pPr>
        <w:jc w:val="center"/>
        <w:rPr>
          <w:color w:val="auto"/>
          <w:sz w:val="24"/>
        </w:rPr>
      </w:pPr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ind w:left="-359" w:leftChars="-171" w:right="792" w:rightChars="377" w:firstLine="1065" w:firstLineChars="241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三亚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市</w:t>
      </w:r>
      <w:r>
        <w:rPr>
          <w:rFonts w:hint="eastAsia" w:ascii="宋体" w:hAnsi="宋体"/>
          <w:b/>
          <w:color w:val="auto"/>
          <w:sz w:val="44"/>
          <w:szCs w:val="44"/>
        </w:rPr>
        <w:t>抱坡溪流域海绵城市</w:t>
      </w:r>
    </w:p>
    <w:p>
      <w:pPr>
        <w:ind w:left="-359" w:leftChars="-171" w:right="792" w:rightChars="377" w:firstLine="1065" w:firstLineChars="241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整体规划研究</w:t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b/>
          <w:color w:val="auto"/>
          <w:sz w:val="72"/>
          <w:szCs w:val="44"/>
        </w:rPr>
      </w:pPr>
      <w:r>
        <w:rPr>
          <w:rFonts w:hint="eastAsia" w:ascii="宋体" w:hAnsi="宋体"/>
          <w:b/>
          <w:color w:val="auto"/>
          <w:sz w:val="72"/>
          <w:szCs w:val="44"/>
          <w:lang w:eastAsia="zh-CN"/>
        </w:rPr>
        <w:t>服务</w:t>
      </w:r>
      <w:r>
        <w:rPr>
          <w:rFonts w:hint="eastAsia" w:ascii="宋体" w:hAnsi="宋体"/>
          <w:b/>
          <w:color w:val="auto"/>
          <w:sz w:val="72"/>
          <w:szCs w:val="44"/>
        </w:rPr>
        <w:t>方案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三亚市园林环卫管理局</w:t>
      </w:r>
    </w:p>
    <w:p>
      <w:pPr>
        <w:jc w:val="center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2018年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月</w:t>
      </w:r>
    </w:p>
    <w:p>
      <w:pPr>
        <w:rPr>
          <w:rFonts w:ascii="仿宋_GB2312" w:eastAsia="仿宋_GB2312"/>
          <w:color w:val="auto"/>
          <w:sz w:val="24"/>
        </w:rPr>
      </w:pPr>
    </w:p>
    <w:p>
      <w:pPr>
        <w:widowControl/>
        <w:jc w:val="left"/>
        <w:rPr>
          <w:rFonts w:ascii="仿宋_GB2312" w:eastAsia="仿宋_GB2312"/>
          <w:color w:val="auto"/>
          <w:sz w:val="24"/>
        </w:rPr>
      </w:pPr>
      <w:r>
        <w:rPr>
          <w:rFonts w:ascii="仿宋_GB2312" w:eastAsia="仿宋_GB2312"/>
          <w:color w:val="auto"/>
          <w:sz w:val="24"/>
        </w:rPr>
        <w:br w:type="page"/>
      </w:r>
    </w:p>
    <w:p>
      <w:pPr>
        <w:spacing w:line="720" w:lineRule="auto"/>
        <w:rPr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一、项目基本信息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</w:rPr>
        <w:t>1、项目名称：三亚</w:t>
      </w:r>
      <w:r>
        <w:rPr>
          <w:rFonts w:hint="eastAsia"/>
          <w:color w:val="auto"/>
          <w:sz w:val="28"/>
          <w:lang w:eastAsia="zh-CN"/>
        </w:rPr>
        <w:t>市</w:t>
      </w:r>
      <w:r>
        <w:rPr>
          <w:rFonts w:hint="eastAsia"/>
          <w:color w:val="auto"/>
          <w:sz w:val="28"/>
        </w:rPr>
        <w:t>抱坡溪流域海绵城市整体规划研究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</w:rPr>
        <w:t>2、招标单位：三亚市园林环卫管理局</w:t>
      </w:r>
    </w:p>
    <w:p>
      <w:pPr>
        <w:spacing w:line="720" w:lineRule="auto"/>
        <w:rPr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二、项目背景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</w:rPr>
        <w:t>抱坡溪流域海绵城市建设是三亚海绵城市建设考核的重中之重，根据住房城乡建设部印发的《三亚市海绵城市建设试点工作专项督导专家意见》，抱坡溪生态修复工程等系统性较强的项目，缺少上下游项目间的统筹和目标的协调，生态修复和控源截污工程系统性实施不足，亟需开展相应的规划研究工作，对抱坡溪流于整个汇水范围内水环境、水生态、水安全、水资源的问题进行系统性的深入调查和亮化诊断，制定可落地的系统性整体技术方案，以保证三亚市海绵城市建设考核指标的顺利完成。</w:t>
      </w:r>
    </w:p>
    <w:p>
      <w:pPr>
        <w:spacing w:line="720" w:lineRule="auto"/>
        <w:rPr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三、服务需求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</w:rPr>
        <w:t>本次服务研究范围大致为整个抱坡溪汇水分区：该分区总面积为11.2平方公里，其中5.5平方公里位于海绵试点区内。本次研究工作核心内容为对流域内水环境、水生态、水安全、水资源的问题进行系统性的深入调查，建立海绵城市建设相关模型并进行量化分析，统筹区域水环境质量、年径流总量控制率、内涝防治、区域防洪、非常规水资源利用等建设目标，制定可落地的系统性海绵城市建设整体技术解决方案。</w:t>
      </w:r>
    </w:p>
    <w:p>
      <w:pPr>
        <w:spacing w:line="720" w:lineRule="auto"/>
        <w:rPr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四、</w:t>
      </w:r>
      <w:bookmarkStart w:id="0" w:name="_GoBack"/>
      <w:r>
        <w:rPr>
          <w:rFonts w:hint="eastAsia"/>
          <w:b/>
          <w:color w:val="auto"/>
          <w:sz w:val="36"/>
        </w:rPr>
        <w:t>设计</w:t>
      </w:r>
      <w:bookmarkEnd w:id="0"/>
      <w:r>
        <w:rPr>
          <w:rFonts w:hint="eastAsia"/>
          <w:b/>
          <w:color w:val="auto"/>
          <w:sz w:val="36"/>
        </w:rPr>
        <w:t>服务内容</w:t>
      </w:r>
    </w:p>
    <w:p>
      <w:pPr>
        <w:pStyle w:val="10"/>
        <w:adjustRightInd w:val="0"/>
        <w:snapToGrid w:val="0"/>
        <w:spacing w:line="360" w:lineRule="auto"/>
        <w:ind w:firstLine="560"/>
        <w:rPr>
          <w:color w:val="auto"/>
          <w:sz w:val="28"/>
        </w:rPr>
      </w:pPr>
      <w:r>
        <w:rPr>
          <w:rFonts w:hint="eastAsia"/>
          <w:color w:val="auto"/>
          <w:sz w:val="28"/>
        </w:rPr>
        <w:t>本</w:t>
      </w:r>
      <w:r>
        <w:rPr>
          <w:color w:val="auto"/>
          <w:sz w:val="28"/>
        </w:rPr>
        <w:t>设计的主要任务是在</w:t>
      </w:r>
      <w:r>
        <w:rPr>
          <w:rFonts w:hint="eastAsia"/>
          <w:color w:val="auto"/>
          <w:sz w:val="28"/>
        </w:rPr>
        <w:t>反</w:t>
      </w:r>
      <w:r>
        <w:rPr>
          <w:color w:val="auto"/>
          <w:sz w:val="28"/>
        </w:rPr>
        <w:t>复调查研究、评价预测和</w:t>
      </w:r>
      <w:r>
        <w:rPr>
          <w:rFonts w:hint="eastAsia"/>
          <w:color w:val="auto"/>
          <w:sz w:val="28"/>
        </w:rPr>
        <w:t>再</w:t>
      </w:r>
      <w:r>
        <w:rPr>
          <w:color w:val="auto"/>
          <w:sz w:val="28"/>
        </w:rPr>
        <w:t>必要的勘察工作基础上，对项目的必要性、经济合理性、技术可行性、实施可能性、对环境的影响性，进行综合性的研究和论证，对</w:t>
      </w:r>
      <w:r>
        <w:rPr>
          <w:rFonts w:hint="eastAsia"/>
          <w:color w:val="auto"/>
          <w:sz w:val="28"/>
        </w:rPr>
        <w:t>海绵城市的系统性</w:t>
      </w:r>
      <w:r>
        <w:rPr>
          <w:color w:val="auto"/>
          <w:sz w:val="28"/>
        </w:rPr>
        <w:t>方案进行综合比较，论证推荐方案可行性。</w:t>
      </w:r>
    </w:p>
    <w:tbl>
      <w:tblPr>
        <w:tblStyle w:val="7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2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shd w:val="clear" w:color="auto" w:fill="CCC0D9" w:themeFill="accent4" w:themeFillTint="66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Ansi="仿宋" w:cs="Times New Roman"/>
                <w:b/>
                <w:bCs/>
                <w:color w:val="auto"/>
                <w:sz w:val="24"/>
                <w:szCs w:val="24"/>
              </w:rPr>
              <w:t>设计类别</w:t>
            </w:r>
          </w:p>
        </w:tc>
        <w:tc>
          <w:tcPr>
            <w:tcW w:w="6288" w:type="dxa"/>
            <w:shd w:val="clear" w:color="auto" w:fill="CCC0D9" w:themeFill="accent4" w:themeFillTint="66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Ansi="仿宋" w:cs="Times New Roman"/>
                <w:b/>
                <w:bCs/>
                <w:color w:val="auto"/>
                <w:sz w:val="24"/>
                <w:szCs w:val="24"/>
              </w:rPr>
              <w:t>设计服务内容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shd w:val="clear" w:color="auto" w:fill="EBF6F9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建立海绵城市模型</w:t>
            </w:r>
            <w:r>
              <w:rPr>
                <w:rFonts w:hint="eastAsia" w:hAnsi="仿宋" w:cs="Times New Roman"/>
                <w:bCs/>
                <w:color w:val="auto"/>
                <w:sz w:val="24"/>
                <w:szCs w:val="24"/>
              </w:rPr>
              <w:t>及量化分析</w:t>
            </w:r>
          </w:p>
        </w:tc>
        <w:tc>
          <w:tcPr>
            <w:tcW w:w="6288" w:type="dxa"/>
            <w:shd w:val="clear" w:color="auto" w:fill="EBF6F9"/>
            <w:vAlign w:val="center"/>
          </w:tcPr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、前期调研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cs="Times New Roman"/>
                <w:color w:val="auto"/>
                <w:sz w:val="24"/>
                <w:szCs w:val="24"/>
              </w:rPr>
              <w:t>海绵模型设计计算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、使用</w:t>
            </w:r>
            <w:r>
              <w:rPr>
                <w:rFonts w:hint="eastAsia" w:hAnsi="仿宋" w:cs="Times New Roman"/>
                <w:bCs/>
                <w:color w:val="auto"/>
                <w:sz w:val="24"/>
                <w:szCs w:val="24"/>
              </w:rPr>
              <w:t>专业模型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软件建立海绵城市模型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4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、基于模型的模拟评估报告（含污染源分析</w:t>
            </w:r>
            <w:r>
              <w:rPr>
                <w:rFonts w:hint="eastAsia" w:hAnsi="仿宋" w:cs="Times New Roman"/>
                <w:bCs/>
                <w:color w:val="auto"/>
                <w:sz w:val="24"/>
                <w:szCs w:val="24"/>
              </w:rPr>
              <w:t>、水质分析、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防洪分析、排涝分析</w:t>
            </w:r>
            <w:r>
              <w:rPr>
                <w:rFonts w:hint="eastAsia" w:hAnsi="仿宋" w:cs="Times New Roman"/>
                <w:bCs/>
                <w:color w:val="auto"/>
                <w:sz w:val="24"/>
                <w:szCs w:val="24"/>
              </w:rPr>
              <w:t>等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shd w:val="clear" w:color="auto" w:fill="EBF6F9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海绵城市</w:t>
            </w:r>
            <w:r>
              <w:rPr>
                <w:rFonts w:hint="eastAsia" w:hAnsi="仿宋" w:cs="Times New Roman"/>
                <w:bCs/>
                <w:color w:val="auto"/>
                <w:sz w:val="24"/>
                <w:szCs w:val="24"/>
              </w:rPr>
              <w:t>低影响开发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建设</w:t>
            </w:r>
          </w:p>
        </w:tc>
        <w:tc>
          <w:tcPr>
            <w:tcW w:w="6288" w:type="dxa"/>
            <w:shd w:val="clear" w:color="auto" w:fill="EBF6F9"/>
            <w:vAlign w:val="center"/>
          </w:tcPr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、综合评价海绵城市建设条件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、确定海绵城市建设目标和具体指标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、提出海绵城市建设的总体思路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4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、确定海绵城市建设分区</w:t>
            </w:r>
          </w:p>
          <w:p>
            <w:pPr>
              <w:spacing w:line="480" w:lineRule="exact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5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、落实海绵城市建设管控要求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6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LID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设施改造工程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7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cs="Times New Roman"/>
                <w:color w:val="auto"/>
                <w:sz w:val="24"/>
                <w:szCs w:val="24"/>
              </w:rPr>
              <w:t>防洪排涝分析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8、海绵城市低影响开发建设方案说明书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shd w:val="clear" w:color="auto" w:fill="EBF6F9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水环境整治</w:t>
            </w:r>
          </w:p>
        </w:tc>
        <w:tc>
          <w:tcPr>
            <w:tcW w:w="6288" w:type="dxa"/>
            <w:shd w:val="clear" w:color="auto" w:fill="EBF6F9"/>
            <w:vAlign w:val="center"/>
          </w:tcPr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hAnsi="仿宋" w:cs="Times New Roman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cs="Times New Roman"/>
                <w:color w:val="auto"/>
                <w:sz w:val="24"/>
                <w:szCs w:val="24"/>
              </w:rPr>
              <w:t>截污工程</w:t>
            </w:r>
            <w:r>
              <w:rPr>
                <w:rFonts w:hint="eastAsia" w:cs="Times New Roman"/>
                <w:color w:val="auto"/>
                <w:sz w:val="24"/>
                <w:szCs w:val="24"/>
              </w:rPr>
              <w:t>方案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2、水质提升工程</w:t>
            </w:r>
            <w:r>
              <w:rPr>
                <w:rFonts w:hint="eastAsia" w:cs="Times New Roman"/>
                <w:color w:val="auto"/>
                <w:sz w:val="24"/>
                <w:szCs w:val="24"/>
              </w:rPr>
              <w:t>方案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3、水生态维护工程</w:t>
            </w:r>
            <w:r>
              <w:rPr>
                <w:rFonts w:hint="eastAsia" w:cs="Times New Roman"/>
                <w:color w:val="auto"/>
                <w:sz w:val="24"/>
                <w:szCs w:val="24"/>
              </w:rPr>
              <w:t>方案</w:t>
            </w:r>
          </w:p>
          <w:p>
            <w:pPr>
              <w:spacing w:line="48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4、</w:t>
            </w:r>
            <w:r>
              <w:rPr>
                <w:rFonts w:hint="eastAsia" w:cs="Times New Roman"/>
                <w:color w:val="auto"/>
                <w:sz w:val="24"/>
                <w:szCs w:val="24"/>
              </w:rPr>
              <w:t>制定</w:t>
            </w:r>
            <w:r>
              <w:rPr>
                <w:rFonts w:cs="Times New Roman"/>
                <w:color w:val="auto"/>
                <w:sz w:val="24"/>
                <w:szCs w:val="24"/>
              </w:rPr>
              <w:t>水质监测</w:t>
            </w:r>
            <w:r>
              <w:rPr>
                <w:rFonts w:hint="eastAsia" w:cs="Times New Roman"/>
                <w:color w:val="auto"/>
                <w:sz w:val="24"/>
                <w:szCs w:val="24"/>
              </w:rPr>
              <w:t>方案</w:t>
            </w:r>
          </w:p>
        </w:tc>
      </w:tr>
    </w:tbl>
    <w:p>
      <w:pPr>
        <w:jc w:val="right"/>
        <w:rPr>
          <w:rFonts w:cs="宋体" w:asciiTheme="minorEastAsia" w:hAnsiTheme="minorEastAsia"/>
          <w:color w:val="auto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290"/>
    <w:rsid w:val="000105FA"/>
    <w:rsid w:val="00010E10"/>
    <w:rsid w:val="00086550"/>
    <w:rsid w:val="000A0176"/>
    <w:rsid w:val="001A1E9B"/>
    <w:rsid w:val="001C7100"/>
    <w:rsid w:val="001D015D"/>
    <w:rsid w:val="002079C4"/>
    <w:rsid w:val="00236AEE"/>
    <w:rsid w:val="002B4359"/>
    <w:rsid w:val="002E02BE"/>
    <w:rsid w:val="00304A6C"/>
    <w:rsid w:val="003D618E"/>
    <w:rsid w:val="003E6E19"/>
    <w:rsid w:val="00415768"/>
    <w:rsid w:val="004950DF"/>
    <w:rsid w:val="00497300"/>
    <w:rsid w:val="004A51E3"/>
    <w:rsid w:val="004C3543"/>
    <w:rsid w:val="004E1479"/>
    <w:rsid w:val="00563ECB"/>
    <w:rsid w:val="005D75DF"/>
    <w:rsid w:val="0062466C"/>
    <w:rsid w:val="006A2C5C"/>
    <w:rsid w:val="006D62C7"/>
    <w:rsid w:val="007348C2"/>
    <w:rsid w:val="0076102E"/>
    <w:rsid w:val="00830617"/>
    <w:rsid w:val="008534D5"/>
    <w:rsid w:val="00884B62"/>
    <w:rsid w:val="008B106D"/>
    <w:rsid w:val="008B4146"/>
    <w:rsid w:val="00906F05"/>
    <w:rsid w:val="009122D5"/>
    <w:rsid w:val="009325DC"/>
    <w:rsid w:val="00941D6E"/>
    <w:rsid w:val="00A8377E"/>
    <w:rsid w:val="00AC4B10"/>
    <w:rsid w:val="00B32A13"/>
    <w:rsid w:val="00BC1B83"/>
    <w:rsid w:val="00BF5C0D"/>
    <w:rsid w:val="00BF7690"/>
    <w:rsid w:val="00D371A1"/>
    <w:rsid w:val="00D52176"/>
    <w:rsid w:val="00DD2396"/>
    <w:rsid w:val="00DE240C"/>
    <w:rsid w:val="00E26683"/>
    <w:rsid w:val="00E53290"/>
    <w:rsid w:val="00E80E66"/>
    <w:rsid w:val="00EC586B"/>
    <w:rsid w:val="00F1305B"/>
    <w:rsid w:val="00F26027"/>
    <w:rsid w:val="00F37051"/>
    <w:rsid w:val="02A9617B"/>
    <w:rsid w:val="1A5C3C4B"/>
    <w:rsid w:val="301636D9"/>
    <w:rsid w:val="32DC6A01"/>
    <w:rsid w:val="41052094"/>
    <w:rsid w:val="43ED3B79"/>
    <w:rsid w:val="4C6B782A"/>
    <w:rsid w:val="4E01743A"/>
    <w:rsid w:val="56F63AF2"/>
    <w:rsid w:val="578A718D"/>
    <w:rsid w:val="5A444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Times New Roman" w:hAnsi="Times New Roman" w:eastAsia="仿宋" w:cstheme="majorBidi"/>
      <w:b/>
      <w:bCs/>
      <w:sz w:val="3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character" w:customStyle="1" w:styleId="12">
    <w:name w:val="标题 2 Char"/>
    <w:basedOn w:val="5"/>
    <w:link w:val="2"/>
    <w:qFormat/>
    <w:uiPriority w:val="9"/>
    <w:rPr>
      <w:rFonts w:ascii="Times New Roman" w:hAnsi="Times New Roman" w:eastAsia="仿宋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940F9-EDEA-4320-9F2C-B0EEBDA8D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361</Words>
  <Characters>2059</Characters>
  <Lines>17</Lines>
  <Paragraphs>4</Paragraphs>
  <TotalTime>232</TotalTime>
  <ScaleCrop>false</ScaleCrop>
  <LinksUpToDate>false</LinksUpToDate>
  <CharactersWithSpaces>2416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2018-09-12T03:38:00Z</dcterms:created>
  <dc:creator>wls</dc:creator>
  <cp:lastModifiedBy>admin10</cp:lastModifiedBy>
  <cp:lastPrinted>2018-09-12T02:13:00Z</cp:lastPrinted>
  <dcterms:modified xsi:type="dcterms:W3CDTF">2018-10-17T08:53:44Z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