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38" w:rsidRDefault="00C33AFC" w:rsidP="00567738">
      <w:pPr>
        <w:pStyle w:val="1"/>
        <w:spacing w:after="100" w:line="360" w:lineRule="auto"/>
        <w:jc w:val="center"/>
        <w:rPr>
          <w:sz w:val="36"/>
          <w:szCs w:val="36"/>
        </w:rPr>
      </w:pPr>
      <w:bookmarkStart w:id="0" w:name="_Toc2698"/>
      <w:bookmarkStart w:id="1" w:name="_Toc21957"/>
      <w:r>
        <w:rPr>
          <w:rFonts w:hint="eastAsia"/>
          <w:sz w:val="36"/>
          <w:szCs w:val="36"/>
        </w:rPr>
        <w:t>用户</w:t>
      </w:r>
      <w:r w:rsidR="00567738">
        <w:rPr>
          <w:rFonts w:hint="eastAsia"/>
          <w:sz w:val="36"/>
          <w:szCs w:val="36"/>
        </w:rPr>
        <w:t>需求</w:t>
      </w:r>
      <w:bookmarkEnd w:id="0"/>
      <w:bookmarkEnd w:id="1"/>
    </w:p>
    <w:p w:rsidR="00567738" w:rsidRDefault="00567738" w:rsidP="00567738">
      <w:pPr>
        <w:numPr>
          <w:ilvl w:val="0"/>
          <w:numId w:val="1"/>
        </w:numPr>
        <w:spacing w:line="360" w:lineRule="auto"/>
        <w:rPr>
          <w:rFonts w:ascii="宋体" w:hAnsi="宋体" w:cs="Tahoma"/>
          <w:b/>
          <w:sz w:val="28"/>
          <w:szCs w:val="28"/>
        </w:rPr>
      </w:pPr>
      <w:r>
        <w:rPr>
          <w:rFonts w:ascii="宋体" w:hAnsi="宋体" w:cs="Tahoma" w:hint="eastAsia"/>
          <w:b/>
          <w:sz w:val="28"/>
          <w:szCs w:val="28"/>
        </w:rPr>
        <w:t>项目概况</w:t>
      </w:r>
    </w:p>
    <w:p w:rsidR="00567738" w:rsidRDefault="00567738" w:rsidP="00567738">
      <w:pPr>
        <w:spacing w:line="360" w:lineRule="auto"/>
        <w:ind w:firstLine="420"/>
        <w:rPr>
          <w:rFonts w:ascii="宋体" w:hAnsi="宋体"/>
          <w:bCs/>
          <w:sz w:val="24"/>
        </w:rPr>
      </w:pPr>
      <w:r>
        <w:rPr>
          <w:rFonts w:ascii="宋体" w:hAnsi="宋体" w:hint="eastAsia"/>
          <w:bCs/>
          <w:sz w:val="24"/>
        </w:rPr>
        <w:t>《保亭县总体规划（空间类2015-2030）》于2016年</w:t>
      </w:r>
      <w:r>
        <w:rPr>
          <w:rFonts w:ascii="宋体" w:hAnsi="宋体"/>
          <w:bCs/>
          <w:sz w:val="24"/>
        </w:rPr>
        <w:t>11</w:t>
      </w:r>
      <w:r>
        <w:rPr>
          <w:rFonts w:ascii="宋体" w:hAnsi="宋体" w:hint="eastAsia"/>
          <w:bCs/>
          <w:sz w:val="24"/>
        </w:rPr>
        <w:t>月</w:t>
      </w:r>
      <w:r>
        <w:rPr>
          <w:rFonts w:ascii="宋体" w:hAnsi="宋体"/>
          <w:bCs/>
          <w:sz w:val="24"/>
        </w:rPr>
        <w:t>7</w:t>
      </w:r>
      <w:r>
        <w:rPr>
          <w:rFonts w:ascii="宋体" w:hAnsi="宋体" w:hint="eastAsia"/>
          <w:bCs/>
          <w:sz w:val="24"/>
        </w:rPr>
        <w:t>日经省</w:t>
      </w:r>
      <w:r w:rsidR="00F6119A">
        <w:rPr>
          <w:rFonts w:ascii="宋体" w:hAnsi="宋体" w:hint="eastAsia"/>
          <w:bCs/>
          <w:sz w:val="24"/>
        </w:rPr>
        <w:t>政府</w:t>
      </w:r>
      <w:r w:rsidR="003057B9" w:rsidRPr="003057B9">
        <w:rPr>
          <w:rFonts w:ascii="宋体" w:hAnsi="宋体" w:hint="eastAsia"/>
          <w:bCs/>
          <w:sz w:val="24"/>
        </w:rPr>
        <w:t>加快推进“多规合一”工作领导小组第十次会议</w:t>
      </w:r>
      <w:r>
        <w:rPr>
          <w:rFonts w:ascii="宋体" w:hAnsi="宋体" w:hint="eastAsia"/>
          <w:bCs/>
          <w:sz w:val="24"/>
        </w:rPr>
        <w:t>审议通过。</w:t>
      </w:r>
      <w:r w:rsidR="003057B9" w:rsidRPr="003057B9">
        <w:rPr>
          <w:rFonts w:ascii="宋体" w:hAnsi="宋体" w:hint="eastAsia"/>
          <w:bCs/>
          <w:sz w:val="24"/>
        </w:rPr>
        <w:t>为深入贯彻习近平总书记4·</w:t>
      </w:r>
      <w:r w:rsidR="003057B9" w:rsidRPr="003057B9">
        <w:rPr>
          <w:rFonts w:ascii="宋体" w:hAnsi="宋体"/>
          <w:bCs/>
          <w:sz w:val="24"/>
        </w:rPr>
        <w:t>13</w:t>
      </w:r>
      <w:r w:rsidR="003057B9" w:rsidRPr="003057B9">
        <w:rPr>
          <w:rFonts w:ascii="宋体" w:hAnsi="宋体" w:hint="eastAsia"/>
          <w:bCs/>
          <w:sz w:val="24"/>
        </w:rPr>
        <w:t>重要讲话、中央1</w:t>
      </w:r>
      <w:r w:rsidR="003057B9" w:rsidRPr="003057B9">
        <w:rPr>
          <w:rFonts w:ascii="宋体" w:hAnsi="宋体"/>
          <w:bCs/>
          <w:sz w:val="24"/>
        </w:rPr>
        <w:t>2</w:t>
      </w:r>
      <w:r w:rsidR="003057B9" w:rsidRPr="003057B9">
        <w:rPr>
          <w:rFonts w:ascii="宋体" w:hAnsi="宋体" w:hint="eastAsia"/>
          <w:bCs/>
          <w:sz w:val="24"/>
        </w:rPr>
        <w:t>号文件精神，落实省政府工作部署，确保总体规划“一张蓝图干到底”，</w:t>
      </w:r>
      <w:r>
        <w:rPr>
          <w:rFonts w:ascii="宋体" w:hAnsi="宋体" w:hint="eastAsia"/>
          <w:bCs/>
          <w:sz w:val="24"/>
        </w:rPr>
        <w:t>根据《海南省规划委员会关于抓紧实施市县总体规划加快推项目建设的通知》要求，为更好指导和衔接各功能片区法定建设规划以及各行业专项规划修订，协调重大项目和基础设施建设计划顺利实施，特启动总体规划动态</w:t>
      </w:r>
      <w:r w:rsidR="00EC7EB5">
        <w:rPr>
          <w:rFonts w:ascii="宋体" w:hAnsi="宋体" w:hint="eastAsia"/>
          <w:bCs/>
          <w:sz w:val="24"/>
        </w:rPr>
        <w:t>维护</w:t>
      </w:r>
      <w:r>
        <w:rPr>
          <w:rFonts w:ascii="宋体" w:hAnsi="宋体" w:hint="eastAsia"/>
          <w:bCs/>
          <w:sz w:val="24"/>
        </w:rPr>
        <w:t>工作。</w:t>
      </w:r>
    </w:p>
    <w:p w:rsidR="00567738" w:rsidRDefault="00EC7EB5" w:rsidP="00567738">
      <w:pPr>
        <w:spacing w:line="360" w:lineRule="auto"/>
        <w:ind w:firstLine="420"/>
        <w:rPr>
          <w:rFonts w:ascii="宋体" w:hAnsi="宋体"/>
          <w:bCs/>
          <w:sz w:val="24"/>
        </w:rPr>
      </w:pPr>
      <w:r>
        <w:rPr>
          <w:rFonts w:ascii="宋体" w:hAnsi="宋体" w:hint="eastAsia"/>
          <w:bCs/>
          <w:sz w:val="24"/>
        </w:rPr>
        <w:t>本次</w:t>
      </w:r>
      <w:r w:rsidR="00567738">
        <w:rPr>
          <w:rFonts w:ascii="宋体" w:hAnsi="宋体" w:hint="eastAsia"/>
          <w:bCs/>
          <w:sz w:val="24"/>
        </w:rPr>
        <w:t>保亭县年度“多规合一”动态更新工作将深入贯彻省多规合一改革各项要求、省市总体规划空间管控要求，并结合最新发展形势，对保亭县“多规合一”成果进行动态更新，衔接落实保亭县“十三五”规划，为加快建设热带雨林温泉旅游城市提供空间载体。</w:t>
      </w:r>
    </w:p>
    <w:p w:rsidR="002B255C" w:rsidRDefault="002B255C" w:rsidP="00B1296B">
      <w:pPr>
        <w:numPr>
          <w:ilvl w:val="0"/>
          <w:numId w:val="1"/>
        </w:numPr>
        <w:spacing w:line="360" w:lineRule="auto"/>
        <w:rPr>
          <w:rFonts w:ascii="宋体" w:hAnsi="宋体" w:cs="Tahoma"/>
          <w:b/>
          <w:sz w:val="28"/>
          <w:szCs w:val="28"/>
        </w:rPr>
      </w:pPr>
      <w:r>
        <w:rPr>
          <w:rFonts w:ascii="宋体" w:hAnsi="宋体" w:cs="Tahoma" w:hint="eastAsia"/>
          <w:b/>
          <w:sz w:val="28"/>
          <w:szCs w:val="28"/>
        </w:rPr>
        <w:t>项目目标</w:t>
      </w:r>
    </w:p>
    <w:p w:rsidR="002B255C" w:rsidRDefault="002B255C" w:rsidP="00B1296B">
      <w:pPr>
        <w:spacing w:line="360" w:lineRule="auto"/>
        <w:ind w:rightChars="-203" w:right="-426" w:firstLineChars="200" w:firstLine="480"/>
        <w:rPr>
          <w:rFonts w:ascii="宋体" w:hAnsi="宋体"/>
          <w:sz w:val="24"/>
        </w:rPr>
      </w:pPr>
      <w:r>
        <w:rPr>
          <w:rFonts w:ascii="宋体" w:hAnsi="宋体" w:hint="eastAsia"/>
          <w:sz w:val="24"/>
        </w:rPr>
        <w:t>为进一步优化细化全县域“一张蓝图”，更新维护生态保护红线边界、基本农田边界、林地边界、开发边界、建设用地边界等管控内容，保障法定规划、专项规划等的协同一致，促进重点区域城镇建设和重大建设项目的顺利实施，对</w:t>
      </w:r>
      <w:r w:rsidR="009F2A79">
        <w:rPr>
          <w:rFonts w:ascii="宋体" w:hAnsi="宋体" w:hint="eastAsia"/>
          <w:sz w:val="24"/>
        </w:rPr>
        <w:t>保亭</w:t>
      </w:r>
      <w:r>
        <w:rPr>
          <w:rFonts w:ascii="宋体" w:hAnsi="宋体" w:hint="eastAsia"/>
          <w:sz w:val="24"/>
        </w:rPr>
        <w:t>县总体规划的动态修改和更新工作应符合以下原则要求。</w:t>
      </w:r>
    </w:p>
    <w:p w:rsidR="002B255C" w:rsidRDefault="002B255C" w:rsidP="00B1296B">
      <w:pPr>
        <w:spacing w:line="360" w:lineRule="auto"/>
        <w:ind w:rightChars="-203" w:right="-426" w:firstLineChars="200" w:firstLine="480"/>
        <w:rPr>
          <w:rFonts w:ascii="宋体" w:hAnsi="宋体"/>
          <w:sz w:val="24"/>
        </w:rPr>
      </w:pPr>
      <w:r>
        <w:rPr>
          <w:rFonts w:ascii="宋体" w:hAnsi="宋体" w:hint="eastAsia"/>
          <w:sz w:val="24"/>
        </w:rPr>
        <w:t>（一）一般不应涉及生态保护红线、基本农田和公益林调整，确需对总体规划划定的生态保护红线、基本农田和公益林进行调整的，应先依法办理相关审批手续。</w:t>
      </w:r>
    </w:p>
    <w:p w:rsidR="002B255C" w:rsidRDefault="002B255C" w:rsidP="00B1296B">
      <w:pPr>
        <w:spacing w:line="360" w:lineRule="auto"/>
        <w:ind w:rightChars="-203" w:right="-426" w:firstLineChars="200" w:firstLine="480"/>
        <w:rPr>
          <w:rFonts w:ascii="宋体" w:hAnsi="宋体"/>
          <w:sz w:val="24"/>
        </w:rPr>
      </w:pPr>
      <w:r>
        <w:rPr>
          <w:rFonts w:ascii="宋体" w:hAnsi="宋体" w:hint="eastAsia"/>
          <w:sz w:val="24"/>
        </w:rPr>
        <w:t>（二）不得突破规划控制指标，确保本县建设用地总规模不增加，耕地和林地保有量不减少。</w:t>
      </w:r>
    </w:p>
    <w:p w:rsidR="002B255C" w:rsidRDefault="002B255C" w:rsidP="00B1296B">
      <w:pPr>
        <w:spacing w:line="360" w:lineRule="auto"/>
        <w:ind w:rightChars="-203" w:right="-426" w:firstLineChars="200" w:firstLine="480"/>
        <w:rPr>
          <w:rFonts w:ascii="宋体" w:hAnsi="宋体"/>
          <w:sz w:val="24"/>
        </w:rPr>
      </w:pPr>
      <w:r>
        <w:rPr>
          <w:rFonts w:ascii="宋体" w:hAnsi="宋体" w:hint="eastAsia"/>
          <w:sz w:val="24"/>
        </w:rPr>
        <w:t>（三）规划布局调整要切实可行，建设用地核减地块不得从已出让并已建设的现状建设用地或近期你开发建设的地块中选取；耕地补划地块应当从具备耕地开垦条件的规划后备耕地资源中选取；林地补划地块应当从规划后备林地中选取。</w:t>
      </w:r>
    </w:p>
    <w:p w:rsidR="002B255C" w:rsidRDefault="002B255C" w:rsidP="00B1296B">
      <w:pPr>
        <w:spacing w:line="360" w:lineRule="auto"/>
        <w:ind w:rightChars="-203" w:right="-426" w:firstLineChars="200" w:firstLine="480"/>
        <w:rPr>
          <w:rFonts w:ascii="宋体" w:hAnsi="宋体"/>
          <w:sz w:val="24"/>
        </w:rPr>
      </w:pPr>
      <w:r>
        <w:rPr>
          <w:rFonts w:ascii="宋体" w:hAnsi="宋体" w:hint="eastAsia"/>
          <w:sz w:val="24"/>
        </w:rPr>
        <w:t>（四）确需在生态保护红线区内建设的，应当符合《海南省生态保护红线管理规定》及《海南省陆域生态保护红线区开发建设管理目录》的要求。</w:t>
      </w:r>
    </w:p>
    <w:p w:rsidR="002B255C" w:rsidRDefault="002B255C" w:rsidP="00B1296B">
      <w:pPr>
        <w:spacing w:line="360" w:lineRule="auto"/>
        <w:ind w:rightChars="-203" w:right="-426" w:firstLineChars="200" w:firstLine="480"/>
        <w:rPr>
          <w:rFonts w:ascii="宋体" w:hAnsi="宋体"/>
          <w:sz w:val="24"/>
        </w:rPr>
      </w:pPr>
      <w:r>
        <w:rPr>
          <w:rFonts w:ascii="宋体" w:hAnsi="宋体" w:hint="eastAsia"/>
          <w:sz w:val="24"/>
        </w:rPr>
        <w:t>（五）农村道路等按照农用地管理的项目用地，在现状基础上硬化或改建，且</w:t>
      </w:r>
      <w:r>
        <w:rPr>
          <w:rFonts w:ascii="宋体" w:hAnsi="宋体" w:hint="eastAsia"/>
          <w:sz w:val="24"/>
        </w:rPr>
        <w:lastRenderedPageBreak/>
        <w:t>不占用公益林地和基本农田的，不需申请局部调整市县总体规划。</w:t>
      </w:r>
    </w:p>
    <w:p w:rsidR="002B255C" w:rsidRDefault="002B255C" w:rsidP="00B1296B">
      <w:pPr>
        <w:spacing w:line="360" w:lineRule="auto"/>
        <w:ind w:rightChars="-203" w:right="-426"/>
        <w:rPr>
          <w:rFonts w:ascii="宋体" w:hAnsi="宋体"/>
          <w:b/>
          <w:bCs/>
          <w:sz w:val="28"/>
          <w:szCs w:val="28"/>
        </w:rPr>
      </w:pPr>
      <w:r>
        <w:rPr>
          <w:rFonts w:ascii="宋体" w:hAnsi="宋体" w:hint="eastAsia"/>
          <w:b/>
          <w:bCs/>
          <w:sz w:val="28"/>
          <w:szCs w:val="28"/>
        </w:rPr>
        <w:t>三、工作内容</w:t>
      </w:r>
    </w:p>
    <w:p w:rsidR="002B255C" w:rsidRDefault="002B255C" w:rsidP="00B1296B">
      <w:pPr>
        <w:spacing w:line="360" w:lineRule="auto"/>
        <w:ind w:rightChars="-203" w:right="-426"/>
        <w:rPr>
          <w:rFonts w:ascii="宋体" w:hAnsi="宋体"/>
          <w:sz w:val="24"/>
        </w:rPr>
      </w:pPr>
      <w:r>
        <w:rPr>
          <w:rFonts w:ascii="宋体" w:hAnsi="宋体" w:hint="eastAsia"/>
          <w:sz w:val="24"/>
        </w:rPr>
        <w:t>根据省规划委下发的《市县总体规划调整完善指导意见》。</w:t>
      </w:r>
    </w:p>
    <w:p w:rsidR="002B255C" w:rsidRDefault="002B255C" w:rsidP="00B1296B">
      <w:pPr>
        <w:spacing w:line="360" w:lineRule="auto"/>
        <w:ind w:rightChars="-203" w:right="-426"/>
        <w:rPr>
          <w:rFonts w:ascii="宋体" w:hAnsi="宋体"/>
          <w:sz w:val="24"/>
        </w:rPr>
      </w:pPr>
      <w:r>
        <w:rPr>
          <w:rFonts w:ascii="宋体" w:hAnsi="宋体" w:hint="eastAsia"/>
          <w:sz w:val="24"/>
        </w:rPr>
        <w:t>1）对生态保护红线开展校核优化；</w:t>
      </w:r>
    </w:p>
    <w:p w:rsidR="002B255C" w:rsidRDefault="002B255C" w:rsidP="00B1296B">
      <w:pPr>
        <w:spacing w:line="360" w:lineRule="auto"/>
        <w:ind w:rightChars="-203" w:right="-426"/>
        <w:rPr>
          <w:rFonts w:ascii="宋体" w:hAnsi="宋体"/>
          <w:sz w:val="24"/>
        </w:rPr>
      </w:pPr>
      <w:r>
        <w:rPr>
          <w:rFonts w:ascii="宋体" w:hAnsi="宋体" w:hint="eastAsia"/>
          <w:sz w:val="24"/>
        </w:rPr>
        <w:t>2）对基本农田、林地、开发边界规划控制线和建设用地布局进行调整；</w:t>
      </w:r>
    </w:p>
    <w:p w:rsidR="002B255C" w:rsidRDefault="002B255C" w:rsidP="00B1296B">
      <w:pPr>
        <w:spacing w:line="360" w:lineRule="auto"/>
        <w:ind w:rightChars="-203" w:right="-426"/>
        <w:rPr>
          <w:rFonts w:ascii="宋体" w:hAnsi="宋体"/>
          <w:sz w:val="24"/>
        </w:rPr>
      </w:pPr>
      <w:r>
        <w:rPr>
          <w:rFonts w:ascii="宋体" w:hAnsi="宋体" w:hint="eastAsia"/>
          <w:sz w:val="24"/>
        </w:rPr>
        <w:t>3）对规划文本、图集、数据库进行修改完善。</w:t>
      </w:r>
    </w:p>
    <w:p w:rsidR="00C35CF1" w:rsidRDefault="00C35CF1" w:rsidP="00B1296B">
      <w:pPr>
        <w:spacing w:line="360" w:lineRule="auto"/>
        <w:ind w:rightChars="-203" w:right="-426"/>
        <w:rPr>
          <w:rFonts w:ascii="宋体" w:hAnsi="宋体"/>
          <w:b/>
          <w:bCs/>
          <w:sz w:val="28"/>
          <w:szCs w:val="28"/>
        </w:rPr>
      </w:pPr>
      <w:r>
        <w:rPr>
          <w:rFonts w:ascii="宋体" w:hAnsi="宋体" w:hint="eastAsia"/>
          <w:b/>
          <w:bCs/>
          <w:sz w:val="28"/>
          <w:szCs w:val="28"/>
        </w:rPr>
        <w:t>四、商务要求</w:t>
      </w:r>
    </w:p>
    <w:p w:rsidR="001863EE" w:rsidRDefault="001863EE" w:rsidP="001863EE">
      <w:pPr>
        <w:spacing w:line="360" w:lineRule="auto"/>
        <w:ind w:rightChars="-203" w:right="-426" w:firstLineChars="200" w:firstLine="480"/>
        <w:rPr>
          <w:rFonts w:ascii="宋体" w:hAnsi="宋体"/>
          <w:sz w:val="24"/>
        </w:rPr>
      </w:pPr>
      <w:r>
        <w:rPr>
          <w:rFonts w:ascii="宋体" w:hAnsi="宋体" w:hint="eastAsia"/>
          <w:sz w:val="24"/>
        </w:rPr>
        <w:t>1. 服务期：1年</w:t>
      </w:r>
    </w:p>
    <w:p w:rsidR="001863EE" w:rsidRDefault="001863EE" w:rsidP="001863EE">
      <w:pPr>
        <w:spacing w:line="360" w:lineRule="auto"/>
        <w:ind w:rightChars="-203" w:right="-426" w:firstLineChars="200" w:firstLine="480"/>
        <w:rPr>
          <w:rFonts w:ascii="宋体" w:hAnsi="宋体"/>
          <w:sz w:val="24"/>
        </w:rPr>
      </w:pPr>
      <w:r>
        <w:rPr>
          <w:rFonts w:ascii="宋体" w:hAnsi="宋体" w:hint="eastAsia"/>
          <w:sz w:val="24"/>
        </w:rPr>
        <w:t>2. 付款方式：合同签订后7个工作日内付30%，余款按进度付款。（具体以合同约定为准。）</w:t>
      </w:r>
    </w:p>
    <w:p w:rsidR="001863EE" w:rsidRDefault="001863EE" w:rsidP="001863EE">
      <w:pPr>
        <w:spacing w:line="360" w:lineRule="auto"/>
        <w:ind w:rightChars="-203" w:right="-426" w:firstLineChars="200" w:firstLine="480"/>
        <w:rPr>
          <w:rFonts w:ascii="宋体" w:hAnsi="宋体"/>
          <w:sz w:val="24"/>
        </w:rPr>
      </w:pPr>
      <w:r>
        <w:rPr>
          <w:rFonts w:ascii="宋体" w:hAnsi="宋体" w:hint="eastAsia"/>
          <w:sz w:val="24"/>
        </w:rPr>
        <w:t>3.本次中标人服务期限到期后，视服务情况是否优秀，如服务情况良好可继续续签第二年合约</w:t>
      </w:r>
    </w:p>
    <w:p w:rsidR="001863EE" w:rsidRDefault="001863EE" w:rsidP="001863EE">
      <w:pPr>
        <w:spacing w:line="360" w:lineRule="auto"/>
        <w:ind w:rightChars="-203" w:right="-426" w:firstLineChars="200" w:firstLine="480"/>
        <w:rPr>
          <w:rFonts w:ascii="宋体" w:hAnsi="宋体"/>
          <w:sz w:val="24"/>
        </w:rPr>
      </w:pPr>
      <w:r>
        <w:rPr>
          <w:rFonts w:ascii="宋体" w:hAnsi="宋体" w:hint="eastAsia"/>
          <w:sz w:val="24"/>
        </w:rPr>
        <w:t>4.本次招标金额为：150万</w:t>
      </w:r>
    </w:p>
    <w:p w:rsidR="00B115D1" w:rsidRPr="00B115D1" w:rsidRDefault="00B115D1" w:rsidP="00B115D1">
      <w:pPr>
        <w:spacing w:line="360" w:lineRule="auto"/>
        <w:ind w:rightChars="-203" w:right="-426" w:firstLineChars="200" w:firstLine="480"/>
        <w:rPr>
          <w:rFonts w:ascii="宋体" w:hAnsi="宋体"/>
          <w:sz w:val="24"/>
        </w:rPr>
      </w:pPr>
    </w:p>
    <w:p w:rsidR="00B115D1" w:rsidRDefault="00B115D1" w:rsidP="00567738">
      <w:pPr>
        <w:spacing w:line="360" w:lineRule="auto"/>
        <w:ind w:rightChars="-203" w:right="-426" w:firstLineChars="200" w:firstLine="480"/>
        <w:rPr>
          <w:rFonts w:ascii="宋体" w:hAnsi="宋体"/>
          <w:sz w:val="24"/>
        </w:rPr>
      </w:pPr>
    </w:p>
    <w:p w:rsidR="005D6213" w:rsidRDefault="005D6213" w:rsidP="005D6213">
      <w:pPr>
        <w:pStyle w:val="a0"/>
      </w:pPr>
    </w:p>
    <w:p w:rsidR="005D6213" w:rsidRDefault="005D6213" w:rsidP="005D6213">
      <w:pPr>
        <w:pStyle w:val="a0"/>
      </w:pPr>
    </w:p>
    <w:p w:rsidR="005D6213" w:rsidRDefault="005D6213"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5D6213">
      <w:pPr>
        <w:pStyle w:val="a0"/>
      </w:pPr>
    </w:p>
    <w:p w:rsidR="007853E1" w:rsidRDefault="007853E1" w:rsidP="001863EE">
      <w:pPr>
        <w:pStyle w:val="a0"/>
        <w:ind w:firstLineChars="0" w:firstLine="0"/>
      </w:pPr>
    </w:p>
    <w:sectPr w:rsidR="007853E1" w:rsidSect="002755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F1" w:rsidRDefault="00546DF1" w:rsidP="00EC7EB5">
      <w:r>
        <w:separator/>
      </w:r>
    </w:p>
  </w:endnote>
  <w:endnote w:type="continuationSeparator" w:id="0">
    <w:p w:rsidR="00546DF1" w:rsidRDefault="00546DF1" w:rsidP="00EC7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F1" w:rsidRDefault="00546DF1" w:rsidP="00EC7EB5">
      <w:r>
        <w:separator/>
      </w:r>
    </w:p>
  </w:footnote>
  <w:footnote w:type="continuationSeparator" w:id="0">
    <w:p w:rsidR="00546DF1" w:rsidRDefault="00546DF1" w:rsidP="00EC7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838CA"/>
    <w:multiLevelType w:val="multilevel"/>
    <w:tmpl w:val="4EA838CA"/>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5915316D"/>
    <w:multiLevelType w:val="hybridMultilevel"/>
    <w:tmpl w:val="B558A882"/>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A0ABC0E"/>
    <w:multiLevelType w:val="singleLevel"/>
    <w:tmpl w:val="5A0ABC0E"/>
    <w:lvl w:ilvl="0">
      <w:start w:val="1"/>
      <w:numFmt w:val="chineseCounting"/>
      <w:suff w:val="nothing"/>
      <w:lvlText w:val="%1、"/>
      <w:lvlJc w:val="left"/>
    </w:lvl>
  </w:abstractNum>
  <w:abstractNum w:abstractNumId="3">
    <w:nsid w:val="7B1C43C4"/>
    <w:multiLevelType w:val="multilevel"/>
    <w:tmpl w:val="7B1C43C4"/>
    <w:lvl w:ilvl="0">
      <w:start w:val="1"/>
      <w:numFmt w:val="japaneseCounting"/>
      <w:lvlText w:val="%1、"/>
      <w:lvlJc w:val="left"/>
      <w:pPr>
        <w:ind w:left="852" w:hanging="432"/>
      </w:pPr>
      <w:rPr>
        <w:rFonts w:hint="default"/>
        <w:lang w:val="en-US"/>
      </w:rPr>
    </w:lvl>
    <w:lvl w:ilvl="1">
      <w:start w:val="1"/>
      <w:numFmt w:val="decimal"/>
      <w:lvlText w:val="%2、"/>
      <w:lvlJc w:val="left"/>
      <w:pPr>
        <w:ind w:left="1560" w:hanging="720"/>
      </w:pPr>
      <w:rPr>
        <w:rFonts w:hint="default"/>
      </w:rPr>
    </w:lvl>
    <w:lvl w:ilvl="2">
      <w:start w:val="6"/>
      <w:numFmt w:val="decimal"/>
      <w:lvlText w:val="%3）"/>
      <w:lvlJc w:val="left"/>
      <w:pPr>
        <w:ind w:left="1980" w:hanging="7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7738"/>
    <w:rsid w:val="000A09D8"/>
    <w:rsid w:val="00172C36"/>
    <w:rsid w:val="001863EE"/>
    <w:rsid w:val="001D6368"/>
    <w:rsid w:val="00275579"/>
    <w:rsid w:val="002B255C"/>
    <w:rsid w:val="003057B9"/>
    <w:rsid w:val="003C0793"/>
    <w:rsid w:val="004065BD"/>
    <w:rsid w:val="00514728"/>
    <w:rsid w:val="00546DF1"/>
    <w:rsid w:val="00567738"/>
    <w:rsid w:val="005B3664"/>
    <w:rsid w:val="005C3011"/>
    <w:rsid w:val="005D6213"/>
    <w:rsid w:val="005F7CCE"/>
    <w:rsid w:val="0064268A"/>
    <w:rsid w:val="00650FAE"/>
    <w:rsid w:val="006A2474"/>
    <w:rsid w:val="0070039D"/>
    <w:rsid w:val="00721242"/>
    <w:rsid w:val="007853E1"/>
    <w:rsid w:val="007C18AC"/>
    <w:rsid w:val="007D3D44"/>
    <w:rsid w:val="0084088F"/>
    <w:rsid w:val="008716B1"/>
    <w:rsid w:val="008D1BD1"/>
    <w:rsid w:val="008E0A77"/>
    <w:rsid w:val="008F41AA"/>
    <w:rsid w:val="009F2A79"/>
    <w:rsid w:val="00A70C46"/>
    <w:rsid w:val="00A91459"/>
    <w:rsid w:val="00B115D1"/>
    <w:rsid w:val="00C33AFC"/>
    <w:rsid w:val="00C35CF1"/>
    <w:rsid w:val="00C41ABB"/>
    <w:rsid w:val="00DB01C8"/>
    <w:rsid w:val="00E25734"/>
    <w:rsid w:val="00E5234D"/>
    <w:rsid w:val="00EC7EB5"/>
    <w:rsid w:val="00ED0C7D"/>
    <w:rsid w:val="00F61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7738"/>
    <w:pPr>
      <w:widowControl w:val="0"/>
      <w:jc w:val="both"/>
    </w:pPr>
    <w:rPr>
      <w:rFonts w:ascii="Times New Roman" w:eastAsia="宋体" w:hAnsi="Times New Roman" w:cs="Times New Roman"/>
      <w:szCs w:val="24"/>
    </w:rPr>
  </w:style>
  <w:style w:type="paragraph" w:styleId="1">
    <w:name w:val="heading 1"/>
    <w:basedOn w:val="a"/>
    <w:next w:val="a"/>
    <w:link w:val="1Char"/>
    <w:qFormat/>
    <w:rsid w:val="00567738"/>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567738"/>
    <w:rPr>
      <w:rFonts w:ascii="Times New Roman" w:eastAsia="宋体" w:hAnsi="Times New Roman" w:cs="Times New Roman"/>
      <w:b/>
      <w:bCs/>
      <w:kern w:val="44"/>
      <w:sz w:val="44"/>
      <w:szCs w:val="44"/>
    </w:rPr>
  </w:style>
  <w:style w:type="paragraph" w:styleId="a0">
    <w:name w:val="Normal Indent"/>
    <w:basedOn w:val="a"/>
    <w:uiPriority w:val="99"/>
    <w:semiHidden/>
    <w:unhideWhenUsed/>
    <w:rsid w:val="00567738"/>
    <w:pPr>
      <w:ind w:firstLineChars="200" w:firstLine="420"/>
    </w:pPr>
  </w:style>
  <w:style w:type="paragraph" w:styleId="a4">
    <w:name w:val="header"/>
    <w:basedOn w:val="a"/>
    <w:link w:val="Char"/>
    <w:uiPriority w:val="99"/>
    <w:unhideWhenUsed/>
    <w:rsid w:val="00EC7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C7EB5"/>
    <w:rPr>
      <w:rFonts w:ascii="Times New Roman" w:eastAsia="宋体" w:hAnsi="Times New Roman" w:cs="Times New Roman"/>
      <w:sz w:val="18"/>
      <w:szCs w:val="18"/>
    </w:rPr>
  </w:style>
  <w:style w:type="paragraph" w:styleId="a5">
    <w:name w:val="footer"/>
    <w:basedOn w:val="a"/>
    <w:link w:val="Char0"/>
    <w:uiPriority w:val="99"/>
    <w:unhideWhenUsed/>
    <w:rsid w:val="00EC7EB5"/>
    <w:pPr>
      <w:tabs>
        <w:tab w:val="center" w:pos="4153"/>
        <w:tab w:val="right" w:pos="8306"/>
      </w:tabs>
      <w:snapToGrid w:val="0"/>
      <w:jc w:val="left"/>
    </w:pPr>
    <w:rPr>
      <w:sz w:val="18"/>
      <w:szCs w:val="18"/>
    </w:rPr>
  </w:style>
  <w:style w:type="character" w:customStyle="1" w:styleId="Char0">
    <w:name w:val="页脚 Char"/>
    <w:basedOn w:val="a1"/>
    <w:link w:val="a5"/>
    <w:uiPriority w:val="99"/>
    <w:rsid w:val="00EC7EB5"/>
    <w:rPr>
      <w:rFonts w:ascii="Times New Roman" w:eastAsia="宋体" w:hAnsi="Times New Roman" w:cs="Times New Roman"/>
      <w:sz w:val="18"/>
      <w:szCs w:val="18"/>
    </w:rPr>
  </w:style>
  <w:style w:type="paragraph" w:customStyle="1" w:styleId="10">
    <w:name w:val="列出段落1"/>
    <w:basedOn w:val="a"/>
    <w:uiPriority w:val="34"/>
    <w:qFormat/>
    <w:rsid w:val="00EC7EB5"/>
    <w:pPr>
      <w:ind w:firstLineChars="200" w:firstLine="420"/>
    </w:pPr>
    <w:rPr>
      <w:rFonts w:ascii="Calibri" w:hAnsi="Calibri"/>
    </w:rPr>
  </w:style>
  <w:style w:type="paragraph" w:customStyle="1" w:styleId="a6">
    <w:basedOn w:val="a"/>
    <w:next w:val="a7"/>
    <w:uiPriority w:val="34"/>
    <w:qFormat/>
    <w:rsid w:val="00EC7EB5"/>
    <w:pPr>
      <w:widowControl/>
      <w:ind w:firstLineChars="200" w:firstLine="420"/>
      <w:jc w:val="left"/>
    </w:pPr>
    <w:rPr>
      <w:rFonts w:ascii="Calibri" w:hAnsi="Calibri"/>
      <w:kern w:val="0"/>
      <w:szCs w:val="20"/>
    </w:rPr>
  </w:style>
  <w:style w:type="paragraph" w:styleId="a7">
    <w:name w:val="List Paragraph"/>
    <w:basedOn w:val="a"/>
    <w:uiPriority w:val="34"/>
    <w:qFormat/>
    <w:rsid w:val="00EC7E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357470107@qq.com</dc:creator>
  <cp:keywords/>
  <dc:description/>
  <cp:lastModifiedBy>Administrator</cp:lastModifiedBy>
  <cp:revision>16</cp:revision>
  <dcterms:created xsi:type="dcterms:W3CDTF">2018-09-29T08:51:00Z</dcterms:created>
  <dcterms:modified xsi:type="dcterms:W3CDTF">2018-10-08T02:45:00Z</dcterms:modified>
</cp:coreProperties>
</file>