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spacing w:before="0" w:after="0" w:line="360" w:lineRule="auto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分项报价明细表</w:t>
      </w:r>
    </w:p>
    <w:tbl>
      <w:tblPr>
        <w:tblStyle w:val="4"/>
        <w:tblW w:w="10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0"/>
        <w:gridCol w:w="4903"/>
        <w:gridCol w:w="456"/>
        <w:gridCol w:w="578"/>
        <w:gridCol w:w="1012"/>
        <w:gridCol w:w="1012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4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规格、技术参数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单价/元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金额/元</w:t>
            </w:r>
          </w:p>
        </w:tc>
        <w:tc>
          <w:tcPr>
            <w:tcW w:w="4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数字电视发射机</w:t>
            </w:r>
          </w:p>
        </w:tc>
        <w:tc>
          <w:tcPr>
            <w:tcW w:w="490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品牌：成都德芯，型号：DUT-8313,数字1KW。1、一般要求、环境条件:环境条件要求如下、环境温度[]4:正常工作：5℃～45℃；允许工作：0℃～50℃；相对湿度:正常工作：≤90%（20℃）；允许工作：≤95%(无结露)；大气压力：86kPa～106kPa。1.2工作电压：电压幅度：176V～264V AC。电源频率：50Hz±1Hz。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接口要求：数据输入采用ASI接口，BNC接头，阴型，输入阻抗为75Ω；10MHz时钟输入采用BNC接头，阴型，输入阻抗为50Ω，AC耦合，600mV≤VP-P≤900mV；1pps输入采用BNC接头，阴型，TTL电平，输入阻抗为50Ω；射频输出采用SMA或BNC或N型接头，阴型，输出阻抗为50Ω；监测输出采用SMA或BNC接头，阴型，输出阻抗为50Ω；遥控、监控接口采用RS232或RS485或RJ45，其中RS232、采用DB9接头，阳型；RS485采用DB9接头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功能要求：.1工作模式：支持GB20600-2006规定的所有工作模式，在各种工作模式下激励器开始调制的第一个超帧为0号，即偶数超帧。各种工作模式下，系统（8MHz带宽）最大净码率符合标准规范。2码流备份和切换：每台激励器至少提供两路码流输入接口，互为备份，并具有手动和自动切换功能，要求实现无缝切换。3预校正：具有线性和非线性预校正功能。通过预校正，可改善发射机输出信号的频谱特性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4、工作频道及频率范围满足技术分册附件1的要求，并符合GB/T14433-1993规定。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5、频率参考源：有外参考源时，激励器优先使用外部参考源；无外参考源时，激励器将启用内部参考源。内外参考源可手动或自动切换，切换不应对解调后图像产生可察觉损伤。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6、功率控制：提供手动电平控制(MLC)和自动电平控制(ALC)两种功率控制方式。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、自动保护：提供自动保护功能。当激励器的某些部件发生严重故障时（如输出过载，功放过热等），或由于外部原因造成激励器损伤时，或由于TS流出现中断时，监控系统会自动切断激励器的射频输出或关机，避免进一步的损害。在激励器异常通断电时，激励器输出的瞬间杂波不应对发射机造成损坏。激励器在单频网状态下，当在输入码流丢失或错误时，激励器可根据要求设置射频输出关断功能，当上述异常状态消除后，激励器自动恢复到正常单频网组网工作状态。激励器在单频网状态下，当在输入码流的SIP丢失时，激励器应保持调制输出，并且在输入码流的SIP恢复正常时恢复到正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常的单频网工作状态。在外参考时钟失效时，激励器可根据要求设置射频保持功能。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8、监测输出：提供10MHz监测输出、本振监测输出、IF监测输出（可选）和RF监测输出。监测输出信号用于系统设备性能测量、实时监控和广播网络运营维护。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、组网方式：支持多频网(MFN)或基于卫星传输分发的单频网(SFN)组网方式，其中基于卫星传输分发的SFN组网方式要求应符合GD/J066-2015的有关规定。在基于卫星传输分发的单频网模式下，为保证所有入网的激励器传输的数据一致，应将输入的数据进行如下处理：1）将检测到的MPEG-2格式的空包删除。2）将检测到的SIP包重新更换为MPEG-2的空包格式，该空包包头的四个字节以16进制表达为0x47、0x1F、0xFF、0x10，该空包剩余的184字节均为0xFF，见图1。同时SIP包更换后的空包作为开始调制的第一个数据包。3）将检测到的符合GD/J 066-2015中规定的单频网适配数据包重新更换为图1中定义的MPEG-2的空包。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192000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576000</w:t>
            </w:r>
          </w:p>
        </w:tc>
        <w:tc>
          <w:tcPr>
            <w:tcW w:w="4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硬馈及附件</w:t>
            </w:r>
          </w:p>
        </w:tc>
        <w:tc>
          <w:tcPr>
            <w:tcW w:w="490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品牌：北京飞卡，型号：1-5/8"，硬馈9米，弯头12套。1-5/8"硬馈、弯头、插芯、抱箍，各类转接头。材料：紫铜，阻抗特性：50Ω，驻波比：＜1.08。各类音视频电缆，各类接头，电源线及接头。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12600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12600</w:t>
            </w:r>
          </w:p>
        </w:tc>
        <w:tc>
          <w:tcPr>
            <w:tcW w:w="4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9525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</w:t>
            </w: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sz w:val="24"/>
                <w:szCs w:val="24"/>
              </w:rPr>
              <w:t>金额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为</w:t>
            </w:r>
            <w:r>
              <w:rPr>
                <w:rFonts w:hint="eastAsia" w:ascii="宋体" w:hAnsi="宋体" w:cs="宋体"/>
                <w:snapToGrid w:val="0"/>
                <w:sz w:val="24"/>
                <w:szCs w:val="24"/>
              </w:rPr>
              <w:t>：人民币</w:t>
            </w:r>
            <w:r>
              <w:rPr>
                <w:rFonts w:hint="eastAsia" w:ascii="宋体" w:hAnsi="宋体" w:cs="宋体"/>
                <w:sz w:val="24"/>
                <w:u w:val="single"/>
              </w:rPr>
              <w:t>588600</w:t>
            </w:r>
            <w:r>
              <w:rPr>
                <w:rFonts w:hint="eastAsia" w:ascii="宋体" w:hAnsi="宋体" w:cs="宋体"/>
                <w:snapToGrid w:val="0"/>
                <w:sz w:val="24"/>
                <w:szCs w:val="24"/>
              </w:rPr>
              <w:t>元；</w:t>
            </w:r>
          </w:p>
          <w:p>
            <w:pPr>
              <w:spacing w:line="360" w:lineRule="auto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  <w:szCs w:val="24"/>
              </w:rPr>
              <w:t>大        写：</w:t>
            </w:r>
            <w:r>
              <w:rPr>
                <w:rFonts w:hint="eastAsia" w:ascii="宋体" w:hAnsi="宋体" w:cs="宋体"/>
                <w:snapToGrid w:val="0"/>
                <w:sz w:val="24"/>
                <w:szCs w:val="24"/>
                <w:u w:val="single"/>
              </w:rPr>
              <w:t>伍拾捌万捌仟陆佰元整</w:t>
            </w:r>
          </w:p>
        </w:tc>
      </w:tr>
    </w:tbl>
    <w:p>
      <w:pPr>
        <w:spacing w:line="400" w:lineRule="exact"/>
        <w:ind w:left="735" w:leftChars="100" w:hanging="525" w:hangingChars="250"/>
        <w:rPr>
          <w:rFonts w:hint="eastAsia" w:ascii="宋体" w:hAnsi="宋体" w:cs="宋体"/>
          <w:color w:val="000000"/>
          <w:szCs w:val="21"/>
        </w:rPr>
      </w:pPr>
    </w:p>
    <w:p>
      <w:pPr>
        <w:spacing w:line="400" w:lineRule="exact"/>
        <w:ind w:left="735" w:leftChars="100" w:hanging="525" w:hangingChars="250"/>
        <w:rPr>
          <w:rFonts w:hint="eastAsia" w:ascii="宋体" w:hAnsi="宋体" w:cs="宋体"/>
          <w:color w:val="000000"/>
          <w:szCs w:val="21"/>
        </w:rPr>
      </w:pPr>
    </w:p>
    <w:p>
      <w:pPr>
        <w:spacing w:line="400" w:lineRule="exact"/>
        <w:ind w:left="735" w:leftChars="100" w:hanging="525" w:hangingChars="250"/>
        <w:rPr>
          <w:rFonts w:hint="eastAsia" w:ascii="宋体" w:hAnsi="宋体" w:cs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4B70"/>
    <w:rsid w:val="297E4B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2018-09-29T03:37:00Z</dcterms:created>
  <dc:creator>Administrator</dc:creator>
  <cp:lastModifiedBy>Administrator</cp:lastModifiedBy>
  <dcterms:modified xsi:type="dcterms:W3CDTF">2018-09-29T03:37:55Z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