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clear" w:pos="9458"/>
        </w:tabs>
        <w:spacing w:line="360" w:lineRule="auto"/>
        <w:ind w:left="0"/>
        <w:jc w:val="center"/>
        <w:outlineLvl w:val="1"/>
        <w:rPr>
          <w:rFonts w:hint="eastAsia" w:ascii="宋体" w:hAnsi="宋体"/>
          <w:b/>
          <w:i w:val="0"/>
          <w:sz w:val="32"/>
          <w:szCs w:val="28"/>
          <w:lang w:eastAsia="zh-CN"/>
        </w:rPr>
      </w:pPr>
      <w:r>
        <w:rPr>
          <w:rFonts w:hint="eastAsia" w:ascii="宋体" w:hAnsi="宋体"/>
          <w:b/>
          <w:i w:val="0"/>
          <w:sz w:val="32"/>
          <w:szCs w:val="28"/>
          <w:lang w:eastAsia="zh-CN"/>
        </w:rPr>
        <w:t>用户需求书</w:t>
      </w:r>
    </w:p>
    <w:p>
      <w:pPr>
        <w:pStyle w:val="5"/>
        <w:tabs>
          <w:tab w:val="clear" w:pos="9458"/>
        </w:tabs>
        <w:spacing w:line="360" w:lineRule="auto"/>
        <w:ind w:left="0"/>
        <w:jc w:val="both"/>
        <w:outlineLvl w:val="1"/>
        <w:rPr>
          <w:rFonts w:hint="eastAsia" w:ascii="宋体" w:hAnsi="宋体"/>
          <w:b/>
          <w:i w:val="0"/>
          <w:sz w:val="32"/>
          <w:szCs w:val="28"/>
        </w:rPr>
      </w:pPr>
      <w:r>
        <w:rPr>
          <w:rFonts w:hint="eastAsia" w:ascii="宋体" w:hAnsi="宋体"/>
          <w:b/>
          <w:i w:val="0"/>
          <w:sz w:val="32"/>
          <w:szCs w:val="28"/>
          <w:lang w:eastAsia="zh-CN"/>
        </w:rPr>
        <w:t>一、</w:t>
      </w:r>
      <w:r>
        <w:rPr>
          <w:rFonts w:hint="eastAsia" w:ascii="宋体" w:hAnsi="宋体"/>
          <w:b/>
          <w:i w:val="0"/>
          <w:sz w:val="32"/>
          <w:szCs w:val="28"/>
        </w:rPr>
        <w:t>建设目标</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outlineLvl w:val="9"/>
        <w:rPr>
          <w:rFonts w:hint="eastAsia" w:ascii="宋体" w:hAnsi="宋体"/>
          <w:sz w:val="24"/>
          <w:szCs w:val="22"/>
        </w:rPr>
      </w:pPr>
      <w:r>
        <w:rPr>
          <w:rFonts w:hint="eastAsia" w:ascii="宋体" w:hAnsi="宋体"/>
          <w:sz w:val="24"/>
          <w:szCs w:val="22"/>
        </w:rPr>
        <w:t>实现乐东黎族自治县治安视频监控一类、二类、三类监控点监控覆盖率达提升，达到治安监控系统在县城主要道路、重点单位的全方位覆盖，二三类乡镇补点，到村路口，中线高速出入口，人员卡口等，并配置视频专网设备，建设公安局集中存储系统，满足视频集中存储功能。达到动静结合，全面管控的目标。</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outlineLvl w:val="9"/>
        <w:rPr>
          <w:rFonts w:hint="eastAsia" w:ascii="宋体" w:hAnsi="宋体"/>
          <w:b/>
          <w:i/>
          <w:sz w:val="32"/>
          <w:szCs w:val="28"/>
        </w:rPr>
      </w:pPr>
      <w:r>
        <w:rPr>
          <w:rFonts w:hint="eastAsia" w:ascii="宋体" w:hAnsi="宋体"/>
          <w:sz w:val="24"/>
          <w:szCs w:val="22"/>
        </w:rPr>
        <w:t>在城市重点部位、公共场所、主要路口路段、城市出入口、十字路口、案件多发地带等区域设置监控点实现“整体布局网络化、局部区域闭合化、重点路口全摄入、重要部位全覆盖”，建成 “统一编解码标准、统一联网协议、统一控制协议、统一编号规则、统一图像标注、统一位置标识”的视频管理系统，整合各类不同来源、不同格式的视频图像资源，实现视频管理信息系统的数字化、网络化和 智能化；充分利用现已建成的政府部门视频图像资源和社会单位视频图像资源以及政府和公共信息通信基础设施，实现城市视频管理系统的互联互通和信息共享，为政府相关部门，如城管、人防、卫生、环保、消防等提供城市实时图像，切实提高城市的</w:t>
      </w:r>
      <w:r>
        <w:rPr>
          <w:rFonts w:hint="eastAsia" w:ascii="宋体" w:hAnsi="宋体" w:cs="宋体"/>
          <w:kern w:val="28"/>
          <w:sz w:val="24"/>
        </w:rPr>
        <w:t>可视化管理水平。</w:t>
      </w:r>
    </w:p>
    <w:p>
      <w:pPr>
        <w:pStyle w:val="5"/>
        <w:tabs>
          <w:tab w:val="clear" w:pos="9458"/>
        </w:tabs>
        <w:spacing w:line="360" w:lineRule="auto"/>
        <w:ind w:left="0"/>
        <w:jc w:val="both"/>
        <w:outlineLvl w:val="1"/>
        <w:rPr>
          <w:rFonts w:hint="eastAsia" w:ascii="宋体" w:hAnsi="宋体"/>
          <w:b/>
          <w:i w:val="0"/>
          <w:sz w:val="32"/>
          <w:szCs w:val="28"/>
        </w:rPr>
      </w:pPr>
      <w:bookmarkStart w:id="0" w:name="_Toc509168561"/>
      <w:r>
        <w:rPr>
          <w:rFonts w:hint="eastAsia" w:ascii="宋体" w:hAnsi="宋体"/>
          <w:b/>
          <w:i w:val="0"/>
          <w:sz w:val="32"/>
          <w:szCs w:val="28"/>
          <w:lang w:eastAsia="zh-CN"/>
        </w:rPr>
        <w:t>二</w:t>
      </w:r>
      <w:r>
        <w:rPr>
          <w:rFonts w:hint="eastAsia" w:ascii="宋体" w:hAnsi="宋体"/>
          <w:b/>
          <w:i w:val="0"/>
          <w:sz w:val="32"/>
          <w:szCs w:val="28"/>
        </w:rPr>
        <w:t>、主要建设内容</w:t>
      </w:r>
      <w:bookmarkEnd w:id="0"/>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outlineLvl w:val="9"/>
        <w:rPr>
          <w:rFonts w:hint="eastAsia" w:ascii="宋体" w:hAnsi="宋体"/>
          <w:sz w:val="24"/>
          <w:szCs w:val="22"/>
        </w:rPr>
      </w:pPr>
      <w:r>
        <w:rPr>
          <w:rFonts w:hint="eastAsia" w:ascii="宋体" w:hAnsi="宋体"/>
          <w:sz w:val="24"/>
          <w:szCs w:val="22"/>
        </w:rPr>
        <w:t>一、治安视频监控点位建设：包括666路监控前端建设（包括高清视频监控，乡镇补点，到村路口，中线高速出入口、高空瞭望点，人脸识别前端)，视频存储60天；</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outlineLvl w:val="9"/>
        <w:rPr>
          <w:rFonts w:hint="eastAsia" w:ascii="宋体" w:hAnsi="宋体"/>
          <w:sz w:val="24"/>
          <w:szCs w:val="22"/>
        </w:rPr>
      </w:pPr>
      <w:r>
        <w:rPr>
          <w:rFonts w:hint="eastAsia" w:ascii="宋体" w:hAnsi="宋体"/>
          <w:sz w:val="24"/>
          <w:szCs w:val="22"/>
        </w:rPr>
        <w:t>二、视频综合管理平台建设：整合前期各项目已建设及将建设的视频资源统一接入管理,集合卡口应用,视频管理,电子地图,录像管理,操作管理,设备运行状态,数据统计等功能。功能包括资产管理，设备运行状态，前端自动检测，包括在线率，完好率及故障处理状态大数据分析展示平台；</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outlineLvl w:val="9"/>
        <w:rPr>
          <w:rFonts w:hint="eastAsia" w:ascii="宋体" w:hAnsi="宋体"/>
          <w:sz w:val="24"/>
          <w:szCs w:val="22"/>
        </w:rPr>
      </w:pPr>
      <w:r>
        <w:rPr>
          <w:rFonts w:hint="eastAsia" w:ascii="宋体" w:hAnsi="宋体"/>
          <w:sz w:val="24"/>
          <w:szCs w:val="22"/>
        </w:rPr>
        <w:t>三、集约化平台建设：包括建设云计算、云存储资源池，以及配套网络及安全设备的配置。并对原有已建存储设备进行统一利旧，减少服务器采购，降低用电量，同时提高系统的可用性。云存储可以提高系统存取速度，对大数据挖掘分析提供快速响应，同时减少因存储故障引起的数据丢失；</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outlineLvl w:val="9"/>
        <w:rPr>
          <w:rFonts w:hint="eastAsia" w:ascii="宋体" w:hAnsi="宋体"/>
          <w:sz w:val="24"/>
          <w:szCs w:val="22"/>
        </w:rPr>
      </w:pPr>
      <w:r>
        <w:rPr>
          <w:rFonts w:hint="eastAsia" w:ascii="宋体" w:hAnsi="宋体"/>
          <w:sz w:val="24"/>
          <w:szCs w:val="22"/>
        </w:rPr>
        <w:t>四、图侦实战平台建设:基于视频图像大数据结构化，挖掘分析，实现GA1400标准的视图结构化及实战业务应用，提高破案率；</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outlineLvl w:val="9"/>
        <w:rPr>
          <w:rFonts w:hint="eastAsia" w:ascii="宋体" w:hAnsi="宋体"/>
          <w:sz w:val="24"/>
          <w:szCs w:val="22"/>
        </w:rPr>
      </w:pPr>
      <w:r>
        <w:rPr>
          <w:rFonts w:hint="eastAsia" w:ascii="宋体" w:hAnsi="宋体"/>
          <w:sz w:val="24"/>
          <w:szCs w:val="22"/>
        </w:rPr>
        <w:t>五、合成作战指挥中心建设：装修，大屏显示系统，视音频调度系统、多联屏终端，会商系统、数字会议系统、中央控制系统，操作台，作战指挥区会议桌椅等；</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outlineLvl w:val="9"/>
        <w:rPr>
          <w:rFonts w:hint="eastAsia" w:ascii="宋体" w:hAnsi="宋体"/>
          <w:sz w:val="24"/>
          <w:szCs w:val="22"/>
        </w:rPr>
      </w:pPr>
      <w:r>
        <w:rPr>
          <w:rFonts w:hint="eastAsia" w:ascii="宋体" w:hAnsi="宋体"/>
          <w:sz w:val="24"/>
          <w:szCs w:val="22"/>
        </w:rPr>
        <w:t>六、公安视频会议系统建设：延伸到11个镇派出所，实现省厅、边防公安、森林公安的会议联网对接；</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outlineLvl w:val="9"/>
        <w:rPr>
          <w:rFonts w:hint="eastAsia" w:ascii="宋体" w:hAnsi="宋体"/>
          <w:sz w:val="24"/>
          <w:szCs w:val="22"/>
        </w:rPr>
      </w:pPr>
      <w:r>
        <w:rPr>
          <w:rFonts w:hint="eastAsia" w:ascii="宋体" w:hAnsi="宋体"/>
          <w:sz w:val="24"/>
          <w:szCs w:val="22"/>
        </w:rPr>
        <w:t>七、派出所机房升级改造：11个派出所分控中心防雷接地,供配电。</w:t>
      </w:r>
    </w:p>
    <w:p>
      <w:pPr>
        <w:pStyle w:val="5"/>
        <w:tabs>
          <w:tab w:val="clear" w:pos="9458"/>
        </w:tabs>
        <w:spacing w:line="360" w:lineRule="auto"/>
        <w:ind w:left="0"/>
        <w:jc w:val="both"/>
        <w:outlineLvl w:val="1"/>
        <w:rPr>
          <w:rFonts w:hint="eastAsia" w:ascii="宋体" w:hAnsi="宋体"/>
          <w:b/>
          <w:i w:val="0"/>
          <w:sz w:val="32"/>
          <w:szCs w:val="28"/>
        </w:rPr>
      </w:pPr>
      <w:bookmarkStart w:id="1" w:name="_Toc509168562"/>
      <w:r>
        <w:rPr>
          <w:rFonts w:hint="eastAsia" w:ascii="宋体" w:hAnsi="宋体"/>
          <w:b/>
          <w:i w:val="0"/>
          <w:sz w:val="32"/>
          <w:szCs w:val="28"/>
          <w:lang w:eastAsia="zh-CN"/>
        </w:rPr>
        <w:t>三</w:t>
      </w:r>
      <w:r>
        <w:rPr>
          <w:rFonts w:hint="eastAsia" w:ascii="宋体" w:hAnsi="宋体"/>
          <w:b/>
          <w:i w:val="0"/>
          <w:sz w:val="32"/>
          <w:szCs w:val="28"/>
        </w:rPr>
        <w:t>、主要编制依据</w:t>
      </w:r>
      <w:bookmarkEnd w:id="1"/>
    </w:p>
    <w:p>
      <w:pPr>
        <w:ind w:firstLine="560"/>
        <w:jc w:val="left"/>
        <w:rPr>
          <w:rFonts w:hint="eastAsia" w:ascii="宋体" w:hAnsi="宋体" w:cs="宋体"/>
          <w:kern w:val="28"/>
          <w:sz w:val="24"/>
        </w:rPr>
      </w:pPr>
      <w:r>
        <w:rPr>
          <w:rFonts w:hint="eastAsia" w:ascii="宋体" w:hAnsi="宋体" w:cs="宋体"/>
          <w:kern w:val="28"/>
          <w:sz w:val="24"/>
        </w:rPr>
        <w:t>（1）《国家电子政务工程建设项目管理暂行办法》（国家发展和改革委员会令第55号）</w:t>
      </w:r>
    </w:p>
    <w:p>
      <w:pPr>
        <w:ind w:firstLine="560"/>
        <w:jc w:val="left"/>
        <w:rPr>
          <w:rFonts w:hint="eastAsia" w:ascii="宋体" w:hAnsi="宋体" w:cs="宋体"/>
          <w:kern w:val="28"/>
          <w:sz w:val="24"/>
        </w:rPr>
      </w:pPr>
      <w:r>
        <w:rPr>
          <w:rFonts w:hint="eastAsia" w:ascii="宋体" w:hAnsi="宋体" w:cs="宋体"/>
          <w:kern w:val="28"/>
          <w:sz w:val="24"/>
        </w:rPr>
        <w:t>（2）《关于下达海岛型立体化治安防控体系三大管控系统建设任务书的通知》（琼公通[2013]105号）；</w:t>
      </w:r>
    </w:p>
    <w:p>
      <w:pPr>
        <w:ind w:firstLine="560"/>
        <w:jc w:val="left"/>
        <w:rPr>
          <w:rFonts w:hint="eastAsia" w:ascii="宋体" w:hAnsi="宋体" w:cs="宋体"/>
          <w:kern w:val="28"/>
          <w:sz w:val="24"/>
        </w:rPr>
      </w:pPr>
      <w:r>
        <w:rPr>
          <w:rFonts w:hint="eastAsia" w:ascii="宋体" w:hAnsi="宋体" w:cs="宋体"/>
          <w:kern w:val="28"/>
          <w:sz w:val="24"/>
        </w:rPr>
        <w:t>（3）《关于加强社会治安防控体系建设的意见》（中共中央办公厅、国务院办公厅2015年4月13日印发）</w:t>
      </w:r>
    </w:p>
    <w:p>
      <w:pPr>
        <w:ind w:firstLine="560"/>
        <w:jc w:val="left"/>
        <w:rPr>
          <w:rFonts w:hint="eastAsia" w:ascii="宋体" w:hAnsi="宋体" w:cs="宋体"/>
          <w:kern w:val="28"/>
          <w:sz w:val="24"/>
        </w:rPr>
      </w:pPr>
      <w:r>
        <w:rPr>
          <w:rFonts w:hint="eastAsia" w:ascii="宋体" w:hAnsi="宋体" w:cs="宋体"/>
          <w:kern w:val="28"/>
          <w:sz w:val="24"/>
        </w:rPr>
        <w:t>（4）《关于加强社会治安防控体系建设的意见》(中办发[2014]69号)；</w:t>
      </w:r>
    </w:p>
    <w:p>
      <w:pPr>
        <w:ind w:firstLine="560"/>
        <w:jc w:val="left"/>
        <w:rPr>
          <w:rFonts w:hint="eastAsia" w:ascii="宋体" w:hAnsi="宋体" w:cs="宋体"/>
          <w:kern w:val="28"/>
          <w:sz w:val="24"/>
        </w:rPr>
      </w:pPr>
      <w:r>
        <w:rPr>
          <w:rFonts w:hint="eastAsia" w:ascii="宋体" w:hAnsi="宋体" w:cs="宋体"/>
          <w:kern w:val="28"/>
          <w:sz w:val="24"/>
        </w:rPr>
        <w:t>（5）《关于进一步加强公安机关视频图像信息应用工作的意见》（公安部-公通字〔2015〕4号）；</w:t>
      </w:r>
    </w:p>
    <w:p>
      <w:pPr>
        <w:ind w:firstLine="560"/>
        <w:jc w:val="left"/>
        <w:rPr>
          <w:rFonts w:hint="eastAsia" w:ascii="宋体" w:hAnsi="宋体" w:cs="宋体"/>
          <w:kern w:val="28"/>
          <w:sz w:val="24"/>
        </w:rPr>
      </w:pPr>
      <w:r>
        <w:rPr>
          <w:rFonts w:hint="eastAsia" w:ascii="宋体" w:hAnsi="宋体" w:cs="宋体"/>
          <w:kern w:val="28"/>
          <w:sz w:val="24"/>
        </w:rPr>
        <w:t>（6）《乐东黎族自治县立体化防控(二期)项目可行性研究报告》；</w:t>
      </w:r>
    </w:p>
    <w:p>
      <w:pPr>
        <w:ind w:firstLine="560"/>
        <w:jc w:val="left"/>
        <w:rPr>
          <w:rFonts w:hint="eastAsia" w:ascii="宋体" w:hAnsi="宋体" w:cs="宋体"/>
          <w:kern w:val="28"/>
          <w:sz w:val="24"/>
        </w:rPr>
      </w:pPr>
      <w:r>
        <w:rPr>
          <w:rFonts w:hint="eastAsia" w:ascii="宋体" w:hAnsi="宋体" w:cs="宋体"/>
          <w:kern w:val="28"/>
          <w:sz w:val="24"/>
        </w:rPr>
        <w:t>（7）经采购人单位审核同意的业务需求调研、勘察结果。</w:t>
      </w:r>
    </w:p>
    <w:p>
      <w:pPr>
        <w:rPr>
          <w:rFonts w:hint="eastAsia"/>
        </w:rPr>
      </w:pPr>
    </w:p>
    <w:p>
      <w:pPr>
        <w:pStyle w:val="5"/>
        <w:tabs>
          <w:tab w:val="clear" w:pos="9458"/>
        </w:tabs>
        <w:spacing w:line="360" w:lineRule="auto"/>
        <w:ind w:left="0"/>
        <w:jc w:val="both"/>
        <w:outlineLvl w:val="1"/>
        <w:rPr>
          <w:rFonts w:hint="eastAsia" w:ascii="宋体" w:hAnsi="宋体"/>
          <w:b/>
          <w:i w:val="0"/>
          <w:sz w:val="32"/>
          <w:szCs w:val="28"/>
        </w:rPr>
      </w:pPr>
      <w:bookmarkStart w:id="2" w:name="_Toc509168563"/>
      <w:r>
        <w:rPr>
          <w:rFonts w:hint="eastAsia" w:ascii="宋体" w:hAnsi="宋体"/>
          <w:b/>
          <w:i w:val="0"/>
          <w:sz w:val="32"/>
          <w:szCs w:val="28"/>
          <w:lang w:eastAsia="zh-CN"/>
        </w:rPr>
        <w:t>四</w:t>
      </w:r>
      <w:r>
        <w:rPr>
          <w:rFonts w:hint="eastAsia" w:ascii="宋体" w:hAnsi="宋体"/>
          <w:b/>
          <w:i w:val="0"/>
          <w:sz w:val="32"/>
          <w:szCs w:val="28"/>
        </w:rPr>
        <w:t>、项目采购具体要求</w:t>
      </w:r>
      <w:bookmarkEnd w:id="2"/>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（1）项目调研要求</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按照</w:t>
      </w:r>
      <w:r>
        <w:rPr>
          <w:rFonts w:hint="eastAsia" w:ascii="宋体" w:hAnsi="宋体" w:cs="宋体"/>
          <w:kern w:val="28"/>
          <w:sz w:val="24"/>
          <w:lang w:eastAsia="zh-CN"/>
        </w:rPr>
        <w:t>乐东县</w:t>
      </w:r>
      <w:r>
        <w:rPr>
          <w:rFonts w:hint="eastAsia" w:ascii="宋体" w:hAnsi="宋体" w:cs="宋体"/>
          <w:kern w:val="28"/>
          <w:sz w:val="24"/>
        </w:rPr>
        <w:t>发改委的批复意见，结合《</w:t>
      </w:r>
      <w:r>
        <w:rPr>
          <w:rFonts w:hint="eastAsia" w:ascii="宋体" w:hAnsi="宋体" w:cs="宋体"/>
          <w:kern w:val="28"/>
          <w:sz w:val="24"/>
          <w:lang w:eastAsia="zh-CN"/>
        </w:rPr>
        <w:t>乐东县立体化防控(二期)</w:t>
      </w:r>
      <w:r>
        <w:rPr>
          <w:rFonts w:hint="eastAsia" w:ascii="宋体" w:hAnsi="宋体" w:cs="宋体"/>
          <w:kern w:val="28"/>
          <w:sz w:val="24"/>
        </w:rPr>
        <w:t>项目可行性研究报告》，中标人组织技术人员到</w:t>
      </w:r>
      <w:r>
        <w:rPr>
          <w:rFonts w:hint="eastAsia" w:ascii="宋体" w:hAnsi="宋体" w:cs="宋体"/>
          <w:kern w:val="28"/>
          <w:sz w:val="24"/>
          <w:lang w:eastAsia="zh-CN"/>
        </w:rPr>
        <w:t>乐东县</w:t>
      </w:r>
      <w:r>
        <w:rPr>
          <w:rFonts w:hint="eastAsia" w:ascii="宋体" w:hAnsi="宋体" w:cs="宋体"/>
          <w:kern w:val="28"/>
          <w:sz w:val="24"/>
          <w:lang w:val="en-US" w:eastAsia="zh-CN"/>
        </w:rPr>
        <w:t>境内，</w:t>
      </w:r>
      <w:r>
        <w:rPr>
          <w:rFonts w:hint="eastAsia" w:ascii="宋体" w:hAnsi="宋体" w:cs="宋体"/>
          <w:kern w:val="28"/>
          <w:sz w:val="24"/>
        </w:rPr>
        <w:t>公安局各相关部门进行调研，调研方式采用实地、问卷、电话访谈等方式，围绕工作需要、重点工作安排、业务流程、业务框架、业务数据和运行状况等进行详细调研，全面梳理采购人的相关业务、系统现状，提出建设性、达标性的意见。</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（2）项目初步设计及投资概算编制要求</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在已经通过的可行性研究报告和业务需求调研结果基础上，对项目进行初步设计及投资概算的编制工作，进一步明确并细化项目建设需求、建设原则、建设目标、建设内容、实施方案、投资概算、风险及效益分析等内容以及所有设计图纸。</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项目初步设计及投资概算编制须符合《国家电子政务工程建设项目管理暂行办法》（国家发展和改革委员会令第55号）中“国家电子政务工程建设项目初步设计方案和投资概算编制要求”的规范要求。</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（3）项目成果及验收标准</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项目成果：</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lang w:eastAsia="zh-CN"/>
        </w:rPr>
        <w:t>乐东黎族自治县立体化防控(二期)项目</w:t>
      </w:r>
      <w:r>
        <w:rPr>
          <w:rFonts w:hint="eastAsia" w:ascii="宋体" w:hAnsi="宋体" w:cs="宋体"/>
          <w:kern w:val="28"/>
          <w:sz w:val="24"/>
        </w:rPr>
        <w:t>初步设计方案</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lang w:eastAsia="zh-CN"/>
        </w:rPr>
        <w:t>乐东黎族自治县立体化防控(二期)项目</w:t>
      </w:r>
      <w:r>
        <w:rPr>
          <w:rFonts w:hint="eastAsia" w:ascii="宋体" w:hAnsi="宋体" w:cs="宋体"/>
          <w:kern w:val="28"/>
          <w:sz w:val="24"/>
        </w:rPr>
        <w:t>设计图集</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lang w:eastAsia="zh-CN"/>
        </w:rPr>
        <w:t>乐东黎族自治县立体化防控(二期)项目</w:t>
      </w:r>
      <w:r>
        <w:rPr>
          <w:rFonts w:hint="eastAsia" w:ascii="宋体" w:hAnsi="宋体" w:cs="宋体"/>
          <w:kern w:val="28"/>
          <w:sz w:val="24"/>
        </w:rPr>
        <w:t>概算书</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验收标准：通过</w:t>
      </w:r>
      <w:r>
        <w:rPr>
          <w:rFonts w:hint="eastAsia" w:ascii="宋体" w:hAnsi="宋体" w:cs="宋体"/>
          <w:kern w:val="28"/>
          <w:sz w:val="24"/>
          <w:lang w:eastAsia="zh-CN"/>
        </w:rPr>
        <w:t>乐东县</w:t>
      </w:r>
      <w:r>
        <w:rPr>
          <w:rFonts w:hint="eastAsia" w:ascii="宋体" w:hAnsi="宋体" w:cs="宋体"/>
          <w:kern w:val="28"/>
          <w:sz w:val="24"/>
        </w:rPr>
        <w:t>发改委组织的评审并获批复文件。</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（4）后续服务支撑要求</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在项目实施建设过程中，对项目建设实施单位进行项目交底，完成设计的功能特点、设计意图、技术选型和质量要求等说明，解答承建单位提出的对设计不清楚或不明确的疑问等服务，并为采购人提供技术咨询服务工作；在项目建成运行的后续使用中，提供对系统优化咨询服务。</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六、付款方式</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在乙方提交的初步设计方案（含投资概算）通过县主管部门组织的评审并获初步设计批复文件后，并在乙方向甲方开具符合采购人财务管理要求的相应发票后10个工作日内，甲方向乙方支付设计服务合同金额的100%。</w:t>
      </w:r>
    </w:p>
    <w:p>
      <w:pPr>
        <w:pStyle w:val="5"/>
        <w:tabs>
          <w:tab w:val="clear" w:pos="9458"/>
        </w:tabs>
        <w:spacing w:line="360" w:lineRule="auto"/>
        <w:ind w:left="0"/>
        <w:jc w:val="both"/>
        <w:outlineLvl w:val="1"/>
        <w:rPr>
          <w:rFonts w:hint="eastAsia" w:ascii="宋体" w:hAnsi="宋体"/>
          <w:b/>
          <w:i w:val="0"/>
          <w:sz w:val="32"/>
          <w:szCs w:val="28"/>
        </w:rPr>
      </w:pPr>
      <w:bookmarkStart w:id="5" w:name="_GoBack"/>
      <w:bookmarkEnd w:id="5"/>
      <w:bookmarkStart w:id="3" w:name="_Toc490734198"/>
      <w:bookmarkStart w:id="4" w:name="_Toc509168564"/>
      <w:r>
        <w:rPr>
          <w:rFonts w:hint="eastAsia" w:ascii="宋体" w:hAnsi="宋体"/>
          <w:b/>
          <w:i w:val="0"/>
          <w:sz w:val="32"/>
          <w:szCs w:val="28"/>
          <w:lang w:eastAsia="zh-CN"/>
        </w:rPr>
        <w:t>五</w:t>
      </w:r>
      <w:r>
        <w:rPr>
          <w:rFonts w:hint="eastAsia" w:ascii="宋体" w:hAnsi="宋体"/>
          <w:b/>
          <w:i w:val="0"/>
          <w:sz w:val="32"/>
          <w:szCs w:val="28"/>
        </w:rPr>
        <w:t>、其他要求</w:t>
      </w:r>
      <w:bookmarkEnd w:id="3"/>
      <w:bookmarkEnd w:id="4"/>
    </w:p>
    <w:p>
      <w:pPr>
        <w:adjustRightInd w:val="0"/>
        <w:snapToGrid w:val="0"/>
        <w:spacing w:line="360" w:lineRule="auto"/>
        <w:ind w:firstLine="482" w:firstLineChars="200"/>
        <w:rPr>
          <w:rFonts w:ascii="宋体" w:hAnsi="宋体" w:cs="宋体"/>
          <w:b/>
          <w:kern w:val="28"/>
          <w:sz w:val="24"/>
        </w:rPr>
      </w:pPr>
      <w:r>
        <w:rPr>
          <w:rFonts w:hint="eastAsia" w:ascii="宋体" w:hAnsi="宋体" w:cs="宋体"/>
          <w:b/>
          <w:kern w:val="28"/>
          <w:sz w:val="24"/>
        </w:rPr>
        <w:t>中标人必须在设计周期内，提交以下成果，提交的初步设计方案及概算必须通过立项主管部门组织专家的评审：</w:t>
      </w:r>
    </w:p>
    <w:p>
      <w:pPr>
        <w:adjustRightInd w:val="0"/>
        <w:snapToGrid w:val="0"/>
        <w:spacing w:line="360" w:lineRule="auto"/>
        <w:ind w:firstLine="480" w:firstLineChars="200"/>
        <w:rPr>
          <w:rFonts w:ascii="宋体" w:hAnsi="宋体" w:cs="宋体"/>
          <w:kern w:val="28"/>
          <w:sz w:val="24"/>
        </w:rPr>
      </w:pPr>
      <w:r>
        <w:rPr>
          <w:rFonts w:hint="eastAsia" w:ascii="宋体" w:hAnsi="宋体" w:cs="宋体"/>
          <w:kern w:val="28"/>
          <w:sz w:val="24"/>
        </w:rPr>
        <w:t>（1）交付的成果必须签署齐全，图文清楚，图面清晰，完整齐全。</w:t>
      </w:r>
    </w:p>
    <w:p>
      <w:pPr>
        <w:adjustRightInd w:val="0"/>
        <w:snapToGrid w:val="0"/>
        <w:spacing w:line="360" w:lineRule="auto"/>
        <w:ind w:firstLine="480" w:firstLineChars="200"/>
        <w:rPr>
          <w:rFonts w:ascii="宋体" w:hAnsi="宋体" w:cs="宋体"/>
          <w:kern w:val="28"/>
          <w:sz w:val="24"/>
        </w:rPr>
      </w:pPr>
      <w:r>
        <w:rPr>
          <w:rFonts w:hint="eastAsia" w:ascii="宋体" w:hAnsi="宋体" w:cs="宋体"/>
          <w:kern w:val="28"/>
          <w:sz w:val="24"/>
        </w:rPr>
        <w:t>（2）设计方案：按《国家电子政务工程建设项目管理暂行办法》国家发改委55号附件3标准提供初步设计方案，各专业的设计图纸（含设计说明）、概算书等。</w:t>
      </w:r>
    </w:p>
    <w:p>
      <w:pPr>
        <w:adjustRightInd w:val="0"/>
        <w:snapToGrid w:val="0"/>
        <w:spacing w:line="360" w:lineRule="auto"/>
        <w:ind w:firstLine="480" w:firstLineChars="200"/>
        <w:rPr>
          <w:rFonts w:ascii="宋体" w:hAnsi="宋体" w:cs="宋体"/>
          <w:kern w:val="28"/>
          <w:sz w:val="24"/>
        </w:rPr>
      </w:pPr>
      <w:r>
        <w:rPr>
          <w:rFonts w:hint="eastAsia" w:ascii="宋体" w:hAnsi="宋体" w:cs="宋体"/>
          <w:kern w:val="28"/>
          <w:sz w:val="24"/>
        </w:rPr>
        <w:t>（3）设备招标目录、规格和技术参数，设备厂商原则上不少于3家。</w:t>
      </w:r>
    </w:p>
    <w:p>
      <w:pPr>
        <w:adjustRightInd w:val="0"/>
        <w:snapToGrid w:val="0"/>
        <w:spacing w:line="360" w:lineRule="auto"/>
        <w:ind w:firstLine="480" w:firstLineChars="200"/>
        <w:rPr>
          <w:rFonts w:ascii="宋体" w:hAnsi="宋体" w:cs="宋体"/>
          <w:kern w:val="28"/>
          <w:sz w:val="24"/>
        </w:rPr>
      </w:pPr>
      <w:r>
        <w:rPr>
          <w:rFonts w:hint="eastAsia" w:ascii="宋体" w:hAnsi="宋体" w:cs="宋体"/>
          <w:kern w:val="28"/>
          <w:sz w:val="24"/>
        </w:rPr>
        <w:t>（4）提供采购招标的技术要求书，为采购招标提供技术依据。</w:t>
      </w:r>
    </w:p>
    <w:p>
      <w:pPr>
        <w:adjustRightInd w:val="0"/>
        <w:snapToGrid w:val="0"/>
        <w:spacing w:line="360" w:lineRule="auto"/>
        <w:ind w:firstLine="480" w:firstLineChars="200"/>
        <w:rPr>
          <w:rFonts w:ascii="宋体" w:hAnsi="宋体" w:cs="宋体"/>
          <w:kern w:val="28"/>
          <w:sz w:val="24"/>
        </w:rPr>
      </w:pPr>
      <w:r>
        <w:rPr>
          <w:rFonts w:hint="eastAsia" w:ascii="宋体" w:hAnsi="宋体" w:cs="宋体"/>
          <w:kern w:val="28"/>
          <w:sz w:val="24"/>
        </w:rPr>
        <w:t>（5）设计文件交付数量。修订后的初步设计方案提供设计图纸及文件4份，并提供一份完整电子文档。</w:t>
      </w:r>
    </w:p>
    <w:p>
      <w:pPr>
        <w:adjustRightInd w:val="0"/>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（6）设计文件制图采用AUTOCAD，文件使用MS-WORD及EXCEL。</w:t>
      </w:r>
    </w:p>
    <w:p>
      <w:pPr>
        <w:adjustRightInd w:val="0"/>
        <w:snapToGrid w:val="0"/>
        <w:spacing w:line="360" w:lineRule="auto"/>
        <w:ind w:firstLine="480" w:firstLineChars="200"/>
        <w:rPr>
          <w:rFonts w:ascii="宋体" w:hAnsi="宋体" w:cs="宋体"/>
          <w:kern w:val="28"/>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67345"/>
    <w:rsid w:val="6D535020"/>
    <w:rsid w:val="72F6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840" w:leftChars="400"/>
    </w:pPr>
    <w:rPr>
      <w:rFonts w:ascii="Times New Roman" w:hAnsi="Times New Roman" w:eastAsia="宋体" w:cs="Times New Roman"/>
    </w:rPr>
  </w:style>
  <w:style w:type="paragraph" w:customStyle="1" w:styleId="5">
    <w:name w:val="样式2"/>
    <w:basedOn w:val="2"/>
    <w:qFormat/>
    <w:uiPriority w:val="0"/>
    <w:pPr>
      <w:tabs>
        <w:tab w:val="right" w:leader="dot" w:pos="9458"/>
      </w:tabs>
      <w:ind w:left="420" w:leftChars="0"/>
      <w:jc w:val="left"/>
    </w:pPr>
    <w:rPr>
      <w:rFonts w:ascii="Arial" w:hAnsi="Calibri" w:eastAsia="宋体" w:cs="Arial"/>
      <w:i/>
      <w:iCs/>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2018-08-20T06:45:00Z</dcterms:created>
  <dc:creator>Administrator</dc:creator>
  <cp:lastModifiedBy>Administrator</cp:lastModifiedBy>
  <dcterms:modified xsi:type="dcterms:W3CDTF">2018-08-20T06:45:46Z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