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val="0"/>
          <w:bCs/>
          <w:color w:val="000000"/>
          <w:sz w:val="44"/>
          <w:szCs w:val="44"/>
          <w:lang w:eastAsia="zh-CN"/>
        </w:rPr>
      </w:pPr>
      <w:bookmarkStart w:id="0" w:name="_Toc3897471"/>
      <w:bookmarkStart w:id="1" w:name="_Toc399326511"/>
      <w:bookmarkStart w:id="2" w:name="_Toc399318767"/>
      <w:bookmarkStart w:id="3" w:name="_Toc58924200"/>
      <w:bookmarkStart w:id="4" w:name="_Toc70220598"/>
      <w:bookmarkStart w:id="5" w:name="_Toc47408379"/>
      <w:r>
        <w:rPr>
          <w:rFonts w:hint="eastAsia"/>
          <w:b w:val="0"/>
          <w:bCs/>
          <w:color w:val="000000"/>
          <w:sz w:val="44"/>
          <w:szCs w:val="44"/>
          <w:lang w:eastAsia="zh-CN"/>
        </w:rPr>
        <w:t>《定安县见龙大道两侧城市设计导则》编制</w:t>
      </w:r>
      <w:bookmarkStart w:id="6" w:name="_GoBack"/>
      <w:bookmarkEnd w:id="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宋体"/>
          <w:b w:val="0"/>
          <w:bCs/>
          <w:color w:val="000000"/>
          <w:sz w:val="44"/>
          <w:szCs w:val="44"/>
          <w:lang w:eastAsia="zh-CN"/>
        </w:rPr>
      </w:pPr>
      <w:r>
        <w:rPr>
          <w:rFonts w:hint="eastAsia"/>
          <w:b w:val="0"/>
          <w:bCs/>
          <w:color w:val="000000"/>
          <w:sz w:val="44"/>
          <w:szCs w:val="44"/>
          <w:lang w:eastAsia="zh-CN"/>
        </w:rPr>
        <w:t>设计任务要求</w:t>
      </w:r>
    </w:p>
    <w:bookmarkEnd w:id="0"/>
    <w:bookmarkEnd w:id="1"/>
    <w:bookmarkEnd w:id="2"/>
    <w:bookmarkEnd w:id="3"/>
    <w:bookmarkEnd w:id="4"/>
    <w:bookmarkEnd w:id="5"/>
    <w:p>
      <w:pPr>
        <w:spacing w:line="480" w:lineRule="exact"/>
        <w:jc w:val="left"/>
        <w:rPr>
          <w:rFonts w:ascii="宋体" w:hAnsi="宋体" w:cs="宋体"/>
          <w:b/>
          <w:szCs w:val="21"/>
        </w:rPr>
      </w:pPr>
    </w:p>
    <w:p>
      <w:pPr>
        <w:spacing w:line="360" w:lineRule="auto"/>
        <w:ind w:firstLine="472" w:firstLineChars="196"/>
        <w:rPr>
          <w:rFonts w:ascii="宋体" w:hAnsi="宋体"/>
          <w:b/>
          <w:sz w:val="24"/>
        </w:rPr>
      </w:pPr>
    </w:p>
    <w:p>
      <w:pPr>
        <w:spacing w:line="0" w:lineRule="atLeast"/>
        <w:rPr>
          <w:rFonts w:hint="eastAsia" w:ascii="仿宋" w:hAnsi="仿宋" w:eastAsia="仿宋" w:cs="仿宋"/>
          <w:b/>
          <w:sz w:val="32"/>
          <w:szCs w:val="32"/>
        </w:rPr>
      </w:pPr>
      <w:r>
        <w:rPr>
          <w:rFonts w:hint="eastAsia" w:ascii="宋体" w:hAnsi="宋体"/>
          <w:b/>
          <w:sz w:val="28"/>
          <w:lang w:val="en-US" w:eastAsia="zh-CN"/>
        </w:rPr>
        <w:t xml:space="preserve">    </w:t>
      </w:r>
      <w:r>
        <w:rPr>
          <w:rFonts w:hint="eastAsia" w:ascii="黑体" w:hAnsi="黑体" w:eastAsia="黑体" w:cs="黑体"/>
          <w:b w:val="0"/>
          <w:bCs/>
          <w:sz w:val="32"/>
          <w:szCs w:val="32"/>
        </w:rPr>
        <w:t>一、项目背景</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为深入贯彻落实《中共中央国务院关于进一步加强城市规划建设管理工作的若干意见》(中发〔2016〕6号)以及《中共海南省委海南省人民政府关于加强城镇规划建设管理工作的实施意见》(琼发〔2016〕23号)精神，塑造富有特色的城镇风貌，提升国际旅游岛开发建设品质。2017年2月，海南省人民政府发布《关于加强城市设计和建筑风貌管理的通知 琼府〔2017〕15号》，要求各市县在总体规划和控制性详细规划修编工作中，必须强化城市设计内容，增加城市设计篇章。并将海岸带、河流两侧、湖泊周边、山体周边、中心城区和县城镇主干道以及重要景观路两侧、大型公园周边、历史文化街区周边等列入重要景观风貌控制区，在开展城市设计的基础上组织编制城市设计导则，并作为指导建设项目设计和规划报建的控制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2018年4月，省人民代表大会常务委员会通过修改《海南省城乡规划条例》，将城市设计要求纳入条例，第十九条提出：市、县、自治县人民政府规划主管部门应当在片区城市设计基础上，组织编制城市核心区、历史风貌地区、重要街道、滨水地区等重点地区的城市设计导则，报市、县、自治县人民政府审批。城市设计导则应当对重要地段、重点地块提出更加详细的建筑风貌管控要求，包括街道设计、开放空间设计、建筑设计以及其他管控要求，作为建设项目的报建依据。</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eastAsia="zh-CN"/>
        </w:rPr>
        <w:t>根据县委、县政府工作部署，</w:t>
      </w:r>
      <w:r>
        <w:rPr>
          <w:rFonts w:hint="eastAsia" w:ascii="仿宋" w:hAnsi="仿宋" w:eastAsia="仿宋" w:cs="仿宋"/>
          <w:sz w:val="32"/>
          <w:szCs w:val="32"/>
        </w:rPr>
        <w:t>为进一步提高定安县主要道路、门户地区、标志地段的城市景观，优化提升城市形象，塑造特色鲜明、独特优美的城市风貌，</w:t>
      </w:r>
      <w:r>
        <w:rPr>
          <w:rFonts w:hint="eastAsia" w:ascii="仿宋" w:hAnsi="仿宋" w:eastAsia="仿宋" w:cs="仿宋"/>
          <w:color w:val="FF0000"/>
          <w:sz w:val="32"/>
          <w:szCs w:val="32"/>
        </w:rPr>
        <w:t>特组织编制《</w:t>
      </w:r>
      <w:r>
        <w:rPr>
          <w:rFonts w:hint="eastAsia" w:ascii="仿宋" w:hAnsi="仿宋" w:eastAsia="仿宋" w:cs="仿宋"/>
          <w:color w:val="FF0000"/>
          <w:sz w:val="32"/>
          <w:szCs w:val="32"/>
          <w:lang w:eastAsia="zh-CN"/>
        </w:rPr>
        <w:t>定安县见龙</w:t>
      </w:r>
      <w:r>
        <w:rPr>
          <w:rFonts w:hint="eastAsia" w:ascii="仿宋" w:hAnsi="仿宋" w:eastAsia="仿宋" w:cs="仿宋"/>
          <w:color w:val="FF0000"/>
          <w:sz w:val="32"/>
          <w:szCs w:val="32"/>
        </w:rPr>
        <w:t>大道</w:t>
      </w:r>
      <w:r>
        <w:rPr>
          <w:rFonts w:hint="eastAsia" w:ascii="仿宋" w:hAnsi="仿宋" w:eastAsia="仿宋" w:cs="仿宋"/>
          <w:color w:val="FF0000"/>
          <w:sz w:val="32"/>
          <w:szCs w:val="32"/>
          <w:lang w:eastAsia="zh-CN"/>
        </w:rPr>
        <w:t>两侧</w:t>
      </w:r>
      <w:r>
        <w:rPr>
          <w:rFonts w:hint="eastAsia" w:ascii="仿宋" w:hAnsi="仿宋" w:eastAsia="仿宋" w:cs="仿宋"/>
          <w:color w:val="FF0000"/>
          <w:sz w:val="32"/>
          <w:szCs w:val="32"/>
        </w:rPr>
        <w:t>城市设计导则》。</w:t>
      </w:r>
    </w:p>
    <w:p>
      <w:pPr>
        <w:spacing w:line="0" w:lineRule="atLeast"/>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二、规划依据</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《中共中央国务院关于进一步加强城市规划建设管理工作的若干意见》(中发〔2016〕6号)</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《中共海南省委海南省人民政府关于加强城镇规划建设管理工作的实施意见》(琼发〔2016〕23号)</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《关于加强城市设计和建筑风貌管理的通知 琼府〔2017〕15号》</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《城市设计管理办法》</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《海南省城乡规划条例》</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（六）</w:t>
      </w:r>
      <w:r>
        <w:rPr>
          <w:rFonts w:hint="eastAsia" w:ascii="楷体" w:hAnsi="楷体" w:eastAsia="楷体" w:cs="楷体"/>
          <w:sz w:val="32"/>
          <w:szCs w:val="32"/>
        </w:rPr>
        <w:t>《海南省总体规划（空间类2015-2030）》</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（七）</w:t>
      </w:r>
      <w:r>
        <w:rPr>
          <w:rFonts w:hint="eastAsia" w:ascii="楷体" w:hAnsi="楷体" w:eastAsia="楷体" w:cs="楷体"/>
          <w:sz w:val="32"/>
          <w:szCs w:val="32"/>
        </w:rPr>
        <w:t>《海南省定安县总体规划（空间类2015-2030）》</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（八）</w:t>
      </w:r>
      <w:r>
        <w:rPr>
          <w:rFonts w:hint="eastAsia" w:ascii="楷体" w:hAnsi="楷体" w:eastAsia="楷体" w:cs="楷体"/>
          <w:sz w:val="32"/>
          <w:szCs w:val="32"/>
        </w:rPr>
        <w:t>《定安县城市总体规划（2005-2020）》</w:t>
      </w:r>
      <w:r>
        <w:rPr>
          <w:rFonts w:hint="eastAsia" w:ascii="楷体" w:hAnsi="楷体" w:eastAsia="楷体" w:cs="楷体"/>
          <w:sz w:val="32"/>
          <w:szCs w:val="32"/>
          <w:lang w:eastAsia="zh-CN"/>
        </w:rPr>
        <w:t>；</w:t>
      </w:r>
    </w:p>
    <w:p>
      <w:pPr>
        <w:pStyle w:val="10"/>
        <w:numPr>
          <w:ilvl w:val="0"/>
          <w:numId w:val="0"/>
        </w:numPr>
        <w:spacing w:line="360" w:lineRule="auto"/>
        <w:ind w:left="460" w:leftChars="0"/>
        <w:rPr>
          <w:rFonts w:hint="eastAsia" w:ascii="楷体" w:hAnsi="楷体" w:eastAsia="楷体" w:cs="楷体"/>
          <w:sz w:val="32"/>
          <w:szCs w:val="32"/>
        </w:rPr>
      </w:pPr>
      <w:r>
        <w:rPr>
          <w:rFonts w:hint="eastAsia" w:ascii="楷体" w:hAnsi="楷体" w:eastAsia="楷体" w:cs="楷体"/>
          <w:sz w:val="32"/>
          <w:szCs w:val="32"/>
          <w:lang w:eastAsia="zh-CN"/>
        </w:rPr>
        <w:t>（九）</w:t>
      </w:r>
      <w:r>
        <w:rPr>
          <w:rFonts w:hint="eastAsia" w:ascii="楷体" w:hAnsi="楷体" w:eastAsia="楷体" w:cs="楷体"/>
          <w:sz w:val="32"/>
          <w:szCs w:val="32"/>
        </w:rPr>
        <w:t>定安县各片区控制性详细规划等</w:t>
      </w:r>
      <w:r>
        <w:rPr>
          <w:rFonts w:hint="eastAsia" w:ascii="楷体" w:hAnsi="楷体" w:eastAsia="楷体" w:cs="楷体"/>
          <w:sz w:val="32"/>
          <w:szCs w:val="32"/>
          <w:lang w:eastAsia="zh-CN"/>
        </w:rPr>
        <w:t>。</w:t>
      </w:r>
    </w:p>
    <w:p>
      <w:pPr>
        <w:spacing w:line="0" w:lineRule="atLeast"/>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黑体" w:hAnsi="黑体" w:eastAsia="黑体" w:cs="黑体"/>
          <w:b w:val="0"/>
          <w:bCs/>
          <w:sz w:val="32"/>
          <w:szCs w:val="32"/>
        </w:rPr>
        <w:t>三、规划编制要求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应以城市规划或上一层次规划为依据，塑造城市风貌特色，注重与山水自然的共生关系，协调市政工程，组织城市公共空间功能，注重建筑空间尺度，提出建筑高度、体量、风格、色彩等控制要求。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同时，应当根据居民生活和城市公共活动需要，统筹交通组织，合理布置交通设施、市政设施、街道家具，拓展步行活动和绿化空间，提升街道特色和活力。</w:t>
      </w:r>
    </w:p>
    <w:p>
      <w:pPr>
        <w:spacing w:line="0" w:lineRule="atLeast"/>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黑体" w:hAnsi="黑体" w:eastAsia="黑体" w:cs="黑体"/>
          <w:b w:val="0"/>
          <w:bCs/>
          <w:sz w:val="32"/>
          <w:szCs w:val="32"/>
        </w:rPr>
        <w:t>四、主要内容与深度</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背景及现状分析</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对道路两侧的区位特征、用地现状、建筑风貌、道路风貌、自然景观、城市景观、历史文化进行分析，对上层次规划规划进行研究，总结地段风貌存在的问题。</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城市设计思路及构架</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针对性提出城市设计导则的设计理念、功能定位、设计目标。</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空间形态</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制订城市设计的总体构建，提出道路、边界、地区、节点、地标五要素的控制重点。</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土地利用与空间形态</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对地段内的土地</w:t>
      </w:r>
      <w:r>
        <w:rPr>
          <w:rFonts w:hint="eastAsia" w:ascii="仿宋" w:hAnsi="仿宋" w:eastAsia="仿宋" w:cs="仿宋"/>
          <w:sz w:val="32"/>
          <w:szCs w:val="32"/>
          <w:lang w:eastAsia="zh-CN"/>
        </w:rPr>
        <w:t>利用</w:t>
      </w:r>
      <w:r>
        <w:rPr>
          <w:rFonts w:hint="eastAsia" w:ascii="仿宋" w:hAnsi="仿宋" w:eastAsia="仿宋" w:cs="仿宋"/>
          <w:sz w:val="32"/>
          <w:szCs w:val="32"/>
        </w:rPr>
        <w:t>、建筑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功能进行优化，对各地块的建筑总量、建筑密度、容积率、车行交通的出入口方位、建筑限高、绿地率等提出具体控制要求。</w:t>
      </w:r>
    </w:p>
    <w:p>
      <w:pPr>
        <w:pStyle w:val="10"/>
        <w:numPr>
          <w:ilvl w:val="0"/>
          <w:numId w:val="0"/>
        </w:numPr>
        <w:spacing w:line="360" w:lineRule="auto"/>
        <w:ind w:left="460" w:leftChars="0"/>
        <w:rPr>
          <w:rFonts w:hint="eastAsia" w:ascii="仿宋" w:hAnsi="仿宋" w:eastAsia="仿宋" w:cs="仿宋"/>
          <w:b/>
          <w:sz w:val="32"/>
          <w:szCs w:val="32"/>
          <w:lang w:eastAsia="zh-CN"/>
        </w:rPr>
      </w:pP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（五）</w:t>
      </w:r>
      <w:r>
        <w:rPr>
          <w:rFonts w:hint="eastAsia" w:ascii="楷体" w:hAnsi="楷体" w:eastAsia="楷体" w:cs="楷体"/>
          <w:b w:val="0"/>
          <w:bCs/>
          <w:sz w:val="32"/>
          <w:szCs w:val="32"/>
        </w:rPr>
        <w:t>城市空间和建筑群体形态设计</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通过研究公共空间的平面和竖向形态，空间的主次、联系、方向、尺度和风格特征，空间的出入口、人流和车流的流线，提出空间系统组织、功能布局、形态设计、景观组织、尺度控制、界面处理等方面的控制和引导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对建筑群体组合的形态、建筑造型、位置、尺度、体量、高度等提出控制与引导要求。</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（六）</w:t>
      </w:r>
      <w:r>
        <w:rPr>
          <w:rFonts w:hint="eastAsia" w:ascii="楷体" w:hAnsi="楷体" w:eastAsia="楷体" w:cs="楷体"/>
          <w:b w:val="0"/>
          <w:bCs/>
          <w:sz w:val="32"/>
          <w:szCs w:val="32"/>
        </w:rPr>
        <w:t>道路交通规划</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提出车行交通、步行交通和交通设施的规划方案，协调道路交通设施与建筑群体、公共空间的关系。对道路提出的交通组织、景观风貌提出优化方案。</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（七）</w:t>
      </w:r>
      <w:r>
        <w:rPr>
          <w:rFonts w:hint="eastAsia" w:ascii="楷体" w:hAnsi="楷体" w:eastAsia="楷体" w:cs="楷体"/>
          <w:b w:val="0"/>
          <w:bCs/>
          <w:sz w:val="32"/>
          <w:szCs w:val="32"/>
        </w:rPr>
        <w:t>公共开敞空间的设计</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对绿地、广场、</w:t>
      </w:r>
      <w:r>
        <w:rPr>
          <w:rFonts w:hint="eastAsia" w:ascii="仿宋" w:hAnsi="仿宋" w:eastAsia="仿宋" w:cs="仿宋"/>
          <w:sz w:val="32"/>
          <w:szCs w:val="32"/>
          <w:lang w:eastAsia="zh-CN"/>
        </w:rPr>
        <w:t>景观</w:t>
      </w:r>
      <w:r>
        <w:rPr>
          <w:rFonts w:hint="eastAsia" w:ascii="仿宋" w:hAnsi="仿宋" w:eastAsia="仿宋" w:cs="仿宋"/>
          <w:sz w:val="32"/>
          <w:szCs w:val="32"/>
        </w:rPr>
        <w:t>平台等的位置、性质、规模和空间形态进行设计，提出控制引导要求。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制定公共空间的设计方案与场所氛围设计要求，对绿地布局与风格，植物选择与配置，环境小品位置、风格等提出控制和引导要求。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制定公共空间的无障碍设计方案。</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对具有防灾避难功能的开敞空间进行相关设施、标识、场地等的布局安排。</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（八）</w:t>
      </w:r>
      <w:r>
        <w:rPr>
          <w:rFonts w:hint="eastAsia" w:ascii="楷体" w:hAnsi="楷体" w:eastAsia="楷体" w:cs="楷体"/>
          <w:b w:val="0"/>
          <w:bCs/>
          <w:sz w:val="32"/>
          <w:szCs w:val="32"/>
        </w:rPr>
        <w:t>建筑风格与建筑环境色彩设计</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根据设计地段的自然和人文环境特征，提出该地段的色彩基调控制与环境色的组合要求，制定可选用的色彩系列，对建筑的形式、风格、外部材质、屋顶形式等提出设计指引。</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（九）</w:t>
      </w:r>
      <w:r>
        <w:rPr>
          <w:rFonts w:hint="eastAsia" w:ascii="楷体" w:hAnsi="楷体" w:eastAsia="楷体" w:cs="楷体"/>
          <w:b w:val="0"/>
          <w:bCs/>
          <w:sz w:val="32"/>
          <w:szCs w:val="32"/>
        </w:rPr>
        <w:t>城市公共环境艺术设计</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对设计地段内的环境小品进行布置安排，制定设计方案或明确选型方案，对小品的形式、色彩、材质、照明等提出设计指引。</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明确环境空间的无障碍设施设置要求。 </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（十）</w:t>
      </w:r>
      <w:r>
        <w:rPr>
          <w:rFonts w:hint="eastAsia" w:ascii="楷体" w:hAnsi="楷体" w:eastAsia="楷体" w:cs="楷体"/>
          <w:b w:val="0"/>
          <w:bCs/>
          <w:sz w:val="32"/>
          <w:szCs w:val="32"/>
        </w:rPr>
        <w:t>近期实施规划</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制定城市设计的近期实施目标，提出近期实施工程项目建议。</w:t>
      </w:r>
    </w:p>
    <w:p>
      <w:pPr>
        <w:spacing w:line="0" w:lineRule="atLeast"/>
        <w:rPr>
          <w:rFonts w:hint="eastAsia" w:ascii="黑体" w:hAnsi="黑体" w:eastAsia="黑体" w:cs="黑体"/>
          <w:b w:val="0"/>
          <w:bCs/>
          <w:sz w:val="32"/>
          <w:szCs w:val="32"/>
        </w:rPr>
      </w:pPr>
      <w:r>
        <w:rPr>
          <w:rFonts w:hint="eastAsia" w:ascii="仿宋" w:hAnsi="仿宋" w:eastAsia="仿宋" w:cs="仿宋"/>
          <w:b/>
          <w:sz w:val="32"/>
          <w:szCs w:val="32"/>
          <w:lang w:val="en-US" w:eastAsia="zh-CN"/>
        </w:rPr>
        <w:t xml:space="preserve">    </w:t>
      </w:r>
      <w:r>
        <w:rPr>
          <w:rFonts w:hint="eastAsia" w:ascii="黑体" w:hAnsi="黑体" w:eastAsia="黑体" w:cs="黑体"/>
          <w:b w:val="0"/>
          <w:bCs/>
          <w:sz w:val="32"/>
          <w:szCs w:val="32"/>
        </w:rPr>
        <w:t>五、成果要求</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城市设计导则应包括文本、说明书、图集和地块设计图则四个部分。</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文本</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文本采用法规条文格式书写，直接表述城市设计的目标和内容，明确强制性要求和指导性意见。文字表述应规范、准确、简洁，体现城市设计的针对性和可操作性。</w:t>
      </w: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说明书</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rPr>
        <w:t>设计说明书的内容为分析现状、论证设计意图、解释设计导则等，为其他规划设计以及城市设计的审查、批准和规划管理提供全面的技术信息。专家审查、咨询和市民公示意见汇编应纳入说明书附录。</w:t>
      </w:r>
    </w:p>
    <w:p>
      <w:pPr>
        <w:pStyle w:val="10"/>
        <w:numPr>
          <w:ilvl w:val="0"/>
          <w:numId w:val="0"/>
        </w:numPr>
        <w:spacing w:line="360" w:lineRule="auto"/>
        <w:ind w:left="460" w:leftChars="0"/>
        <w:rPr>
          <w:rFonts w:hint="eastAsia" w:ascii="仿宋" w:hAnsi="仿宋" w:eastAsia="仿宋" w:cs="仿宋"/>
          <w:b/>
          <w:sz w:val="32"/>
          <w:szCs w:val="32"/>
          <w:lang w:eastAsia="zh-CN"/>
        </w:rPr>
      </w:pPr>
    </w:p>
    <w:p>
      <w:pPr>
        <w:pStyle w:val="10"/>
        <w:numPr>
          <w:ilvl w:val="0"/>
          <w:numId w:val="0"/>
        </w:numPr>
        <w:spacing w:line="360" w:lineRule="auto"/>
        <w:ind w:left="460" w:leftChars="0"/>
        <w:rPr>
          <w:rFonts w:hint="eastAsia" w:ascii="楷体" w:hAnsi="楷体" w:eastAsia="楷体" w:cs="楷体"/>
          <w:b w:val="0"/>
          <w:bCs/>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主要图纸</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区位分析图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综合现状图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设计总平面图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主要景观界面立面图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公共空间设计图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道路交通规划图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城市公共环境艺术设计图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场地竖向设计图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城市更新的措施和实施时序安排的说明性图纸</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地块设计图则（1：500－1：1000）</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效果图</w:t>
      </w:r>
    </w:p>
    <w:p>
      <w:pPr>
        <w:spacing w:line="360" w:lineRule="auto"/>
        <w:ind w:firstLine="460" w:firstLineChars="200"/>
        <w:rPr>
          <w:rFonts w:hint="eastAsia" w:ascii="仿宋" w:hAnsi="仿宋" w:eastAsia="仿宋" w:cs="仿宋"/>
          <w:sz w:val="32"/>
          <w:szCs w:val="32"/>
        </w:rPr>
      </w:pPr>
      <w:r>
        <w:rPr>
          <w:rFonts w:hint="eastAsia" w:ascii="仿宋" w:hAnsi="仿宋" w:eastAsia="仿宋" w:cs="仿宋"/>
          <w:sz w:val="32"/>
          <w:szCs w:val="32"/>
          <w:lang w:eastAsia="zh-CN"/>
        </w:rPr>
        <w:t>包含</w:t>
      </w:r>
      <w:r>
        <w:rPr>
          <w:rFonts w:hint="eastAsia" w:ascii="仿宋" w:hAnsi="仿宋" w:eastAsia="仿宋" w:cs="仿宋"/>
          <w:sz w:val="32"/>
          <w:szCs w:val="32"/>
        </w:rPr>
        <w:t>群体空间、重要节点和重要景观展开面设计效果图</w:t>
      </w:r>
    </w:p>
    <w:p>
      <w:pPr>
        <w:spacing w:line="360" w:lineRule="auto"/>
        <w:rPr>
          <w:rFonts w:hint="eastAsia" w:ascii="仿宋" w:hAnsi="仿宋" w:eastAsia="仿宋" w:cs="仿宋"/>
          <w:sz w:val="32"/>
          <w:szCs w:val="32"/>
        </w:rPr>
      </w:pPr>
      <w:r>
        <w:rPr>
          <w:rFonts w:hint="eastAsia" w:ascii="仿宋" w:hAnsi="仿宋" w:eastAsia="仿宋" w:cs="仿宋"/>
          <w:sz w:val="32"/>
          <w:szCs w:val="32"/>
          <w:lang w:eastAsia="zh-CN"/>
        </w:rPr>
        <w:t>且应</w:t>
      </w:r>
      <w:r>
        <w:rPr>
          <w:rFonts w:hint="eastAsia" w:ascii="仿宋" w:hAnsi="仿宋" w:eastAsia="仿宋" w:cs="仿宋"/>
          <w:sz w:val="32"/>
          <w:szCs w:val="32"/>
        </w:rPr>
        <w:t>根据场地的不同特点，</w:t>
      </w:r>
      <w:r>
        <w:rPr>
          <w:rFonts w:hint="eastAsia" w:ascii="仿宋" w:hAnsi="仿宋" w:eastAsia="仿宋" w:cs="仿宋"/>
          <w:sz w:val="32"/>
          <w:szCs w:val="32"/>
          <w:lang w:eastAsia="zh-CN"/>
        </w:rPr>
        <w:t>多角度绘制效果图</w:t>
      </w:r>
      <w:r>
        <w:rPr>
          <w:rFonts w:hint="eastAsia" w:ascii="仿宋" w:hAnsi="仿宋" w:eastAsia="仿宋" w:cs="仿宋"/>
          <w:sz w:val="32"/>
          <w:szCs w:val="32"/>
        </w:rPr>
        <w:t>。</w:t>
      </w:r>
    </w:p>
    <w:p>
      <w:pPr>
        <w:spacing w:line="360" w:lineRule="auto"/>
        <w:ind w:firstLine="460" w:firstLineChars="20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87"/>
    <w:rsid w:val="000C557C"/>
    <w:rsid w:val="001805A1"/>
    <w:rsid w:val="001846DF"/>
    <w:rsid w:val="001B4A79"/>
    <w:rsid w:val="00266341"/>
    <w:rsid w:val="002A2FC8"/>
    <w:rsid w:val="002D6549"/>
    <w:rsid w:val="003011D2"/>
    <w:rsid w:val="003530A1"/>
    <w:rsid w:val="004B53F6"/>
    <w:rsid w:val="004C3E71"/>
    <w:rsid w:val="004E746A"/>
    <w:rsid w:val="005451C6"/>
    <w:rsid w:val="00561E47"/>
    <w:rsid w:val="00611600"/>
    <w:rsid w:val="00647590"/>
    <w:rsid w:val="00680C76"/>
    <w:rsid w:val="006C3981"/>
    <w:rsid w:val="0070225B"/>
    <w:rsid w:val="007056AC"/>
    <w:rsid w:val="007A43DC"/>
    <w:rsid w:val="007A76B7"/>
    <w:rsid w:val="007D23BE"/>
    <w:rsid w:val="00826A87"/>
    <w:rsid w:val="008879F7"/>
    <w:rsid w:val="00891996"/>
    <w:rsid w:val="008A09BD"/>
    <w:rsid w:val="009A0278"/>
    <w:rsid w:val="009B7856"/>
    <w:rsid w:val="009D5ADA"/>
    <w:rsid w:val="00A02546"/>
    <w:rsid w:val="00A02BE9"/>
    <w:rsid w:val="00A039B9"/>
    <w:rsid w:val="00A57CB9"/>
    <w:rsid w:val="00A62ABC"/>
    <w:rsid w:val="00AA0CA4"/>
    <w:rsid w:val="00AC27A1"/>
    <w:rsid w:val="00B43240"/>
    <w:rsid w:val="00BE712A"/>
    <w:rsid w:val="00C34103"/>
    <w:rsid w:val="00C840B5"/>
    <w:rsid w:val="00CC2115"/>
    <w:rsid w:val="00D17D1B"/>
    <w:rsid w:val="00D319C8"/>
    <w:rsid w:val="00D372C6"/>
    <w:rsid w:val="00D44BF2"/>
    <w:rsid w:val="00DA5183"/>
    <w:rsid w:val="00DB4494"/>
    <w:rsid w:val="00DD4EF6"/>
    <w:rsid w:val="00DE1A5C"/>
    <w:rsid w:val="00E07304"/>
    <w:rsid w:val="00F609AE"/>
    <w:rsid w:val="00FB19A9"/>
    <w:rsid w:val="00FE5E70"/>
    <w:rsid w:val="027454C0"/>
    <w:rsid w:val="04BC7776"/>
    <w:rsid w:val="0D703CAA"/>
    <w:rsid w:val="1FE4585F"/>
    <w:rsid w:val="28F54AE4"/>
    <w:rsid w:val="2AC362C7"/>
    <w:rsid w:val="3BCC6668"/>
    <w:rsid w:val="47CE08F8"/>
    <w:rsid w:val="55162087"/>
    <w:rsid w:val="5A38585D"/>
    <w:rsid w:val="5A9245E2"/>
    <w:rsid w:val="61390855"/>
    <w:rsid w:val="658E0937"/>
    <w:rsid w:val="65E422D8"/>
    <w:rsid w:val="6BE174F8"/>
    <w:rsid w:val="72755CD2"/>
    <w:rsid w:val="789D1174"/>
    <w:rsid w:val="7C611E88"/>
    <w:rsid w:val="7F6748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6">
    <w:name w:val="Strong"/>
    <w:qFormat/>
    <w:uiPriority w:val="22"/>
    <w:rPr>
      <w:rFonts w:hint="eastAsia" w:ascii="宋体" w:hAnsi="宋体" w:eastAsia="宋体"/>
      <w:b/>
      <w:bCs/>
      <w:kern w:val="2"/>
      <w:sz w:val="24"/>
      <w:szCs w:val="24"/>
      <w:lang w:val="en-US" w:eastAsia="zh-CN" w:bidi="ar-SA"/>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369</Words>
  <Characters>2105</Characters>
  <Lines>17</Lines>
  <Paragraphs>4</Paragraphs>
  <ScaleCrop>false</ScaleCrop>
  <LinksUpToDate>false</LinksUpToDate>
  <CharactersWithSpaces>2470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2018-06-07T12:12:00Z</dcterms:created>
  <dc:creator>Administrator</dc:creator>
  <cp:lastModifiedBy>Administrator</cp:lastModifiedBy>
  <dcterms:modified xsi:type="dcterms:W3CDTF">2018-07-04T01:47:03Z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