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left="-141" w:leftChars="-67"/>
        <w:jc w:val="center"/>
        <w:rPr>
          <w:rFonts w:ascii="宋体" w:hAnsi="宋体" w:cs="宋体"/>
          <w:b/>
          <w:bCs/>
          <w:sz w:val="52"/>
          <w:szCs w:val="52"/>
        </w:rPr>
      </w:pPr>
    </w:p>
    <w:p>
      <w:pPr>
        <w:spacing w:line="360" w:lineRule="auto"/>
        <w:ind w:left="-141" w:leftChars="-67"/>
        <w:jc w:val="center"/>
        <w:rPr>
          <w:rFonts w:ascii="宋体" w:hAnsi="宋体" w:cs="宋体"/>
          <w:b/>
          <w:bCs/>
          <w:sz w:val="52"/>
          <w:szCs w:val="52"/>
        </w:rPr>
      </w:pPr>
      <w:r>
        <w:rPr>
          <w:rFonts w:hint="eastAsia" w:ascii="宋体" w:hAnsi="宋体" w:cs="宋体"/>
          <w:b/>
          <w:bCs/>
          <w:sz w:val="52"/>
          <w:szCs w:val="52"/>
        </w:rPr>
        <w:t>深海科考实验研究与岸基保障平台</w:t>
      </w:r>
    </w:p>
    <w:p>
      <w:pPr>
        <w:spacing w:line="360" w:lineRule="auto"/>
        <w:ind w:left="-141" w:leftChars="-67"/>
        <w:jc w:val="center"/>
        <w:rPr>
          <w:rFonts w:ascii="宋体" w:hAnsi="宋体" w:cs="宋体"/>
          <w:b/>
          <w:bCs/>
          <w:sz w:val="52"/>
          <w:szCs w:val="52"/>
        </w:rPr>
      </w:pPr>
      <w:r>
        <w:rPr>
          <w:rFonts w:hint="eastAsia" w:ascii="宋体" w:hAnsi="宋体" w:cs="宋体"/>
          <w:b/>
          <w:bCs/>
          <w:sz w:val="52"/>
          <w:szCs w:val="52"/>
        </w:rPr>
        <w:t>--三亚深海科考码头项目</w:t>
      </w:r>
    </w:p>
    <w:p>
      <w:pPr>
        <w:spacing w:line="360" w:lineRule="auto"/>
        <w:ind w:left="-141" w:leftChars="-67"/>
        <w:jc w:val="center"/>
        <w:rPr>
          <w:rFonts w:hint="eastAsia" w:ascii="宋体" w:hAnsi="宋体" w:eastAsia="宋体" w:cs="宋体"/>
          <w:b/>
          <w:bCs/>
          <w:sz w:val="52"/>
          <w:szCs w:val="52"/>
          <w:lang w:eastAsia="zh-CN"/>
        </w:rPr>
      </w:pPr>
      <w:r>
        <w:rPr>
          <w:rFonts w:hint="eastAsia" w:ascii="宋体" w:hAnsi="宋体" w:cs="宋体"/>
          <w:b/>
          <w:bCs/>
          <w:sz w:val="52"/>
          <w:szCs w:val="52"/>
        </w:rPr>
        <w:t>环境影响评价</w:t>
      </w:r>
      <w:r>
        <w:rPr>
          <w:rFonts w:hint="eastAsia" w:ascii="宋体" w:hAnsi="宋体" w:cs="宋体"/>
          <w:b/>
          <w:bCs/>
          <w:sz w:val="52"/>
          <w:szCs w:val="52"/>
          <w:lang w:eastAsia="zh-CN"/>
        </w:rPr>
        <w:t>（第二次）</w:t>
      </w:r>
    </w:p>
    <w:p>
      <w:pPr>
        <w:tabs>
          <w:tab w:val="left" w:pos="7320"/>
        </w:tabs>
        <w:jc w:val="left"/>
        <w:rPr>
          <w:rFonts w:cs="Times New Roman"/>
          <w:b/>
          <w:bCs/>
          <w:sz w:val="84"/>
          <w:szCs w:val="84"/>
        </w:rPr>
      </w:pPr>
      <w:r>
        <w:rPr>
          <w:rFonts w:cs="Times New Roman"/>
          <w:b/>
          <w:bCs/>
          <w:sz w:val="84"/>
          <w:szCs w:val="84"/>
        </w:rPr>
        <w:tab/>
      </w:r>
    </w:p>
    <w:p>
      <w:pPr>
        <w:rPr>
          <w:rFonts w:cs="Times New Roman"/>
          <w:b/>
          <w:bCs/>
          <w:sz w:val="84"/>
          <w:szCs w:val="84"/>
        </w:rPr>
      </w:pPr>
    </w:p>
    <w:p>
      <w:pPr>
        <w:ind w:right="-821" w:rightChars="-391"/>
        <w:jc w:val="center"/>
        <w:rPr>
          <w:rFonts w:ascii="宋体" w:hAnsi="宋体" w:cs="宋体"/>
          <w:b/>
          <w:sz w:val="36"/>
          <w:szCs w:val="36"/>
        </w:rPr>
      </w:pPr>
    </w:p>
    <w:p>
      <w:pPr>
        <w:jc w:val="center"/>
        <w:rPr>
          <w:rFonts w:ascii="宋体" w:hAnsi="宋体" w:cs="宋体"/>
          <w:b/>
          <w:sz w:val="100"/>
        </w:rPr>
      </w:pPr>
      <w:r>
        <w:rPr>
          <w:rFonts w:hint="eastAsia" w:ascii="宋体" w:hAnsi="宋体" w:cs="宋体"/>
          <w:b/>
          <w:sz w:val="100"/>
        </w:rPr>
        <w:t>招标文件</w:t>
      </w:r>
    </w:p>
    <w:p>
      <w:pPr>
        <w:spacing w:line="800" w:lineRule="exact"/>
        <w:ind w:firstLine="1620" w:firstLineChars="450"/>
        <w:rPr>
          <w:rFonts w:ascii="宋体" w:hAnsi="宋体" w:cs="宋体"/>
          <w:sz w:val="36"/>
        </w:rPr>
      </w:pPr>
      <w:bookmarkStart w:id="0" w:name="OLE_LINK17"/>
      <w:r>
        <w:rPr>
          <w:rFonts w:hint="eastAsia" w:ascii="宋体" w:hAnsi="宋体" w:cs="宋体"/>
          <w:sz w:val="36"/>
        </w:rPr>
        <w:t>项目编号</w:t>
      </w:r>
      <w:bookmarkEnd w:id="0"/>
      <w:r>
        <w:rPr>
          <w:rFonts w:hint="eastAsia" w:ascii="宋体" w:hAnsi="宋体" w:cs="宋体"/>
          <w:sz w:val="36"/>
        </w:rPr>
        <w:t>：HNXJSY201807</w:t>
      </w:r>
    </w:p>
    <w:p>
      <w:pPr>
        <w:spacing w:line="360" w:lineRule="auto"/>
        <w:rPr>
          <w:rFonts w:ascii="宋体" w:cs="Times New Roman"/>
          <w:b/>
          <w:bCs/>
          <w:spacing w:val="100"/>
          <w:sz w:val="30"/>
          <w:szCs w:val="30"/>
        </w:rPr>
      </w:pPr>
    </w:p>
    <w:p>
      <w:pPr>
        <w:spacing w:line="360" w:lineRule="auto"/>
        <w:rPr>
          <w:rFonts w:ascii="宋体" w:cs="Times New Roman"/>
          <w:b/>
          <w:bCs/>
          <w:spacing w:val="100"/>
          <w:sz w:val="30"/>
          <w:szCs w:val="30"/>
        </w:rPr>
      </w:pPr>
    </w:p>
    <w:p>
      <w:pPr>
        <w:rPr>
          <w:rFonts w:ascii="宋体" w:cs="Times New Roman"/>
          <w:b/>
          <w:bCs/>
          <w:sz w:val="36"/>
          <w:szCs w:val="36"/>
        </w:rPr>
      </w:pPr>
    </w:p>
    <w:p>
      <w:pPr>
        <w:adjustRightInd w:val="0"/>
        <w:ind w:right="-334" w:rightChars="-159"/>
        <w:rPr>
          <w:rFonts w:ascii="宋体" w:hAnsi="宋体" w:cs="宋体"/>
          <w:b/>
          <w:bCs/>
          <w:sz w:val="36"/>
          <w:szCs w:val="36"/>
        </w:rPr>
      </w:pPr>
      <w:r>
        <w:rPr>
          <w:rFonts w:hint="eastAsia" w:ascii="宋体" w:hAnsi="宋体" w:cs="宋体"/>
          <w:b/>
          <w:bCs/>
          <w:sz w:val="36"/>
          <w:szCs w:val="36"/>
        </w:rPr>
        <w:t>采购单位：</w:t>
      </w:r>
      <w:r>
        <w:rPr>
          <w:rFonts w:hint="eastAsia" w:ascii="宋体" w:hAnsi="宋体" w:cs="宋体"/>
          <w:b/>
          <w:bCs/>
          <w:sz w:val="36"/>
          <w:szCs w:val="36"/>
          <w:lang w:val="en-GB"/>
        </w:rPr>
        <w:t>中国科学院深海科学与工程研究所</w:t>
      </w:r>
      <w:r>
        <w:rPr>
          <w:rFonts w:hint="eastAsia" w:ascii="宋体" w:hAnsi="宋体" w:cs="宋体"/>
          <w:b/>
          <w:bCs/>
          <w:sz w:val="36"/>
          <w:szCs w:val="36"/>
        </w:rPr>
        <w:t>（盖章）</w:t>
      </w:r>
    </w:p>
    <w:p>
      <w:pPr>
        <w:adjustRightInd w:val="0"/>
        <w:ind w:right="-334" w:rightChars="-159"/>
        <w:rPr>
          <w:rFonts w:ascii="宋体" w:hAnsi="宋体" w:cs="宋体"/>
          <w:b/>
          <w:bCs/>
          <w:sz w:val="36"/>
          <w:szCs w:val="36"/>
        </w:rPr>
      </w:pPr>
    </w:p>
    <w:p>
      <w:pPr>
        <w:adjustRightInd w:val="0"/>
        <w:ind w:right="-334" w:rightChars="-159"/>
        <w:rPr>
          <w:rFonts w:ascii="宋体" w:cs="Times New Roman"/>
          <w:b/>
          <w:bCs/>
          <w:sz w:val="30"/>
          <w:szCs w:val="30"/>
        </w:rPr>
      </w:pPr>
    </w:p>
    <w:p>
      <w:pPr>
        <w:adjustRightInd w:val="0"/>
        <w:rPr>
          <w:rFonts w:ascii="宋体" w:cs="Times New Roman"/>
          <w:b/>
          <w:bCs/>
          <w:sz w:val="36"/>
          <w:szCs w:val="36"/>
        </w:rPr>
      </w:pPr>
      <w:r>
        <w:rPr>
          <w:rFonts w:hint="eastAsia" w:ascii="宋体" w:cs="宋体"/>
          <w:b/>
          <w:bCs/>
          <w:sz w:val="36"/>
          <w:szCs w:val="36"/>
        </w:rPr>
        <w:t>采购</w:t>
      </w:r>
      <w:r>
        <w:rPr>
          <w:rFonts w:hint="eastAsia" w:ascii="宋体" w:hAnsi="宋体" w:cs="宋体"/>
          <w:b/>
          <w:bCs/>
          <w:sz w:val="36"/>
          <w:szCs w:val="36"/>
        </w:rPr>
        <w:t>代理：河南兴建建设管理有限公司（盖章）</w:t>
      </w:r>
    </w:p>
    <w:p>
      <w:pPr>
        <w:adjustRightInd w:val="0"/>
        <w:rPr>
          <w:rFonts w:ascii="宋体" w:cs="Times New Roman"/>
          <w:b/>
          <w:bCs/>
          <w:sz w:val="30"/>
          <w:szCs w:val="30"/>
        </w:rPr>
      </w:pPr>
    </w:p>
    <w:p>
      <w:pPr>
        <w:rPr>
          <w:rFonts w:cs="Times New Roman"/>
          <w:b/>
          <w:bCs/>
          <w:sz w:val="36"/>
          <w:szCs w:val="36"/>
        </w:rPr>
      </w:pPr>
    </w:p>
    <w:p>
      <w:pPr>
        <w:spacing w:line="360" w:lineRule="auto"/>
        <w:jc w:val="center"/>
        <w:rPr>
          <w:rFonts w:ascii="宋体" w:hAnsi="Courier New" w:cs="Times New Roman"/>
          <w:b/>
          <w:bCs/>
          <w:w w:val="95"/>
          <w:sz w:val="36"/>
          <w:szCs w:val="36"/>
        </w:rPr>
        <w:sectPr>
          <w:headerReference r:id="rId3" w:type="default"/>
          <w:footerReference r:id="rId4" w:type="default"/>
          <w:pgSz w:w="11906" w:h="16838"/>
          <w:pgMar w:top="1440" w:right="1797" w:bottom="1440" w:left="1797" w:header="851" w:footer="992" w:gutter="0"/>
          <w:pgNumType w:start="0"/>
          <w:cols w:space="720" w:num="1"/>
          <w:docGrid w:linePitch="312" w:charSpace="0"/>
        </w:sectPr>
      </w:pPr>
      <w:r>
        <w:rPr>
          <w:rFonts w:hint="eastAsia" w:ascii="宋体" w:hAnsi="Courier New" w:cs="宋体"/>
          <w:b/>
          <w:bCs/>
          <w:w w:val="95"/>
          <w:sz w:val="36"/>
          <w:szCs w:val="36"/>
        </w:rPr>
        <w:t>二〇一八年</w:t>
      </w:r>
      <w:r>
        <w:rPr>
          <w:rFonts w:hint="eastAsia" w:ascii="宋体" w:hAnsi="Courier New" w:cs="宋体"/>
          <w:b/>
          <w:bCs/>
          <w:w w:val="95"/>
          <w:sz w:val="36"/>
          <w:szCs w:val="36"/>
          <w:lang w:eastAsia="zh-CN"/>
        </w:rPr>
        <w:t>六</w:t>
      </w:r>
      <w:r>
        <w:rPr>
          <w:rFonts w:hint="eastAsia" w:ascii="宋体" w:hAnsi="Courier New" w:cs="宋体"/>
          <w:b/>
          <w:bCs/>
          <w:w w:val="95"/>
          <w:sz w:val="36"/>
          <w:szCs w:val="36"/>
        </w:rPr>
        <w:t>月</w:t>
      </w:r>
    </w:p>
    <w:p>
      <w:pPr>
        <w:spacing w:line="360" w:lineRule="auto"/>
        <w:jc w:val="center"/>
        <w:rPr>
          <w:rFonts w:ascii="宋体" w:cs="Times New Roman"/>
        </w:rPr>
      </w:pPr>
      <w:r>
        <w:rPr>
          <w:rFonts w:hint="eastAsia" w:ascii="仿宋_GB2312" w:hAnsi="华文中宋" w:eastAsia="仿宋_GB2312" w:cs="仿宋_GB2312"/>
          <w:b/>
          <w:bCs/>
          <w:sz w:val="48"/>
          <w:szCs w:val="48"/>
        </w:rPr>
        <w:t>目录</w:t>
      </w:r>
    </w:p>
    <w:p>
      <w:pPr>
        <w:pStyle w:val="31"/>
        <w:tabs>
          <w:tab w:val="right" w:leader="dot" w:pos="9629"/>
        </w:tabs>
        <w:spacing w:line="360" w:lineRule="auto"/>
        <w:rPr>
          <w:rFonts w:asciiTheme="minorHAnsi" w:hAnsiTheme="minorHAnsi" w:eastAsiaTheme="minorEastAsia" w:cstheme="minorBidi"/>
          <w:b w:val="0"/>
          <w:bCs w:val="0"/>
          <w:caps w:val="0"/>
          <w:kern w:val="2"/>
          <w:sz w:val="21"/>
          <w:szCs w:val="22"/>
        </w:rPr>
      </w:pPr>
      <w:r>
        <w:rPr>
          <w:rFonts w:ascii="宋体" w:hAnsi="宋体" w:cs="宋体"/>
          <w:b w:val="0"/>
          <w:bCs w:val="0"/>
          <w:sz w:val="21"/>
          <w:szCs w:val="21"/>
        </w:rPr>
        <w:fldChar w:fldCharType="begin"/>
      </w:r>
      <w:r>
        <w:rPr>
          <w:rFonts w:ascii="宋体" w:hAnsi="宋体" w:cs="宋体"/>
          <w:b w:val="0"/>
          <w:bCs w:val="0"/>
          <w:sz w:val="21"/>
          <w:szCs w:val="21"/>
        </w:rPr>
        <w:instrText xml:space="preserve"> TOC \o "1-3" \h \z \u </w:instrText>
      </w:r>
      <w:r>
        <w:rPr>
          <w:rFonts w:ascii="宋体" w:hAnsi="宋体" w:cs="宋体"/>
          <w:b w:val="0"/>
          <w:bCs w:val="0"/>
          <w:sz w:val="21"/>
          <w:szCs w:val="21"/>
        </w:rPr>
        <w:fldChar w:fldCharType="separate"/>
      </w:r>
      <w:r>
        <w:fldChar w:fldCharType="begin"/>
      </w:r>
      <w:r>
        <w:instrText xml:space="preserve"> HYPERLINK \l "_Toc500150901" </w:instrText>
      </w:r>
      <w:r>
        <w:fldChar w:fldCharType="separate"/>
      </w:r>
      <w:r>
        <w:rPr>
          <w:rStyle w:val="53"/>
          <w:rFonts w:hint="eastAsia" w:hAnsi="宋体" w:cs="宋体"/>
          <w:color w:val="auto"/>
        </w:rPr>
        <w:t>第一部分</w:t>
      </w:r>
      <w:r>
        <w:rPr>
          <w:rStyle w:val="53"/>
          <w:rFonts w:hint="eastAsia" w:hAnsi="宋体"/>
          <w:color w:val="auto"/>
        </w:rPr>
        <w:t>投标邀请</w:t>
      </w:r>
      <w:r>
        <w:tab/>
      </w:r>
      <w:r>
        <w:fldChar w:fldCharType="begin"/>
      </w:r>
      <w:r>
        <w:instrText xml:space="preserve"> PAGEREF _Toc500150901 \h </w:instrText>
      </w:r>
      <w:r>
        <w:fldChar w:fldCharType="separate"/>
      </w:r>
      <w:r>
        <w:t>2</w:t>
      </w:r>
      <w:r>
        <w:fldChar w:fldCharType="end"/>
      </w:r>
      <w:r>
        <w:fldChar w:fldCharType="end"/>
      </w:r>
    </w:p>
    <w:p>
      <w:pPr>
        <w:pStyle w:val="31"/>
        <w:tabs>
          <w:tab w:val="right" w:leader="dot" w:pos="9629"/>
        </w:tabs>
        <w:spacing w:line="360" w:lineRule="auto"/>
        <w:rPr>
          <w:rFonts w:asciiTheme="minorHAnsi" w:hAnsiTheme="minorHAnsi" w:eastAsiaTheme="minorEastAsia" w:cstheme="minorBidi"/>
          <w:b w:val="0"/>
          <w:bCs w:val="0"/>
          <w:caps w:val="0"/>
          <w:kern w:val="2"/>
          <w:sz w:val="21"/>
          <w:szCs w:val="22"/>
        </w:rPr>
      </w:pPr>
      <w:r>
        <w:fldChar w:fldCharType="begin"/>
      </w:r>
      <w:r>
        <w:instrText xml:space="preserve"> HYPERLINK \l "_Toc500150904" </w:instrText>
      </w:r>
      <w:r>
        <w:fldChar w:fldCharType="separate"/>
      </w:r>
      <w:r>
        <w:rPr>
          <w:rStyle w:val="53"/>
          <w:rFonts w:hint="eastAsia" w:ascii="黑体" w:hAnsi="仿宋_GB2312" w:cs="宋体"/>
          <w:color w:val="auto"/>
        </w:rPr>
        <w:t>第二部分投标人须知</w:t>
      </w:r>
      <w:r>
        <w:tab/>
      </w:r>
      <w:r>
        <w:fldChar w:fldCharType="begin"/>
      </w:r>
      <w:r>
        <w:instrText xml:space="preserve"> PAGEREF _Toc500150904 \h </w:instrText>
      </w:r>
      <w:r>
        <w:fldChar w:fldCharType="separate"/>
      </w:r>
      <w:r>
        <w:t>4</w:t>
      </w:r>
      <w:r>
        <w:fldChar w:fldCharType="end"/>
      </w:r>
      <w:r>
        <w:fldChar w:fldCharType="end"/>
      </w:r>
    </w:p>
    <w:p>
      <w:pPr>
        <w:pStyle w:val="36"/>
        <w:tabs>
          <w:tab w:val="right" w:leader="dot" w:pos="9629"/>
        </w:tabs>
        <w:spacing w:line="360" w:lineRule="auto"/>
        <w:rPr>
          <w:rFonts w:asciiTheme="minorHAnsi" w:hAnsiTheme="minorHAnsi" w:eastAsiaTheme="minorEastAsia" w:cstheme="minorBidi"/>
          <w:smallCaps w:val="0"/>
          <w:kern w:val="2"/>
          <w:sz w:val="21"/>
          <w:szCs w:val="22"/>
        </w:rPr>
      </w:pPr>
      <w:r>
        <w:fldChar w:fldCharType="begin"/>
      </w:r>
      <w:r>
        <w:instrText xml:space="preserve"> HYPERLINK \l "_Toc500150905" </w:instrText>
      </w:r>
      <w:r>
        <w:fldChar w:fldCharType="separate"/>
      </w:r>
      <w:r>
        <w:rPr>
          <w:rStyle w:val="53"/>
          <w:rFonts w:hint="eastAsia"/>
          <w:b/>
          <w:color w:val="auto"/>
        </w:rPr>
        <w:t>投标人须知前附表</w:t>
      </w:r>
      <w:r>
        <w:tab/>
      </w:r>
      <w:r>
        <w:fldChar w:fldCharType="begin"/>
      </w:r>
      <w:r>
        <w:instrText xml:space="preserve"> PAGEREF _Toc500150905 \h </w:instrText>
      </w:r>
      <w:r>
        <w:fldChar w:fldCharType="separate"/>
      </w:r>
      <w:r>
        <w:t>4</w:t>
      </w:r>
      <w:r>
        <w:fldChar w:fldCharType="end"/>
      </w:r>
      <w:r>
        <w:fldChar w:fldCharType="end"/>
      </w:r>
    </w:p>
    <w:p>
      <w:pPr>
        <w:pStyle w:val="36"/>
        <w:tabs>
          <w:tab w:val="left" w:pos="630"/>
          <w:tab w:val="right" w:leader="dot" w:pos="9629"/>
        </w:tabs>
        <w:spacing w:line="360" w:lineRule="auto"/>
        <w:rPr>
          <w:rFonts w:asciiTheme="minorHAnsi" w:hAnsiTheme="minorHAnsi" w:eastAsiaTheme="minorEastAsia" w:cstheme="minorBidi"/>
          <w:smallCaps w:val="0"/>
          <w:kern w:val="2"/>
          <w:sz w:val="21"/>
          <w:szCs w:val="22"/>
        </w:rPr>
      </w:pPr>
      <w:r>
        <w:fldChar w:fldCharType="begin"/>
      </w:r>
      <w:r>
        <w:instrText xml:space="preserve"> HYPERLINK \l "_Toc500150906" </w:instrText>
      </w:r>
      <w:r>
        <w:fldChar w:fldCharType="separate"/>
      </w:r>
      <w:r>
        <w:rPr>
          <w:rStyle w:val="53"/>
          <w:b/>
          <w:color w:val="auto"/>
        </w:rPr>
        <w:t>A.</w:t>
      </w:r>
      <w:r>
        <w:rPr>
          <w:rFonts w:asciiTheme="minorHAnsi" w:hAnsiTheme="minorHAnsi" w:eastAsiaTheme="minorEastAsia" w:cstheme="minorBidi"/>
          <w:smallCaps w:val="0"/>
          <w:kern w:val="2"/>
          <w:sz w:val="21"/>
          <w:szCs w:val="22"/>
        </w:rPr>
        <w:tab/>
      </w:r>
      <w:r>
        <w:rPr>
          <w:rStyle w:val="53"/>
          <w:rFonts w:hint="eastAsia"/>
          <w:b/>
          <w:color w:val="auto"/>
        </w:rPr>
        <w:t>说明和释义</w:t>
      </w:r>
      <w:r>
        <w:tab/>
      </w:r>
      <w:r>
        <w:fldChar w:fldCharType="begin"/>
      </w:r>
      <w:r>
        <w:instrText xml:space="preserve"> PAGEREF _Toc500150906 \h </w:instrText>
      </w:r>
      <w:r>
        <w:fldChar w:fldCharType="separate"/>
      </w:r>
      <w:r>
        <w:t>6</w:t>
      </w:r>
      <w:r>
        <w:fldChar w:fldCharType="end"/>
      </w:r>
      <w:r>
        <w:fldChar w:fldCharType="end"/>
      </w:r>
    </w:p>
    <w:p>
      <w:pPr>
        <w:pStyle w:val="36"/>
        <w:tabs>
          <w:tab w:val="left" w:pos="630"/>
          <w:tab w:val="right" w:leader="dot" w:pos="9629"/>
        </w:tabs>
        <w:spacing w:line="360" w:lineRule="auto"/>
        <w:rPr>
          <w:rFonts w:asciiTheme="minorHAnsi" w:hAnsiTheme="minorHAnsi" w:eastAsiaTheme="minorEastAsia" w:cstheme="minorBidi"/>
          <w:smallCaps w:val="0"/>
          <w:kern w:val="2"/>
          <w:sz w:val="21"/>
          <w:szCs w:val="22"/>
        </w:rPr>
      </w:pPr>
      <w:r>
        <w:fldChar w:fldCharType="begin"/>
      </w:r>
      <w:r>
        <w:instrText xml:space="preserve"> HYPERLINK \l "_Toc500150907" </w:instrText>
      </w:r>
      <w:r>
        <w:fldChar w:fldCharType="separate"/>
      </w:r>
      <w:r>
        <w:rPr>
          <w:rStyle w:val="53"/>
          <w:b/>
          <w:color w:val="auto"/>
        </w:rPr>
        <w:t>B.</w:t>
      </w:r>
      <w:r>
        <w:rPr>
          <w:rFonts w:asciiTheme="minorHAnsi" w:hAnsiTheme="minorHAnsi" w:eastAsiaTheme="minorEastAsia" w:cstheme="minorBidi"/>
          <w:smallCaps w:val="0"/>
          <w:kern w:val="2"/>
          <w:sz w:val="21"/>
          <w:szCs w:val="22"/>
        </w:rPr>
        <w:tab/>
      </w:r>
      <w:r>
        <w:rPr>
          <w:rStyle w:val="53"/>
          <w:rFonts w:hint="eastAsia"/>
          <w:b/>
          <w:color w:val="auto"/>
        </w:rPr>
        <w:t>招标文件</w:t>
      </w:r>
      <w:r>
        <w:tab/>
      </w:r>
      <w:r>
        <w:fldChar w:fldCharType="begin"/>
      </w:r>
      <w:r>
        <w:instrText xml:space="preserve"> PAGEREF _Toc500150907 \h </w:instrText>
      </w:r>
      <w:r>
        <w:fldChar w:fldCharType="separate"/>
      </w:r>
      <w:r>
        <w:t>7</w:t>
      </w:r>
      <w:r>
        <w:fldChar w:fldCharType="end"/>
      </w:r>
      <w:r>
        <w:fldChar w:fldCharType="end"/>
      </w:r>
    </w:p>
    <w:p>
      <w:pPr>
        <w:pStyle w:val="36"/>
        <w:tabs>
          <w:tab w:val="left" w:pos="630"/>
          <w:tab w:val="right" w:leader="dot" w:pos="9629"/>
        </w:tabs>
        <w:spacing w:line="360" w:lineRule="auto"/>
        <w:rPr>
          <w:rFonts w:asciiTheme="minorHAnsi" w:hAnsiTheme="minorHAnsi" w:eastAsiaTheme="minorEastAsia" w:cstheme="minorBidi"/>
          <w:smallCaps w:val="0"/>
          <w:kern w:val="2"/>
          <w:sz w:val="21"/>
          <w:szCs w:val="22"/>
        </w:rPr>
      </w:pPr>
      <w:r>
        <w:fldChar w:fldCharType="begin"/>
      </w:r>
      <w:r>
        <w:instrText xml:space="preserve"> HYPERLINK \l "_Toc500150908" </w:instrText>
      </w:r>
      <w:r>
        <w:fldChar w:fldCharType="separate"/>
      </w:r>
      <w:r>
        <w:rPr>
          <w:rStyle w:val="53"/>
          <w:b/>
          <w:color w:val="auto"/>
        </w:rPr>
        <w:t>C.</w:t>
      </w:r>
      <w:r>
        <w:rPr>
          <w:rFonts w:asciiTheme="minorHAnsi" w:hAnsiTheme="minorHAnsi" w:eastAsiaTheme="minorEastAsia" w:cstheme="minorBidi"/>
          <w:smallCaps w:val="0"/>
          <w:kern w:val="2"/>
          <w:sz w:val="21"/>
          <w:szCs w:val="22"/>
        </w:rPr>
        <w:tab/>
      </w:r>
      <w:r>
        <w:rPr>
          <w:rStyle w:val="53"/>
          <w:rFonts w:hint="eastAsia"/>
          <w:b/>
          <w:color w:val="auto"/>
        </w:rPr>
        <w:t>投标文件</w:t>
      </w:r>
      <w:r>
        <w:tab/>
      </w:r>
      <w:r>
        <w:fldChar w:fldCharType="begin"/>
      </w:r>
      <w:r>
        <w:instrText xml:space="preserve"> PAGEREF _Toc500150908 \h </w:instrText>
      </w:r>
      <w:r>
        <w:fldChar w:fldCharType="separate"/>
      </w:r>
      <w:r>
        <w:t>9</w:t>
      </w:r>
      <w:r>
        <w:fldChar w:fldCharType="end"/>
      </w:r>
      <w:r>
        <w:fldChar w:fldCharType="end"/>
      </w:r>
    </w:p>
    <w:p>
      <w:pPr>
        <w:pStyle w:val="36"/>
        <w:tabs>
          <w:tab w:val="left" w:pos="630"/>
          <w:tab w:val="right" w:leader="dot" w:pos="9629"/>
        </w:tabs>
        <w:spacing w:line="360" w:lineRule="auto"/>
        <w:rPr>
          <w:rFonts w:asciiTheme="minorHAnsi" w:hAnsiTheme="minorHAnsi" w:eastAsiaTheme="minorEastAsia" w:cstheme="minorBidi"/>
          <w:smallCaps w:val="0"/>
          <w:kern w:val="2"/>
          <w:sz w:val="21"/>
          <w:szCs w:val="22"/>
        </w:rPr>
      </w:pPr>
      <w:r>
        <w:fldChar w:fldCharType="begin"/>
      </w:r>
      <w:r>
        <w:instrText xml:space="preserve"> HYPERLINK \l "_Toc500150909" </w:instrText>
      </w:r>
      <w:r>
        <w:fldChar w:fldCharType="separate"/>
      </w:r>
      <w:r>
        <w:rPr>
          <w:rStyle w:val="53"/>
          <w:b/>
          <w:color w:val="auto"/>
        </w:rPr>
        <w:t>D.</w:t>
      </w:r>
      <w:r>
        <w:rPr>
          <w:rFonts w:asciiTheme="minorHAnsi" w:hAnsiTheme="minorHAnsi" w:eastAsiaTheme="minorEastAsia" w:cstheme="minorBidi"/>
          <w:smallCaps w:val="0"/>
          <w:kern w:val="2"/>
          <w:sz w:val="21"/>
          <w:szCs w:val="22"/>
        </w:rPr>
        <w:tab/>
      </w:r>
      <w:r>
        <w:rPr>
          <w:rStyle w:val="53"/>
          <w:rFonts w:hint="eastAsia"/>
          <w:b/>
          <w:color w:val="auto"/>
        </w:rPr>
        <w:t>投标文件的递交</w:t>
      </w:r>
      <w:r>
        <w:tab/>
      </w:r>
      <w:r>
        <w:fldChar w:fldCharType="begin"/>
      </w:r>
      <w:r>
        <w:instrText xml:space="preserve"> PAGEREF _Toc500150909 \h </w:instrText>
      </w:r>
      <w:r>
        <w:fldChar w:fldCharType="separate"/>
      </w:r>
      <w:r>
        <w:t>11</w:t>
      </w:r>
      <w:r>
        <w:fldChar w:fldCharType="end"/>
      </w:r>
      <w:r>
        <w:fldChar w:fldCharType="end"/>
      </w:r>
    </w:p>
    <w:p>
      <w:pPr>
        <w:pStyle w:val="36"/>
        <w:tabs>
          <w:tab w:val="left" w:pos="630"/>
          <w:tab w:val="right" w:leader="dot" w:pos="9629"/>
        </w:tabs>
        <w:spacing w:line="360" w:lineRule="auto"/>
        <w:rPr>
          <w:rFonts w:asciiTheme="minorHAnsi" w:hAnsiTheme="minorHAnsi" w:eastAsiaTheme="minorEastAsia" w:cstheme="minorBidi"/>
          <w:smallCaps w:val="0"/>
          <w:kern w:val="2"/>
          <w:sz w:val="21"/>
          <w:szCs w:val="22"/>
        </w:rPr>
      </w:pPr>
      <w:r>
        <w:fldChar w:fldCharType="begin"/>
      </w:r>
      <w:r>
        <w:instrText xml:space="preserve"> HYPERLINK \l "_Toc500150910" </w:instrText>
      </w:r>
      <w:r>
        <w:fldChar w:fldCharType="separate"/>
      </w:r>
      <w:r>
        <w:rPr>
          <w:rStyle w:val="53"/>
          <w:b/>
          <w:color w:val="auto"/>
        </w:rPr>
        <w:t>E.</w:t>
      </w:r>
      <w:r>
        <w:rPr>
          <w:rFonts w:asciiTheme="minorHAnsi" w:hAnsiTheme="minorHAnsi" w:eastAsiaTheme="minorEastAsia" w:cstheme="minorBidi"/>
          <w:smallCaps w:val="0"/>
          <w:kern w:val="2"/>
          <w:sz w:val="21"/>
          <w:szCs w:val="22"/>
        </w:rPr>
        <w:tab/>
      </w:r>
      <w:r>
        <w:rPr>
          <w:rStyle w:val="53"/>
          <w:rFonts w:hint="eastAsia"/>
          <w:b/>
          <w:color w:val="auto"/>
        </w:rPr>
        <w:t>开标、评标和定标</w:t>
      </w:r>
      <w:r>
        <w:tab/>
      </w:r>
      <w:r>
        <w:fldChar w:fldCharType="begin"/>
      </w:r>
      <w:r>
        <w:instrText xml:space="preserve"> PAGEREF _Toc500150910 \h </w:instrText>
      </w:r>
      <w:r>
        <w:fldChar w:fldCharType="separate"/>
      </w:r>
      <w:r>
        <w:t>12</w:t>
      </w:r>
      <w:r>
        <w:fldChar w:fldCharType="end"/>
      </w:r>
      <w:r>
        <w:fldChar w:fldCharType="end"/>
      </w:r>
    </w:p>
    <w:p>
      <w:pPr>
        <w:pStyle w:val="36"/>
        <w:tabs>
          <w:tab w:val="left" w:pos="630"/>
          <w:tab w:val="right" w:leader="dot" w:pos="9629"/>
        </w:tabs>
        <w:spacing w:line="360" w:lineRule="auto"/>
        <w:rPr>
          <w:rFonts w:asciiTheme="minorHAnsi" w:hAnsiTheme="minorHAnsi" w:eastAsiaTheme="minorEastAsia" w:cstheme="minorBidi"/>
          <w:smallCaps w:val="0"/>
          <w:kern w:val="2"/>
          <w:sz w:val="21"/>
          <w:szCs w:val="22"/>
        </w:rPr>
      </w:pPr>
      <w:r>
        <w:fldChar w:fldCharType="begin"/>
      </w:r>
      <w:r>
        <w:instrText xml:space="preserve"> HYPERLINK \l "_Toc500150911" </w:instrText>
      </w:r>
      <w:r>
        <w:fldChar w:fldCharType="separate"/>
      </w:r>
      <w:r>
        <w:rPr>
          <w:rStyle w:val="53"/>
          <w:b/>
          <w:color w:val="auto"/>
        </w:rPr>
        <w:t>F.</w:t>
      </w:r>
      <w:r>
        <w:rPr>
          <w:rFonts w:asciiTheme="minorHAnsi" w:hAnsiTheme="minorHAnsi" w:eastAsiaTheme="minorEastAsia" w:cstheme="minorBidi"/>
          <w:smallCaps w:val="0"/>
          <w:kern w:val="2"/>
          <w:sz w:val="21"/>
          <w:szCs w:val="22"/>
        </w:rPr>
        <w:tab/>
      </w:r>
      <w:r>
        <w:rPr>
          <w:rStyle w:val="53"/>
          <w:rFonts w:hint="eastAsia"/>
          <w:b/>
          <w:color w:val="auto"/>
        </w:rPr>
        <w:t>授予合同</w:t>
      </w:r>
      <w:r>
        <w:tab/>
      </w:r>
      <w:r>
        <w:fldChar w:fldCharType="begin"/>
      </w:r>
      <w:r>
        <w:instrText xml:space="preserve"> PAGEREF _Toc500150911 \h </w:instrText>
      </w:r>
      <w:r>
        <w:fldChar w:fldCharType="separate"/>
      </w:r>
      <w:r>
        <w:t>15</w:t>
      </w:r>
      <w:r>
        <w:fldChar w:fldCharType="end"/>
      </w:r>
      <w:r>
        <w:fldChar w:fldCharType="end"/>
      </w:r>
    </w:p>
    <w:p>
      <w:pPr>
        <w:pStyle w:val="36"/>
        <w:tabs>
          <w:tab w:val="left" w:pos="630"/>
          <w:tab w:val="right" w:leader="dot" w:pos="9629"/>
        </w:tabs>
        <w:spacing w:line="360" w:lineRule="auto"/>
        <w:rPr>
          <w:rFonts w:asciiTheme="minorHAnsi" w:hAnsiTheme="minorHAnsi" w:eastAsiaTheme="minorEastAsia" w:cstheme="minorBidi"/>
          <w:smallCaps w:val="0"/>
          <w:kern w:val="2"/>
          <w:sz w:val="21"/>
          <w:szCs w:val="22"/>
        </w:rPr>
      </w:pPr>
      <w:r>
        <w:fldChar w:fldCharType="begin"/>
      </w:r>
      <w:r>
        <w:instrText xml:space="preserve"> HYPERLINK \l "_Toc500150912" </w:instrText>
      </w:r>
      <w:r>
        <w:fldChar w:fldCharType="separate"/>
      </w:r>
      <w:r>
        <w:rPr>
          <w:rStyle w:val="53"/>
          <w:b/>
          <w:color w:val="auto"/>
        </w:rPr>
        <w:t>G.</w:t>
      </w:r>
      <w:r>
        <w:rPr>
          <w:rFonts w:asciiTheme="minorHAnsi" w:hAnsiTheme="minorHAnsi" w:eastAsiaTheme="minorEastAsia" w:cstheme="minorBidi"/>
          <w:smallCaps w:val="0"/>
          <w:kern w:val="2"/>
          <w:sz w:val="21"/>
          <w:szCs w:val="22"/>
        </w:rPr>
        <w:tab/>
      </w:r>
      <w:r>
        <w:rPr>
          <w:rStyle w:val="53"/>
          <w:rFonts w:hint="eastAsia"/>
          <w:b/>
          <w:color w:val="auto"/>
        </w:rPr>
        <w:t>纪律和监督</w:t>
      </w:r>
      <w:r>
        <w:tab/>
      </w:r>
      <w:r>
        <w:fldChar w:fldCharType="begin"/>
      </w:r>
      <w:r>
        <w:instrText xml:space="preserve"> PAGEREF _Toc500150912 \h </w:instrText>
      </w:r>
      <w:r>
        <w:fldChar w:fldCharType="separate"/>
      </w:r>
      <w:r>
        <w:t>17</w:t>
      </w:r>
      <w:r>
        <w:fldChar w:fldCharType="end"/>
      </w:r>
      <w:r>
        <w:fldChar w:fldCharType="end"/>
      </w:r>
    </w:p>
    <w:p>
      <w:pPr>
        <w:pStyle w:val="31"/>
        <w:tabs>
          <w:tab w:val="right" w:leader="dot" w:pos="9629"/>
        </w:tabs>
        <w:spacing w:line="360" w:lineRule="auto"/>
        <w:rPr>
          <w:rFonts w:asciiTheme="minorHAnsi" w:hAnsiTheme="minorHAnsi" w:eastAsiaTheme="minorEastAsia" w:cstheme="minorBidi"/>
          <w:b w:val="0"/>
          <w:bCs w:val="0"/>
          <w:caps w:val="0"/>
          <w:kern w:val="2"/>
          <w:sz w:val="21"/>
          <w:szCs w:val="22"/>
        </w:rPr>
      </w:pPr>
      <w:r>
        <w:fldChar w:fldCharType="begin"/>
      </w:r>
      <w:r>
        <w:instrText xml:space="preserve"> HYPERLINK \l "_Toc500150913" </w:instrText>
      </w:r>
      <w:r>
        <w:fldChar w:fldCharType="separate"/>
      </w:r>
      <w:r>
        <w:rPr>
          <w:rStyle w:val="53"/>
          <w:rFonts w:hint="eastAsia" w:ascii="宋体" w:hAnsi="宋体" w:cs="宋体"/>
          <w:color w:val="auto"/>
        </w:rPr>
        <w:t>第三部分用户需求书</w:t>
      </w:r>
      <w:r>
        <w:tab/>
      </w:r>
      <w:r>
        <w:fldChar w:fldCharType="begin"/>
      </w:r>
      <w:r>
        <w:instrText xml:space="preserve"> PAGEREF _Toc500150913 \h </w:instrText>
      </w:r>
      <w:r>
        <w:fldChar w:fldCharType="separate"/>
      </w:r>
      <w:r>
        <w:t>20</w:t>
      </w:r>
      <w:r>
        <w:fldChar w:fldCharType="end"/>
      </w:r>
      <w:r>
        <w:fldChar w:fldCharType="end"/>
      </w:r>
    </w:p>
    <w:p>
      <w:pPr>
        <w:pStyle w:val="31"/>
        <w:tabs>
          <w:tab w:val="right" w:leader="dot" w:pos="9629"/>
        </w:tabs>
        <w:spacing w:line="360" w:lineRule="auto"/>
        <w:rPr>
          <w:rFonts w:asciiTheme="minorHAnsi" w:hAnsiTheme="minorHAnsi" w:eastAsiaTheme="minorEastAsia" w:cstheme="minorBidi"/>
          <w:b w:val="0"/>
          <w:bCs w:val="0"/>
          <w:caps w:val="0"/>
          <w:kern w:val="2"/>
          <w:sz w:val="21"/>
          <w:szCs w:val="22"/>
        </w:rPr>
      </w:pPr>
      <w:r>
        <w:fldChar w:fldCharType="begin"/>
      </w:r>
      <w:r>
        <w:instrText xml:space="preserve"> HYPERLINK \l "_Toc500150917" </w:instrText>
      </w:r>
      <w:r>
        <w:fldChar w:fldCharType="separate"/>
      </w:r>
      <w:r>
        <w:rPr>
          <w:rStyle w:val="53"/>
          <w:rFonts w:hint="eastAsia" w:ascii="宋体" w:hAnsi="宋体" w:cs="宋体"/>
          <w:color w:val="auto"/>
        </w:rPr>
        <w:t>第四部分合同条款</w:t>
      </w:r>
      <w:r>
        <w:tab/>
      </w:r>
      <w:r>
        <w:rPr>
          <w:rFonts w:hint="eastAsia"/>
        </w:rPr>
        <w:t>2</w:t>
      </w:r>
      <w:r>
        <w:rPr>
          <w:rFonts w:hint="eastAsia"/>
        </w:rPr>
        <w:fldChar w:fldCharType="end"/>
      </w:r>
      <w:r>
        <w:rPr>
          <w:rFonts w:hint="eastAsia"/>
        </w:rPr>
        <w:t>3</w:t>
      </w:r>
    </w:p>
    <w:p>
      <w:pPr>
        <w:pStyle w:val="31"/>
        <w:tabs>
          <w:tab w:val="right" w:leader="dot" w:pos="9629"/>
        </w:tabs>
        <w:spacing w:line="360" w:lineRule="auto"/>
        <w:rPr>
          <w:rFonts w:asciiTheme="minorHAnsi" w:hAnsiTheme="minorHAnsi" w:eastAsiaTheme="minorEastAsia" w:cstheme="minorBidi"/>
          <w:b w:val="0"/>
          <w:bCs w:val="0"/>
          <w:caps w:val="0"/>
          <w:kern w:val="2"/>
          <w:sz w:val="21"/>
          <w:szCs w:val="22"/>
        </w:rPr>
      </w:pPr>
      <w:r>
        <w:fldChar w:fldCharType="begin"/>
      </w:r>
      <w:r>
        <w:instrText xml:space="preserve"> HYPERLINK \l "_Toc500150926" </w:instrText>
      </w:r>
      <w:r>
        <w:fldChar w:fldCharType="separate"/>
      </w:r>
      <w:r>
        <w:rPr>
          <w:rStyle w:val="53"/>
          <w:rFonts w:hint="eastAsia" w:ascii="宋体" w:hAnsi="宋体" w:cs="宋体"/>
          <w:color w:val="auto"/>
        </w:rPr>
        <w:t>第五部分投标文件格式</w:t>
      </w:r>
      <w:r>
        <w:tab/>
      </w:r>
      <w:r>
        <w:rPr>
          <w:rFonts w:hint="eastAsia"/>
        </w:rPr>
        <w:t>2</w:t>
      </w:r>
      <w:r>
        <w:rPr>
          <w:rFonts w:hint="eastAsia"/>
        </w:rPr>
        <w:fldChar w:fldCharType="end"/>
      </w:r>
      <w:r>
        <w:rPr>
          <w:rFonts w:hint="eastAsia"/>
        </w:rPr>
        <w:t>6</w:t>
      </w:r>
    </w:p>
    <w:p>
      <w:pPr>
        <w:pStyle w:val="31"/>
        <w:tabs>
          <w:tab w:val="right" w:leader="dot" w:pos="9629"/>
        </w:tabs>
        <w:spacing w:line="360" w:lineRule="auto"/>
        <w:rPr>
          <w:rFonts w:asciiTheme="minorHAnsi" w:hAnsiTheme="minorHAnsi" w:eastAsiaTheme="minorEastAsia" w:cstheme="minorBidi"/>
          <w:b w:val="0"/>
          <w:bCs w:val="0"/>
          <w:caps w:val="0"/>
          <w:kern w:val="2"/>
          <w:sz w:val="21"/>
          <w:szCs w:val="22"/>
        </w:rPr>
      </w:pPr>
      <w:r>
        <w:fldChar w:fldCharType="begin"/>
      </w:r>
      <w:r>
        <w:instrText xml:space="preserve"> HYPERLINK \l "_Toc500150957" </w:instrText>
      </w:r>
      <w:r>
        <w:fldChar w:fldCharType="separate"/>
      </w:r>
      <w:r>
        <w:rPr>
          <w:rStyle w:val="53"/>
          <w:rFonts w:hint="eastAsia" w:ascii="宋体" w:hAnsi="宋体" w:cs="宋体"/>
          <w:color w:val="auto"/>
        </w:rPr>
        <w:t>第六部 分评标办法</w:t>
      </w:r>
      <w:r>
        <w:tab/>
      </w:r>
      <w:r>
        <w:rPr>
          <w:rFonts w:hint="eastAsia"/>
        </w:rPr>
        <w:t>3</w:t>
      </w:r>
      <w:r>
        <w:rPr>
          <w:rFonts w:hint="eastAsia"/>
        </w:rPr>
        <w:fldChar w:fldCharType="end"/>
      </w:r>
      <w:r>
        <w:rPr>
          <w:rFonts w:hint="eastAsia"/>
        </w:rPr>
        <w:t>7</w:t>
      </w:r>
    </w:p>
    <w:p>
      <w:pPr>
        <w:pStyle w:val="31"/>
        <w:tabs>
          <w:tab w:val="right" w:leader="dot" w:pos="9629"/>
        </w:tabs>
        <w:spacing w:line="360" w:lineRule="auto"/>
        <w:rPr>
          <w:rFonts w:asciiTheme="minorHAnsi" w:hAnsiTheme="minorHAnsi" w:eastAsiaTheme="minorEastAsia" w:cstheme="minorBidi"/>
          <w:b w:val="0"/>
          <w:bCs w:val="0"/>
          <w:caps w:val="0"/>
          <w:kern w:val="2"/>
          <w:sz w:val="21"/>
          <w:szCs w:val="22"/>
        </w:rPr>
      </w:pPr>
      <w:r>
        <w:fldChar w:fldCharType="begin"/>
      </w:r>
      <w:r>
        <w:instrText xml:space="preserve"> HYPERLINK \l "_Toc500150958" </w:instrText>
      </w:r>
      <w:r>
        <w:fldChar w:fldCharType="separate"/>
      </w:r>
      <w:r>
        <w:rPr>
          <w:rStyle w:val="53"/>
          <w:rFonts w:hint="eastAsia" w:ascii="宋体" w:hAnsi="宋体" w:cs="宋体"/>
          <w:color w:val="auto"/>
        </w:rPr>
        <w:t>（一）初步审查表</w:t>
      </w:r>
      <w:r>
        <w:tab/>
      </w:r>
      <w:r>
        <w:fldChar w:fldCharType="begin"/>
      </w:r>
      <w:r>
        <w:instrText xml:space="preserve"> PAGEREF _Toc500150958 \h </w:instrText>
      </w:r>
      <w:r>
        <w:fldChar w:fldCharType="separate"/>
      </w:r>
      <w:r>
        <w:t>37</w:t>
      </w:r>
      <w:r>
        <w:fldChar w:fldCharType="end"/>
      </w:r>
      <w:r>
        <w:fldChar w:fldCharType="end"/>
      </w:r>
    </w:p>
    <w:p>
      <w:pPr>
        <w:pStyle w:val="31"/>
        <w:tabs>
          <w:tab w:val="right" w:leader="dot" w:pos="9629"/>
        </w:tabs>
        <w:spacing w:line="360" w:lineRule="auto"/>
        <w:rPr>
          <w:rFonts w:asciiTheme="minorHAnsi" w:hAnsiTheme="minorHAnsi" w:eastAsiaTheme="minorEastAsia" w:cstheme="minorBidi"/>
          <w:b w:val="0"/>
          <w:bCs w:val="0"/>
          <w:caps w:val="0"/>
          <w:kern w:val="2"/>
          <w:sz w:val="21"/>
          <w:szCs w:val="22"/>
        </w:rPr>
      </w:pPr>
      <w:r>
        <w:fldChar w:fldCharType="begin"/>
      </w:r>
      <w:r>
        <w:instrText xml:space="preserve"> HYPERLINK \l "_Toc500150960" </w:instrText>
      </w:r>
      <w:r>
        <w:fldChar w:fldCharType="separate"/>
      </w:r>
      <w:r>
        <w:rPr>
          <w:rStyle w:val="53"/>
          <w:rFonts w:hint="eastAsia" w:ascii="宋体" w:hAnsi="宋体" w:cs="宋体"/>
          <w:color w:val="auto"/>
        </w:rPr>
        <w:t>（二）符合性审查表</w:t>
      </w:r>
      <w:r>
        <w:tab/>
      </w:r>
      <w:r>
        <w:fldChar w:fldCharType="begin"/>
      </w:r>
      <w:r>
        <w:instrText xml:space="preserve"> PAGEREF _Toc500150960 \h </w:instrText>
      </w:r>
      <w:r>
        <w:fldChar w:fldCharType="separate"/>
      </w:r>
      <w:r>
        <w:t>38</w:t>
      </w:r>
      <w:r>
        <w:fldChar w:fldCharType="end"/>
      </w:r>
      <w:r>
        <w:fldChar w:fldCharType="end"/>
      </w:r>
    </w:p>
    <w:p>
      <w:pPr>
        <w:pStyle w:val="31"/>
        <w:tabs>
          <w:tab w:val="right" w:leader="dot" w:pos="9629"/>
        </w:tabs>
        <w:spacing w:line="360" w:lineRule="auto"/>
        <w:sectPr>
          <w:headerReference r:id="rId5" w:type="default"/>
          <w:footerReference r:id="rId6" w:type="default"/>
          <w:pgSz w:w="11907" w:h="16840"/>
          <w:pgMar w:top="1418" w:right="1134" w:bottom="1361" w:left="1134" w:header="794" w:footer="794" w:gutter="0"/>
          <w:cols w:space="720" w:num="1"/>
          <w:docGrid w:linePitch="285" w:charSpace="0"/>
        </w:sectPr>
      </w:pPr>
      <w:r>
        <w:rPr>
          <w:rFonts w:ascii="宋体" w:hAnsi="宋体" w:cs="宋体"/>
        </w:rPr>
        <w:fldChar w:fldCharType="end"/>
      </w:r>
      <w:bookmarkStart w:id="1" w:name="_Toc238906999"/>
      <w:bookmarkStart w:id="2" w:name="_Toc238871023"/>
      <w:r>
        <w:rPr>
          <w:rFonts w:hint="eastAsia"/>
        </w:rPr>
        <w:t>（三）评分标准</w:t>
      </w:r>
      <w:r>
        <w:tab/>
      </w:r>
      <w:r>
        <w:fldChar w:fldCharType="begin"/>
      </w:r>
      <w:r>
        <w:instrText xml:space="preserve"> PAGEREF _Toc500150960 \h </w:instrText>
      </w:r>
      <w:r>
        <w:fldChar w:fldCharType="separate"/>
      </w:r>
      <w:r>
        <w:t>3</w:t>
      </w:r>
      <w:r>
        <w:rPr>
          <w:rFonts w:hint="eastAsia"/>
        </w:rPr>
        <w:t>9</w:t>
      </w:r>
      <w:r>
        <w:fldChar w:fldCharType="end"/>
      </w:r>
    </w:p>
    <w:bookmarkEnd w:id="1"/>
    <w:bookmarkEnd w:id="2"/>
    <w:p>
      <w:pPr>
        <w:tabs>
          <w:tab w:val="left" w:pos="4680"/>
        </w:tabs>
        <w:snapToGrid w:val="0"/>
        <w:spacing w:line="380" w:lineRule="exact"/>
        <w:ind w:right="-237" w:rightChars="-113"/>
        <w:jc w:val="center"/>
        <w:outlineLvl w:val="0"/>
        <w:rPr>
          <w:rFonts w:hAnsi="宋体" w:cs="宋体"/>
          <w:b/>
          <w:bCs/>
          <w:sz w:val="30"/>
          <w:szCs w:val="30"/>
        </w:rPr>
      </w:pPr>
      <w:bookmarkStart w:id="3" w:name="_Toc468811073"/>
      <w:bookmarkStart w:id="4" w:name="_Toc500150901"/>
      <w:r>
        <w:rPr>
          <w:rFonts w:hint="eastAsia" w:hAnsi="宋体" w:cs="宋体"/>
          <w:b/>
          <w:bCs/>
          <w:sz w:val="30"/>
          <w:szCs w:val="30"/>
        </w:rPr>
        <w:t>第一部分</w:t>
      </w:r>
      <w:bookmarkEnd w:id="3"/>
      <w:r>
        <w:rPr>
          <w:rFonts w:hint="eastAsia" w:hAnsi="宋体"/>
          <w:b/>
          <w:bCs/>
          <w:sz w:val="30"/>
          <w:szCs w:val="30"/>
        </w:rPr>
        <w:t>投标邀请</w:t>
      </w:r>
      <w:bookmarkEnd w:id="4"/>
    </w:p>
    <w:p>
      <w:pPr>
        <w:tabs>
          <w:tab w:val="left" w:pos="4680"/>
        </w:tabs>
        <w:snapToGrid w:val="0"/>
        <w:spacing w:line="380" w:lineRule="exact"/>
        <w:ind w:right="-237" w:rightChars="-113"/>
        <w:outlineLvl w:val="0"/>
        <w:rPr>
          <w:rFonts w:hAnsi="宋体" w:cs="宋体"/>
          <w:b/>
          <w:bCs/>
          <w:sz w:val="30"/>
          <w:szCs w:val="30"/>
        </w:rPr>
      </w:pPr>
    </w:p>
    <w:p>
      <w:pPr>
        <w:widowControl/>
        <w:spacing w:line="360" w:lineRule="auto"/>
        <w:ind w:right="300" w:firstLine="420" w:firstLineChars="200"/>
        <w:jc w:val="left"/>
      </w:pPr>
      <w:bookmarkStart w:id="5" w:name="_Toc468811074"/>
      <w:bookmarkStart w:id="6" w:name="_Toc29094"/>
      <w:r>
        <w:rPr>
          <w:rFonts w:hint="eastAsia" w:ascii="宋体" w:hAnsi="宋体" w:cs="宋体"/>
          <w:kern w:val="0"/>
        </w:rPr>
        <w:t>河南兴建建设管理有限公司受</w:t>
      </w:r>
      <w:bookmarkStart w:id="7" w:name="OLE_LINK2"/>
      <w:r>
        <w:rPr>
          <w:rFonts w:hint="eastAsia" w:ascii="宋体" w:hAnsi="宋体" w:cs="宋体"/>
          <w:kern w:val="0"/>
          <w:lang w:val="en-GB"/>
        </w:rPr>
        <w:t>中国科学院深海科学与工程研究所</w:t>
      </w:r>
      <w:bookmarkEnd w:id="7"/>
      <w:r>
        <w:rPr>
          <w:rFonts w:hint="eastAsia" w:ascii="宋体" w:hAnsi="宋体" w:cs="宋体"/>
          <w:kern w:val="0"/>
        </w:rPr>
        <w:t>委托，对</w:t>
      </w:r>
      <w:bookmarkStart w:id="8" w:name="OLE_LINK3"/>
      <w:r>
        <w:rPr>
          <w:rFonts w:hint="eastAsia" w:ascii="宋体" w:hAnsi="宋体" w:cs="宋体"/>
          <w:kern w:val="0"/>
          <w:lang w:val="en-GB"/>
        </w:rPr>
        <w:t>三亚深海科考码头工程环境影响评价项目</w:t>
      </w:r>
      <w:bookmarkEnd w:id="8"/>
      <w:r>
        <w:rPr>
          <w:rFonts w:hint="eastAsia" w:ascii="宋体" w:hAnsi="宋体" w:cs="宋体"/>
          <w:kern w:val="0"/>
          <w:lang w:eastAsia="zh-CN"/>
        </w:rPr>
        <w:t>（第二次）</w:t>
      </w:r>
      <w:r>
        <w:rPr>
          <w:rFonts w:hint="eastAsia" w:ascii="宋体" w:hAnsi="宋体" w:cs="宋体"/>
          <w:kern w:val="0"/>
        </w:rPr>
        <w:t>组织公开招标 ，现邀请国内合</w:t>
      </w:r>
      <w:r>
        <w:rPr>
          <w:rFonts w:ascii="宋体" w:hAnsi="宋体" w:cs="宋体"/>
          <w:kern w:val="0"/>
        </w:rPr>
        <w:t>格的供应或制造商来参加投标。</w:t>
      </w:r>
    </w:p>
    <w:p>
      <w:pPr>
        <w:pStyle w:val="230"/>
        <w:spacing w:line="360" w:lineRule="auto"/>
      </w:pPr>
      <w:r>
        <w:t>窗体底端</w:t>
      </w:r>
    </w:p>
    <w:bookmarkEnd w:id="5"/>
    <w:bookmarkEnd w:id="6"/>
    <w:p>
      <w:pPr>
        <w:pStyle w:val="229"/>
        <w:spacing w:line="360" w:lineRule="auto"/>
      </w:pPr>
      <w:r>
        <w:t>窗体顶端</w:t>
      </w:r>
    </w:p>
    <w:p>
      <w:pPr>
        <w:pStyle w:val="42"/>
        <w:spacing w:before="0" w:beforeAutospacing="0" w:after="0" w:afterAutospacing="0" w:line="360" w:lineRule="auto"/>
        <w:ind w:left="300" w:right="300"/>
        <w:rPr>
          <w:b/>
          <w:sz w:val="27"/>
          <w:szCs w:val="27"/>
        </w:rPr>
      </w:pPr>
      <w:r>
        <w:rPr>
          <w:rStyle w:val="45"/>
          <w:sz w:val="27"/>
          <w:szCs w:val="27"/>
        </w:rPr>
        <w:t>1. 招标编号：</w:t>
      </w:r>
      <w:r>
        <w:rPr>
          <w:rStyle w:val="45"/>
          <w:rFonts w:hint="eastAsia"/>
          <w:sz w:val="27"/>
          <w:szCs w:val="27"/>
        </w:rPr>
        <w:t>HNXJSY201807</w:t>
      </w:r>
    </w:p>
    <w:p>
      <w:pPr>
        <w:pStyle w:val="42"/>
        <w:spacing w:before="0" w:beforeAutospacing="0" w:after="0" w:afterAutospacing="0" w:line="360" w:lineRule="auto"/>
        <w:ind w:left="300" w:right="300"/>
        <w:rPr>
          <w:rStyle w:val="45"/>
          <w:sz w:val="27"/>
          <w:szCs w:val="27"/>
        </w:rPr>
      </w:pPr>
      <w:r>
        <w:rPr>
          <w:rStyle w:val="45"/>
          <w:sz w:val="27"/>
          <w:szCs w:val="27"/>
        </w:rPr>
        <w:t xml:space="preserve">2. 招标项目及范围： </w:t>
      </w:r>
    </w:p>
    <w:p>
      <w:pPr>
        <w:widowControl/>
        <w:spacing w:line="360" w:lineRule="auto"/>
        <w:ind w:right="300" w:firstLine="420" w:firstLineChars="200"/>
        <w:jc w:val="left"/>
        <w:rPr>
          <w:rFonts w:hint="eastAsia" w:ascii="宋体" w:hAnsi="宋体" w:eastAsia="宋体" w:cs="宋体"/>
          <w:kern w:val="0"/>
          <w:lang w:eastAsia="zh-CN"/>
        </w:rPr>
      </w:pPr>
      <w:r>
        <w:rPr>
          <w:rFonts w:hint="eastAsia" w:ascii="宋体" w:hAnsi="宋体" w:cs="宋体"/>
          <w:kern w:val="0"/>
        </w:rPr>
        <w:t>2.1、名称：深海科考实验研究与岸基保障平台--三亚深海科考码头项目环境影响评价</w:t>
      </w:r>
      <w:r>
        <w:rPr>
          <w:rFonts w:hint="eastAsia" w:ascii="宋体" w:hAnsi="宋体" w:cs="宋体"/>
          <w:kern w:val="0"/>
          <w:lang w:eastAsia="zh-CN"/>
        </w:rPr>
        <w:t>（第二次）。</w:t>
      </w:r>
    </w:p>
    <w:p>
      <w:pPr>
        <w:snapToGrid w:val="0"/>
        <w:spacing w:line="360" w:lineRule="auto"/>
        <w:ind w:firstLine="420" w:firstLineChars="200"/>
        <w:rPr>
          <w:rFonts w:hAnsi="宋体"/>
        </w:rPr>
      </w:pPr>
      <w:r>
        <w:rPr>
          <w:rFonts w:hint="eastAsia" w:hAnsi="宋体"/>
        </w:rPr>
        <w:t>2.2、采购预算：本项目采购预算金额为</w:t>
      </w:r>
      <w:bookmarkStart w:id="9" w:name="OLE_LINK5"/>
      <w:r>
        <w:rPr>
          <w:rFonts w:hint="eastAsia" w:hAnsi="宋体"/>
        </w:rPr>
        <w:t>1500000.00</w:t>
      </w:r>
      <w:bookmarkEnd w:id="9"/>
      <w:r>
        <w:rPr>
          <w:rFonts w:hint="eastAsia" w:hAnsi="宋体"/>
        </w:rPr>
        <w:t>元，最高限价为1500000.00元，超出采购预算金额（最高限价）的投标，按无效投标处理。</w:t>
      </w:r>
    </w:p>
    <w:p>
      <w:pPr>
        <w:snapToGrid w:val="0"/>
        <w:spacing w:line="360" w:lineRule="auto"/>
        <w:ind w:firstLine="420" w:firstLineChars="200"/>
        <w:rPr>
          <w:rFonts w:hAnsi="宋体"/>
        </w:rPr>
      </w:pPr>
      <w:r>
        <w:rPr>
          <w:rFonts w:hint="eastAsia" w:hAnsi="宋体"/>
        </w:rPr>
        <w:t>2.3、采购内容：对</w:t>
      </w:r>
      <w:bookmarkStart w:id="10" w:name="OLE_LINK6"/>
      <w:r>
        <w:rPr>
          <w:rFonts w:hint="eastAsia" w:hAnsi="宋体"/>
        </w:rPr>
        <w:t>深海科考实验研究与岸基保障平台——三亚深海科考码头工程的环境影响进行</w:t>
      </w:r>
      <w:bookmarkEnd w:id="10"/>
      <w:r>
        <w:rPr>
          <w:rFonts w:hint="eastAsia" w:hAnsi="宋体"/>
        </w:rPr>
        <w:t>评价。</w:t>
      </w:r>
    </w:p>
    <w:p>
      <w:pPr>
        <w:snapToGrid w:val="0"/>
        <w:spacing w:line="360" w:lineRule="auto"/>
        <w:ind w:firstLine="420" w:firstLineChars="200"/>
        <w:rPr>
          <w:rFonts w:hAnsi="宋体"/>
        </w:rPr>
      </w:pPr>
      <w:r>
        <w:rPr>
          <w:rFonts w:hint="eastAsia" w:hAnsi="宋体"/>
        </w:rPr>
        <w:t>2.4、服务周期：60日历天。</w:t>
      </w:r>
    </w:p>
    <w:p>
      <w:pPr>
        <w:pStyle w:val="230"/>
        <w:spacing w:line="360" w:lineRule="auto"/>
      </w:pPr>
      <w:r>
        <w:t>窗体底端</w:t>
      </w:r>
    </w:p>
    <w:p>
      <w:pPr>
        <w:pStyle w:val="229"/>
        <w:spacing w:line="360" w:lineRule="auto"/>
      </w:pPr>
      <w:bookmarkStart w:id="11" w:name="_Toc468811076"/>
      <w:r>
        <w:t>窗体顶端</w:t>
      </w:r>
    </w:p>
    <w:p>
      <w:pPr>
        <w:pStyle w:val="42"/>
        <w:spacing w:before="0" w:beforeAutospacing="0" w:after="0" w:afterAutospacing="0" w:line="360" w:lineRule="auto"/>
        <w:ind w:left="300" w:right="300"/>
        <w:rPr>
          <w:rStyle w:val="45"/>
          <w:sz w:val="27"/>
          <w:szCs w:val="27"/>
        </w:rPr>
      </w:pPr>
      <w:r>
        <w:rPr>
          <w:rStyle w:val="45"/>
          <w:rFonts w:hint="eastAsia"/>
          <w:sz w:val="27"/>
          <w:szCs w:val="27"/>
        </w:rPr>
        <w:t xml:space="preserve">3. </w:t>
      </w:r>
      <w:r>
        <w:rPr>
          <w:rStyle w:val="45"/>
          <w:sz w:val="27"/>
          <w:szCs w:val="27"/>
        </w:rPr>
        <w:t>供应商资格要求</w:t>
      </w:r>
    </w:p>
    <w:p>
      <w:pPr>
        <w:pStyle w:val="229"/>
        <w:spacing w:line="360" w:lineRule="auto"/>
      </w:pPr>
      <w:r>
        <w:t>窗体顶端</w:t>
      </w:r>
    </w:p>
    <w:p>
      <w:pPr>
        <w:snapToGrid w:val="0"/>
        <w:spacing w:line="360" w:lineRule="auto"/>
        <w:ind w:firstLine="420" w:firstLineChars="200"/>
        <w:rPr>
          <w:rFonts w:hAnsi="宋体"/>
        </w:rPr>
      </w:pPr>
      <w:bookmarkStart w:id="12" w:name="OLE_LINK16"/>
      <w:r>
        <w:rPr>
          <w:rFonts w:hint="eastAsia" w:hAnsi="宋体"/>
        </w:rPr>
        <w:t>3.1、符合《中华人民共和国政府采购法》第二十二条规定；</w:t>
      </w:r>
    </w:p>
    <w:p>
      <w:pPr>
        <w:snapToGrid w:val="0"/>
        <w:spacing w:line="360" w:lineRule="auto"/>
        <w:ind w:firstLine="420" w:firstLineChars="200"/>
        <w:rPr>
          <w:rFonts w:hAnsi="宋体"/>
        </w:rPr>
      </w:pPr>
      <w:r>
        <w:rPr>
          <w:rFonts w:hint="eastAsia" w:hAnsi="宋体"/>
        </w:rPr>
        <w:t>3.2、在中华人民共和国境内注册、具有独立承担民事责任能力的法人资格（提供营业执照或事业单位法人证书复印件）；</w:t>
      </w:r>
    </w:p>
    <w:p>
      <w:pPr>
        <w:snapToGrid w:val="0"/>
        <w:spacing w:line="360" w:lineRule="auto"/>
        <w:ind w:firstLine="420" w:firstLineChars="200"/>
        <w:rPr>
          <w:rFonts w:hAnsi="宋体"/>
        </w:rPr>
      </w:pPr>
      <w:r>
        <w:rPr>
          <w:rFonts w:hint="eastAsia" w:hAnsi="宋体"/>
        </w:rPr>
        <w:t>3.3、</w:t>
      </w:r>
      <w:bookmarkStart w:id="13" w:name="OLE_LINK8"/>
      <w:r>
        <w:rPr>
          <w:rFonts w:hint="eastAsia" w:hAnsi="宋体"/>
        </w:rPr>
        <w:t>具备建设项目环境影响评价（交通运输）甲级资质、该项目为国家发改委审批立项项目，需满足审批相应资质要求；</w:t>
      </w:r>
      <w:bookmarkEnd w:id="13"/>
    </w:p>
    <w:p>
      <w:pPr>
        <w:snapToGrid w:val="0"/>
        <w:spacing w:line="360" w:lineRule="auto"/>
        <w:ind w:firstLine="420" w:firstLineChars="200"/>
        <w:rPr>
          <w:rFonts w:hAnsi="宋体"/>
        </w:rPr>
      </w:pPr>
      <w:r>
        <w:rPr>
          <w:rFonts w:hint="eastAsia" w:hAnsi="宋体"/>
        </w:rPr>
        <w:t>3.4、</w:t>
      </w:r>
      <w:bookmarkEnd w:id="12"/>
      <w:r>
        <w:rPr>
          <w:rFonts w:hint="eastAsia" w:hAnsi="宋体"/>
        </w:rPr>
        <w:t>本项目不接受联合体投标。</w:t>
      </w:r>
    </w:p>
    <w:p>
      <w:pPr>
        <w:pStyle w:val="230"/>
        <w:spacing w:line="360" w:lineRule="auto"/>
      </w:pPr>
      <w:r>
        <w:t>窗体底端</w:t>
      </w:r>
    </w:p>
    <w:bookmarkEnd w:id="11"/>
    <w:p>
      <w:pPr>
        <w:pStyle w:val="229"/>
        <w:spacing w:line="360" w:lineRule="auto"/>
      </w:pPr>
      <w:bookmarkStart w:id="14" w:name="_Toc468811077"/>
      <w:bookmarkStart w:id="15" w:name="_Toc14132"/>
      <w:r>
        <w:t>窗体顶端</w:t>
      </w:r>
    </w:p>
    <w:p>
      <w:pPr>
        <w:pStyle w:val="42"/>
        <w:spacing w:before="0" w:beforeAutospacing="0" w:after="0" w:afterAutospacing="0" w:line="360" w:lineRule="auto"/>
        <w:ind w:left="300" w:right="300"/>
        <w:rPr>
          <w:rStyle w:val="45"/>
          <w:sz w:val="27"/>
          <w:szCs w:val="27"/>
        </w:rPr>
      </w:pPr>
      <w:r>
        <w:rPr>
          <w:rStyle w:val="45"/>
          <w:rFonts w:hint="eastAsia"/>
          <w:sz w:val="27"/>
          <w:szCs w:val="27"/>
        </w:rPr>
        <w:t>4. 招标文件的获取</w:t>
      </w:r>
    </w:p>
    <w:p>
      <w:pPr>
        <w:snapToGrid w:val="0"/>
        <w:spacing w:line="360" w:lineRule="auto"/>
        <w:ind w:firstLine="420" w:firstLineChars="200"/>
        <w:rPr>
          <w:rFonts w:hAnsi="宋体"/>
        </w:rPr>
      </w:pPr>
      <w:r>
        <w:rPr>
          <w:rFonts w:hint="eastAsia" w:hAnsi="宋体"/>
        </w:rPr>
        <w:t>4.1、时间： 2018年</w:t>
      </w:r>
      <w:r>
        <w:rPr>
          <w:rFonts w:hint="eastAsia" w:hAnsi="宋体"/>
          <w:lang w:val="en-US" w:eastAsia="zh-CN"/>
        </w:rPr>
        <w:t>6</w:t>
      </w:r>
      <w:r>
        <w:rPr>
          <w:rFonts w:hint="eastAsia" w:hAnsi="宋体"/>
        </w:rPr>
        <w:t>月</w:t>
      </w:r>
      <w:r>
        <w:rPr>
          <w:rFonts w:hint="eastAsia" w:hAnsi="宋体"/>
          <w:lang w:val="en-US" w:eastAsia="zh-CN"/>
        </w:rPr>
        <w:t>23</w:t>
      </w:r>
      <w:r>
        <w:rPr>
          <w:rFonts w:hint="eastAsia" w:hAnsi="宋体"/>
        </w:rPr>
        <w:t>日至 2018 年</w:t>
      </w:r>
      <w:r>
        <w:rPr>
          <w:rFonts w:hint="eastAsia" w:hAnsi="宋体"/>
          <w:lang w:val="en-US" w:eastAsia="zh-CN"/>
        </w:rPr>
        <w:t>6</w:t>
      </w:r>
      <w:r>
        <w:rPr>
          <w:rFonts w:hint="eastAsia" w:hAnsi="宋体"/>
        </w:rPr>
        <w:t>月</w:t>
      </w:r>
      <w:r>
        <w:rPr>
          <w:rFonts w:hint="eastAsia" w:hAnsi="宋体"/>
          <w:lang w:val="en-US" w:eastAsia="zh-CN"/>
        </w:rPr>
        <w:t>29</w:t>
      </w:r>
      <w:r>
        <w:rPr>
          <w:rFonts w:hint="eastAsia" w:hAnsi="宋体"/>
        </w:rPr>
        <w:t>日（每天上午09：00～12:00，下午15:00～18:00）。</w:t>
      </w:r>
    </w:p>
    <w:p>
      <w:pPr>
        <w:snapToGrid w:val="0"/>
        <w:spacing w:line="360" w:lineRule="auto"/>
        <w:ind w:firstLine="420" w:firstLineChars="200"/>
        <w:rPr>
          <w:rFonts w:hAnsi="宋体"/>
        </w:rPr>
      </w:pPr>
      <w:bookmarkStart w:id="16" w:name="_Toc234812711"/>
      <w:bookmarkStart w:id="17" w:name="_Toc184704560"/>
      <w:r>
        <w:rPr>
          <w:rFonts w:hint="eastAsia" w:hAnsi="宋体"/>
        </w:rPr>
        <w:t>4.2、地点：</w:t>
      </w:r>
      <w:bookmarkStart w:id="18" w:name="OLE_LINK1"/>
      <w:r>
        <w:rPr>
          <w:rFonts w:hint="eastAsia" w:hAnsi="宋体"/>
        </w:rPr>
        <w:t>三亚市新风路金鹿大厦西侧二楼</w:t>
      </w:r>
      <w:bookmarkEnd w:id="18"/>
      <w:r>
        <w:rPr>
          <w:rFonts w:hint="eastAsia" w:hAnsi="宋体"/>
        </w:rPr>
        <w:t>。</w:t>
      </w:r>
    </w:p>
    <w:bookmarkEnd w:id="16"/>
    <w:bookmarkEnd w:id="17"/>
    <w:p>
      <w:pPr>
        <w:snapToGrid w:val="0"/>
        <w:spacing w:line="360" w:lineRule="auto"/>
        <w:ind w:firstLine="420" w:firstLineChars="200"/>
        <w:rPr>
          <w:rFonts w:hAnsi="宋体"/>
        </w:rPr>
      </w:pPr>
      <w:r>
        <w:rPr>
          <w:rFonts w:hint="eastAsia" w:hAnsi="宋体"/>
        </w:rPr>
        <w:t>4.3、招标文件收取工本费100元/套，售后不退；未购买招标文件的供应商不得参加本项目投标。</w:t>
      </w:r>
    </w:p>
    <w:p>
      <w:pPr>
        <w:snapToGrid w:val="0"/>
        <w:spacing w:line="360" w:lineRule="auto"/>
        <w:ind w:firstLine="420" w:firstLineChars="200"/>
        <w:rPr>
          <w:rFonts w:hAnsi="宋体"/>
        </w:rPr>
      </w:pPr>
      <w:r>
        <w:rPr>
          <w:rFonts w:hint="eastAsia" w:hAnsi="宋体"/>
        </w:rPr>
        <w:t>4.4、采购文件内容如有澄清或修改，澄清或修改的内容在中国海南政府采购网</w:t>
      </w:r>
      <w:r>
        <w:fldChar w:fldCharType="begin"/>
      </w:r>
      <w:r>
        <w:instrText xml:space="preserve"> HYPERLINK "http://ztb.sanya.gov.cn/sanyaztb/）上发布，采购人不再以书面形式通知所有采购文件收受人。" </w:instrText>
      </w:r>
      <w:r>
        <w:fldChar w:fldCharType="separate"/>
      </w:r>
      <w:r>
        <w:rPr>
          <w:rFonts w:hint="eastAsia" w:hAnsi="宋体"/>
        </w:rPr>
        <w:t>上发布，采购人不再以书面形式通知所有采购文件收受人。</w:t>
      </w:r>
      <w:r>
        <w:rPr>
          <w:rFonts w:hint="eastAsia" w:hAnsi="宋体"/>
        </w:rPr>
        <w:fldChar w:fldCharType="end"/>
      </w:r>
    </w:p>
    <w:p>
      <w:pPr>
        <w:pStyle w:val="230"/>
        <w:spacing w:line="360" w:lineRule="auto"/>
      </w:pPr>
      <w:r>
        <w:t>窗体底端</w:t>
      </w:r>
    </w:p>
    <w:bookmarkEnd w:id="14"/>
    <w:bookmarkEnd w:id="15"/>
    <w:p>
      <w:pPr>
        <w:pStyle w:val="229"/>
        <w:spacing w:line="360" w:lineRule="auto"/>
      </w:pPr>
      <w:r>
        <w:t>窗体顶端</w:t>
      </w:r>
    </w:p>
    <w:p>
      <w:pPr>
        <w:pStyle w:val="42"/>
        <w:spacing w:before="0" w:beforeAutospacing="0" w:after="0" w:afterAutospacing="0" w:line="360" w:lineRule="auto"/>
        <w:ind w:left="300" w:right="300"/>
        <w:rPr>
          <w:rStyle w:val="45"/>
          <w:sz w:val="27"/>
          <w:szCs w:val="27"/>
        </w:rPr>
      </w:pPr>
      <w:r>
        <w:rPr>
          <w:rStyle w:val="45"/>
          <w:rFonts w:hint="eastAsia"/>
          <w:sz w:val="27"/>
          <w:szCs w:val="27"/>
        </w:rPr>
        <w:t>5. 投标文件和保证金的递交</w:t>
      </w:r>
    </w:p>
    <w:p>
      <w:pPr>
        <w:pStyle w:val="230"/>
        <w:spacing w:line="360" w:lineRule="auto"/>
      </w:pPr>
      <w:r>
        <w:t>窗体底端</w:t>
      </w:r>
    </w:p>
    <w:p>
      <w:pPr>
        <w:pStyle w:val="229"/>
        <w:spacing w:line="360" w:lineRule="auto"/>
      </w:pPr>
      <w:bookmarkStart w:id="19" w:name="_Toc468811078"/>
      <w:bookmarkStart w:id="20" w:name="_Toc30723"/>
      <w:bookmarkStart w:id="21" w:name="_Toc238907000"/>
      <w:r>
        <w:t>窗体顶端</w:t>
      </w:r>
    </w:p>
    <w:bookmarkEnd w:id="19"/>
    <w:bookmarkEnd w:id="20"/>
    <w:p>
      <w:pPr>
        <w:snapToGrid w:val="0"/>
        <w:spacing w:line="360" w:lineRule="auto"/>
        <w:ind w:firstLine="420" w:firstLineChars="200"/>
        <w:rPr>
          <w:rFonts w:hAnsi="宋体"/>
        </w:rPr>
      </w:pPr>
      <w:bookmarkStart w:id="22" w:name="OLE_LINK9"/>
      <w:r>
        <w:rPr>
          <w:rFonts w:hint="eastAsia" w:hAnsi="宋体"/>
        </w:rPr>
        <w:t>1、递交投标文件截止时间:  2018年</w:t>
      </w:r>
      <w:r>
        <w:rPr>
          <w:rFonts w:hint="eastAsia" w:hAnsi="宋体"/>
          <w:lang w:val="en-US" w:eastAsia="zh-CN"/>
        </w:rPr>
        <w:t>7</w:t>
      </w:r>
      <w:r>
        <w:rPr>
          <w:rFonts w:hint="eastAsia" w:hAnsi="宋体"/>
        </w:rPr>
        <w:t>月</w:t>
      </w:r>
      <w:r>
        <w:rPr>
          <w:rFonts w:hint="eastAsia" w:hAnsi="宋体"/>
          <w:lang w:val="en-US" w:eastAsia="zh-CN"/>
        </w:rPr>
        <w:t>16</w:t>
      </w:r>
      <w:r>
        <w:rPr>
          <w:rFonts w:hint="eastAsia" w:hAnsi="宋体"/>
        </w:rPr>
        <w:t>日</w:t>
      </w:r>
      <w:r>
        <w:rPr>
          <w:rFonts w:hint="eastAsia" w:hAnsi="宋体"/>
          <w:lang w:val="en-US" w:eastAsia="zh-CN"/>
        </w:rPr>
        <w:t>15</w:t>
      </w:r>
      <w:r>
        <w:rPr>
          <w:rFonts w:hint="eastAsia" w:hAnsi="宋体"/>
        </w:rPr>
        <w:t>时</w:t>
      </w:r>
      <w:r>
        <w:rPr>
          <w:rFonts w:hint="eastAsia" w:hAnsi="宋体"/>
          <w:lang w:val="en-US" w:eastAsia="zh-CN"/>
        </w:rPr>
        <w:t>00</w:t>
      </w:r>
      <w:r>
        <w:rPr>
          <w:rFonts w:hint="eastAsia" w:hAnsi="宋体"/>
        </w:rPr>
        <w:t>分</w:t>
      </w:r>
    </w:p>
    <w:p>
      <w:pPr>
        <w:snapToGrid w:val="0"/>
        <w:spacing w:line="360" w:lineRule="auto"/>
        <w:ind w:firstLine="420" w:firstLineChars="200"/>
        <w:rPr>
          <w:rFonts w:hAnsi="宋体"/>
        </w:rPr>
      </w:pPr>
      <w:r>
        <w:rPr>
          <w:rFonts w:hint="eastAsia" w:hAnsi="宋体"/>
        </w:rPr>
        <w:t>2、开标时间： 2018年</w:t>
      </w:r>
      <w:r>
        <w:rPr>
          <w:rFonts w:hint="eastAsia" w:hAnsi="宋体"/>
          <w:lang w:val="en-US" w:eastAsia="zh-CN"/>
        </w:rPr>
        <w:t>7</w:t>
      </w:r>
      <w:r>
        <w:rPr>
          <w:rFonts w:hint="eastAsia" w:hAnsi="宋体"/>
        </w:rPr>
        <w:t>月</w:t>
      </w:r>
      <w:r>
        <w:rPr>
          <w:rFonts w:hint="eastAsia" w:hAnsi="宋体"/>
          <w:lang w:val="en-US" w:eastAsia="zh-CN"/>
        </w:rPr>
        <w:t>16</w:t>
      </w:r>
      <w:r>
        <w:rPr>
          <w:rFonts w:hint="eastAsia" w:hAnsi="宋体"/>
        </w:rPr>
        <w:t>日</w:t>
      </w:r>
      <w:r>
        <w:rPr>
          <w:rFonts w:hint="eastAsia" w:hAnsi="宋体"/>
          <w:lang w:val="en-US" w:eastAsia="zh-CN"/>
        </w:rPr>
        <w:t>15</w:t>
      </w:r>
      <w:r>
        <w:rPr>
          <w:rFonts w:hint="eastAsia" w:hAnsi="宋体"/>
        </w:rPr>
        <w:t>时</w:t>
      </w:r>
      <w:r>
        <w:rPr>
          <w:rFonts w:hint="eastAsia" w:hAnsi="宋体"/>
          <w:lang w:val="en-US" w:eastAsia="zh-CN"/>
        </w:rPr>
        <w:t>00</w:t>
      </w:r>
      <w:r>
        <w:rPr>
          <w:rFonts w:hint="eastAsia" w:hAnsi="宋体"/>
        </w:rPr>
        <w:t>分</w:t>
      </w:r>
    </w:p>
    <w:p>
      <w:pPr>
        <w:snapToGrid w:val="0"/>
        <w:spacing w:line="360" w:lineRule="auto"/>
        <w:ind w:firstLine="420" w:firstLineChars="200"/>
        <w:rPr>
          <w:rFonts w:hAnsi="宋体"/>
        </w:rPr>
      </w:pPr>
      <w:r>
        <w:rPr>
          <w:rFonts w:hint="eastAsia" w:hAnsi="宋体"/>
        </w:rPr>
        <w:t>3、开标地点：三亚市新风路金鹿大厦西侧二楼</w:t>
      </w:r>
    </w:p>
    <w:bookmarkEnd w:id="22"/>
    <w:p>
      <w:pPr>
        <w:pStyle w:val="42"/>
        <w:spacing w:before="0" w:beforeAutospacing="0" w:after="0" w:afterAutospacing="0" w:line="360" w:lineRule="auto"/>
        <w:ind w:left="300" w:right="300"/>
        <w:rPr>
          <w:rStyle w:val="45"/>
          <w:sz w:val="27"/>
          <w:szCs w:val="27"/>
        </w:rPr>
      </w:pPr>
      <w:r>
        <w:rPr>
          <w:rStyle w:val="45"/>
          <w:rFonts w:hint="eastAsia"/>
          <w:sz w:val="27"/>
          <w:szCs w:val="27"/>
        </w:rPr>
        <w:t>6. 联系方式</w:t>
      </w:r>
    </w:p>
    <w:p>
      <w:pPr>
        <w:pStyle w:val="230"/>
        <w:spacing w:line="360" w:lineRule="auto"/>
      </w:pPr>
      <w:r>
        <w:t>窗体底端</w:t>
      </w:r>
    </w:p>
    <w:p>
      <w:pPr>
        <w:snapToGrid w:val="0"/>
        <w:spacing w:line="360" w:lineRule="auto"/>
        <w:ind w:firstLine="420" w:firstLineChars="200"/>
        <w:rPr>
          <w:rFonts w:hAnsi="宋体"/>
        </w:rPr>
      </w:pPr>
      <w:bookmarkStart w:id="23" w:name="_Toc468811079"/>
      <w:r>
        <w:rPr>
          <w:rFonts w:hint="eastAsia" w:hAnsi="宋体"/>
        </w:rPr>
        <w:t>采购人：</w:t>
      </w:r>
      <w:bookmarkStart w:id="24" w:name="OLE_LINK10"/>
      <w:r>
        <w:rPr>
          <w:rFonts w:hint="eastAsia" w:hAnsi="宋体"/>
        </w:rPr>
        <w:t>中国科学院深海科学与工程研究所</w:t>
      </w:r>
      <w:bookmarkEnd w:id="24"/>
    </w:p>
    <w:p>
      <w:pPr>
        <w:snapToGrid w:val="0"/>
        <w:spacing w:line="360" w:lineRule="auto"/>
        <w:ind w:firstLine="420" w:firstLineChars="200"/>
        <w:rPr>
          <w:rFonts w:hint="eastAsia" w:hAnsi="宋体" w:eastAsia="宋体"/>
          <w:lang w:eastAsia="zh-CN"/>
        </w:rPr>
      </w:pPr>
      <w:r>
        <w:rPr>
          <w:rFonts w:hint="eastAsia" w:hAnsi="宋体"/>
        </w:rPr>
        <w:t>地址：</w:t>
      </w:r>
      <w:r>
        <w:rPr>
          <w:rFonts w:hint="eastAsia" w:hAnsi="宋体"/>
          <w:lang w:eastAsia="zh-CN"/>
        </w:rPr>
        <w:t>三</w:t>
      </w:r>
      <w:r>
        <w:rPr>
          <w:rFonts w:hint="eastAsia" w:hAnsi="宋体"/>
        </w:rPr>
        <w:t>亚市鹿回头路28号　</w:t>
      </w:r>
    </w:p>
    <w:p>
      <w:pPr>
        <w:snapToGrid w:val="0"/>
        <w:spacing w:line="360" w:lineRule="auto"/>
        <w:ind w:firstLine="420" w:firstLineChars="200"/>
        <w:rPr>
          <w:rFonts w:hAnsi="宋体"/>
        </w:rPr>
      </w:pPr>
      <w:r>
        <w:rPr>
          <w:rFonts w:hint="eastAsia" w:hAnsi="宋体"/>
        </w:rPr>
        <w:t>联系人：</w:t>
      </w:r>
      <w:bookmarkStart w:id="25" w:name="OLE_LINK11"/>
      <w:r>
        <w:rPr>
          <w:rFonts w:hint="eastAsia" w:hAnsi="宋体"/>
        </w:rPr>
        <w:t>张先生</w:t>
      </w:r>
      <w:bookmarkEnd w:id="25"/>
    </w:p>
    <w:p>
      <w:pPr>
        <w:snapToGrid w:val="0"/>
        <w:spacing w:line="360" w:lineRule="auto"/>
        <w:ind w:firstLine="420" w:firstLineChars="200"/>
        <w:rPr>
          <w:rFonts w:hAnsi="宋体"/>
        </w:rPr>
      </w:pPr>
      <w:r>
        <w:rPr>
          <w:rFonts w:hint="eastAsia" w:hAnsi="宋体"/>
        </w:rPr>
        <w:t>电话：</w:t>
      </w:r>
      <w:bookmarkStart w:id="26" w:name="OLE_LINK15"/>
      <w:r>
        <w:rPr>
          <w:rFonts w:hint="eastAsia" w:hAnsi="宋体"/>
        </w:rPr>
        <w:t>0898-88380080</w:t>
      </w:r>
      <w:bookmarkEnd w:id="26"/>
    </w:p>
    <w:p>
      <w:pPr>
        <w:snapToGrid w:val="0"/>
        <w:spacing w:line="360" w:lineRule="auto"/>
        <w:ind w:firstLine="420" w:firstLineChars="200"/>
        <w:rPr>
          <w:rFonts w:hAnsi="宋体"/>
        </w:rPr>
      </w:pPr>
      <w:r>
        <w:rPr>
          <w:rFonts w:hint="eastAsia" w:hAnsi="宋体"/>
        </w:rPr>
        <w:t>代理机构：河南兴建建设管理有限公司</w:t>
      </w:r>
    </w:p>
    <w:p>
      <w:pPr>
        <w:snapToGrid w:val="0"/>
        <w:spacing w:line="360" w:lineRule="auto"/>
        <w:ind w:firstLine="420" w:firstLineChars="200"/>
        <w:rPr>
          <w:rFonts w:hAnsi="宋体"/>
        </w:rPr>
      </w:pPr>
      <w:r>
        <w:rPr>
          <w:rFonts w:hint="eastAsia" w:hAnsi="宋体"/>
        </w:rPr>
        <w:t>地址：海口市三叶东路玖九华府B栋904</w:t>
      </w:r>
    </w:p>
    <w:p>
      <w:pPr>
        <w:snapToGrid w:val="0"/>
        <w:spacing w:line="360" w:lineRule="auto"/>
        <w:ind w:firstLine="420" w:firstLineChars="200"/>
        <w:rPr>
          <w:rFonts w:hAnsi="宋体"/>
        </w:rPr>
      </w:pPr>
      <w:r>
        <w:rPr>
          <w:rFonts w:hint="eastAsia" w:hAnsi="宋体"/>
        </w:rPr>
        <w:t>联系人：陈先生</w:t>
      </w:r>
    </w:p>
    <w:p>
      <w:pPr>
        <w:snapToGrid w:val="0"/>
        <w:spacing w:line="360" w:lineRule="auto"/>
        <w:ind w:firstLine="420" w:firstLineChars="200"/>
        <w:rPr>
          <w:rFonts w:hAnsi="宋体"/>
        </w:rPr>
      </w:pPr>
      <w:r>
        <w:rPr>
          <w:rFonts w:hint="eastAsia" w:hAnsi="宋体"/>
        </w:rPr>
        <w:t>电话：</w:t>
      </w:r>
      <w:bookmarkStart w:id="27" w:name="OLE_LINK13"/>
      <w:r>
        <w:rPr>
          <w:rFonts w:hint="eastAsia" w:ascii="Times New Roman" w:hAnsi="Times New Roman" w:cs="Times New Roman"/>
        </w:rPr>
        <w:t>13976188121</w:t>
      </w:r>
      <w:bookmarkEnd w:id="27"/>
    </w:p>
    <w:p/>
    <w:p>
      <w:pPr>
        <w:snapToGrid w:val="0"/>
        <w:spacing w:line="360" w:lineRule="auto"/>
        <w:jc w:val="center"/>
        <w:rPr>
          <w:rFonts w:hAnsi="宋体" w:cs="宋体"/>
        </w:rPr>
      </w:pPr>
      <w:r>
        <w:rPr>
          <w:rFonts w:hint="eastAsia" w:ascii="宋体" w:hAnsi="宋体" w:cs="宋体"/>
          <w:kern w:val="0"/>
        </w:rPr>
        <w:t>河南兴建建设管理有限公司</w:t>
      </w:r>
    </w:p>
    <w:p>
      <w:pPr>
        <w:pStyle w:val="229"/>
        <w:spacing w:line="360" w:lineRule="auto"/>
      </w:pPr>
      <w:r>
        <w:t>窗体顶端</w:t>
      </w:r>
    </w:p>
    <w:p>
      <w:pPr>
        <w:widowControl/>
        <w:spacing w:line="360" w:lineRule="auto"/>
        <w:ind w:left="300" w:right="300"/>
        <w:jc w:val="center"/>
        <w:rPr>
          <w:rFonts w:hAnsi="宋体" w:cs="宋体"/>
        </w:rPr>
      </w:pPr>
      <w:r>
        <w:rPr>
          <w:rFonts w:hint="eastAsia"/>
        </w:rPr>
        <w:t>二〇一八年</w:t>
      </w:r>
      <w:r>
        <w:rPr>
          <w:rFonts w:hint="eastAsia"/>
          <w:lang w:val="en-US" w:eastAsia="zh-CN"/>
        </w:rPr>
        <w:t>六</w:t>
      </w:r>
      <w:r>
        <w:rPr>
          <w:rFonts w:hint="eastAsia"/>
        </w:rPr>
        <w:t>月</w:t>
      </w:r>
      <w:r>
        <w:rPr>
          <w:rFonts w:hint="eastAsia"/>
          <w:lang w:eastAsia="zh-CN"/>
        </w:rPr>
        <w:t>二十三</w:t>
      </w:r>
      <w:r>
        <w:rPr>
          <w:rFonts w:hint="eastAsia"/>
        </w:rPr>
        <w:t>日</w:t>
      </w:r>
    </w:p>
    <w:p>
      <w:pPr>
        <w:widowControl/>
        <w:jc w:val="left"/>
        <w:rPr>
          <w:rFonts w:hAnsi="宋体" w:cs="宋体"/>
        </w:rPr>
      </w:pPr>
    </w:p>
    <w:p>
      <w:pPr>
        <w:widowControl/>
        <w:jc w:val="left"/>
        <w:rPr>
          <w:rFonts w:hAnsi="宋体" w:cs="宋体"/>
        </w:rPr>
      </w:pPr>
    </w:p>
    <w:p>
      <w:pPr>
        <w:tabs>
          <w:tab w:val="left" w:pos="4680"/>
        </w:tabs>
        <w:snapToGrid w:val="0"/>
        <w:spacing w:line="360" w:lineRule="auto"/>
        <w:ind w:firstLine="596" w:firstLineChars="198"/>
        <w:jc w:val="center"/>
        <w:outlineLvl w:val="0"/>
        <w:rPr>
          <w:rFonts w:ascii="黑体" w:hAnsi="仿宋_GB2312" w:cs="宋体"/>
          <w:b/>
          <w:bCs/>
          <w:sz w:val="30"/>
          <w:szCs w:val="30"/>
        </w:rPr>
        <w:sectPr>
          <w:pgSz w:w="11907" w:h="16840"/>
          <w:pgMar w:top="1418" w:right="1134" w:bottom="1361" w:left="1134" w:header="794" w:footer="794" w:gutter="0"/>
          <w:cols w:space="720" w:num="1"/>
          <w:docGrid w:linePitch="285" w:charSpace="0"/>
        </w:sectPr>
      </w:pPr>
    </w:p>
    <w:p>
      <w:pPr>
        <w:tabs>
          <w:tab w:val="left" w:pos="4680"/>
        </w:tabs>
        <w:snapToGrid w:val="0"/>
        <w:spacing w:line="360" w:lineRule="auto"/>
        <w:ind w:firstLine="596" w:firstLineChars="198"/>
        <w:jc w:val="center"/>
        <w:outlineLvl w:val="0"/>
        <w:rPr>
          <w:rFonts w:ascii="黑体" w:hAnsi="仿宋_GB2312" w:cs="宋体"/>
          <w:b/>
          <w:bCs/>
          <w:sz w:val="30"/>
          <w:szCs w:val="30"/>
        </w:rPr>
      </w:pPr>
      <w:bookmarkStart w:id="28" w:name="_Toc500150904"/>
      <w:r>
        <w:rPr>
          <w:rFonts w:hint="eastAsia" w:ascii="黑体" w:hAnsi="仿宋_GB2312" w:cs="宋体"/>
          <w:b/>
          <w:bCs/>
          <w:sz w:val="30"/>
          <w:szCs w:val="30"/>
        </w:rPr>
        <w:t>第二部分投标人须知</w:t>
      </w:r>
      <w:bookmarkEnd w:id="21"/>
      <w:bookmarkEnd w:id="23"/>
      <w:bookmarkEnd w:id="28"/>
      <w:bookmarkStart w:id="29" w:name="_Toc238907001"/>
    </w:p>
    <w:p>
      <w:pPr>
        <w:tabs>
          <w:tab w:val="left" w:pos="540"/>
          <w:tab w:val="left" w:pos="720"/>
        </w:tabs>
        <w:spacing w:before="100" w:beforeAutospacing="1" w:after="100" w:afterAutospacing="1" w:line="360" w:lineRule="auto"/>
        <w:jc w:val="left"/>
        <w:outlineLvl w:val="1"/>
        <w:rPr>
          <w:b/>
          <w:szCs w:val="36"/>
        </w:rPr>
      </w:pPr>
      <w:bookmarkStart w:id="30" w:name="_Toc500150905"/>
      <w:bookmarkStart w:id="31" w:name="_Toc973"/>
      <w:bookmarkStart w:id="32" w:name="_Toc30515"/>
      <w:bookmarkStart w:id="33" w:name="_Toc389164169"/>
      <w:bookmarkStart w:id="34" w:name="_Toc392583285"/>
      <w:bookmarkStart w:id="35" w:name="_Toc305"/>
      <w:bookmarkStart w:id="36" w:name="_Toc32474"/>
      <w:bookmarkStart w:id="37" w:name="_Toc16328"/>
      <w:bookmarkStart w:id="38" w:name="_Toc7815"/>
      <w:bookmarkStart w:id="39" w:name="_Toc5801"/>
      <w:bookmarkStart w:id="40" w:name="_Toc8532"/>
      <w:bookmarkStart w:id="41" w:name="_Toc19596"/>
      <w:bookmarkStart w:id="42" w:name="_Toc3839"/>
      <w:r>
        <w:rPr>
          <w:rFonts w:hint="eastAsia"/>
          <w:b/>
          <w:szCs w:val="36"/>
        </w:rPr>
        <w:t>投标人须知前附表</w:t>
      </w:r>
      <w:bookmarkEnd w:id="30"/>
      <w:bookmarkEnd w:id="31"/>
      <w:bookmarkEnd w:id="32"/>
      <w:bookmarkEnd w:id="33"/>
      <w:bookmarkEnd w:id="34"/>
      <w:bookmarkEnd w:id="35"/>
      <w:bookmarkEnd w:id="36"/>
      <w:bookmarkEnd w:id="37"/>
      <w:bookmarkEnd w:id="38"/>
      <w:bookmarkEnd w:id="39"/>
      <w:bookmarkEnd w:id="40"/>
      <w:bookmarkEnd w:id="41"/>
      <w:bookmarkEnd w:id="42"/>
    </w:p>
    <w:tbl>
      <w:tblPr>
        <w:tblStyle w:val="59"/>
        <w:tblW w:w="985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4"/>
        <w:gridCol w:w="2075"/>
        <w:gridCol w:w="68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54" w:type="dxa"/>
            <w:vAlign w:val="center"/>
          </w:tcPr>
          <w:p>
            <w:pPr>
              <w:pStyle w:val="222"/>
              <w:spacing w:line="360" w:lineRule="auto"/>
              <w:ind w:left="-105" w:leftChars="-50" w:right="-105" w:rightChars="-50"/>
              <w:jc w:val="center"/>
              <w:rPr>
                <w:b/>
                <w:color w:val="auto"/>
              </w:rPr>
            </w:pPr>
            <w:r>
              <w:rPr>
                <w:rFonts w:hint="eastAsia"/>
                <w:b/>
                <w:color w:val="auto"/>
                <w:lang w:eastAsia="zh-CN"/>
              </w:rPr>
              <w:t>条款</w:t>
            </w:r>
            <w:r>
              <w:rPr>
                <w:rFonts w:hint="eastAsia"/>
                <w:b/>
                <w:color w:val="auto"/>
              </w:rPr>
              <w:t>号</w:t>
            </w:r>
          </w:p>
        </w:tc>
        <w:tc>
          <w:tcPr>
            <w:tcW w:w="2075" w:type="dxa"/>
            <w:vAlign w:val="center"/>
          </w:tcPr>
          <w:p>
            <w:pPr>
              <w:pStyle w:val="222"/>
              <w:spacing w:line="360" w:lineRule="auto"/>
              <w:jc w:val="center"/>
              <w:rPr>
                <w:b/>
                <w:color w:val="auto"/>
                <w:lang w:eastAsia="zh-CN"/>
              </w:rPr>
            </w:pPr>
            <w:r>
              <w:rPr>
                <w:rFonts w:hint="eastAsia"/>
                <w:b/>
                <w:color w:val="auto"/>
                <w:lang w:eastAsia="zh-CN"/>
              </w:rPr>
              <w:t>条款名称</w:t>
            </w:r>
          </w:p>
        </w:tc>
        <w:tc>
          <w:tcPr>
            <w:tcW w:w="6826" w:type="dxa"/>
            <w:vAlign w:val="center"/>
          </w:tcPr>
          <w:p>
            <w:pPr>
              <w:pStyle w:val="222"/>
              <w:spacing w:line="360" w:lineRule="auto"/>
              <w:jc w:val="center"/>
              <w:rPr>
                <w:b/>
                <w:color w:val="auto"/>
              </w:rPr>
            </w:pPr>
            <w:r>
              <w:rPr>
                <w:rFonts w:hint="eastAsia"/>
                <w:b/>
                <w:color w:val="auto"/>
                <w:lang w:eastAsia="zh-CN"/>
              </w:rPr>
              <w:t>编列</w:t>
            </w:r>
            <w:r>
              <w:rPr>
                <w:rFonts w:hint="eastAsia"/>
                <w:b/>
                <w:color w:val="auto"/>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54" w:type="dxa"/>
            <w:vAlign w:val="center"/>
          </w:tcPr>
          <w:p>
            <w:pPr>
              <w:spacing w:line="440" w:lineRule="exact"/>
              <w:jc w:val="center"/>
              <w:rPr>
                <w:bCs/>
                <w:kern w:val="0"/>
              </w:rPr>
            </w:pPr>
            <w:r>
              <w:rPr>
                <w:rFonts w:hint="eastAsia"/>
                <w:bCs/>
                <w:kern w:val="0"/>
              </w:rPr>
              <w:t>2.1</w:t>
            </w:r>
          </w:p>
        </w:tc>
        <w:tc>
          <w:tcPr>
            <w:tcW w:w="2075" w:type="dxa"/>
            <w:vAlign w:val="center"/>
          </w:tcPr>
          <w:p>
            <w:pPr>
              <w:pStyle w:val="222"/>
              <w:spacing w:line="440" w:lineRule="exact"/>
              <w:jc w:val="center"/>
              <w:rPr>
                <w:color w:val="auto"/>
                <w:lang w:eastAsia="zh-CN"/>
              </w:rPr>
            </w:pPr>
            <w:r>
              <w:rPr>
                <w:rFonts w:hint="eastAsia"/>
                <w:color w:val="auto"/>
                <w:lang w:eastAsia="zh-CN"/>
              </w:rPr>
              <w:t>项目名称</w:t>
            </w:r>
          </w:p>
        </w:tc>
        <w:tc>
          <w:tcPr>
            <w:tcW w:w="6826" w:type="dxa"/>
            <w:vAlign w:val="center"/>
          </w:tcPr>
          <w:p>
            <w:pPr>
              <w:spacing w:line="440" w:lineRule="exact"/>
              <w:rPr>
                <w:rFonts w:ascii="Times New Roman" w:hAnsi="Times New Roman" w:cs="Times New Roman"/>
                <w:kern w:val="0"/>
              </w:rPr>
            </w:pPr>
            <w:r>
              <w:rPr>
                <w:rFonts w:hint="eastAsia" w:ascii="宋体" w:hAnsi="宋体" w:cs="宋体"/>
                <w:kern w:val="0"/>
              </w:rPr>
              <w:t>深海科考实验研究与岸基保障平台--三亚深海科考码头项目环境影响评价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54" w:type="dxa"/>
            <w:vAlign w:val="center"/>
          </w:tcPr>
          <w:p>
            <w:pPr>
              <w:spacing w:line="440" w:lineRule="exact"/>
              <w:jc w:val="center"/>
              <w:rPr>
                <w:bCs/>
                <w:kern w:val="0"/>
              </w:rPr>
            </w:pPr>
            <w:r>
              <w:rPr>
                <w:rFonts w:hint="eastAsia"/>
                <w:bCs/>
                <w:kern w:val="0"/>
              </w:rPr>
              <w:t>2.2</w:t>
            </w:r>
          </w:p>
        </w:tc>
        <w:tc>
          <w:tcPr>
            <w:tcW w:w="2075" w:type="dxa"/>
            <w:vAlign w:val="center"/>
          </w:tcPr>
          <w:p>
            <w:pPr>
              <w:pStyle w:val="222"/>
              <w:spacing w:line="440" w:lineRule="exact"/>
              <w:jc w:val="center"/>
              <w:rPr>
                <w:color w:val="auto"/>
                <w:lang w:eastAsia="zh-CN"/>
              </w:rPr>
            </w:pPr>
            <w:r>
              <w:rPr>
                <w:rFonts w:hint="eastAsia"/>
                <w:color w:val="auto"/>
                <w:lang w:eastAsia="zh-CN"/>
              </w:rPr>
              <w:t>项目编号</w:t>
            </w:r>
          </w:p>
        </w:tc>
        <w:tc>
          <w:tcPr>
            <w:tcW w:w="6826" w:type="dxa"/>
            <w:vAlign w:val="center"/>
          </w:tcPr>
          <w:p>
            <w:pPr>
              <w:spacing w:line="440" w:lineRule="exact"/>
              <w:rPr>
                <w:rFonts w:ascii="Times New Roman" w:hAnsi="Times New Roman" w:cs="Times New Roman"/>
                <w:kern w:val="0"/>
              </w:rPr>
            </w:pPr>
            <w:r>
              <w:rPr>
                <w:rFonts w:hint="eastAsia" w:ascii="Times New Roman" w:hAnsi="Times New Roman" w:cs="Times New Roman"/>
                <w:b/>
                <w:bCs/>
                <w:kern w:val="0"/>
              </w:rPr>
              <w:t>HNXJSY201807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54" w:type="dxa"/>
            <w:vAlign w:val="center"/>
          </w:tcPr>
          <w:p>
            <w:pPr>
              <w:spacing w:line="440" w:lineRule="exact"/>
              <w:jc w:val="center"/>
              <w:rPr>
                <w:bCs/>
                <w:kern w:val="0"/>
              </w:rPr>
            </w:pPr>
            <w:r>
              <w:rPr>
                <w:rFonts w:hint="eastAsia"/>
                <w:bCs/>
                <w:kern w:val="0"/>
              </w:rPr>
              <w:t>2.3</w:t>
            </w:r>
          </w:p>
        </w:tc>
        <w:tc>
          <w:tcPr>
            <w:tcW w:w="2075" w:type="dxa"/>
            <w:vAlign w:val="center"/>
          </w:tcPr>
          <w:p>
            <w:pPr>
              <w:pStyle w:val="222"/>
              <w:spacing w:line="440" w:lineRule="exact"/>
              <w:jc w:val="center"/>
              <w:rPr>
                <w:color w:val="auto"/>
                <w:lang w:eastAsia="zh-CN"/>
              </w:rPr>
            </w:pPr>
            <w:r>
              <w:rPr>
                <w:rFonts w:hint="eastAsia"/>
                <w:color w:val="auto"/>
                <w:lang w:eastAsia="zh-CN"/>
              </w:rPr>
              <w:t>招标人</w:t>
            </w:r>
          </w:p>
        </w:tc>
        <w:tc>
          <w:tcPr>
            <w:tcW w:w="6826" w:type="dxa"/>
            <w:vAlign w:val="center"/>
          </w:tcPr>
          <w:p>
            <w:pPr>
              <w:spacing w:line="440" w:lineRule="exact"/>
              <w:rPr>
                <w:rFonts w:ascii="Times New Roman" w:hAnsi="Times New Roman" w:cs="Times New Roman"/>
                <w:kern w:val="0"/>
              </w:rPr>
            </w:pPr>
            <w:r>
              <w:rPr>
                <w:rFonts w:hint="eastAsia" w:ascii="Times New Roman" w:hAnsi="Times New Roman" w:cs="Times New Roman"/>
                <w:kern w:val="0"/>
              </w:rPr>
              <w:t>名称：</w:t>
            </w:r>
            <w:r>
              <w:rPr>
                <w:rFonts w:hint="eastAsia" w:hAnsi="宋体"/>
              </w:rPr>
              <w:t>中国科学院深海科学与工程研究所</w:t>
            </w:r>
          </w:p>
          <w:p>
            <w:pPr>
              <w:spacing w:line="440" w:lineRule="exact"/>
              <w:rPr>
                <w:rFonts w:ascii="Times New Roman" w:hAnsi="Times New Roman" w:cs="Times New Roman"/>
                <w:kern w:val="0"/>
              </w:rPr>
            </w:pPr>
            <w:r>
              <w:rPr>
                <w:rFonts w:hint="eastAsia" w:ascii="Times New Roman" w:hAnsi="Times New Roman" w:cs="Times New Roman"/>
                <w:kern w:val="0"/>
              </w:rPr>
              <w:t>地点</w:t>
            </w:r>
            <w:bookmarkStart w:id="43" w:name="OLE_LINK12"/>
            <w:r>
              <w:rPr>
                <w:rFonts w:hint="eastAsia" w:ascii="Times New Roman" w:hAnsi="Times New Roman" w:cs="Times New Roman"/>
                <w:kern w:val="0"/>
              </w:rPr>
              <w:t>：</w:t>
            </w:r>
            <w:bookmarkEnd w:id="43"/>
          </w:p>
          <w:p>
            <w:pPr>
              <w:spacing w:line="440" w:lineRule="exact"/>
              <w:rPr>
                <w:rFonts w:ascii="Times New Roman" w:hAnsi="Times New Roman" w:cs="Times New Roman"/>
                <w:kern w:val="0"/>
              </w:rPr>
            </w:pPr>
            <w:r>
              <w:rPr>
                <w:rFonts w:hint="eastAsia" w:ascii="Times New Roman" w:hAnsi="Times New Roman" w:cs="Times New Roman"/>
                <w:kern w:val="0"/>
              </w:rPr>
              <w:t>联系人：</w:t>
            </w:r>
            <w:r>
              <w:rPr>
                <w:rFonts w:hint="eastAsia" w:hAnsi="宋体"/>
              </w:rPr>
              <w:t>张先生</w:t>
            </w:r>
          </w:p>
          <w:p>
            <w:pPr>
              <w:spacing w:line="440" w:lineRule="exact"/>
              <w:rPr>
                <w:rFonts w:ascii="Times New Roman" w:hAnsi="Times New Roman" w:cs="Times New Roman"/>
                <w:kern w:val="0"/>
              </w:rPr>
            </w:pPr>
            <w:r>
              <w:rPr>
                <w:rFonts w:hint="eastAsia" w:ascii="Times New Roman" w:hAnsi="Times New Roman" w:cs="Times New Roman"/>
                <w:kern w:val="0"/>
              </w:rPr>
              <w:t>电话：</w:t>
            </w:r>
            <w:r>
              <w:rPr>
                <w:rFonts w:hint="eastAsia" w:hAnsi="宋体"/>
              </w:rPr>
              <w:t>0898-88380080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54" w:type="dxa"/>
            <w:vAlign w:val="center"/>
          </w:tcPr>
          <w:p>
            <w:pPr>
              <w:spacing w:line="440" w:lineRule="exact"/>
              <w:jc w:val="center"/>
              <w:rPr>
                <w:bCs/>
                <w:kern w:val="0"/>
              </w:rPr>
            </w:pPr>
            <w:r>
              <w:rPr>
                <w:rFonts w:hint="eastAsia"/>
                <w:bCs/>
                <w:kern w:val="0"/>
              </w:rPr>
              <w:t>2.4</w:t>
            </w:r>
          </w:p>
        </w:tc>
        <w:tc>
          <w:tcPr>
            <w:tcW w:w="2075" w:type="dxa"/>
            <w:vAlign w:val="center"/>
          </w:tcPr>
          <w:p>
            <w:pPr>
              <w:pStyle w:val="222"/>
              <w:spacing w:line="440" w:lineRule="exact"/>
              <w:jc w:val="center"/>
              <w:rPr>
                <w:color w:val="auto"/>
                <w:lang w:eastAsia="zh-CN"/>
              </w:rPr>
            </w:pPr>
            <w:r>
              <w:rPr>
                <w:rFonts w:hint="eastAsia"/>
                <w:color w:val="auto"/>
                <w:lang w:eastAsia="zh-CN"/>
              </w:rPr>
              <w:t>代理机构</w:t>
            </w:r>
          </w:p>
        </w:tc>
        <w:tc>
          <w:tcPr>
            <w:tcW w:w="6826" w:type="dxa"/>
            <w:vAlign w:val="center"/>
          </w:tcPr>
          <w:p>
            <w:pPr>
              <w:spacing w:line="440" w:lineRule="exact"/>
              <w:rPr>
                <w:rFonts w:ascii="Times New Roman" w:hAnsi="Times New Roman" w:cs="Times New Roman"/>
                <w:kern w:val="0"/>
              </w:rPr>
            </w:pPr>
            <w:r>
              <w:rPr>
                <w:rFonts w:hint="eastAsia" w:ascii="Times New Roman" w:hAnsi="Times New Roman" w:cs="Times New Roman"/>
                <w:kern w:val="0"/>
              </w:rPr>
              <w:t>名称: 河南兴建建设管理有限公司</w:t>
            </w:r>
          </w:p>
          <w:p>
            <w:pPr>
              <w:spacing w:line="440" w:lineRule="exact"/>
              <w:rPr>
                <w:rFonts w:ascii="Times New Roman" w:hAnsi="Times New Roman" w:cs="Times New Roman"/>
                <w:kern w:val="0"/>
              </w:rPr>
            </w:pPr>
            <w:r>
              <w:rPr>
                <w:rFonts w:hint="eastAsia" w:ascii="Times New Roman" w:hAnsi="Times New Roman" w:cs="Times New Roman"/>
                <w:kern w:val="0"/>
              </w:rPr>
              <w:t>地址：海口市三叶东路玖九华府B栋904</w:t>
            </w:r>
          </w:p>
          <w:p>
            <w:pPr>
              <w:spacing w:line="440" w:lineRule="exact"/>
              <w:rPr>
                <w:rFonts w:ascii="Times New Roman" w:hAnsi="Times New Roman" w:cs="Times New Roman"/>
                <w:kern w:val="0"/>
              </w:rPr>
            </w:pPr>
            <w:r>
              <w:rPr>
                <w:rFonts w:hint="eastAsia" w:ascii="Times New Roman" w:hAnsi="Times New Roman" w:cs="Times New Roman"/>
                <w:kern w:val="0"/>
              </w:rPr>
              <w:t>联系人：陈</w:t>
            </w:r>
            <w:r>
              <w:rPr>
                <w:rFonts w:hint="eastAsia" w:ascii="Times New Roman" w:hAnsi="Times New Roman" w:cs="Times New Roman"/>
                <w:kern w:val="0"/>
                <w:lang w:eastAsia="zh-CN"/>
              </w:rPr>
              <w:t>先生</w:t>
            </w:r>
          </w:p>
          <w:p>
            <w:pPr>
              <w:spacing w:line="440" w:lineRule="exact"/>
              <w:rPr>
                <w:rFonts w:ascii="Times New Roman" w:hAnsi="Times New Roman" w:cs="Times New Roman"/>
                <w:kern w:val="0"/>
              </w:rPr>
            </w:pPr>
            <w:r>
              <w:rPr>
                <w:rFonts w:hint="eastAsia" w:ascii="Times New Roman" w:hAnsi="Times New Roman" w:cs="Times New Roman"/>
                <w:kern w:val="0"/>
              </w:rPr>
              <w:t>电话</w:t>
            </w:r>
            <w:bookmarkStart w:id="44" w:name="OLE_LINK14"/>
            <w:r>
              <w:rPr>
                <w:rFonts w:hint="eastAsia" w:ascii="Times New Roman" w:hAnsi="Times New Roman" w:cs="Times New Roman"/>
                <w:kern w:val="0"/>
              </w:rPr>
              <w:t>：</w:t>
            </w:r>
            <w:bookmarkEnd w:id="44"/>
            <w:r>
              <w:rPr>
                <w:rFonts w:hint="eastAsia" w:ascii="Times New Roman" w:hAnsi="Times New Roman" w:cs="Times New Roman"/>
              </w:rPr>
              <w:t>13976188121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54" w:type="dxa"/>
            <w:vAlign w:val="center"/>
          </w:tcPr>
          <w:p>
            <w:pPr>
              <w:spacing w:line="440" w:lineRule="exact"/>
              <w:jc w:val="center"/>
              <w:rPr>
                <w:bCs/>
                <w:kern w:val="0"/>
              </w:rPr>
            </w:pPr>
            <w:r>
              <w:rPr>
                <w:rFonts w:hint="eastAsia"/>
                <w:bCs/>
                <w:kern w:val="0"/>
              </w:rPr>
              <w:t>2.5</w:t>
            </w:r>
          </w:p>
        </w:tc>
        <w:tc>
          <w:tcPr>
            <w:tcW w:w="2075" w:type="dxa"/>
            <w:vAlign w:val="center"/>
          </w:tcPr>
          <w:p>
            <w:pPr>
              <w:pStyle w:val="222"/>
              <w:spacing w:line="440" w:lineRule="exact"/>
              <w:jc w:val="center"/>
              <w:rPr>
                <w:color w:val="auto"/>
                <w:lang w:eastAsia="zh-CN"/>
              </w:rPr>
            </w:pPr>
            <w:r>
              <w:rPr>
                <w:rFonts w:hint="eastAsia"/>
                <w:color w:val="auto"/>
                <w:lang w:eastAsia="zh-CN"/>
              </w:rPr>
              <w:t>预算金额</w:t>
            </w:r>
          </w:p>
        </w:tc>
        <w:tc>
          <w:tcPr>
            <w:tcW w:w="6826" w:type="dxa"/>
            <w:vAlign w:val="center"/>
          </w:tcPr>
          <w:p>
            <w:pPr>
              <w:pStyle w:val="222"/>
              <w:spacing w:line="440" w:lineRule="exact"/>
              <w:rPr>
                <w:color w:val="auto"/>
                <w:lang w:eastAsia="zh-CN"/>
              </w:rPr>
            </w:pPr>
            <w:r>
              <w:rPr>
                <w:rFonts w:hint="eastAsia"/>
                <w:color w:val="auto"/>
                <w:lang w:eastAsia="zh-CN"/>
              </w:rPr>
              <w:t>人民币150万元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54" w:type="dxa"/>
            <w:vAlign w:val="center"/>
          </w:tcPr>
          <w:p>
            <w:pPr>
              <w:spacing w:line="440" w:lineRule="exact"/>
              <w:jc w:val="center"/>
              <w:rPr>
                <w:bCs/>
                <w:kern w:val="0"/>
              </w:rPr>
            </w:pPr>
            <w:r>
              <w:rPr>
                <w:rFonts w:hint="eastAsia"/>
                <w:bCs/>
                <w:kern w:val="0"/>
              </w:rPr>
              <w:t>2.6</w:t>
            </w:r>
          </w:p>
        </w:tc>
        <w:tc>
          <w:tcPr>
            <w:tcW w:w="2075" w:type="dxa"/>
            <w:vAlign w:val="center"/>
          </w:tcPr>
          <w:p>
            <w:pPr>
              <w:pStyle w:val="222"/>
              <w:spacing w:line="440" w:lineRule="exact"/>
              <w:jc w:val="center"/>
              <w:rPr>
                <w:color w:val="auto"/>
                <w:lang w:eastAsia="zh-CN"/>
              </w:rPr>
            </w:pPr>
            <w:r>
              <w:rPr>
                <w:rFonts w:hint="eastAsia"/>
                <w:color w:val="auto"/>
                <w:lang w:eastAsia="zh-CN"/>
              </w:rPr>
              <w:t>资金来源</w:t>
            </w:r>
          </w:p>
        </w:tc>
        <w:tc>
          <w:tcPr>
            <w:tcW w:w="6826" w:type="dxa"/>
            <w:vAlign w:val="center"/>
          </w:tcPr>
          <w:p>
            <w:pPr>
              <w:pStyle w:val="222"/>
              <w:spacing w:line="440" w:lineRule="exact"/>
              <w:rPr>
                <w:color w:val="auto"/>
                <w:lang w:eastAsia="zh-CN"/>
              </w:rPr>
            </w:pPr>
            <w:r>
              <w:rPr>
                <w:rFonts w:hint="eastAsia"/>
                <w:color w:val="auto"/>
                <w:lang w:eastAsia="zh-CN"/>
              </w:rPr>
              <w:t>企业投资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954" w:type="dxa"/>
            <w:vAlign w:val="center"/>
          </w:tcPr>
          <w:p>
            <w:pPr>
              <w:spacing w:line="440" w:lineRule="exact"/>
              <w:jc w:val="center"/>
              <w:rPr>
                <w:bCs/>
                <w:kern w:val="0"/>
              </w:rPr>
            </w:pPr>
            <w:r>
              <w:rPr>
                <w:rFonts w:hint="eastAsia"/>
                <w:bCs/>
                <w:kern w:val="0"/>
              </w:rPr>
              <w:t>2.7</w:t>
            </w:r>
          </w:p>
        </w:tc>
        <w:tc>
          <w:tcPr>
            <w:tcW w:w="2075" w:type="dxa"/>
            <w:vAlign w:val="center"/>
          </w:tcPr>
          <w:p>
            <w:pPr>
              <w:pStyle w:val="222"/>
              <w:spacing w:line="440" w:lineRule="exact"/>
              <w:jc w:val="center"/>
              <w:rPr>
                <w:color w:val="auto"/>
                <w:lang w:eastAsia="zh-CN"/>
              </w:rPr>
            </w:pPr>
            <w:r>
              <w:rPr>
                <w:rFonts w:hint="eastAsia"/>
                <w:color w:val="auto"/>
                <w:lang w:eastAsia="zh-CN"/>
              </w:rPr>
              <w:t>资质要求</w:t>
            </w:r>
          </w:p>
        </w:tc>
        <w:tc>
          <w:tcPr>
            <w:tcW w:w="6826" w:type="dxa"/>
            <w:vAlign w:val="center"/>
          </w:tcPr>
          <w:p>
            <w:pPr>
              <w:snapToGrid w:val="0"/>
              <w:spacing w:line="360" w:lineRule="auto"/>
              <w:rPr>
                <w:rFonts w:hAnsi="宋体"/>
              </w:rPr>
            </w:pPr>
            <w:r>
              <w:rPr>
                <w:rFonts w:hint="eastAsia" w:hAnsi="宋体"/>
              </w:rPr>
              <w:t>1、符合《中华人民共和国政府采购法》第二十二条规定；</w:t>
            </w:r>
          </w:p>
          <w:p>
            <w:pPr>
              <w:snapToGrid w:val="0"/>
              <w:spacing w:line="360" w:lineRule="auto"/>
              <w:rPr>
                <w:rFonts w:hAnsi="宋体"/>
              </w:rPr>
            </w:pPr>
            <w:r>
              <w:rPr>
                <w:rFonts w:hint="eastAsia" w:hAnsi="宋体"/>
              </w:rPr>
              <w:t>2、在中华人民共和国境内注册、具有独立承担民事责任能力的法人资格（提供营业执照或事业单位法人证书复印件）；</w:t>
            </w:r>
          </w:p>
          <w:p>
            <w:pPr>
              <w:snapToGrid w:val="0"/>
              <w:spacing w:line="360" w:lineRule="auto"/>
              <w:rPr>
                <w:bCs/>
                <w:kern w:val="0"/>
              </w:rPr>
            </w:pPr>
            <w:r>
              <w:rPr>
                <w:rFonts w:hint="eastAsia" w:hAnsi="宋体"/>
              </w:rPr>
              <w:t>3、具备建设项目环境影响评价（交通运输）甲级资质；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954" w:type="dxa"/>
            <w:vAlign w:val="center"/>
          </w:tcPr>
          <w:p>
            <w:pPr>
              <w:spacing w:line="440" w:lineRule="exact"/>
              <w:jc w:val="center"/>
              <w:rPr>
                <w:bCs/>
                <w:kern w:val="0"/>
              </w:rPr>
            </w:pPr>
            <w:r>
              <w:rPr>
                <w:rFonts w:hint="eastAsia"/>
                <w:bCs/>
                <w:kern w:val="0"/>
              </w:rPr>
              <w:t>2.8</w:t>
            </w:r>
          </w:p>
        </w:tc>
        <w:tc>
          <w:tcPr>
            <w:tcW w:w="2075" w:type="dxa"/>
            <w:vAlign w:val="center"/>
          </w:tcPr>
          <w:p>
            <w:pPr>
              <w:pStyle w:val="222"/>
              <w:spacing w:line="440" w:lineRule="exact"/>
              <w:jc w:val="center"/>
              <w:rPr>
                <w:color w:val="auto"/>
                <w:lang w:eastAsia="zh-CN"/>
              </w:rPr>
            </w:pPr>
            <w:r>
              <w:rPr>
                <w:rFonts w:hint="eastAsia"/>
                <w:color w:val="auto"/>
                <w:lang w:eastAsia="zh-CN"/>
              </w:rPr>
              <w:t>服务周期</w:t>
            </w:r>
          </w:p>
        </w:tc>
        <w:tc>
          <w:tcPr>
            <w:tcW w:w="6826" w:type="dxa"/>
            <w:vAlign w:val="center"/>
          </w:tcPr>
          <w:p>
            <w:pPr>
              <w:spacing w:line="440" w:lineRule="exact"/>
            </w:pPr>
            <w:r>
              <w:rPr>
                <w:rFonts w:hint="eastAsia" w:hAnsi="宋体"/>
              </w:rPr>
              <w:t>60日历天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3" w:hRule="atLeast"/>
          <w:jc w:val="center"/>
        </w:trPr>
        <w:tc>
          <w:tcPr>
            <w:tcW w:w="954" w:type="dxa"/>
            <w:vAlign w:val="center"/>
          </w:tcPr>
          <w:p>
            <w:pPr>
              <w:spacing w:line="440" w:lineRule="exact"/>
              <w:jc w:val="center"/>
              <w:rPr>
                <w:bCs/>
                <w:kern w:val="0"/>
              </w:rPr>
            </w:pPr>
            <w:r>
              <w:rPr>
                <w:rFonts w:hint="eastAsia"/>
                <w:bCs/>
                <w:kern w:val="0"/>
              </w:rPr>
              <w:t>4.3</w:t>
            </w:r>
          </w:p>
        </w:tc>
        <w:tc>
          <w:tcPr>
            <w:tcW w:w="2075" w:type="dxa"/>
            <w:vAlign w:val="center"/>
          </w:tcPr>
          <w:p>
            <w:pPr>
              <w:pStyle w:val="222"/>
              <w:spacing w:line="440" w:lineRule="exact"/>
              <w:jc w:val="center"/>
              <w:rPr>
                <w:color w:val="auto"/>
                <w:lang w:eastAsia="zh-CN"/>
              </w:rPr>
            </w:pPr>
            <w:r>
              <w:rPr>
                <w:rFonts w:hint="eastAsia"/>
                <w:color w:val="auto"/>
                <w:lang w:eastAsia="zh-CN"/>
              </w:rPr>
              <w:t>委托代表人</w:t>
            </w:r>
          </w:p>
          <w:p>
            <w:pPr>
              <w:pStyle w:val="222"/>
              <w:spacing w:line="440" w:lineRule="exact"/>
              <w:jc w:val="center"/>
              <w:rPr>
                <w:color w:val="auto"/>
                <w:lang w:eastAsia="zh-CN"/>
              </w:rPr>
            </w:pPr>
            <w:r>
              <w:rPr>
                <w:rFonts w:hint="eastAsia"/>
                <w:color w:val="auto"/>
                <w:lang w:eastAsia="zh-CN"/>
              </w:rPr>
              <w:t>的代理权限</w:t>
            </w:r>
          </w:p>
        </w:tc>
        <w:tc>
          <w:tcPr>
            <w:tcW w:w="6826" w:type="dxa"/>
            <w:vAlign w:val="center"/>
          </w:tcPr>
          <w:p>
            <w:pPr>
              <w:pStyle w:val="222"/>
              <w:spacing w:line="440" w:lineRule="exact"/>
              <w:rPr>
                <w:color w:val="auto"/>
                <w:lang w:eastAsia="zh-CN"/>
              </w:rPr>
            </w:pPr>
            <w:r>
              <w:rPr>
                <w:rFonts w:hint="eastAsia"/>
                <w:color w:val="auto"/>
                <w:lang w:eastAsia="zh-CN"/>
              </w:rPr>
              <w:t>委托代表人只能代表委托人处置投标活动中的一般事务。提出质疑、投诉等特殊事项，必须经法定代表人特别授权。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954" w:type="dxa"/>
            <w:vAlign w:val="center"/>
          </w:tcPr>
          <w:p>
            <w:pPr>
              <w:spacing w:line="440" w:lineRule="exact"/>
              <w:jc w:val="center"/>
              <w:rPr>
                <w:bCs/>
                <w:kern w:val="0"/>
              </w:rPr>
            </w:pPr>
            <w:r>
              <w:rPr>
                <w:rFonts w:hint="eastAsia"/>
                <w:bCs/>
                <w:kern w:val="0"/>
              </w:rPr>
              <w:t>8.1</w:t>
            </w:r>
          </w:p>
        </w:tc>
        <w:tc>
          <w:tcPr>
            <w:tcW w:w="2075" w:type="dxa"/>
            <w:vAlign w:val="center"/>
          </w:tcPr>
          <w:p>
            <w:pPr>
              <w:pStyle w:val="222"/>
              <w:spacing w:line="440" w:lineRule="exact"/>
              <w:jc w:val="center"/>
              <w:rPr>
                <w:color w:val="auto"/>
                <w:lang w:eastAsia="zh-CN"/>
              </w:rPr>
            </w:pPr>
            <w:r>
              <w:rPr>
                <w:rFonts w:hint="eastAsia"/>
                <w:color w:val="auto"/>
                <w:lang w:eastAsia="zh-CN"/>
              </w:rPr>
              <w:t>答疑会和</w:t>
            </w:r>
          </w:p>
          <w:p>
            <w:pPr>
              <w:pStyle w:val="222"/>
              <w:spacing w:line="440" w:lineRule="exact"/>
              <w:jc w:val="center"/>
              <w:rPr>
                <w:color w:val="auto"/>
                <w:lang w:eastAsia="zh-CN"/>
              </w:rPr>
            </w:pPr>
            <w:r>
              <w:rPr>
                <w:rFonts w:hint="eastAsia"/>
                <w:color w:val="auto"/>
                <w:lang w:eastAsia="zh-CN"/>
              </w:rPr>
              <w:t>现场考察</w:t>
            </w:r>
          </w:p>
        </w:tc>
        <w:tc>
          <w:tcPr>
            <w:tcW w:w="6826" w:type="dxa"/>
            <w:vAlign w:val="center"/>
          </w:tcPr>
          <w:p>
            <w:pPr>
              <w:pStyle w:val="222"/>
              <w:spacing w:line="440" w:lineRule="exact"/>
              <w:rPr>
                <w:color w:val="auto"/>
                <w:lang w:eastAsia="zh-CN"/>
              </w:rPr>
            </w:pPr>
            <w:r>
              <w:rPr>
                <w:rFonts w:hint="eastAsia"/>
                <w:color w:val="auto"/>
                <w:lang w:eastAsia="zh-CN"/>
              </w:rPr>
              <w:t>招标人不组织投标人统一考察现场，投标人可依据自身的情况，自行对现场进行考察，并对考察结果负责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jc w:val="center"/>
        </w:trPr>
        <w:tc>
          <w:tcPr>
            <w:tcW w:w="954" w:type="dxa"/>
            <w:vAlign w:val="center"/>
          </w:tcPr>
          <w:p>
            <w:pPr>
              <w:spacing w:line="440" w:lineRule="exact"/>
              <w:jc w:val="center"/>
              <w:rPr>
                <w:bCs/>
                <w:kern w:val="0"/>
              </w:rPr>
            </w:pPr>
            <w:r>
              <w:rPr>
                <w:rFonts w:hint="eastAsia"/>
                <w:bCs/>
                <w:kern w:val="0"/>
              </w:rPr>
              <w:t>10.1</w:t>
            </w:r>
          </w:p>
        </w:tc>
        <w:tc>
          <w:tcPr>
            <w:tcW w:w="2075" w:type="dxa"/>
            <w:vAlign w:val="center"/>
          </w:tcPr>
          <w:p>
            <w:pPr>
              <w:pStyle w:val="222"/>
              <w:spacing w:line="440" w:lineRule="exact"/>
              <w:jc w:val="center"/>
              <w:rPr>
                <w:color w:val="auto"/>
                <w:lang w:eastAsia="zh-CN"/>
              </w:rPr>
            </w:pPr>
            <w:r>
              <w:rPr>
                <w:rFonts w:hint="eastAsia"/>
                <w:color w:val="auto"/>
                <w:lang w:eastAsia="zh-CN"/>
              </w:rPr>
              <w:t>联合体投标</w:t>
            </w:r>
          </w:p>
        </w:tc>
        <w:tc>
          <w:tcPr>
            <w:tcW w:w="6826" w:type="dxa"/>
            <w:vAlign w:val="center"/>
          </w:tcPr>
          <w:p>
            <w:pPr>
              <w:pStyle w:val="222"/>
              <w:spacing w:line="440" w:lineRule="exact"/>
              <w:rPr>
                <w:color w:val="auto"/>
                <w:lang w:eastAsia="zh-CN"/>
              </w:rPr>
            </w:pPr>
            <w:r>
              <w:rPr>
                <w:rFonts w:hint="eastAsia"/>
                <w:color w:val="auto"/>
                <w:lang w:eastAsia="zh-CN"/>
              </w:rPr>
              <w:t>不接受联合体投标，本次招标不允许分包。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54" w:type="dxa"/>
            <w:vAlign w:val="center"/>
          </w:tcPr>
          <w:p>
            <w:pPr>
              <w:spacing w:line="440" w:lineRule="exact"/>
              <w:jc w:val="center"/>
              <w:rPr>
                <w:bCs/>
                <w:kern w:val="0"/>
              </w:rPr>
            </w:pPr>
            <w:r>
              <w:rPr>
                <w:rFonts w:hint="eastAsia"/>
                <w:bCs/>
                <w:kern w:val="0"/>
              </w:rPr>
              <w:t>13.4</w:t>
            </w:r>
          </w:p>
        </w:tc>
        <w:tc>
          <w:tcPr>
            <w:tcW w:w="2075" w:type="dxa"/>
            <w:vAlign w:val="center"/>
          </w:tcPr>
          <w:p>
            <w:pPr>
              <w:pStyle w:val="222"/>
              <w:spacing w:line="440" w:lineRule="exact"/>
              <w:jc w:val="center"/>
              <w:rPr>
                <w:color w:val="auto"/>
                <w:lang w:eastAsia="zh-CN"/>
              </w:rPr>
            </w:pPr>
            <w:r>
              <w:rPr>
                <w:rFonts w:hint="eastAsia"/>
                <w:color w:val="auto"/>
                <w:lang w:eastAsia="zh-CN"/>
              </w:rPr>
              <w:t>报价范围</w:t>
            </w:r>
          </w:p>
        </w:tc>
        <w:tc>
          <w:tcPr>
            <w:tcW w:w="6826" w:type="dxa"/>
            <w:vAlign w:val="center"/>
          </w:tcPr>
          <w:p>
            <w:pPr>
              <w:spacing w:line="440" w:lineRule="exact"/>
              <w:rPr>
                <w:bCs/>
                <w:kern w:val="0"/>
              </w:rPr>
            </w:pPr>
            <w:r>
              <w:rPr>
                <w:rFonts w:hint="eastAsia"/>
                <w:bCs/>
                <w:kern w:val="0"/>
              </w:rPr>
              <w:t>报价上限：</w:t>
            </w:r>
            <w:r>
              <w:rPr>
                <w:rFonts w:hint="eastAsia" w:hAnsi="宋体"/>
              </w:rPr>
              <w:t>1500000.00</w:t>
            </w:r>
            <w:r>
              <w:rPr>
                <w:rFonts w:hint="eastAsia"/>
                <w:bCs/>
                <w:kern w:val="0"/>
              </w:rPr>
              <w:t>元，</w:t>
            </w:r>
            <w:r>
              <w:rPr>
                <w:rFonts w:hint="eastAsia"/>
              </w:rPr>
              <w:t>超出</w:t>
            </w:r>
            <w:r>
              <w:rPr>
                <w:rFonts w:hint="eastAsia"/>
                <w:bCs/>
                <w:kern w:val="0"/>
              </w:rPr>
              <w:t>报价上限</w:t>
            </w:r>
            <w:r>
              <w:rPr>
                <w:rFonts w:hint="eastAsia"/>
              </w:rPr>
              <w:t>的投标废标。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9" w:hRule="atLeast"/>
          <w:jc w:val="center"/>
        </w:trPr>
        <w:tc>
          <w:tcPr>
            <w:tcW w:w="954" w:type="dxa"/>
            <w:vAlign w:val="center"/>
          </w:tcPr>
          <w:p>
            <w:pPr>
              <w:spacing w:line="440" w:lineRule="exact"/>
              <w:jc w:val="center"/>
              <w:rPr>
                <w:bCs/>
                <w:kern w:val="0"/>
              </w:rPr>
            </w:pPr>
            <w:r>
              <w:rPr>
                <w:rFonts w:hint="eastAsia"/>
                <w:bCs/>
                <w:kern w:val="0"/>
              </w:rPr>
              <w:t>14.1</w:t>
            </w:r>
          </w:p>
        </w:tc>
        <w:tc>
          <w:tcPr>
            <w:tcW w:w="2075" w:type="dxa"/>
            <w:vAlign w:val="center"/>
          </w:tcPr>
          <w:p>
            <w:pPr>
              <w:pStyle w:val="222"/>
              <w:spacing w:line="440" w:lineRule="exact"/>
              <w:jc w:val="center"/>
              <w:rPr>
                <w:color w:val="auto"/>
                <w:szCs w:val="22"/>
                <w:lang w:eastAsia="zh-CN"/>
              </w:rPr>
            </w:pPr>
            <w:r>
              <w:rPr>
                <w:rFonts w:hint="eastAsia"/>
                <w:color w:val="auto"/>
                <w:szCs w:val="22"/>
                <w:lang w:eastAsia="zh-CN"/>
              </w:rPr>
              <w:t>投标保证金金额</w:t>
            </w:r>
          </w:p>
        </w:tc>
        <w:tc>
          <w:tcPr>
            <w:tcW w:w="6826" w:type="dxa"/>
            <w:vAlign w:val="center"/>
          </w:tcPr>
          <w:p>
            <w:pPr>
              <w:pStyle w:val="222"/>
              <w:rPr>
                <w:color w:val="auto"/>
                <w:szCs w:val="22"/>
                <w:lang w:eastAsia="zh-CN"/>
              </w:rPr>
            </w:pPr>
            <w:r>
              <w:rPr>
                <w:rFonts w:hint="eastAsia"/>
                <w:color w:val="auto"/>
                <w:szCs w:val="22"/>
                <w:lang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54" w:type="dxa"/>
            <w:vAlign w:val="center"/>
          </w:tcPr>
          <w:p>
            <w:pPr>
              <w:spacing w:line="440" w:lineRule="exact"/>
              <w:jc w:val="center"/>
              <w:rPr>
                <w:bCs/>
                <w:kern w:val="0"/>
              </w:rPr>
            </w:pPr>
            <w:r>
              <w:rPr>
                <w:rFonts w:hint="eastAsia"/>
                <w:bCs/>
                <w:kern w:val="0"/>
              </w:rPr>
              <w:t>15.1</w:t>
            </w:r>
          </w:p>
        </w:tc>
        <w:tc>
          <w:tcPr>
            <w:tcW w:w="2075" w:type="dxa"/>
            <w:vAlign w:val="center"/>
          </w:tcPr>
          <w:p>
            <w:pPr>
              <w:pStyle w:val="222"/>
              <w:spacing w:line="440" w:lineRule="exact"/>
              <w:jc w:val="center"/>
              <w:rPr>
                <w:color w:val="auto"/>
                <w:lang w:eastAsia="zh-CN"/>
              </w:rPr>
            </w:pPr>
            <w:r>
              <w:rPr>
                <w:rFonts w:hint="eastAsia"/>
                <w:color w:val="auto"/>
                <w:lang w:eastAsia="zh-CN"/>
              </w:rPr>
              <w:t>投标有效期</w:t>
            </w:r>
          </w:p>
        </w:tc>
        <w:tc>
          <w:tcPr>
            <w:tcW w:w="6826" w:type="dxa"/>
            <w:vAlign w:val="center"/>
          </w:tcPr>
          <w:p>
            <w:pPr>
              <w:pStyle w:val="222"/>
              <w:spacing w:line="440" w:lineRule="exact"/>
              <w:rPr>
                <w:color w:val="auto"/>
                <w:lang w:eastAsia="zh-CN"/>
              </w:rPr>
            </w:pPr>
            <w:r>
              <w:rPr>
                <w:rFonts w:hint="eastAsia"/>
                <w:color w:val="auto"/>
                <w:lang w:eastAsia="zh-CN"/>
              </w:rPr>
              <w:t>自开标之日起90天。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54" w:type="dxa"/>
            <w:vAlign w:val="center"/>
          </w:tcPr>
          <w:p>
            <w:pPr>
              <w:spacing w:line="440" w:lineRule="exact"/>
              <w:jc w:val="center"/>
              <w:rPr>
                <w:bCs/>
                <w:kern w:val="0"/>
              </w:rPr>
            </w:pPr>
            <w:r>
              <w:rPr>
                <w:rFonts w:hint="eastAsia"/>
                <w:bCs/>
                <w:kern w:val="0"/>
              </w:rPr>
              <w:t>16.1</w:t>
            </w:r>
          </w:p>
        </w:tc>
        <w:tc>
          <w:tcPr>
            <w:tcW w:w="2075" w:type="dxa"/>
            <w:vAlign w:val="center"/>
          </w:tcPr>
          <w:p>
            <w:pPr>
              <w:pStyle w:val="222"/>
              <w:spacing w:line="440" w:lineRule="exact"/>
              <w:jc w:val="center"/>
              <w:rPr>
                <w:color w:val="auto"/>
                <w:lang w:eastAsia="zh-CN"/>
              </w:rPr>
            </w:pPr>
            <w:r>
              <w:rPr>
                <w:rFonts w:hint="eastAsia"/>
                <w:color w:val="auto"/>
                <w:lang w:eastAsia="zh-CN"/>
              </w:rPr>
              <w:t>投标文件份数</w:t>
            </w:r>
          </w:p>
        </w:tc>
        <w:tc>
          <w:tcPr>
            <w:tcW w:w="6826" w:type="dxa"/>
            <w:vAlign w:val="center"/>
          </w:tcPr>
          <w:p>
            <w:pPr>
              <w:pStyle w:val="222"/>
              <w:spacing w:line="440" w:lineRule="exact"/>
              <w:rPr>
                <w:color w:val="auto"/>
                <w:lang w:eastAsia="zh-CN"/>
              </w:rPr>
            </w:pPr>
            <w:r>
              <w:rPr>
                <w:rFonts w:hint="eastAsia"/>
                <w:color w:val="auto"/>
                <w:lang w:eastAsia="zh-CN"/>
              </w:rPr>
              <w:t>正本1份、副本4份，唱标信封1份，电子版投标文件2份（光盘或U盘）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54" w:type="dxa"/>
            <w:vAlign w:val="center"/>
          </w:tcPr>
          <w:p>
            <w:pPr>
              <w:spacing w:line="440" w:lineRule="exact"/>
              <w:jc w:val="center"/>
              <w:rPr>
                <w:bCs/>
                <w:kern w:val="0"/>
              </w:rPr>
            </w:pPr>
            <w:r>
              <w:rPr>
                <w:rFonts w:hint="eastAsia"/>
                <w:bCs/>
                <w:kern w:val="0"/>
              </w:rPr>
              <w:t>18.1</w:t>
            </w:r>
          </w:p>
        </w:tc>
        <w:tc>
          <w:tcPr>
            <w:tcW w:w="2075" w:type="dxa"/>
            <w:vAlign w:val="center"/>
          </w:tcPr>
          <w:p>
            <w:pPr>
              <w:pStyle w:val="222"/>
              <w:spacing w:line="440" w:lineRule="exact"/>
              <w:jc w:val="center"/>
              <w:rPr>
                <w:color w:val="auto"/>
                <w:lang w:eastAsia="zh-CN"/>
              </w:rPr>
            </w:pPr>
            <w:r>
              <w:rPr>
                <w:rFonts w:hint="eastAsia"/>
                <w:color w:val="auto"/>
                <w:lang w:eastAsia="zh-CN"/>
              </w:rPr>
              <w:t>投标截止时间</w:t>
            </w:r>
          </w:p>
        </w:tc>
        <w:tc>
          <w:tcPr>
            <w:tcW w:w="6826" w:type="dxa"/>
            <w:vAlign w:val="center"/>
          </w:tcPr>
          <w:p>
            <w:pPr>
              <w:pStyle w:val="222"/>
              <w:spacing w:line="440" w:lineRule="exact"/>
              <w:rPr>
                <w:color w:val="auto"/>
                <w:lang w:eastAsia="zh-CN"/>
              </w:rPr>
            </w:pPr>
            <w:r>
              <w:rPr>
                <w:rFonts w:hint="eastAsia"/>
                <w:color w:val="auto"/>
                <w:lang w:eastAsia="zh-CN"/>
              </w:rPr>
              <w:t>2018年</w:t>
            </w:r>
            <w:r>
              <w:rPr>
                <w:rFonts w:hint="eastAsia"/>
                <w:color w:val="auto"/>
                <w:lang w:val="en-US" w:eastAsia="zh-CN"/>
              </w:rPr>
              <w:t>7</w:t>
            </w:r>
            <w:r>
              <w:rPr>
                <w:rFonts w:hint="eastAsia"/>
                <w:color w:val="auto"/>
                <w:lang w:eastAsia="zh-CN"/>
              </w:rPr>
              <w:t>月</w:t>
            </w:r>
            <w:r>
              <w:rPr>
                <w:rFonts w:hint="eastAsia"/>
                <w:color w:val="auto"/>
                <w:lang w:val="en-US" w:eastAsia="zh-CN"/>
              </w:rPr>
              <w:t>16</w:t>
            </w:r>
            <w:r>
              <w:rPr>
                <w:rFonts w:hint="eastAsia"/>
                <w:color w:val="auto"/>
                <w:lang w:eastAsia="zh-CN"/>
              </w:rPr>
              <w:t>日</w:t>
            </w:r>
            <w:r>
              <w:rPr>
                <w:rFonts w:hint="eastAsia"/>
                <w:color w:val="auto"/>
                <w:lang w:val="en-US" w:eastAsia="zh-CN"/>
              </w:rPr>
              <w:t>15</w:t>
            </w:r>
            <w:r>
              <w:rPr>
                <w:rFonts w:hint="eastAsia"/>
                <w:color w:val="auto"/>
                <w:lang w:eastAsia="zh-CN"/>
              </w:rPr>
              <w:t>时</w:t>
            </w:r>
            <w:r>
              <w:rPr>
                <w:rFonts w:hint="eastAsia"/>
                <w:color w:val="auto"/>
                <w:lang w:val="en-US" w:eastAsia="zh-CN"/>
              </w:rPr>
              <w:t>00</w:t>
            </w:r>
            <w:r>
              <w:rPr>
                <w:rFonts w:hint="eastAsia"/>
                <w:color w:val="auto"/>
                <w:lang w:eastAsia="zh-CN"/>
              </w:rPr>
              <w:t>分（北京时间）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1" w:hRule="atLeast"/>
          <w:jc w:val="center"/>
        </w:trPr>
        <w:tc>
          <w:tcPr>
            <w:tcW w:w="954" w:type="dxa"/>
            <w:vAlign w:val="center"/>
          </w:tcPr>
          <w:p>
            <w:pPr>
              <w:spacing w:line="440" w:lineRule="exact"/>
              <w:jc w:val="center"/>
              <w:rPr>
                <w:bCs/>
                <w:kern w:val="0"/>
              </w:rPr>
            </w:pPr>
            <w:r>
              <w:rPr>
                <w:rFonts w:hint="eastAsia"/>
                <w:bCs/>
                <w:kern w:val="0"/>
              </w:rPr>
              <w:t>18.2</w:t>
            </w:r>
          </w:p>
        </w:tc>
        <w:tc>
          <w:tcPr>
            <w:tcW w:w="2075" w:type="dxa"/>
            <w:vAlign w:val="center"/>
          </w:tcPr>
          <w:p>
            <w:pPr>
              <w:pStyle w:val="222"/>
              <w:spacing w:line="440" w:lineRule="exact"/>
              <w:jc w:val="center"/>
              <w:rPr>
                <w:color w:val="auto"/>
                <w:lang w:eastAsia="zh-CN"/>
              </w:rPr>
            </w:pPr>
            <w:r>
              <w:rPr>
                <w:rFonts w:hint="eastAsia"/>
                <w:color w:val="auto"/>
                <w:lang w:eastAsia="zh-CN"/>
              </w:rPr>
              <w:t>不投标</w:t>
            </w:r>
          </w:p>
        </w:tc>
        <w:tc>
          <w:tcPr>
            <w:tcW w:w="6826" w:type="dxa"/>
            <w:vAlign w:val="center"/>
          </w:tcPr>
          <w:p>
            <w:pPr>
              <w:pStyle w:val="222"/>
              <w:spacing w:line="440" w:lineRule="exact"/>
              <w:rPr>
                <w:color w:val="auto"/>
                <w:lang w:eastAsia="zh-CN"/>
              </w:rPr>
            </w:pPr>
            <w:r>
              <w:rPr>
                <w:rFonts w:hint="eastAsia"/>
                <w:color w:val="auto"/>
                <w:lang w:eastAsia="zh-CN"/>
              </w:rPr>
              <w:t>获取招标文件后决定不参加投标者，请于投标截止时间前以书面形式告知招标代理机构。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54" w:type="dxa"/>
            <w:vAlign w:val="center"/>
          </w:tcPr>
          <w:p>
            <w:pPr>
              <w:spacing w:line="440" w:lineRule="exact"/>
              <w:jc w:val="center"/>
              <w:rPr>
                <w:bCs/>
                <w:kern w:val="0"/>
              </w:rPr>
            </w:pPr>
            <w:r>
              <w:rPr>
                <w:rFonts w:hint="eastAsia"/>
                <w:bCs/>
                <w:kern w:val="0"/>
              </w:rPr>
              <w:t>19.3</w:t>
            </w:r>
          </w:p>
        </w:tc>
        <w:tc>
          <w:tcPr>
            <w:tcW w:w="2075" w:type="dxa"/>
            <w:vAlign w:val="center"/>
          </w:tcPr>
          <w:p>
            <w:pPr>
              <w:spacing w:line="440" w:lineRule="exact"/>
              <w:jc w:val="left"/>
              <w:rPr>
                <w:bCs/>
                <w:kern w:val="0"/>
              </w:rPr>
            </w:pPr>
            <w:r>
              <w:rPr>
                <w:rFonts w:hint="eastAsia"/>
                <w:bCs/>
                <w:kern w:val="0"/>
              </w:rPr>
              <w:t>是否退还投标文件</w:t>
            </w:r>
          </w:p>
        </w:tc>
        <w:tc>
          <w:tcPr>
            <w:tcW w:w="6826" w:type="dxa"/>
            <w:vAlign w:val="center"/>
          </w:tcPr>
          <w:p>
            <w:pPr>
              <w:spacing w:line="440" w:lineRule="exact"/>
              <w:jc w:val="left"/>
              <w:rPr>
                <w:bCs/>
                <w:kern w:val="0"/>
              </w:rPr>
            </w:pPr>
            <w:r>
              <w:rPr>
                <w:rFonts w:hint="eastAsia"/>
                <w:bCs/>
                <w:kern w:val="0"/>
              </w:rPr>
              <w:t>不退还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89" w:hRule="atLeast"/>
          <w:jc w:val="center"/>
        </w:trPr>
        <w:tc>
          <w:tcPr>
            <w:tcW w:w="954" w:type="dxa"/>
            <w:vAlign w:val="center"/>
          </w:tcPr>
          <w:p>
            <w:pPr>
              <w:spacing w:line="440" w:lineRule="exact"/>
              <w:jc w:val="center"/>
              <w:rPr>
                <w:bCs/>
                <w:kern w:val="0"/>
              </w:rPr>
            </w:pPr>
            <w:r>
              <w:rPr>
                <w:rFonts w:hint="eastAsia"/>
                <w:bCs/>
                <w:kern w:val="0"/>
              </w:rPr>
              <w:t>20.2</w:t>
            </w:r>
          </w:p>
        </w:tc>
        <w:tc>
          <w:tcPr>
            <w:tcW w:w="2075" w:type="dxa"/>
            <w:vAlign w:val="center"/>
          </w:tcPr>
          <w:p>
            <w:pPr>
              <w:pStyle w:val="222"/>
              <w:spacing w:line="440" w:lineRule="exact"/>
              <w:jc w:val="center"/>
              <w:rPr>
                <w:color w:val="auto"/>
                <w:lang w:eastAsia="zh-CN"/>
              </w:rPr>
            </w:pPr>
            <w:r>
              <w:rPr>
                <w:rFonts w:hint="eastAsia"/>
                <w:color w:val="auto"/>
                <w:lang w:eastAsia="zh-CN"/>
              </w:rPr>
              <w:t>开标</w:t>
            </w:r>
          </w:p>
        </w:tc>
        <w:tc>
          <w:tcPr>
            <w:tcW w:w="6826" w:type="dxa"/>
            <w:vAlign w:val="center"/>
          </w:tcPr>
          <w:p>
            <w:pPr>
              <w:pStyle w:val="222"/>
              <w:spacing w:line="440" w:lineRule="exact"/>
              <w:rPr>
                <w:color w:val="auto"/>
                <w:lang w:eastAsia="zh-CN"/>
              </w:rPr>
            </w:pPr>
            <w:r>
              <w:rPr>
                <w:rFonts w:hint="eastAsia"/>
                <w:color w:val="auto"/>
                <w:lang w:eastAsia="zh-CN"/>
              </w:rPr>
              <w:t>招标人邀请所有投标人的法定代表人或其委托代理人参加开标会。投标人的法定代表人或其委托代理人应当按时参加开标会，并在招标人按开标程序进行点名时，向招标人提交法定代表人身份证明文件或法定代表人授权委托书，出示本人身份证，以证明其出席，否则，其投标文件招标人不予受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54" w:type="dxa"/>
            <w:vAlign w:val="center"/>
          </w:tcPr>
          <w:p>
            <w:pPr>
              <w:spacing w:line="440" w:lineRule="exact"/>
              <w:jc w:val="center"/>
              <w:rPr>
                <w:bCs/>
                <w:kern w:val="0"/>
              </w:rPr>
            </w:pPr>
            <w:r>
              <w:rPr>
                <w:rFonts w:hint="eastAsia"/>
                <w:bCs/>
                <w:kern w:val="0"/>
              </w:rPr>
              <w:t>21.1</w:t>
            </w:r>
          </w:p>
        </w:tc>
        <w:tc>
          <w:tcPr>
            <w:tcW w:w="2075" w:type="dxa"/>
            <w:vAlign w:val="center"/>
          </w:tcPr>
          <w:p>
            <w:pPr>
              <w:pStyle w:val="222"/>
              <w:spacing w:line="440" w:lineRule="exact"/>
              <w:rPr>
                <w:color w:val="auto"/>
                <w:lang w:eastAsia="zh-CN"/>
              </w:rPr>
            </w:pPr>
            <w:r>
              <w:rPr>
                <w:rFonts w:hint="eastAsia"/>
                <w:color w:val="auto"/>
                <w:lang w:eastAsia="zh-CN"/>
              </w:rPr>
              <w:t>评标委员会的组建</w:t>
            </w:r>
          </w:p>
        </w:tc>
        <w:tc>
          <w:tcPr>
            <w:tcW w:w="6826" w:type="dxa"/>
            <w:vAlign w:val="center"/>
          </w:tcPr>
          <w:p>
            <w:pPr>
              <w:pStyle w:val="222"/>
              <w:spacing w:line="440" w:lineRule="exact"/>
              <w:rPr>
                <w:color w:val="auto"/>
                <w:lang w:eastAsia="zh-CN"/>
              </w:rPr>
            </w:pPr>
            <w:r>
              <w:rPr>
                <w:rFonts w:hint="eastAsia"/>
                <w:color w:val="auto"/>
                <w:lang w:eastAsia="zh-CN"/>
              </w:rPr>
              <w:t>评标委员会构成5人，其中招标人代表1人，专家4人。</w:t>
            </w:r>
          </w:p>
          <w:p>
            <w:pPr>
              <w:pStyle w:val="222"/>
              <w:spacing w:line="440" w:lineRule="exact"/>
              <w:rPr>
                <w:color w:val="auto"/>
                <w:lang w:eastAsia="zh-CN"/>
              </w:rPr>
            </w:pPr>
            <w:r>
              <w:rPr>
                <w:rFonts w:hint="eastAsia"/>
                <w:color w:val="auto"/>
                <w:lang w:eastAsia="zh-CN"/>
              </w:rPr>
              <w:t>评审专家从海南省综合评标专家库中随机抽取4人。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54" w:type="dxa"/>
            <w:vAlign w:val="center"/>
          </w:tcPr>
          <w:p>
            <w:pPr>
              <w:spacing w:line="440" w:lineRule="exact"/>
              <w:jc w:val="center"/>
              <w:rPr>
                <w:bCs/>
                <w:kern w:val="0"/>
              </w:rPr>
            </w:pPr>
            <w:r>
              <w:rPr>
                <w:rFonts w:hint="eastAsia"/>
                <w:bCs/>
                <w:kern w:val="0"/>
              </w:rPr>
              <w:t>25.1</w:t>
            </w:r>
          </w:p>
        </w:tc>
        <w:tc>
          <w:tcPr>
            <w:tcW w:w="2075" w:type="dxa"/>
            <w:vAlign w:val="center"/>
          </w:tcPr>
          <w:p>
            <w:pPr>
              <w:pStyle w:val="222"/>
              <w:spacing w:line="440" w:lineRule="exact"/>
              <w:rPr>
                <w:color w:val="auto"/>
                <w:lang w:eastAsia="zh-CN"/>
              </w:rPr>
            </w:pPr>
            <w:r>
              <w:rPr>
                <w:rFonts w:hint="eastAsia"/>
                <w:color w:val="auto"/>
                <w:lang w:eastAsia="zh-CN"/>
              </w:rPr>
              <w:t>中标候选人数</w:t>
            </w:r>
          </w:p>
        </w:tc>
        <w:tc>
          <w:tcPr>
            <w:tcW w:w="6826" w:type="dxa"/>
            <w:vAlign w:val="center"/>
          </w:tcPr>
          <w:p>
            <w:pPr>
              <w:pStyle w:val="222"/>
              <w:spacing w:line="440" w:lineRule="exact"/>
              <w:rPr>
                <w:color w:val="auto"/>
                <w:lang w:eastAsia="zh-CN"/>
              </w:rPr>
            </w:pPr>
            <w:r>
              <w:rPr>
                <w:rFonts w:hint="eastAsia"/>
                <w:color w:val="auto"/>
                <w:lang w:eastAsia="zh-CN"/>
              </w:rPr>
              <w:t>推荐 3 名中标候选人。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54" w:type="dxa"/>
            <w:vAlign w:val="center"/>
          </w:tcPr>
          <w:p>
            <w:pPr>
              <w:spacing w:line="440" w:lineRule="exact"/>
              <w:jc w:val="center"/>
              <w:rPr>
                <w:bCs/>
                <w:kern w:val="0"/>
              </w:rPr>
            </w:pPr>
            <w:r>
              <w:rPr>
                <w:rFonts w:hint="eastAsia"/>
                <w:bCs/>
                <w:kern w:val="0"/>
              </w:rPr>
              <w:t>26.1</w:t>
            </w:r>
          </w:p>
        </w:tc>
        <w:tc>
          <w:tcPr>
            <w:tcW w:w="2075" w:type="dxa"/>
            <w:vAlign w:val="center"/>
          </w:tcPr>
          <w:p>
            <w:pPr>
              <w:pStyle w:val="222"/>
              <w:spacing w:line="440" w:lineRule="exact"/>
              <w:rPr>
                <w:color w:val="auto"/>
                <w:lang w:eastAsia="zh-CN"/>
              </w:rPr>
            </w:pPr>
            <w:r>
              <w:rPr>
                <w:rFonts w:hint="eastAsia"/>
                <w:color w:val="auto"/>
                <w:lang w:eastAsia="zh-CN"/>
              </w:rPr>
              <w:t>评标方法</w:t>
            </w:r>
          </w:p>
        </w:tc>
        <w:tc>
          <w:tcPr>
            <w:tcW w:w="6826" w:type="dxa"/>
            <w:vAlign w:val="center"/>
          </w:tcPr>
          <w:p>
            <w:pPr>
              <w:pStyle w:val="222"/>
              <w:spacing w:line="440" w:lineRule="exact"/>
              <w:rPr>
                <w:color w:val="auto"/>
                <w:lang w:eastAsia="zh-CN"/>
              </w:rPr>
            </w:pPr>
            <w:r>
              <w:rPr>
                <w:rFonts w:hint="eastAsia"/>
                <w:color w:val="auto"/>
                <w:lang w:eastAsia="zh-CN"/>
              </w:rPr>
              <w:t>本项目采用综合评分法</w:t>
            </w:r>
          </w:p>
        </w:tc>
      </w:tr>
      <w:bookmarkEnd w:id="29"/>
    </w:tbl>
    <w:p>
      <w:pPr>
        <w:numPr>
          <w:ilvl w:val="0"/>
          <w:numId w:val="5"/>
        </w:numPr>
        <w:tabs>
          <w:tab w:val="left" w:pos="540"/>
          <w:tab w:val="left" w:pos="720"/>
          <w:tab w:val="clear" w:pos="960"/>
        </w:tabs>
        <w:spacing w:before="100" w:after="100" w:line="500" w:lineRule="exact"/>
        <w:ind w:left="720" w:hanging="720"/>
        <w:outlineLvl w:val="1"/>
        <w:rPr>
          <w:b/>
          <w:sz w:val="36"/>
          <w:szCs w:val="36"/>
        </w:rPr>
      </w:pPr>
      <w:bookmarkStart w:id="45" w:name="_Toc500150906"/>
      <w:bookmarkStart w:id="46" w:name="_Toc468811121"/>
      <w:bookmarkStart w:id="47" w:name="_Toc30558"/>
      <w:bookmarkStart w:id="48" w:name="_Toc238907038"/>
      <w:r>
        <w:rPr>
          <w:rFonts w:hint="eastAsia"/>
          <w:b/>
          <w:sz w:val="36"/>
          <w:szCs w:val="36"/>
        </w:rPr>
        <w:t>说明和释义</w:t>
      </w:r>
      <w:bookmarkEnd w:id="45"/>
    </w:p>
    <w:p>
      <w:pPr>
        <w:numPr>
          <w:ilvl w:val="0"/>
          <w:numId w:val="6"/>
        </w:numPr>
        <w:spacing w:line="500" w:lineRule="exact"/>
        <w:rPr>
          <w:b/>
          <w:sz w:val="24"/>
        </w:rPr>
      </w:pPr>
      <w:r>
        <w:rPr>
          <w:rFonts w:hint="eastAsia"/>
          <w:b/>
          <w:sz w:val="24"/>
        </w:rPr>
        <w:t>适用范围</w:t>
      </w:r>
    </w:p>
    <w:p>
      <w:pPr>
        <w:pStyle w:val="5"/>
        <w:keepNext w:val="0"/>
        <w:keepLines w:val="0"/>
        <w:numPr>
          <w:ilvl w:val="1"/>
          <w:numId w:val="6"/>
        </w:numPr>
        <w:tabs>
          <w:tab w:val="left" w:pos="1050"/>
          <w:tab w:val="clear" w:pos="993"/>
        </w:tabs>
        <w:spacing w:before="0" w:after="0" w:line="500" w:lineRule="exact"/>
        <w:ind w:left="0" w:firstLine="480" w:firstLineChars="200"/>
        <w:rPr>
          <w:rFonts w:ascii="Times New Roman" w:hAnsi="Times New Roman"/>
          <w:b w:val="0"/>
        </w:rPr>
      </w:pPr>
      <w:r>
        <w:rPr>
          <w:rFonts w:hint="eastAsia" w:ascii="Times New Roman" w:hAnsi="Times New Roman"/>
          <w:b w:val="0"/>
        </w:rPr>
        <w:t>本招标文件仅适用于本次招标活动。</w:t>
      </w:r>
    </w:p>
    <w:p>
      <w:pPr>
        <w:pStyle w:val="5"/>
        <w:keepNext w:val="0"/>
        <w:keepLines w:val="0"/>
        <w:numPr>
          <w:ilvl w:val="1"/>
          <w:numId w:val="6"/>
        </w:numPr>
        <w:tabs>
          <w:tab w:val="left" w:pos="1050"/>
          <w:tab w:val="clear" w:pos="993"/>
        </w:tabs>
        <w:spacing w:before="0" w:after="0" w:line="500" w:lineRule="exact"/>
        <w:ind w:left="0" w:firstLine="480" w:firstLineChars="200"/>
        <w:rPr>
          <w:rFonts w:ascii="Times New Roman" w:hAnsi="Times New Roman"/>
          <w:b w:val="0"/>
        </w:rPr>
      </w:pPr>
      <w:r>
        <w:rPr>
          <w:rFonts w:hint="eastAsia" w:ascii="Times New Roman" w:hAnsi="Times New Roman"/>
          <w:b w:val="0"/>
        </w:rPr>
        <w:t>本招标活动及招标结果受中国法律的制约和保护。</w:t>
      </w:r>
    </w:p>
    <w:p>
      <w:pPr>
        <w:numPr>
          <w:ilvl w:val="0"/>
          <w:numId w:val="6"/>
        </w:numPr>
        <w:spacing w:line="500" w:lineRule="exact"/>
        <w:rPr>
          <w:b/>
          <w:sz w:val="24"/>
        </w:rPr>
      </w:pPr>
      <w:r>
        <w:rPr>
          <w:rFonts w:hint="eastAsia"/>
          <w:b/>
          <w:sz w:val="24"/>
        </w:rPr>
        <w:t>采购说明</w:t>
      </w:r>
    </w:p>
    <w:p>
      <w:pPr>
        <w:pStyle w:val="5"/>
        <w:keepNext w:val="0"/>
        <w:keepLines w:val="0"/>
        <w:numPr>
          <w:ilvl w:val="1"/>
          <w:numId w:val="6"/>
        </w:numPr>
        <w:tabs>
          <w:tab w:val="left" w:pos="1050"/>
          <w:tab w:val="clear" w:pos="993"/>
        </w:tabs>
        <w:spacing w:before="0" w:after="0" w:line="500" w:lineRule="exact"/>
        <w:ind w:left="0" w:firstLine="480" w:firstLineChars="200"/>
        <w:rPr>
          <w:rFonts w:ascii="Times New Roman" w:hAnsi="Times New Roman"/>
          <w:b w:val="0"/>
        </w:rPr>
      </w:pPr>
      <w:r>
        <w:rPr>
          <w:rFonts w:hint="eastAsia" w:ascii="Times New Roman" w:hAnsi="Times New Roman"/>
          <w:b w:val="0"/>
        </w:rPr>
        <w:t>项目名称：见投标人须知前附表。</w:t>
      </w:r>
    </w:p>
    <w:p>
      <w:pPr>
        <w:pStyle w:val="5"/>
        <w:keepNext w:val="0"/>
        <w:keepLines w:val="0"/>
        <w:numPr>
          <w:ilvl w:val="1"/>
          <w:numId w:val="6"/>
        </w:numPr>
        <w:tabs>
          <w:tab w:val="left" w:pos="1050"/>
          <w:tab w:val="clear" w:pos="993"/>
        </w:tabs>
        <w:spacing w:before="0" w:after="0" w:line="500" w:lineRule="exact"/>
        <w:ind w:left="0" w:firstLine="480" w:firstLineChars="200"/>
        <w:rPr>
          <w:rFonts w:ascii="Times New Roman" w:hAnsi="Times New Roman"/>
          <w:b w:val="0"/>
        </w:rPr>
      </w:pPr>
      <w:r>
        <w:rPr>
          <w:rFonts w:hint="eastAsia" w:ascii="Times New Roman" w:hAnsi="Times New Roman"/>
          <w:b w:val="0"/>
        </w:rPr>
        <w:t>项目编号：见投标人须知前附表。</w:t>
      </w:r>
    </w:p>
    <w:p>
      <w:pPr>
        <w:pStyle w:val="5"/>
        <w:keepNext w:val="0"/>
        <w:keepLines w:val="0"/>
        <w:numPr>
          <w:ilvl w:val="1"/>
          <w:numId w:val="6"/>
        </w:numPr>
        <w:tabs>
          <w:tab w:val="left" w:pos="1050"/>
          <w:tab w:val="clear" w:pos="993"/>
        </w:tabs>
        <w:spacing w:before="0" w:after="0" w:line="500" w:lineRule="exact"/>
        <w:ind w:left="0" w:firstLine="480" w:firstLineChars="200"/>
        <w:rPr>
          <w:rFonts w:ascii="Times New Roman" w:hAnsi="Times New Roman"/>
          <w:b w:val="0"/>
        </w:rPr>
      </w:pPr>
      <w:r>
        <w:rPr>
          <w:rFonts w:hint="eastAsia" w:ascii="Times New Roman" w:hAnsi="Times New Roman"/>
          <w:b w:val="0"/>
        </w:rPr>
        <w:t>招标人：见投标人须知前附表。</w:t>
      </w:r>
    </w:p>
    <w:p>
      <w:pPr>
        <w:pStyle w:val="5"/>
        <w:keepNext w:val="0"/>
        <w:keepLines w:val="0"/>
        <w:numPr>
          <w:ilvl w:val="1"/>
          <w:numId w:val="6"/>
        </w:numPr>
        <w:tabs>
          <w:tab w:val="left" w:pos="1050"/>
          <w:tab w:val="clear" w:pos="993"/>
        </w:tabs>
        <w:spacing w:before="0" w:after="0" w:line="500" w:lineRule="exact"/>
        <w:ind w:left="0" w:firstLine="480" w:firstLineChars="200"/>
        <w:rPr>
          <w:rFonts w:ascii="Times New Roman" w:hAnsi="Times New Roman"/>
          <w:b w:val="0"/>
        </w:rPr>
      </w:pPr>
      <w:r>
        <w:rPr>
          <w:rFonts w:hint="eastAsia" w:ascii="Times New Roman" w:hAnsi="Times New Roman"/>
          <w:b w:val="0"/>
        </w:rPr>
        <w:t>采购代理机构：见投标人须知前附表。</w:t>
      </w:r>
    </w:p>
    <w:p>
      <w:pPr>
        <w:pStyle w:val="5"/>
        <w:keepNext w:val="0"/>
        <w:keepLines w:val="0"/>
        <w:numPr>
          <w:ilvl w:val="1"/>
          <w:numId w:val="6"/>
        </w:numPr>
        <w:tabs>
          <w:tab w:val="left" w:pos="1050"/>
          <w:tab w:val="clear" w:pos="993"/>
        </w:tabs>
        <w:spacing w:before="0" w:after="0" w:line="500" w:lineRule="exact"/>
        <w:ind w:left="0" w:firstLine="480" w:firstLineChars="200"/>
        <w:rPr>
          <w:rFonts w:ascii="Times New Roman" w:hAnsi="Times New Roman"/>
          <w:b w:val="0"/>
        </w:rPr>
      </w:pPr>
      <w:r>
        <w:rPr>
          <w:rFonts w:hint="eastAsia" w:ascii="Times New Roman" w:hAnsi="Times New Roman"/>
          <w:b w:val="0"/>
        </w:rPr>
        <w:t>采购预算：见投标人须知前附表。</w:t>
      </w:r>
    </w:p>
    <w:p>
      <w:pPr>
        <w:pStyle w:val="5"/>
        <w:keepNext w:val="0"/>
        <w:keepLines w:val="0"/>
        <w:numPr>
          <w:ilvl w:val="1"/>
          <w:numId w:val="6"/>
        </w:numPr>
        <w:tabs>
          <w:tab w:val="left" w:pos="1050"/>
          <w:tab w:val="clear" w:pos="993"/>
        </w:tabs>
        <w:spacing w:before="0" w:after="0" w:line="500" w:lineRule="exact"/>
        <w:ind w:left="0" w:firstLine="480" w:firstLineChars="200"/>
        <w:rPr>
          <w:rFonts w:ascii="Times New Roman" w:hAnsi="Times New Roman"/>
          <w:b w:val="0"/>
        </w:rPr>
      </w:pPr>
      <w:r>
        <w:rPr>
          <w:rFonts w:hint="eastAsia" w:ascii="Times New Roman" w:hAnsi="Times New Roman"/>
          <w:b w:val="0"/>
        </w:rPr>
        <w:t>资金来源：见投标人须知前附表。</w:t>
      </w:r>
    </w:p>
    <w:p>
      <w:pPr>
        <w:pStyle w:val="5"/>
        <w:keepNext w:val="0"/>
        <w:keepLines w:val="0"/>
        <w:numPr>
          <w:ilvl w:val="1"/>
          <w:numId w:val="6"/>
        </w:numPr>
        <w:tabs>
          <w:tab w:val="left" w:pos="1050"/>
          <w:tab w:val="clear" w:pos="993"/>
        </w:tabs>
        <w:spacing w:before="0" w:after="0" w:line="500" w:lineRule="exact"/>
        <w:ind w:left="0" w:firstLine="480" w:firstLineChars="200"/>
        <w:rPr>
          <w:rFonts w:ascii="Times New Roman" w:hAnsi="Times New Roman"/>
          <w:b w:val="0"/>
        </w:rPr>
      </w:pPr>
      <w:r>
        <w:rPr>
          <w:rFonts w:hint="eastAsia" w:ascii="Times New Roman" w:hAnsi="Times New Roman"/>
          <w:b w:val="0"/>
        </w:rPr>
        <w:t>投标人资格要求：见投标人须知前附表。</w:t>
      </w:r>
    </w:p>
    <w:p>
      <w:pPr>
        <w:pStyle w:val="5"/>
        <w:keepNext w:val="0"/>
        <w:keepLines w:val="0"/>
        <w:numPr>
          <w:ilvl w:val="1"/>
          <w:numId w:val="6"/>
        </w:numPr>
        <w:tabs>
          <w:tab w:val="left" w:pos="1050"/>
          <w:tab w:val="clear" w:pos="993"/>
        </w:tabs>
        <w:spacing w:before="0" w:after="0" w:line="500" w:lineRule="exact"/>
        <w:ind w:left="0" w:firstLine="480" w:firstLineChars="200"/>
        <w:rPr>
          <w:rFonts w:ascii="Times New Roman" w:hAnsi="Times New Roman"/>
          <w:b w:val="0"/>
        </w:rPr>
      </w:pPr>
      <w:r>
        <w:rPr>
          <w:rFonts w:hint="eastAsia" w:ascii="Times New Roman" w:hAnsi="Times New Roman"/>
          <w:b w:val="0"/>
        </w:rPr>
        <w:t>服务周期：见投标人须知前附表。</w:t>
      </w:r>
    </w:p>
    <w:p>
      <w:pPr>
        <w:numPr>
          <w:ilvl w:val="0"/>
          <w:numId w:val="6"/>
        </w:numPr>
        <w:spacing w:line="500" w:lineRule="exact"/>
        <w:rPr>
          <w:b/>
          <w:sz w:val="24"/>
        </w:rPr>
      </w:pPr>
      <w:r>
        <w:rPr>
          <w:rFonts w:hint="eastAsia"/>
          <w:b/>
          <w:sz w:val="24"/>
        </w:rPr>
        <w:t>词语释义</w:t>
      </w:r>
    </w:p>
    <w:p>
      <w:pPr>
        <w:pStyle w:val="5"/>
        <w:keepNext w:val="0"/>
        <w:keepLines w:val="0"/>
        <w:numPr>
          <w:ilvl w:val="1"/>
          <w:numId w:val="6"/>
        </w:numPr>
        <w:tabs>
          <w:tab w:val="left" w:pos="1050"/>
          <w:tab w:val="clear" w:pos="993"/>
        </w:tabs>
        <w:spacing w:before="0" w:after="0" w:line="500" w:lineRule="exact"/>
        <w:ind w:left="0" w:firstLine="480" w:firstLineChars="200"/>
        <w:rPr>
          <w:rFonts w:ascii="Times New Roman" w:hAnsi="Times New Roman"/>
          <w:b w:val="0"/>
        </w:rPr>
      </w:pPr>
      <w:r>
        <w:rPr>
          <w:rFonts w:hint="eastAsia" w:ascii="Times New Roman" w:hAnsi="Times New Roman"/>
          <w:b w:val="0"/>
        </w:rPr>
        <w:t>响应：投标人根据招标文件的要求，编制投标文件并按规定投标的行为。</w:t>
      </w:r>
    </w:p>
    <w:p>
      <w:pPr>
        <w:pStyle w:val="5"/>
        <w:keepNext w:val="0"/>
        <w:keepLines w:val="0"/>
        <w:numPr>
          <w:ilvl w:val="1"/>
          <w:numId w:val="6"/>
        </w:numPr>
        <w:tabs>
          <w:tab w:val="left" w:pos="1050"/>
          <w:tab w:val="clear" w:pos="993"/>
        </w:tabs>
        <w:spacing w:before="0" w:after="0" w:line="500" w:lineRule="exact"/>
        <w:ind w:left="0" w:firstLine="480" w:firstLineChars="200"/>
        <w:rPr>
          <w:rFonts w:ascii="Times New Roman" w:hAnsi="Times New Roman"/>
          <w:b w:val="0"/>
        </w:rPr>
      </w:pPr>
      <w:r>
        <w:rPr>
          <w:rStyle w:val="100"/>
          <w:rFonts w:hint="eastAsia" w:ascii="Times New Roman" w:hAnsi="Times New Roman"/>
          <w:b w:val="0"/>
          <w:bCs w:val="0"/>
        </w:rPr>
        <w:t>合同：采供双方根据招标文件、中标人的投标文件及中标通知书规定的内容签署的、以书面形式所</w:t>
      </w:r>
      <w:r>
        <w:rPr>
          <w:rFonts w:hint="eastAsia" w:ascii="Times New Roman" w:hAnsi="Times New Roman"/>
          <w:b w:val="0"/>
        </w:rPr>
        <w:t>达成的协议，包括所有的附件、附录和构成协议的所有文件。</w:t>
      </w:r>
    </w:p>
    <w:p>
      <w:pPr>
        <w:pStyle w:val="5"/>
        <w:keepNext w:val="0"/>
        <w:keepLines w:val="0"/>
        <w:numPr>
          <w:ilvl w:val="1"/>
          <w:numId w:val="6"/>
        </w:numPr>
        <w:tabs>
          <w:tab w:val="left" w:pos="1050"/>
          <w:tab w:val="clear" w:pos="993"/>
        </w:tabs>
        <w:spacing w:before="0" w:after="0" w:line="500" w:lineRule="exact"/>
        <w:ind w:left="0" w:firstLine="480" w:firstLineChars="200"/>
        <w:rPr>
          <w:rFonts w:ascii="Times New Roman" w:hAnsi="Times New Roman"/>
          <w:b w:val="0"/>
        </w:rPr>
      </w:pPr>
      <w:r>
        <w:rPr>
          <w:rFonts w:hint="eastAsia" w:ascii="Times New Roman" w:hAnsi="Times New Roman"/>
          <w:b w:val="0"/>
        </w:rPr>
        <w:t>甲方（招标人）：合同中明确规定的实际购买服务的法人、其他组织和自然人。</w:t>
      </w:r>
    </w:p>
    <w:p>
      <w:pPr>
        <w:pStyle w:val="5"/>
        <w:keepNext w:val="0"/>
        <w:keepLines w:val="0"/>
        <w:numPr>
          <w:ilvl w:val="1"/>
          <w:numId w:val="6"/>
        </w:numPr>
        <w:tabs>
          <w:tab w:val="left" w:pos="1050"/>
          <w:tab w:val="clear" w:pos="993"/>
        </w:tabs>
        <w:spacing w:before="0" w:after="0" w:line="500" w:lineRule="exact"/>
        <w:ind w:left="0" w:firstLine="480" w:firstLineChars="200"/>
        <w:rPr>
          <w:rFonts w:ascii="Times New Roman" w:hAnsi="Times New Roman"/>
          <w:b w:val="0"/>
        </w:rPr>
      </w:pPr>
      <w:r>
        <w:rPr>
          <w:rFonts w:hint="eastAsia" w:ascii="Times New Roman" w:hAnsi="Times New Roman"/>
          <w:b w:val="0"/>
        </w:rPr>
        <w:t>乙方（投标人）：合同中规定的向采购方提供服务的法人、其他组织和自然人。</w:t>
      </w:r>
    </w:p>
    <w:p>
      <w:pPr>
        <w:pStyle w:val="5"/>
        <w:keepNext w:val="0"/>
        <w:keepLines w:val="0"/>
        <w:numPr>
          <w:ilvl w:val="1"/>
          <w:numId w:val="6"/>
        </w:numPr>
        <w:tabs>
          <w:tab w:val="left" w:pos="1050"/>
          <w:tab w:val="clear" w:pos="993"/>
        </w:tabs>
        <w:spacing w:before="0" w:after="0" w:line="500" w:lineRule="exact"/>
        <w:ind w:left="0" w:firstLine="480" w:firstLineChars="200"/>
        <w:rPr>
          <w:rFonts w:ascii="Times New Roman" w:hAnsi="Times New Roman"/>
          <w:b w:val="0"/>
        </w:rPr>
      </w:pPr>
      <w:r>
        <w:rPr>
          <w:rFonts w:hint="eastAsia" w:ascii="Times New Roman" w:hAnsi="Times New Roman"/>
          <w:b w:val="0"/>
        </w:rPr>
        <w:t>知识产权：指专利权、商标权、著作权等无形财产专有权的统称。</w:t>
      </w:r>
    </w:p>
    <w:p>
      <w:pPr>
        <w:pStyle w:val="5"/>
        <w:keepNext w:val="0"/>
        <w:keepLines w:val="0"/>
        <w:numPr>
          <w:ilvl w:val="1"/>
          <w:numId w:val="6"/>
        </w:numPr>
        <w:tabs>
          <w:tab w:val="left" w:pos="1050"/>
          <w:tab w:val="clear" w:pos="993"/>
        </w:tabs>
        <w:spacing w:before="0" w:after="0" w:line="500" w:lineRule="exact"/>
        <w:ind w:left="0" w:firstLine="480" w:firstLineChars="200"/>
        <w:rPr>
          <w:rFonts w:ascii="Times New Roman" w:hAnsi="Times New Roman"/>
          <w:b w:val="0"/>
        </w:rPr>
      </w:pPr>
      <w:r>
        <w:rPr>
          <w:rFonts w:hint="eastAsia" w:ascii="Times New Roman" w:hAnsi="Times New Roman"/>
          <w:b w:val="0"/>
        </w:rPr>
        <w:t>天：日历日。</w:t>
      </w:r>
    </w:p>
    <w:p>
      <w:pPr>
        <w:pStyle w:val="5"/>
        <w:keepNext w:val="0"/>
        <w:keepLines w:val="0"/>
        <w:numPr>
          <w:ilvl w:val="1"/>
          <w:numId w:val="6"/>
        </w:numPr>
        <w:tabs>
          <w:tab w:val="left" w:pos="1050"/>
          <w:tab w:val="clear" w:pos="993"/>
        </w:tabs>
        <w:spacing w:before="0" w:after="0" w:line="500" w:lineRule="exact"/>
        <w:ind w:left="0" w:firstLine="480" w:firstLineChars="200"/>
        <w:rPr>
          <w:rFonts w:ascii="Times New Roman" w:hAnsi="Times New Roman"/>
          <w:b w:val="0"/>
        </w:rPr>
      </w:pPr>
      <w:r>
        <w:rPr>
          <w:rFonts w:hint="eastAsia" w:ascii="Times New Roman" w:hAnsi="Times New Roman"/>
          <w:b w:val="0"/>
        </w:rPr>
        <w:t>合同价款：由合同约定的、在乙方完全履行合同义务后甲方应支付乙方的价款。</w:t>
      </w:r>
    </w:p>
    <w:p>
      <w:pPr>
        <w:pStyle w:val="5"/>
        <w:keepNext w:val="0"/>
        <w:keepLines w:val="0"/>
        <w:numPr>
          <w:ilvl w:val="1"/>
          <w:numId w:val="6"/>
        </w:numPr>
        <w:tabs>
          <w:tab w:val="left" w:pos="1050"/>
          <w:tab w:val="clear" w:pos="993"/>
        </w:tabs>
        <w:spacing w:before="0" w:after="0" w:line="500" w:lineRule="exact"/>
        <w:ind w:left="0" w:firstLine="480" w:firstLineChars="200"/>
        <w:rPr>
          <w:rFonts w:ascii="Times New Roman" w:hAnsi="Times New Roman"/>
          <w:b w:val="0"/>
        </w:rPr>
      </w:pPr>
      <w:r>
        <w:rPr>
          <w:rFonts w:hint="eastAsia" w:ascii="Times New Roman" w:hAnsi="Times New Roman"/>
          <w:b w:val="0"/>
        </w:rPr>
        <w:t>不可抗力：不能预见、不能避免并且不能克服的客观情况。</w:t>
      </w:r>
    </w:p>
    <w:p>
      <w:pPr>
        <w:numPr>
          <w:ilvl w:val="0"/>
          <w:numId w:val="6"/>
        </w:numPr>
        <w:spacing w:line="500" w:lineRule="exact"/>
        <w:rPr>
          <w:b/>
          <w:sz w:val="24"/>
        </w:rPr>
      </w:pPr>
      <w:r>
        <w:rPr>
          <w:rFonts w:hint="eastAsia"/>
          <w:b/>
          <w:sz w:val="24"/>
        </w:rPr>
        <w:t>投标委托</w:t>
      </w:r>
    </w:p>
    <w:p>
      <w:pPr>
        <w:pStyle w:val="5"/>
        <w:keepNext w:val="0"/>
        <w:keepLines w:val="0"/>
        <w:numPr>
          <w:ilvl w:val="1"/>
          <w:numId w:val="6"/>
        </w:numPr>
        <w:tabs>
          <w:tab w:val="left" w:pos="1050"/>
          <w:tab w:val="clear" w:pos="993"/>
        </w:tabs>
        <w:spacing w:before="0" w:after="0" w:line="500" w:lineRule="exact"/>
        <w:ind w:left="0" w:firstLine="480" w:firstLineChars="200"/>
        <w:rPr>
          <w:rFonts w:ascii="Times New Roman" w:hAnsi="Times New Roman"/>
          <w:b w:val="0"/>
        </w:rPr>
      </w:pPr>
      <w:r>
        <w:rPr>
          <w:rFonts w:hint="eastAsia" w:ascii="Times New Roman" w:hAnsi="Times New Roman"/>
          <w:b w:val="0"/>
        </w:rPr>
        <w:t>投标人的法定代表人可以委托代表人处理投标事务。</w:t>
      </w:r>
    </w:p>
    <w:p>
      <w:pPr>
        <w:pStyle w:val="5"/>
        <w:keepNext w:val="0"/>
        <w:keepLines w:val="0"/>
        <w:numPr>
          <w:ilvl w:val="1"/>
          <w:numId w:val="6"/>
        </w:numPr>
        <w:tabs>
          <w:tab w:val="left" w:pos="1050"/>
          <w:tab w:val="clear" w:pos="993"/>
        </w:tabs>
        <w:spacing w:before="0" w:after="0" w:line="500" w:lineRule="exact"/>
        <w:ind w:left="0" w:firstLine="480" w:firstLineChars="200"/>
        <w:rPr>
          <w:rFonts w:ascii="Times New Roman" w:hAnsi="Times New Roman"/>
          <w:b w:val="0"/>
        </w:rPr>
      </w:pPr>
      <w:r>
        <w:rPr>
          <w:rFonts w:hint="eastAsia" w:ascii="Times New Roman" w:hAnsi="Times New Roman"/>
          <w:b w:val="0"/>
        </w:rPr>
        <w:t>委托代表人的资格条件：见投标人须知前附表。</w:t>
      </w:r>
    </w:p>
    <w:p>
      <w:pPr>
        <w:pStyle w:val="5"/>
        <w:keepNext w:val="0"/>
        <w:keepLines w:val="0"/>
        <w:numPr>
          <w:ilvl w:val="1"/>
          <w:numId w:val="6"/>
        </w:numPr>
        <w:tabs>
          <w:tab w:val="left" w:pos="1050"/>
          <w:tab w:val="clear" w:pos="993"/>
        </w:tabs>
        <w:spacing w:before="0" w:after="0" w:line="500" w:lineRule="exact"/>
        <w:ind w:left="0" w:firstLine="480" w:firstLineChars="200"/>
        <w:rPr>
          <w:rFonts w:ascii="Times New Roman" w:hAnsi="Times New Roman"/>
          <w:b w:val="0"/>
        </w:rPr>
      </w:pPr>
      <w:r>
        <w:rPr>
          <w:rFonts w:hint="eastAsia" w:ascii="Times New Roman" w:hAnsi="Times New Roman"/>
          <w:b w:val="0"/>
        </w:rPr>
        <w:t>委托代表人的代理权限：见投标人须知前附表。</w:t>
      </w:r>
    </w:p>
    <w:p>
      <w:pPr>
        <w:numPr>
          <w:ilvl w:val="0"/>
          <w:numId w:val="6"/>
        </w:numPr>
        <w:spacing w:line="500" w:lineRule="exact"/>
        <w:rPr>
          <w:b/>
          <w:sz w:val="24"/>
        </w:rPr>
      </w:pPr>
      <w:r>
        <w:rPr>
          <w:rFonts w:hint="eastAsia"/>
          <w:b/>
          <w:sz w:val="24"/>
        </w:rPr>
        <w:t>投标费用</w:t>
      </w:r>
    </w:p>
    <w:p>
      <w:pPr>
        <w:pStyle w:val="5"/>
        <w:keepNext w:val="0"/>
        <w:keepLines w:val="0"/>
        <w:numPr>
          <w:ilvl w:val="1"/>
          <w:numId w:val="6"/>
        </w:numPr>
        <w:tabs>
          <w:tab w:val="left" w:pos="1050"/>
          <w:tab w:val="clear" w:pos="993"/>
        </w:tabs>
        <w:spacing w:before="0" w:after="0" w:line="500" w:lineRule="exact"/>
        <w:ind w:left="0" w:firstLine="480" w:firstLineChars="200"/>
        <w:rPr>
          <w:rFonts w:ascii="Times New Roman" w:hAnsi="Times New Roman"/>
          <w:b w:val="0"/>
        </w:rPr>
      </w:pPr>
      <w:r>
        <w:rPr>
          <w:rFonts w:hint="eastAsia" w:ascii="Times New Roman" w:hAnsi="Times New Roman"/>
          <w:b w:val="0"/>
        </w:rPr>
        <w:t>投标人自行承担参加投标的全部费用。</w:t>
      </w:r>
    </w:p>
    <w:p>
      <w:pPr>
        <w:numPr>
          <w:ilvl w:val="0"/>
          <w:numId w:val="5"/>
        </w:numPr>
        <w:tabs>
          <w:tab w:val="left" w:pos="540"/>
          <w:tab w:val="left" w:pos="720"/>
          <w:tab w:val="clear" w:pos="960"/>
        </w:tabs>
        <w:spacing w:before="100" w:after="100" w:line="500" w:lineRule="exact"/>
        <w:ind w:left="720" w:hanging="720"/>
        <w:outlineLvl w:val="1"/>
        <w:rPr>
          <w:b/>
          <w:sz w:val="36"/>
          <w:szCs w:val="36"/>
        </w:rPr>
      </w:pPr>
      <w:bookmarkStart w:id="49" w:name="_Toc29379"/>
      <w:bookmarkStart w:id="50" w:name="_Toc27831"/>
      <w:bookmarkStart w:id="51" w:name="_Toc317237775"/>
      <w:bookmarkStart w:id="52" w:name="_Toc5116"/>
      <w:bookmarkStart w:id="53" w:name="_Toc17717"/>
      <w:bookmarkStart w:id="54" w:name="_Toc2931"/>
      <w:bookmarkStart w:id="55" w:name="_Toc389164171"/>
      <w:bookmarkStart w:id="56" w:name="_Toc30837"/>
      <w:bookmarkStart w:id="57" w:name="_Toc24281"/>
      <w:bookmarkStart w:id="58" w:name="_Toc19797"/>
      <w:bookmarkStart w:id="59" w:name="_Toc29384"/>
      <w:bookmarkStart w:id="60" w:name="_Toc20372"/>
      <w:bookmarkStart w:id="61" w:name="_Toc500150907"/>
      <w:bookmarkStart w:id="62" w:name="_Toc392583287"/>
      <w:bookmarkStart w:id="63" w:name="_Toc317237600"/>
      <w:r>
        <w:rPr>
          <w:rFonts w:hint="eastAsia"/>
          <w:b/>
          <w:sz w:val="36"/>
          <w:szCs w:val="36"/>
        </w:rPr>
        <w:t>招标文件</w:t>
      </w:r>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p>
    <w:p>
      <w:pPr>
        <w:numPr>
          <w:ilvl w:val="0"/>
          <w:numId w:val="6"/>
        </w:numPr>
        <w:spacing w:line="500" w:lineRule="exact"/>
        <w:rPr>
          <w:b/>
          <w:sz w:val="24"/>
        </w:rPr>
      </w:pPr>
      <w:r>
        <w:rPr>
          <w:rFonts w:hint="eastAsia"/>
          <w:b/>
          <w:sz w:val="24"/>
        </w:rPr>
        <w:t>招标文件的构成</w:t>
      </w:r>
    </w:p>
    <w:p>
      <w:pPr>
        <w:pStyle w:val="5"/>
        <w:keepNext w:val="0"/>
        <w:keepLines w:val="0"/>
        <w:numPr>
          <w:ilvl w:val="1"/>
          <w:numId w:val="6"/>
        </w:numPr>
        <w:tabs>
          <w:tab w:val="left" w:pos="1050"/>
          <w:tab w:val="clear" w:pos="993"/>
        </w:tabs>
        <w:spacing w:before="0" w:after="0" w:line="500" w:lineRule="exact"/>
        <w:ind w:left="0" w:firstLine="480" w:firstLineChars="200"/>
        <w:rPr>
          <w:rFonts w:ascii="Times New Roman" w:hAnsi="Times New Roman"/>
          <w:b w:val="0"/>
        </w:rPr>
      </w:pPr>
      <w:r>
        <w:rPr>
          <w:rFonts w:hint="eastAsia" w:ascii="Times New Roman" w:hAnsi="Times New Roman"/>
          <w:b w:val="0"/>
        </w:rPr>
        <w:t>招标文件规定本次招标活动的规则，提供编制投标文件和参加投标的依据。招标文件包括以下内容：</w:t>
      </w:r>
    </w:p>
    <w:p>
      <w:pPr>
        <w:spacing w:line="500" w:lineRule="exact"/>
        <w:ind w:firstLine="480" w:firstLineChars="200"/>
        <w:rPr>
          <w:sz w:val="24"/>
        </w:rPr>
      </w:pPr>
      <w:r>
        <w:rPr>
          <w:rFonts w:hint="eastAsia"/>
          <w:sz w:val="24"/>
        </w:rPr>
        <w:t>（一）招标公告；</w:t>
      </w:r>
    </w:p>
    <w:p>
      <w:pPr>
        <w:spacing w:line="500" w:lineRule="exact"/>
        <w:ind w:firstLine="480" w:firstLineChars="200"/>
        <w:rPr>
          <w:sz w:val="24"/>
        </w:rPr>
      </w:pPr>
      <w:r>
        <w:rPr>
          <w:rFonts w:hint="eastAsia"/>
          <w:sz w:val="24"/>
        </w:rPr>
        <w:t>（二）投标人须知；</w:t>
      </w:r>
    </w:p>
    <w:p>
      <w:pPr>
        <w:spacing w:line="500" w:lineRule="exact"/>
        <w:ind w:firstLine="480" w:firstLineChars="200"/>
        <w:rPr>
          <w:sz w:val="24"/>
        </w:rPr>
      </w:pPr>
      <w:r>
        <w:rPr>
          <w:rFonts w:hint="eastAsia"/>
          <w:sz w:val="24"/>
        </w:rPr>
        <w:t>（三）合同主要条款；</w:t>
      </w:r>
    </w:p>
    <w:p>
      <w:pPr>
        <w:spacing w:line="500" w:lineRule="exact"/>
        <w:ind w:firstLine="480" w:firstLineChars="200"/>
        <w:rPr>
          <w:sz w:val="24"/>
        </w:rPr>
      </w:pPr>
      <w:r>
        <w:rPr>
          <w:rFonts w:hint="eastAsia"/>
          <w:sz w:val="24"/>
        </w:rPr>
        <w:t>（四）评标方法和标准；</w:t>
      </w:r>
    </w:p>
    <w:p>
      <w:pPr>
        <w:spacing w:line="500" w:lineRule="exact"/>
        <w:ind w:firstLine="480" w:firstLineChars="200"/>
        <w:rPr>
          <w:sz w:val="24"/>
        </w:rPr>
      </w:pPr>
      <w:r>
        <w:rPr>
          <w:rFonts w:hint="eastAsia"/>
          <w:sz w:val="24"/>
        </w:rPr>
        <w:t>（五）投标文件格式。</w:t>
      </w:r>
    </w:p>
    <w:p>
      <w:pPr>
        <w:pStyle w:val="5"/>
        <w:keepNext w:val="0"/>
        <w:keepLines w:val="0"/>
        <w:numPr>
          <w:ilvl w:val="1"/>
          <w:numId w:val="6"/>
        </w:numPr>
        <w:tabs>
          <w:tab w:val="left" w:pos="1050"/>
          <w:tab w:val="clear" w:pos="993"/>
        </w:tabs>
        <w:spacing w:before="0" w:after="0" w:line="500" w:lineRule="exact"/>
        <w:ind w:left="0" w:firstLine="480" w:firstLineChars="200"/>
        <w:rPr>
          <w:rFonts w:ascii="Times New Roman" w:hAnsi="Times New Roman"/>
          <w:b w:val="0"/>
        </w:rPr>
      </w:pPr>
      <w:r>
        <w:rPr>
          <w:rFonts w:hint="eastAsia" w:ascii="Times New Roman" w:hAnsi="Times New Roman"/>
          <w:b w:val="0"/>
        </w:rPr>
        <w:t>投标人应当仔细阅读、充分关注和正确理解招标文件中陈述的所有事项，遵循格式文件的规定和签署要求。</w:t>
      </w:r>
    </w:p>
    <w:p>
      <w:pPr>
        <w:numPr>
          <w:ilvl w:val="0"/>
          <w:numId w:val="6"/>
        </w:numPr>
        <w:spacing w:line="500" w:lineRule="exact"/>
        <w:rPr>
          <w:b/>
          <w:sz w:val="24"/>
        </w:rPr>
      </w:pPr>
      <w:r>
        <w:rPr>
          <w:rFonts w:hint="eastAsia"/>
          <w:b/>
          <w:sz w:val="24"/>
        </w:rPr>
        <w:t>招标文件的澄清和修改</w:t>
      </w:r>
    </w:p>
    <w:p>
      <w:pPr>
        <w:pStyle w:val="5"/>
        <w:keepNext w:val="0"/>
        <w:keepLines w:val="0"/>
        <w:numPr>
          <w:ilvl w:val="1"/>
          <w:numId w:val="6"/>
        </w:numPr>
        <w:tabs>
          <w:tab w:val="left" w:pos="1050"/>
          <w:tab w:val="clear" w:pos="993"/>
        </w:tabs>
        <w:spacing w:before="0" w:after="0" w:line="500" w:lineRule="exact"/>
        <w:ind w:left="0" w:firstLine="480" w:firstLineChars="200"/>
        <w:rPr>
          <w:rFonts w:ascii="Times New Roman" w:hAnsi="Times New Roman"/>
          <w:b w:val="0"/>
        </w:rPr>
      </w:pPr>
      <w:r>
        <w:rPr>
          <w:rFonts w:hint="eastAsia" w:ascii="Times New Roman" w:hAnsi="Times New Roman"/>
          <w:b w:val="0"/>
        </w:rPr>
        <w:t>招标采购单位有权在投标截止时间前对招标文件进行澄清或者修改。</w:t>
      </w:r>
    </w:p>
    <w:p>
      <w:pPr>
        <w:pStyle w:val="5"/>
        <w:keepNext w:val="0"/>
        <w:keepLines w:val="0"/>
        <w:numPr>
          <w:ilvl w:val="1"/>
          <w:numId w:val="6"/>
        </w:numPr>
        <w:tabs>
          <w:tab w:val="left" w:pos="1050"/>
          <w:tab w:val="clear" w:pos="993"/>
        </w:tabs>
        <w:spacing w:before="0" w:after="0" w:line="500" w:lineRule="exact"/>
        <w:ind w:left="0" w:firstLine="480" w:firstLineChars="200"/>
        <w:rPr>
          <w:rFonts w:ascii="Times New Roman" w:hAnsi="Times New Roman"/>
          <w:b w:val="0"/>
        </w:rPr>
      </w:pPr>
      <w:r>
        <w:rPr>
          <w:rFonts w:hint="eastAsia" w:ascii="Times New Roman" w:hAnsi="Times New Roman"/>
          <w:b w:val="0"/>
        </w:rPr>
        <w:t>澄清或者修改是招标文件的组成部分。澄清或者修改以发布公告的方式通知所有投标人。</w:t>
      </w:r>
    </w:p>
    <w:p>
      <w:pPr>
        <w:pStyle w:val="5"/>
        <w:keepNext w:val="0"/>
        <w:keepLines w:val="0"/>
        <w:numPr>
          <w:ilvl w:val="1"/>
          <w:numId w:val="6"/>
        </w:numPr>
        <w:tabs>
          <w:tab w:val="left" w:pos="1050"/>
          <w:tab w:val="clear" w:pos="993"/>
        </w:tabs>
        <w:spacing w:before="0" w:after="0" w:line="500" w:lineRule="exact"/>
        <w:ind w:left="0" w:firstLine="480" w:firstLineChars="200"/>
        <w:rPr>
          <w:rFonts w:ascii="Times New Roman" w:hAnsi="Times New Roman"/>
          <w:b w:val="0"/>
        </w:rPr>
      </w:pPr>
      <w:r>
        <w:rPr>
          <w:rFonts w:hint="eastAsia" w:ascii="Times New Roman" w:hAnsi="Times New Roman"/>
          <w:b w:val="0"/>
        </w:rPr>
        <w:t>投标人要求对招标文件进行澄清的，应在投标截止日10天前，以书面形式向招标代理机构提出。</w:t>
      </w:r>
    </w:p>
    <w:p>
      <w:pPr>
        <w:pStyle w:val="5"/>
        <w:keepNext w:val="0"/>
        <w:keepLines w:val="0"/>
        <w:numPr>
          <w:ilvl w:val="1"/>
          <w:numId w:val="6"/>
        </w:numPr>
        <w:tabs>
          <w:tab w:val="left" w:pos="1050"/>
          <w:tab w:val="clear" w:pos="993"/>
        </w:tabs>
        <w:spacing w:before="0" w:after="0" w:line="500" w:lineRule="exact"/>
        <w:ind w:left="0" w:firstLine="480" w:firstLineChars="200"/>
        <w:rPr>
          <w:rFonts w:ascii="Times New Roman" w:hAnsi="Times New Roman"/>
          <w:b w:val="0"/>
        </w:rPr>
      </w:pPr>
      <w:r>
        <w:rPr>
          <w:rFonts w:hint="eastAsia" w:ascii="Times New Roman" w:hAnsi="Times New Roman"/>
          <w:b w:val="0"/>
        </w:rPr>
        <w:t>在投标截止时间前，招标采购单位可以视采购具体情况，延长投标截止时间和开标时间。变更的投标截止时间和开标时间，将在原来规定的投标截止时间三日前，以发布变更公告的方式通知所有投标人。</w:t>
      </w:r>
    </w:p>
    <w:p>
      <w:pPr>
        <w:numPr>
          <w:ilvl w:val="0"/>
          <w:numId w:val="6"/>
        </w:numPr>
        <w:spacing w:line="500" w:lineRule="exact"/>
        <w:rPr>
          <w:b/>
          <w:sz w:val="24"/>
        </w:rPr>
      </w:pPr>
      <w:r>
        <w:rPr>
          <w:rFonts w:hint="eastAsia"/>
          <w:b/>
          <w:sz w:val="24"/>
        </w:rPr>
        <w:t>答疑会和现场考察</w:t>
      </w:r>
    </w:p>
    <w:p>
      <w:pPr>
        <w:pStyle w:val="5"/>
        <w:keepNext w:val="0"/>
        <w:keepLines w:val="0"/>
        <w:numPr>
          <w:ilvl w:val="1"/>
          <w:numId w:val="6"/>
        </w:numPr>
        <w:tabs>
          <w:tab w:val="left" w:pos="1050"/>
          <w:tab w:val="clear" w:pos="993"/>
        </w:tabs>
        <w:spacing w:before="0" w:after="0" w:line="500" w:lineRule="exact"/>
        <w:ind w:left="0" w:firstLine="480" w:firstLineChars="200"/>
        <w:rPr>
          <w:rFonts w:ascii="Times New Roman" w:hAnsi="Times New Roman"/>
          <w:b w:val="0"/>
        </w:rPr>
      </w:pPr>
      <w:r>
        <w:rPr>
          <w:rFonts w:hint="eastAsia" w:ascii="Times New Roman" w:hAnsi="Times New Roman"/>
          <w:b w:val="0"/>
        </w:rPr>
        <w:t>答疑会和现场考察：见投标人须知前附表。</w:t>
      </w:r>
    </w:p>
    <w:p>
      <w:pPr>
        <w:numPr>
          <w:ilvl w:val="0"/>
          <w:numId w:val="5"/>
        </w:numPr>
        <w:tabs>
          <w:tab w:val="left" w:pos="540"/>
          <w:tab w:val="left" w:pos="720"/>
          <w:tab w:val="clear" w:pos="960"/>
        </w:tabs>
        <w:spacing w:before="100" w:after="100" w:line="500" w:lineRule="exact"/>
        <w:ind w:left="720" w:hanging="720"/>
        <w:outlineLvl w:val="1"/>
        <w:rPr>
          <w:b/>
          <w:sz w:val="36"/>
          <w:szCs w:val="36"/>
        </w:rPr>
      </w:pPr>
      <w:bookmarkStart w:id="64" w:name="_Toc317237601"/>
      <w:bookmarkStart w:id="65" w:name="_Toc18993"/>
      <w:bookmarkStart w:id="66" w:name="_Toc392583288"/>
      <w:bookmarkStart w:id="67" w:name="_Toc317237776"/>
      <w:bookmarkStart w:id="68" w:name="_Toc389164172"/>
      <w:bookmarkStart w:id="69" w:name="_Toc7765"/>
      <w:bookmarkStart w:id="70" w:name="_Toc32290"/>
      <w:bookmarkStart w:id="71" w:name="_Toc30655"/>
      <w:bookmarkStart w:id="72" w:name="_Toc6405"/>
      <w:bookmarkStart w:id="73" w:name="_Toc24494"/>
      <w:bookmarkStart w:id="74" w:name="_Toc18051"/>
      <w:bookmarkStart w:id="75" w:name="_Toc11869"/>
      <w:bookmarkStart w:id="76" w:name="_Toc26228"/>
      <w:bookmarkStart w:id="77" w:name="_Toc500150908"/>
      <w:bookmarkStart w:id="78" w:name="_Toc3677"/>
      <w:r>
        <w:rPr>
          <w:rFonts w:hint="eastAsia"/>
          <w:b/>
          <w:sz w:val="36"/>
          <w:szCs w:val="36"/>
        </w:rPr>
        <w:t>投标文件</w:t>
      </w:r>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p>
    <w:p>
      <w:pPr>
        <w:numPr>
          <w:ilvl w:val="0"/>
          <w:numId w:val="6"/>
        </w:numPr>
        <w:spacing w:line="500" w:lineRule="exact"/>
        <w:rPr>
          <w:b/>
          <w:sz w:val="24"/>
        </w:rPr>
      </w:pPr>
      <w:r>
        <w:rPr>
          <w:rFonts w:hint="eastAsia"/>
          <w:b/>
          <w:sz w:val="24"/>
        </w:rPr>
        <w:t>投标文件计量单位和使用文字</w:t>
      </w:r>
    </w:p>
    <w:p>
      <w:pPr>
        <w:pStyle w:val="5"/>
        <w:keepNext w:val="0"/>
        <w:keepLines w:val="0"/>
        <w:numPr>
          <w:ilvl w:val="1"/>
          <w:numId w:val="6"/>
        </w:numPr>
        <w:tabs>
          <w:tab w:val="left" w:pos="1050"/>
          <w:tab w:val="clear" w:pos="993"/>
        </w:tabs>
        <w:spacing w:before="0" w:after="0" w:line="500" w:lineRule="exact"/>
        <w:ind w:left="0" w:firstLine="480" w:firstLineChars="200"/>
        <w:rPr>
          <w:rFonts w:ascii="Times New Roman" w:hAnsi="Times New Roman"/>
          <w:b w:val="0"/>
        </w:rPr>
      </w:pPr>
      <w:r>
        <w:rPr>
          <w:rFonts w:hint="eastAsia" w:ascii="Times New Roman" w:hAnsi="Times New Roman"/>
          <w:b w:val="0"/>
        </w:rPr>
        <w:t>所有计量均采用中华人民共和国法定计量单位。</w:t>
      </w:r>
    </w:p>
    <w:p>
      <w:pPr>
        <w:pStyle w:val="5"/>
        <w:keepNext w:val="0"/>
        <w:keepLines w:val="0"/>
        <w:numPr>
          <w:ilvl w:val="1"/>
          <w:numId w:val="6"/>
        </w:numPr>
        <w:tabs>
          <w:tab w:val="left" w:pos="1050"/>
          <w:tab w:val="clear" w:pos="993"/>
        </w:tabs>
        <w:spacing w:before="0" w:after="0" w:line="500" w:lineRule="exact"/>
        <w:ind w:left="0" w:firstLine="480" w:firstLineChars="200"/>
        <w:rPr>
          <w:rFonts w:ascii="Times New Roman" w:hAnsi="Times New Roman"/>
          <w:b w:val="0"/>
        </w:rPr>
      </w:pPr>
      <w:r>
        <w:rPr>
          <w:rFonts w:hint="eastAsia" w:ascii="Times New Roman" w:hAnsi="Times New Roman"/>
          <w:b w:val="0"/>
        </w:rPr>
        <w:t>投标文件使用中文编制。投标文件部分内容必须使用其他文字的，应当附有该文字的中文译本。投标人承担未附中文译本或中文译本不准确而引起不利后果。</w:t>
      </w:r>
    </w:p>
    <w:p>
      <w:pPr>
        <w:numPr>
          <w:ilvl w:val="0"/>
          <w:numId w:val="6"/>
        </w:numPr>
        <w:spacing w:line="500" w:lineRule="exact"/>
        <w:rPr>
          <w:b/>
          <w:sz w:val="24"/>
        </w:rPr>
      </w:pPr>
      <w:r>
        <w:rPr>
          <w:rFonts w:hint="eastAsia"/>
          <w:b/>
          <w:sz w:val="24"/>
        </w:rPr>
        <w:t>联合体投标</w:t>
      </w:r>
    </w:p>
    <w:p>
      <w:pPr>
        <w:pStyle w:val="5"/>
        <w:keepNext w:val="0"/>
        <w:keepLines w:val="0"/>
        <w:numPr>
          <w:ilvl w:val="1"/>
          <w:numId w:val="6"/>
        </w:numPr>
        <w:tabs>
          <w:tab w:val="left" w:pos="1050"/>
          <w:tab w:val="clear" w:pos="993"/>
        </w:tabs>
        <w:spacing w:before="0" w:after="0" w:line="500" w:lineRule="exact"/>
        <w:ind w:left="0" w:firstLine="480" w:firstLineChars="200"/>
        <w:rPr>
          <w:rFonts w:ascii="Times New Roman" w:hAnsi="Times New Roman"/>
          <w:b w:val="0"/>
        </w:rPr>
      </w:pPr>
      <w:r>
        <w:rPr>
          <w:rFonts w:hint="eastAsia" w:ascii="Times New Roman" w:hAnsi="Times New Roman"/>
          <w:b w:val="0"/>
        </w:rPr>
        <w:t>不接受联合体投标。</w:t>
      </w:r>
    </w:p>
    <w:p>
      <w:pPr>
        <w:numPr>
          <w:ilvl w:val="0"/>
          <w:numId w:val="6"/>
        </w:numPr>
        <w:spacing w:line="500" w:lineRule="exact"/>
        <w:rPr>
          <w:b/>
          <w:sz w:val="24"/>
        </w:rPr>
      </w:pPr>
      <w:r>
        <w:rPr>
          <w:rFonts w:hint="eastAsia"/>
          <w:b/>
          <w:sz w:val="24"/>
        </w:rPr>
        <w:t>投标文件的组成</w:t>
      </w:r>
    </w:p>
    <w:p>
      <w:pPr>
        <w:numPr>
          <w:ilvl w:val="2"/>
          <w:numId w:val="6"/>
        </w:numPr>
        <w:tabs>
          <w:tab w:val="left" w:pos="1365"/>
        </w:tabs>
        <w:spacing w:line="500" w:lineRule="exact"/>
        <w:ind w:left="0" w:firstLine="720" w:firstLineChars="300"/>
        <w:rPr>
          <w:bCs/>
          <w:sz w:val="24"/>
          <w:szCs w:val="28"/>
        </w:rPr>
      </w:pPr>
      <w:r>
        <w:rPr>
          <w:rFonts w:hint="eastAsia"/>
          <w:bCs/>
          <w:sz w:val="24"/>
          <w:szCs w:val="28"/>
        </w:rPr>
        <w:t>电子版投标文件（用光盘或U盘作载体）；</w:t>
      </w:r>
    </w:p>
    <w:p>
      <w:pPr>
        <w:numPr>
          <w:ilvl w:val="2"/>
          <w:numId w:val="6"/>
        </w:numPr>
        <w:tabs>
          <w:tab w:val="left" w:pos="1365"/>
        </w:tabs>
        <w:spacing w:line="500" w:lineRule="exact"/>
        <w:ind w:left="0" w:firstLine="720" w:firstLineChars="300"/>
        <w:rPr>
          <w:bCs/>
          <w:sz w:val="24"/>
          <w:szCs w:val="28"/>
        </w:rPr>
      </w:pPr>
      <w:r>
        <w:rPr>
          <w:rFonts w:hint="eastAsia"/>
          <w:bCs/>
          <w:sz w:val="24"/>
          <w:szCs w:val="28"/>
        </w:rPr>
        <w:t>商务文件及技术文件</w:t>
      </w:r>
    </w:p>
    <w:p>
      <w:pPr>
        <w:numPr>
          <w:ilvl w:val="2"/>
          <w:numId w:val="6"/>
        </w:numPr>
        <w:tabs>
          <w:tab w:val="left" w:pos="1365"/>
        </w:tabs>
        <w:spacing w:line="500" w:lineRule="exact"/>
        <w:ind w:left="0" w:firstLine="720" w:firstLineChars="300"/>
        <w:rPr>
          <w:bCs/>
          <w:sz w:val="24"/>
          <w:szCs w:val="28"/>
        </w:rPr>
      </w:pPr>
      <w:r>
        <w:rPr>
          <w:rFonts w:hint="eastAsia"/>
          <w:bCs/>
          <w:sz w:val="24"/>
          <w:szCs w:val="28"/>
        </w:rPr>
        <w:t>唱标信封</w:t>
      </w:r>
    </w:p>
    <w:p>
      <w:pPr>
        <w:numPr>
          <w:ilvl w:val="0"/>
          <w:numId w:val="6"/>
        </w:numPr>
        <w:spacing w:line="500" w:lineRule="exact"/>
        <w:rPr>
          <w:b/>
          <w:sz w:val="24"/>
        </w:rPr>
      </w:pPr>
      <w:r>
        <w:rPr>
          <w:rFonts w:hint="eastAsia"/>
          <w:b/>
          <w:sz w:val="24"/>
        </w:rPr>
        <w:t>投标文件编制说明</w:t>
      </w:r>
    </w:p>
    <w:p>
      <w:pPr>
        <w:pStyle w:val="5"/>
        <w:keepNext w:val="0"/>
        <w:keepLines w:val="0"/>
        <w:numPr>
          <w:ilvl w:val="1"/>
          <w:numId w:val="6"/>
        </w:numPr>
        <w:tabs>
          <w:tab w:val="left" w:pos="1050"/>
          <w:tab w:val="clear" w:pos="993"/>
        </w:tabs>
        <w:spacing w:before="0" w:after="0" w:line="500" w:lineRule="exact"/>
        <w:ind w:left="0" w:firstLine="480" w:firstLineChars="200"/>
        <w:rPr>
          <w:rFonts w:ascii="Times New Roman" w:hAnsi="Times New Roman"/>
          <w:b w:val="0"/>
        </w:rPr>
      </w:pPr>
      <w:r>
        <w:rPr>
          <w:rFonts w:hint="eastAsia" w:ascii="Times New Roman" w:hAnsi="Times New Roman"/>
          <w:b w:val="0"/>
        </w:rPr>
        <w:t>投标文件需要按照招标文件要求的格式编写。</w:t>
      </w:r>
    </w:p>
    <w:p>
      <w:pPr>
        <w:pStyle w:val="5"/>
        <w:keepNext w:val="0"/>
        <w:keepLines w:val="0"/>
        <w:numPr>
          <w:ilvl w:val="1"/>
          <w:numId w:val="6"/>
        </w:numPr>
        <w:tabs>
          <w:tab w:val="left" w:pos="1050"/>
          <w:tab w:val="clear" w:pos="993"/>
        </w:tabs>
        <w:spacing w:before="0" w:after="0" w:line="500" w:lineRule="exact"/>
        <w:ind w:left="0" w:firstLine="480" w:firstLineChars="200"/>
        <w:rPr>
          <w:rFonts w:ascii="Times New Roman" w:hAnsi="Times New Roman"/>
          <w:b w:val="0"/>
        </w:rPr>
      </w:pPr>
      <w:r>
        <w:rPr>
          <w:rFonts w:hint="eastAsia" w:ascii="Times New Roman" w:hAnsi="Times New Roman"/>
          <w:b w:val="0"/>
        </w:rPr>
        <w:t>报价一览表是开标仪式上的唱标内容，报价一览表须放在唱标信封里。</w:t>
      </w:r>
    </w:p>
    <w:p>
      <w:pPr>
        <w:numPr>
          <w:ilvl w:val="0"/>
          <w:numId w:val="6"/>
        </w:numPr>
        <w:spacing w:line="500" w:lineRule="exact"/>
        <w:rPr>
          <w:b/>
          <w:sz w:val="24"/>
        </w:rPr>
      </w:pPr>
      <w:r>
        <w:rPr>
          <w:rFonts w:hint="eastAsia"/>
          <w:b/>
          <w:sz w:val="24"/>
        </w:rPr>
        <w:t>投标报价</w:t>
      </w:r>
    </w:p>
    <w:p>
      <w:pPr>
        <w:pStyle w:val="5"/>
        <w:keepNext w:val="0"/>
        <w:keepLines w:val="0"/>
        <w:numPr>
          <w:ilvl w:val="1"/>
          <w:numId w:val="6"/>
        </w:numPr>
        <w:tabs>
          <w:tab w:val="left" w:pos="1050"/>
          <w:tab w:val="clear" w:pos="993"/>
        </w:tabs>
        <w:spacing w:before="0" w:after="0" w:line="500" w:lineRule="exact"/>
        <w:ind w:left="0" w:firstLine="480" w:firstLineChars="200"/>
        <w:rPr>
          <w:rFonts w:ascii="Times New Roman" w:hAnsi="Times New Roman"/>
          <w:b w:val="0"/>
        </w:rPr>
      </w:pPr>
      <w:r>
        <w:rPr>
          <w:rFonts w:hint="eastAsia"/>
          <w:b w:val="0"/>
        </w:rPr>
        <w:t>投标函中投标人的投标报价应是招标文件所确定招标范围的全部工作内容的价格体现，投标人需结合自身实力及相关项目具体情况，并充分考虑相关的政策性风险、市场风险及其他不可预见因素等进行报价。</w:t>
      </w:r>
    </w:p>
    <w:p>
      <w:pPr>
        <w:spacing w:line="500" w:lineRule="exact"/>
        <w:ind w:firstLine="525" w:firstLineChars="250"/>
      </w:pPr>
      <w:r>
        <w:rPr>
          <w:rFonts w:hint="eastAsia"/>
        </w:rPr>
        <w:t>13.2不接受可选择性报价。</w:t>
      </w:r>
    </w:p>
    <w:p>
      <w:pPr>
        <w:pStyle w:val="5"/>
        <w:numPr>
          <w:ilvl w:val="0"/>
          <w:numId w:val="0"/>
        </w:numPr>
        <w:tabs>
          <w:tab w:val="left" w:pos="1050"/>
        </w:tabs>
        <w:spacing w:line="500" w:lineRule="exact"/>
        <w:ind w:left="480"/>
        <w:rPr>
          <w:rFonts w:ascii="Times New Roman" w:hAnsi="Times New Roman"/>
          <w:b w:val="0"/>
        </w:rPr>
      </w:pPr>
      <w:r>
        <w:rPr>
          <w:rFonts w:hint="eastAsia" w:ascii="Times New Roman" w:hAnsi="Times New Roman"/>
          <w:b w:val="0"/>
        </w:rPr>
        <w:t>13.3报价全部采用人民币表示。</w:t>
      </w:r>
    </w:p>
    <w:p>
      <w:pPr>
        <w:pStyle w:val="5"/>
        <w:numPr>
          <w:ilvl w:val="0"/>
          <w:numId w:val="0"/>
        </w:numPr>
        <w:tabs>
          <w:tab w:val="left" w:pos="1050"/>
        </w:tabs>
        <w:spacing w:line="500" w:lineRule="exact"/>
        <w:ind w:left="480"/>
        <w:rPr>
          <w:rFonts w:ascii="Times New Roman" w:hAnsi="Times New Roman"/>
          <w:b w:val="0"/>
        </w:rPr>
      </w:pPr>
      <w:r>
        <w:rPr>
          <w:rFonts w:hint="eastAsia" w:ascii="Times New Roman" w:hAnsi="Times New Roman"/>
          <w:b w:val="0"/>
        </w:rPr>
        <w:t>13.4超出报价范围的报价为无效报价。</w:t>
      </w:r>
    </w:p>
    <w:p>
      <w:pPr>
        <w:numPr>
          <w:ilvl w:val="0"/>
          <w:numId w:val="6"/>
        </w:numPr>
        <w:spacing w:line="500" w:lineRule="exact"/>
        <w:rPr>
          <w:b/>
          <w:sz w:val="24"/>
        </w:rPr>
      </w:pPr>
      <w:r>
        <w:rPr>
          <w:rFonts w:hint="eastAsia"/>
          <w:b/>
          <w:sz w:val="24"/>
        </w:rPr>
        <w:t>投标保证金</w:t>
      </w:r>
    </w:p>
    <w:p>
      <w:pPr>
        <w:pStyle w:val="5"/>
        <w:keepNext w:val="0"/>
        <w:keepLines w:val="0"/>
        <w:numPr>
          <w:ilvl w:val="1"/>
          <w:numId w:val="6"/>
        </w:numPr>
        <w:tabs>
          <w:tab w:val="left" w:pos="1050"/>
          <w:tab w:val="clear" w:pos="993"/>
        </w:tabs>
        <w:spacing w:before="0" w:after="0" w:line="500" w:lineRule="exact"/>
        <w:ind w:left="0" w:firstLine="480" w:firstLineChars="200"/>
        <w:rPr>
          <w:rFonts w:ascii="Times New Roman" w:hAnsi="Times New Roman"/>
          <w:b w:val="0"/>
        </w:rPr>
      </w:pPr>
      <w:r>
        <w:rPr>
          <w:rFonts w:hint="eastAsia" w:ascii="Times New Roman" w:hAnsi="Times New Roman"/>
          <w:b w:val="0"/>
        </w:rPr>
        <w:t>投标保证金：见投标人须知前附表。</w:t>
      </w:r>
    </w:p>
    <w:p>
      <w:pPr>
        <w:numPr>
          <w:ilvl w:val="0"/>
          <w:numId w:val="6"/>
        </w:numPr>
        <w:spacing w:line="500" w:lineRule="exact"/>
        <w:rPr>
          <w:b/>
          <w:sz w:val="24"/>
        </w:rPr>
      </w:pPr>
      <w:r>
        <w:rPr>
          <w:rFonts w:hint="eastAsia"/>
          <w:b/>
          <w:sz w:val="24"/>
        </w:rPr>
        <w:t>投标文件的有效期</w:t>
      </w:r>
    </w:p>
    <w:p>
      <w:pPr>
        <w:pStyle w:val="5"/>
        <w:keepNext w:val="0"/>
        <w:keepLines w:val="0"/>
        <w:numPr>
          <w:ilvl w:val="1"/>
          <w:numId w:val="6"/>
        </w:numPr>
        <w:tabs>
          <w:tab w:val="left" w:pos="1050"/>
          <w:tab w:val="clear" w:pos="993"/>
        </w:tabs>
        <w:spacing w:before="0" w:after="0" w:line="500" w:lineRule="exact"/>
        <w:ind w:left="0" w:firstLine="480" w:firstLineChars="200"/>
        <w:rPr>
          <w:rFonts w:ascii="Times New Roman" w:hAnsi="Times New Roman"/>
          <w:b w:val="0"/>
        </w:rPr>
      </w:pPr>
      <w:r>
        <w:rPr>
          <w:rFonts w:hint="eastAsia" w:ascii="Times New Roman" w:hAnsi="Times New Roman"/>
          <w:b w:val="0"/>
        </w:rPr>
        <w:t>自开标日起</w:t>
      </w:r>
      <w:r>
        <w:rPr>
          <w:rFonts w:hint="eastAsia" w:ascii="Times New Roman" w:hAnsi="Times New Roman"/>
          <w:b w:val="0"/>
          <w:u w:val="single"/>
        </w:rPr>
        <w:t>90天内</w:t>
      </w:r>
      <w:r>
        <w:rPr>
          <w:rFonts w:hint="eastAsia" w:ascii="Times New Roman" w:hAnsi="Times New Roman"/>
          <w:b w:val="0"/>
        </w:rPr>
        <w:t>，投标文件应保持有效。有效期短于这个规定期限的投标，将被拒绝。</w:t>
      </w:r>
    </w:p>
    <w:p>
      <w:pPr>
        <w:pStyle w:val="5"/>
        <w:keepNext w:val="0"/>
        <w:keepLines w:val="0"/>
        <w:numPr>
          <w:ilvl w:val="1"/>
          <w:numId w:val="6"/>
        </w:numPr>
        <w:tabs>
          <w:tab w:val="left" w:pos="1050"/>
          <w:tab w:val="clear" w:pos="993"/>
        </w:tabs>
        <w:spacing w:before="0" w:after="0" w:line="500" w:lineRule="exact"/>
        <w:ind w:left="0" w:firstLine="480" w:firstLineChars="200"/>
        <w:rPr>
          <w:rFonts w:ascii="Times New Roman" w:hAnsi="Times New Roman"/>
          <w:b w:val="0"/>
        </w:rPr>
      </w:pPr>
      <w:r>
        <w:rPr>
          <w:rFonts w:hint="eastAsia" w:ascii="Times New Roman" w:hAnsi="Times New Roman"/>
          <w:b w:val="0"/>
        </w:rPr>
        <w:t>在特殊情况下，招标代理机构可与投标人协商延长投标文件的有效期。协商应当以信函、传真或电子邮件的形式进行。同意延长有效期的投标人，其投标保证金的有效期也相应延长，但不能修改投标文件。拒绝接受延长有效期要求的投标人，其投标将被拒绝，投标保证金将被退还。</w:t>
      </w:r>
    </w:p>
    <w:p>
      <w:pPr>
        <w:numPr>
          <w:ilvl w:val="0"/>
          <w:numId w:val="6"/>
        </w:numPr>
        <w:spacing w:line="500" w:lineRule="exact"/>
        <w:rPr>
          <w:b/>
          <w:sz w:val="24"/>
        </w:rPr>
      </w:pPr>
      <w:r>
        <w:rPr>
          <w:rFonts w:hint="eastAsia"/>
          <w:b/>
          <w:sz w:val="24"/>
        </w:rPr>
        <w:t>投标文件的份数和签署</w:t>
      </w:r>
    </w:p>
    <w:p>
      <w:pPr>
        <w:pStyle w:val="5"/>
        <w:keepNext w:val="0"/>
        <w:keepLines w:val="0"/>
        <w:numPr>
          <w:ilvl w:val="1"/>
          <w:numId w:val="6"/>
        </w:numPr>
        <w:tabs>
          <w:tab w:val="left" w:pos="1050"/>
          <w:tab w:val="clear" w:pos="993"/>
        </w:tabs>
        <w:spacing w:before="0" w:after="0" w:line="500" w:lineRule="exact"/>
        <w:ind w:left="0" w:firstLine="480" w:firstLineChars="200"/>
        <w:rPr>
          <w:rFonts w:ascii="Times New Roman" w:hAnsi="Times New Roman"/>
          <w:b w:val="0"/>
        </w:rPr>
      </w:pPr>
      <w:r>
        <w:rPr>
          <w:rFonts w:hint="eastAsia" w:ascii="Times New Roman" w:hAnsi="Times New Roman"/>
          <w:b w:val="0"/>
        </w:rPr>
        <w:t>投标文件份数：见投标人须知前附表。</w:t>
      </w:r>
    </w:p>
    <w:p>
      <w:pPr>
        <w:pStyle w:val="5"/>
        <w:keepNext w:val="0"/>
        <w:keepLines w:val="0"/>
        <w:numPr>
          <w:ilvl w:val="1"/>
          <w:numId w:val="6"/>
        </w:numPr>
        <w:tabs>
          <w:tab w:val="left" w:pos="1050"/>
          <w:tab w:val="clear" w:pos="993"/>
        </w:tabs>
        <w:spacing w:before="0" w:after="0" w:line="500" w:lineRule="exact"/>
        <w:ind w:left="0" w:firstLine="480" w:firstLineChars="200"/>
        <w:rPr>
          <w:rFonts w:ascii="Times New Roman" w:hAnsi="Times New Roman"/>
          <w:b w:val="0"/>
        </w:rPr>
      </w:pPr>
      <w:r>
        <w:rPr>
          <w:rFonts w:hint="eastAsia" w:ascii="Times New Roman" w:hAnsi="Times New Roman"/>
          <w:b w:val="0"/>
        </w:rPr>
        <w:t>投标文件正本均须用不褪色墨水书写、打印或印刷，投标文件副本的所有资料，都可以用投标文件的正本复制。投标文件的正本和副本内容有不一致的，以正本为准。</w:t>
      </w:r>
    </w:p>
    <w:p>
      <w:pPr>
        <w:pStyle w:val="5"/>
        <w:keepNext w:val="0"/>
        <w:keepLines w:val="0"/>
        <w:numPr>
          <w:ilvl w:val="1"/>
          <w:numId w:val="6"/>
        </w:numPr>
        <w:tabs>
          <w:tab w:val="left" w:pos="1050"/>
          <w:tab w:val="clear" w:pos="993"/>
        </w:tabs>
        <w:spacing w:before="0" w:after="0" w:line="500" w:lineRule="exact"/>
        <w:ind w:left="0" w:firstLine="480" w:firstLineChars="200"/>
        <w:rPr>
          <w:rFonts w:ascii="Times New Roman" w:hAnsi="Times New Roman"/>
          <w:b w:val="0"/>
        </w:rPr>
      </w:pPr>
      <w:r>
        <w:rPr>
          <w:rFonts w:hint="eastAsia" w:ascii="Times New Roman" w:hAnsi="Times New Roman"/>
          <w:b w:val="0"/>
        </w:rPr>
        <w:t>投标文件正本主要内容（招标文件格式中要求法人代表或授权委托人签字的内容和加盖投标单位公章）应由投标人的法定代表人或其授权的委托人签字（或盖章）并加盖投标人公章。</w:t>
      </w:r>
    </w:p>
    <w:p>
      <w:pPr>
        <w:pStyle w:val="5"/>
        <w:keepNext w:val="0"/>
        <w:keepLines w:val="0"/>
        <w:numPr>
          <w:ilvl w:val="1"/>
          <w:numId w:val="6"/>
        </w:numPr>
        <w:tabs>
          <w:tab w:val="left" w:pos="1050"/>
          <w:tab w:val="clear" w:pos="993"/>
        </w:tabs>
        <w:spacing w:before="0" w:after="0" w:line="500" w:lineRule="exact"/>
        <w:ind w:left="0" w:firstLine="480" w:firstLineChars="200"/>
        <w:rPr>
          <w:rFonts w:ascii="Times New Roman" w:hAnsi="Times New Roman"/>
          <w:b w:val="0"/>
        </w:rPr>
      </w:pPr>
      <w:r>
        <w:rPr>
          <w:rFonts w:hint="eastAsia" w:ascii="Times New Roman" w:hAnsi="Times New Roman"/>
          <w:b w:val="0"/>
        </w:rPr>
        <w:t>全套投标文件应无涂改、无行间插字。除非这些删改是根据招标代理机构的要求实施的，或者是投标人造成的错误且必须修改的。修改处应由投标文件签字人签字证明。</w:t>
      </w:r>
    </w:p>
    <w:p>
      <w:pPr>
        <w:pStyle w:val="5"/>
        <w:keepNext w:val="0"/>
        <w:keepLines w:val="0"/>
        <w:numPr>
          <w:ilvl w:val="1"/>
          <w:numId w:val="6"/>
        </w:numPr>
        <w:tabs>
          <w:tab w:val="left" w:pos="1050"/>
          <w:tab w:val="clear" w:pos="993"/>
        </w:tabs>
        <w:spacing w:before="0" w:after="0" w:line="500" w:lineRule="exact"/>
        <w:ind w:left="0" w:firstLine="480" w:firstLineChars="200"/>
        <w:rPr>
          <w:rFonts w:ascii="Times New Roman" w:hAnsi="Times New Roman"/>
          <w:b w:val="0"/>
        </w:rPr>
      </w:pPr>
      <w:r>
        <w:rPr>
          <w:rFonts w:hint="eastAsia" w:ascii="Times New Roman" w:hAnsi="Times New Roman"/>
          <w:b w:val="0"/>
        </w:rPr>
        <w:t>传真或电传的投标文件将被拒绝。</w:t>
      </w:r>
    </w:p>
    <w:p>
      <w:pPr>
        <w:spacing w:line="500" w:lineRule="exact"/>
        <w:ind w:firstLine="480" w:firstLineChars="200"/>
        <w:rPr>
          <w:sz w:val="24"/>
          <w:u w:val="single"/>
        </w:rPr>
      </w:pPr>
      <w:r>
        <w:rPr>
          <w:rFonts w:hint="eastAsia"/>
          <w:sz w:val="24"/>
          <w:u w:val="single"/>
        </w:rPr>
        <w:t>特别说明：本项目要求投标人提交电子版投标文件。</w:t>
      </w:r>
    </w:p>
    <w:p>
      <w:pPr>
        <w:spacing w:line="500" w:lineRule="exact"/>
        <w:ind w:firstLine="480" w:firstLineChars="200"/>
        <w:rPr>
          <w:sz w:val="24"/>
          <w:u w:val="single"/>
        </w:rPr>
      </w:pPr>
      <w:r>
        <w:rPr>
          <w:rFonts w:hint="eastAsia"/>
          <w:sz w:val="24"/>
          <w:u w:val="single"/>
        </w:rPr>
        <w:t>电子版投标文件与对应的投标文件正本内容一致。其载体是可以被读取的光盘或者U盘。电子版投标文件提交后不予退还。</w:t>
      </w:r>
    </w:p>
    <w:p>
      <w:pPr>
        <w:numPr>
          <w:ilvl w:val="0"/>
          <w:numId w:val="5"/>
        </w:numPr>
        <w:tabs>
          <w:tab w:val="left" w:pos="540"/>
          <w:tab w:val="left" w:pos="720"/>
          <w:tab w:val="clear" w:pos="960"/>
        </w:tabs>
        <w:spacing w:before="100" w:after="100" w:line="500" w:lineRule="exact"/>
        <w:ind w:left="720" w:hanging="720"/>
        <w:outlineLvl w:val="1"/>
        <w:rPr>
          <w:b/>
          <w:sz w:val="36"/>
          <w:szCs w:val="36"/>
        </w:rPr>
      </w:pPr>
      <w:bookmarkStart w:id="79" w:name="_Toc18294"/>
      <w:bookmarkStart w:id="80" w:name="_Toc317237602"/>
      <w:bookmarkStart w:id="81" w:name="_Toc317237777"/>
      <w:bookmarkStart w:id="82" w:name="_Toc32192"/>
      <w:bookmarkStart w:id="83" w:name="_Toc392583289"/>
      <w:bookmarkStart w:id="84" w:name="_Toc9635"/>
      <w:bookmarkStart w:id="85" w:name="_Toc21881"/>
      <w:bookmarkStart w:id="86" w:name="_Toc6418"/>
      <w:bookmarkStart w:id="87" w:name="_Toc13390"/>
      <w:bookmarkStart w:id="88" w:name="_Toc8829"/>
      <w:bookmarkStart w:id="89" w:name="_Toc389164173"/>
      <w:bookmarkStart w:id="90" w:name="_Toc500150909"/>
      <w:bookmarkStart w:id="91" w:name="_Toc5493"/>
      <w:bookmarkStart w:id="92" w:name="_Toc1514"/>
      <w:bookmarkStart w:id="93" w:name="_Toc8719"/>
      <w:r>
        <w:rPr>
          <w:rFonts w:hint="eastAsia"/>
          <w:b/>
          <w:sz w:val="36"/>
          <w:szCs w:val="36"/>
        </w:rPr>
        <w:t>投标文件的递交</w:t>
      </w:r>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p>
    <w:p>
      <w:pPr>
        <w:numPr>
          <w:ilvl w:val="0"/>
          <w:numId w:val="6"/>
        </w:numPr>
        <w:spacing w:line="500" w:lineRule="exact"/>
        <w:rPr>
          <w:b/>
          <w:sz w:val="24"/>
        </w:rPr>
      </w:pPr>
      <w:r>
        <w:rPr>
          <w:rFonts w:hint="eastAsia"/>
          <w:b/>
          <w:sz w:val="24"/>
        </w:rPr>
        <w:t>投标文件的装订、密封及标记</w:t>
      </w:r>
    </w:p>
    <w:p>
      <w:pPr>
        <w:pStyle w:val="5"/>
        <w:keepNext w:val="0"/>
        <w:keepLines w:val="0"/>
        <w:numPr>
          <w:ilvl w:val="1"/>
          <w:numId w:val="6"/>
        </w:numPr>
        <w:tabs>
          <w:tab w:val="left" w:pos="1050"/>
          <w:tab w:val="clear" w:pos="993"/>
        </w:tabs>
        <w:spacing w:before="0" w:after="0" w:line="500" w:lineRule="exact"/>
        <w:ind w:left="0" w:firstLine="480" w:firstLineChars="200"/>
        <w:rPr>
          <w:rFonts w:ascii="Times New Roman" w:hAnsi="Times New Roman"/>
          <w:b w:val="0"/>
        </w:rPr>
      </w:pPr>
      <w:r>
        <w:rPr>
          <w:rFonts w:hint="eastAsia" w:ascii="Times New Roman" w:hAnsi="Times New Roman"/>
          <w:b w:val="0"/>
        </w:rPr>
        <w:t>所有投标文件必须装订成册。</w:t>
      </w:r>
    </w:p>
    <w:p>
      <w:pPr>
        <w:pStyle w:val="5"/>
        <w:keepNext w:val="0"/>
        <w:keepLines w:val="0"/>
        <w:numPr>
          <w:ilvl w:val="1"/>
          <w:numId w:val="6"/>
        </w:numPr>
        <w:tabs>
          <w:tab w:val="left" w:pos="1050"/>
          <w:tab w:val="clear" w:pos="993"/>
        </w:tabs>
        <w:spacing w:before="0" w:after="0" w:line="500" w:lineRule="exact"/>
        <w:ind w:left="0" w:firstLine="480" w:firstLineChars="200"/>
        <w:rPr>
          <w:rFonts w:ascii="Times New Roman" w:hAnsi="Times New Roman"/>
          <w:b w:val="0"/>
        </w:rPr>
      </w:pPr>
      <w:r>
        <w:rPr>
          <w:rFonts w:hint="eastAsia" w:ascii="Times New Roman" w:hAnsi="Times New Roman"/>
          <w:b w:val="0"/>
        </w:rPr>
        <w:t>投标文件应按以下方法分别装袋密封：</w:t>
      </w:r>
    </w:p>
    <w:p>
      <w:pPr>
        <w:numPr>
          <w:ilvl w:val="2"/>
          <w:numId w:val="6"/>
        </w:numPr>
        <w:spacing w:line="500" w:lineRule="exact"/>
        <w:ind w:left="0" w:firstLine="720" w:firstLineChars="300"/>
        <w:rPr>
          <w:sz w:val="24"/>
        </w:rPr>
      </w:pPr>
      <w:r>
        <w:rPr>
          <w:rFonts w:hint="eastAsia"/>
          <w:sz w:val="24"/>
        </w:rPr>
        <w:t>投标人应将投标文件的正本封装为一个密封袋，将所有副本封装为一个或多个密封袋，唱标信封单独封装为一个密封袋。在密封袋上，要清楚标明“正本”、“副本”字样。</w:t>
      </w:r>
    </w:p>
    <w:p>
      <w:pPr>
        <w:numPr>
          <w:ilvl w:val="2"/>
          <w:numId w:val="6"/>
        </w:numPr>
        <w:spacing w:line="500" w:lineRule="exact"/>
        <w:ind w:left="0" w:firstLine="720" w:firstLineChars="300"/>
        <w:rPr>
          <w:sz w:val="24"/>
        </w:rPr>
      </w:pPr>
      <w:r>
        <w:rPr>
          <w:rFonts w:hint="eastAsia"/>
          <w:sz w:val="24"/>
        </w:rPr>
        <w:t>投标文件及唱标信封包装的封口处应有投标人的法定代表人或其授权委托人的签字及投标人公章。封皮上写明招标代理机构名称、项目编号、招标项目名称、投标人名称。</w:t>
      </w:r>
    </w:p>
    <w:p>
      <w:pPr>
        <w:numPr>
          <w:ilvl w:val="2"/>
          <w:numId w:val="6"/>
        </w:numPr>
        <w:spacing w:line="500" w:lineRule="exact"/>
        <w:ind w:left="0" w:firstLine="720" w:firstLineChars="300"/>
        <w:rPr>
          <w:sz w:val="24"/>
        </w:rPr>
      </w:pPr>
      <w:r>
        <w:rPr>
          <w:rFonts w:hint="eastAsia"/>
          <w:sz w:val="24"/>
        </w:rPr>
        <w:t>投标人应按上述要求密封及书写标记。</w:t>
      </w:r>
    </w:p>
    <w:p>
      <w:pPr>
        <w:numPr>
          <w:ilvl w:val="2"/>
          <w:numId w:val="6"/>
        </w:numPr>
        <w:spacing w:line="500" w:lineRule="exact"/>
        <w:ind w:left="0" w:firstLine="720" w:firstLineChars="300"/>
        <w:rPr>
          <w:sz w:val="24"/>
        </w:rPr>
      </w:pPr>
      <w:r>
        <w:rPr>
          <w:rFonts w:hint="eastAsia"/>
          <w:sz w:val="24"/>
        </w:rPr>
        <w:t>投标文件的装订做到整齐、干净、牢固即可。过度包装和精美装饰不是加分条件。</w:t>
      </w:r>
    </w:p>
    <w:p>
      <w:pPr>
        <w:numPr>
          <w:ilvl w:val="0"/>
          <w:numId w:val="6"/>
        </w:numPr>
        <w:spacing w:line="500" w:lineRule="exact"/>
        <w:rPr>
          <w:b/>
          <w:sz w:val="24"/>
        </w:rPr>
      </w:pPr>
      <w:r>
        <w:rPr>
          <w:rFonts w:hint="eastAsia"/>
          <w:b/>
          <w:sz w:val="24"/>
        </w:rPr>
        <w:t>投标截止</w:t>
      </w:r>
    </w:p>
    <w:p>
      <w:pPr>
        <w:pStyle w:val="5"/>
        <w:keepNext w:val="0"/>
        <w:keepLines w:val="0"/>
        <w:numPr>
          <w:ilvl w:val="1"/>
          <w:numId w:val="6"/>
        </w:numPr>
        <w:tabs>
          <w:tab w:val="left" w:pos="1050"/>
          <w:tab w:val="clear" w:pos="993"/>
        </w:tabs>
        <w:spacing w:before="0" w:after="0" w:line="500" w:lineRule="exact"/>
        <w:ind w:left="0" w:firstLine="480" w:firstLineChars="200"/>
        <w:rPr>
          <w:rFonts w:ascii="Times New Roman" w:hAnsi="Times New Roman"/>
          <w:b w:val="0"/>
        </w:rPr>
      </w:pPr>
      <w:r>
        <w:rPr>
          <w:rFonts w:hint="eastAsia" w:ascii="Times New Roman" w:hAnsi="Times New Roman"/>
          <w:b w:val="0"/>
        </w:rPr>
        <w:t>投标截止时间：见投标邀请函。</w:t>
      </w:r>
    </w:p>
    <w:p>
      <w:pPr>
        <w:pStyle w:val="5"/>
        <w:keepNext w:val="0"/>
        <w:keepLines w:val="0"/>
        <w:numPr>
          <w:ilvl w:val="1"/>
          <w:numId w:val="6"/>
        </w:numPr>
        <w:tabs>
          <w:tab w:val="left" w:pos="1050"/>
          <w:tab w:val="clear" w:pos="993"/>
        </w:tabs>
        <w:spacing w:before="0" w:after="0" w:line="500" w:lineRule="exact"/>
        <w:ind w:left="0" w:firstLine="480" w:firstLineChars="200"/>
        <w:rPr>
          <w:rFonts w:ascii="Times New Roman" w:hAnsi="Times New Roman"/>
          <w:b w:val="0"/>
        </w:rPr>
      </w:pPr>
      <w:r>
        <w:rPr>
          <w:rFonts w:hint="eastAsia" w:ascii="Times New Roman" w:hAnsi="Times New Roman"/>
          <w:b w:val="0"/>
        </w:rPr>
        <w:t>不投标：见投标人须知前附表。</w:t>
      </w:r>
    </w:p>
    <w:p>
      <w:pPr>
        <w:pStyle w:val="5"/>
        <w:keepNext w:val="0"/>
        <w:keepLines w:val="0"/>
        <w:numPr>
          <w:ilvl w:val="1"/>
          <w:numId w:val="6"/>
        </w:numPr>
        <w:tabs>
          <w:tab w:val="left" w:pos="1050"/>
          <w:tab w:val="clear" w:pos="993"/>
        </w:tabs>
        <w:spacing w:before="0" w:after="0" w:line="500" w:lineRule="exact"/>
        <w:ind w:left="0" w:firstLine="480" w:firstLineChars="200"/>
        <w:rPr>
          <w:rFonts w:ascii="Times New Roman" w:hAnsi="Times New Roman"/>
          <w:b w:val="0"/>
        </w:rPr>
      </w:pPr>
      <w:r>
        <w:rPr>
          <w:rFonts w:hint="eastAsia" w:ascii="Times New Roman" w:hAnsi="Times New Roman"/>
          <w:b w:val="0"/>
        </w:rPr>
        <w:t>投标文件必须在投标截止时间前送达投标地点。</w:t>
      </w:r>
    </w:p>
    <w:p>
      <w:pPr>
        <w:pStyle w:val="5"/>
        <w:keepNext w:val="0"/>
        <w:keepLines w:val="0"/>
        <w:numPr>
          <w:ilvl w:val="1"/>
          <w:numId w:val="6"/>
        </w:numPr>
        <w:tabs>
          <w:tab w:val="left" w:pos="1050"/>
          <w:tab w:val="clear" w:pos="993"/>
        </w:tabs>
        <w:spacing w:before="0" w:after="0" w:line="500" w:lineRule="exact"/>
        <w:ind w:left="0" w:firstLine="480" w:firstLineChars="200"/>
        <w:rPr>
          <w:rFonts w:ascii="Times New Roman" w:hAnsi="Times New Roman"/>
          <w:b w:val="0"/>
        </w:rPr>
      </w:pPr>
      <w:r>
        <w:rPr>
          <w:rFonts w:hint="eastAsia" w:ascii="Times New Roman" w:hAnsi="Times New Roman"/>
          <w:b w:val="0"/>
        </w:rPr>
        <w:t>招标代理机构推迟投标截止日期或截止时间，将在不晚于原定投标截止日期的前3天以书面方式（传真、信函、公告或电子邮件等）通知所有投标人。</w:t>
      </w:r>
    </w:p>
    <w:p>
      <w:pPr>
        <w:pStyle w:val="5"/>
        <w:keepNext w:val="0"/>
        <w:keepLines w:val="0"/>
        <w:numPr>
          <w:ilvl w:val="1"/>
          <w:numId w:val="6"/>
        </w:numPr>
        <w:tabs>
          <w:tab w:val="left" w:pos="1050"/>
          <w:tab w:val="clear" w:pos="993"/>
        </w:tabs>
        <w:spacing w:before="0" w:after="0" w:line="500" w:lineRule="exact"/>
        <w:ind w:left="0" w:firstLine="480" w:firstLineChars="200"/>
        <w:rPr>
          <w:rFonts w:ascii="Times New Roman" w:hAnsi="Times New Roman"/>
          <w:b w:val="0"/>
        </w:rPr>
      </w:pPr>
      <w:r>
        <w:rPr>
          <w:rFonts w:hint="eastAsia" w:ascii="Times New Roman" w:hAnsi="Times New Roman"/>
          <w:b w:val="0"/>
        </w:rPr>
        <w:t>在投标截止时间以后送达的投标文件，招标代理机构拒绝接收。</w:t>
      </w:r>
    </w:p>
    <w:p>
      <w:pPr>
        <w:numPr>
          <w:ilvl w:val="0"/>
          <w:numId w:val="6"/>
        </w:numPr>
        <w:spacing w:line="500" w:lineRule="exact"/>
        <w:rPr>
          <w:b/>
          <w:sz w:val="24"/>
        </w:rPr>
      </w:pPr>
      <w:r>
        <w:rPr>
          <w:rFonts w:hint="eastAsia"/>
          <w:b/>
          <w:sz w:val="24"/>
        </w:rPr>
        <w:t>投标文件的修改和撤回</w:t>
      </w:r>
    </w:p>
    <w:p>
      <w:pPr>
        <w:pStyle w:val="5"/>
        <w:keepNext w:val="0"/>
        <w:keepLines w:val="0"/>
        <w:numPr>
          <w:ilvl w:val="1"/>
          <w:numId w:val="6"/>
        </w:numPr>
        <w:tabs>
          <w:tab w:val="left" w:pos="1050"/>
          <w:tab w:val="clear" w:pos="993"/>
        </w:tabs>
        <w:spacing w:before="0" w:after="0" w:line="500" w:lineRule="exact"/>
        <w:ind w:left="0" w:firstLine="480" w:firstLineChars="200"/>
        <w:rPr>
          <w:rFonts w:ascii="Times New Roman" w:hAnsi="Times New Roman"/>
          <w:b w:val="0"/>
        </w:rPr>
      </w:pPr>
      <w:r>
        <w:rPr>
          <w:rFonts w:hint="eastAsia" w:ascii="Times New Roman" w:hAnsi="Times New Roman"/>
          <w:b w:val="0"/>
        </w:rPr>
        <w:t>投标以后，投标人不得修改和撤回投标文件。</w:t>
      </w:r>
    </w:p>
    <w:p>
      <w:pPr>
        <w:pStyle w:val="5"/>
        <w:keepNext w:val="0"/>
        <w:keepLines w:val="0"/>
        <w:numPr>
          <w:ilvl w:val="1"/>
          <w:numId w:val="6"/>
        </w:numPr>
        <w:tabs>
          <w:tab w:val="left" w:pos="1050"/>
          <w:tab w:val="clear" w:pos="993"/>
        </w:tabs>
        <w:spacing w:before="0" w:after="0" w:line="500" w:lineRule="exact"/>
        <w:ind w:left="0" w:firstLine="480" w:firstLineChars="200"/>
        <w:rPr>
          <w:rFonts w:ascii="Times New Roman" w:hAnsi="Times New Roman"/>
          <w:b w:val="0"/>
        </w:rPr>
      </w:pPr>
      <w:r>
        <w:rPr>
          <w:rFonts w:hint="eastAsia" w:ascii="Times New Roman" w:hAnsi="Times New Roman"/>
          <w:b w:val="0"/>
        </w:rPr>
        <w:t>开标后，投标人不得在投标有效期内撤回投标，否则投标保证金不予退还。</w:t>
      </w:r>
    </w:p>
    <w:p>
      <w:pPr>
        <w:pStyle w:val="5"/>
        <w:keepNext w:val="0"/>
        <w:keepLines w:val="0"/>
        <w:numPr>
          <w:ilvl w:val="1"/>
          <w:numId w:val="6"/>
        </w:numPr>
        <w:tabs>
          <w:tab w:val="left" w:pos="1050"/>
          <w:tab w:val="clear" w:pos="993"/>
        </w:tabs>
        <w:spacing w:before="0" w:after="0" w:line="500" w:lineRule="exact"/>
        <w:ind w:left="0" w:firstLine="480" w:firstLineChars="200"/>
        <w:rPr>
          <w:rFonts w:ascii="Times New Roman" w:hAnsi="Times New Roman"/>
          <w:b w:val="0"/>
        </w:rPr>
      </w:pPr>
      <w:r>
        <w:rPr>
          <w:rFonts w:hint="eastAsia" w:ascii="Times New Roman" w:hAnsi="Times New Roman"/>
          <w:b w:val="0"/>
        </w:rPr>
        <w:t>所有投标文件均不予退还。</w:t>
      </w:r>
    </w:p>
    <w:p>
      <w:pPr>
        <w:numPr>
          <w:ilvl w:val="0"/>
          <w:numId w:val="5"/>
        </w:numPr>
        <w:tabs>
          <w:tab w:val="left" w:pos="540"/>
          <w:tab w:val="left" w:pos="720"/>
          <w:tab w:val="clear" w:pos="960"/>
        </w:tabs>
        <w:spacing w:before="100" w:after="100" w:line="500" w:lineRule="exact"/>
        <w:ind w:left="720" w:hanging="720"/>
        <w:outlineLvl w:val="1"/>
        <w:rPr>
          <w:b/>
          <w:sz w:val="36"/>
          <w:szCs w:val="36"/>
        </w:rPr>
      </w:pPr>
      <w:bookmarkStart w:id="94" w:name="_Toc317237603"/>
      <w:bookmarkStart w:id="95" w:name="_Toc317237778"/>
      <w:bookmarkStart w:id="96" w:name="_Toc20269"/>
      <w:bookmarkStart w:id="97" w:name="_Toc12495"/>
      <w:bookmarkStart w:id="98" w:name="_Toc29646"/>
      <w:bookmarkStart w:id="99" w:name="_Toc19670"/>
      <w:bookmarkStart w:id="100" w:name="_Toc15040"/>
      <w:bookmarkStart w:id="101" w:name="_Toc12205"/>
      <w:bookmarkStart w:id="102" w:name="_Toc500150910"/>
      <w:bookmarkStart w:id="103" w:name="_Toc3308"/>
      <w:bookmarkStart w:id="104" w:name="_Toc22669"/>
      <w:bookmarkStart w:id="105" w:name="_Toc30057"/>
      <w:bookmarkStart w:id="106" w:name="_Toc32061"/>
      <w:bookmarkStart w:id="107" w:name="_Toc389164174"/>
      <w:bookmarkStart w:id="108" w:name="_Toc392583290"/>
      <w:r>
        <w:rPr>
          <w:rFonts w:hint="eastAsia"/>
          <w:b/>
          <w:sz w:val="36"/>
          <w:szCs w:val="36"/>
        </w:rPr>
        <w:t>开标、评标</w:t>
      </w:r>
      <w:bookmarkEnd w:id="94"/>
      <w:bookmarkEnd w:id="95"/>
      <w:r>
        <w:rPr>
          <w:rFonts w:hint="eastAsia"/>
          <w:b/>
          <w:sz w:val="36"/>
          <w:szCs w:val="36"/>
        </w:rPr>
        <w:t>和定标</w:t>
      </w:r>
      <w:bookmarkEnd w:id="96"/>
      <w:bookmarkEnd w:id="97"/>
      <w:bookmarkEnd w:id="98"/>
      <w:bookmarkEnd w:id="99"/>
      <w:bookmarkEnd w:id="100"/>
      <w:bookmarkEnd w:id="101"/>
      <w:bookmarkEnd w:id="102"/>
      <w:bookmarkEnd w:id="103"/>
      <w:bookmarkEnd w:id="104"/>
      <w:bookmarkEnd w:id="105"/>
      <w:bookmarkEnd w:id="106"/>
      <w:bookmarkEnd w:id="107"/>
      <w:bookmarkEnd w:id="108"/>
    </w:p>
    <w:p>
      <w:pPr>
        <w:numPr>
          <w:ilvl w:val="0"/>
          <w:numId w:val="6"/>
        </w:numPr>
        <w:spacing w:line="500" w:lineRule="exact"/>
        <w:rPr>
          <w:b/>
          <w:sz w:val="24"/>
        </w:rPr>
      </w:pPr>
      <w:r>
        <w:rPr>
          <w:rFonts w:hint="eastAsia"/>
          <w:b/>
          <w:sz w:val="24"/>
        </w:rPr>
        <w:t>开标</w:t>
      </w:r>
    </w:p>
    <w:p>
      <w:pPr>
        <w:pStyle w:val="5"/>
        <w:keepNext w:val="0"/>
        <w:keepLines w:val="0"/>
        <w:numPr>
          <w:ilvl w:val="1"/>
          <w:numId w:val="6"/>
        </w:numPr>
        <w:tabs>
          <w:tab w:val="left" w:pos="1050"/>
          <w:tab w:val="clear" w:pos="993"/>
        </w:tabs>
        <w:spacing w:before="0" w:after="0" w:line="500" w:lineRule="exact"/>
        <w:ind w:left="0" w:firstLine="480" w:firstLineChars="200"/>
        <w:rPr>
          <w:rFonts w:ascii="Times New Roman" w:hAnsi="Times New Roman"/>
          <w:b w:val="0"/>
        </w:rPr>
      </w:pPr>
      <w:r>
        <w:rPr>
          <w:rFonts w:hint="eastAsia" w:ascii="Times New Roman" w:hAnsi="Times New Roman"/>
          <w:b w:val="0"/>
        </w:rPr>
        <w:t>招标代理机构按招标文件规定的时间、地点公开举行开标仪式。开标仪式由招标代理机构主持，邀请招标人代表、投标人代表及有关工作人员参加。</w:t>
      </w:r>
    </w:p>
    <w:p>
      <w:pPr>
        <w:pStyle w:val="5"/>
        <w:keepNext w:val="0"/>
        <w:keepLines w:val="0"/>
        <w:numPr>
          <w:ilvl w:val="1"/>
          <w:numId w:val="6"/>
        </w:numPr>
        <w:tabs>
          <w:tab w:val="left" w:pos="1050"/>
          <w:tab w:val="clear" w:pos="993"/>
        </w:tabs>
        <w:spacing w:before="0" w:after="0" w:line="500" w:lineRule="exact"/>
        <w:ind w:left="0" w:firstLine="480" w:firstLineChars="200"/>
        <w:rPr>
          <w:b w:val="0"/>
        </w:rPr>
      </w:pPr>
      <w:r>
        <w:rPr>
          <w:rFonts w:hint="eastAsia"/>
          <w:b w:val="0"/>
        </w:rPr>
        <w:t>招标人邀请所有投标人的法定代表人或其委托代理人参加开标会。投标人的法定代表人或其委托代理人应当持法定代表人身份证明文件或法定代表人授权委托书按时参加开标会，出示本人身份证，以证明其出席，否则，其投标文件不予受理</w:t>
      </w:r>
    </w:p>
    <w:p>
      <w:pPr>
        <w:pStyle w:val="5"/>
        <w:keepNext w:val="0"/>
        <w:keepLines w:val="0"/>
        <w:numPr>
          <w:ilvl w:val="1"/>
          <w:numId w:val="6"/>
        </w:numPr>
        <w:tabs>
          <w:tab w:val="left" w:pos="1050"/>
          <w:tab w:val="clear" w:pos="993"/>
        </w:tabs>
        <w:spacing w:before="0" w:after="0" w:line="500" w:lineRule="exact"/>
        <w:ind w:left="0" w:firstLine="480" w:firstLineChars="200"/>
        <w:rPr>
          <w:rFonts w:ascii="Times New Roman" w:hAnsi="Times New Roman"/>
          <w:b w:val="0"/>
        </w:rPr>
      </w:pPr>
      <w:r>
        <w:rPr>
          <w:rFonts w:hint="eastAsia" w:ascii="Times New Roman" w:hAnsi="Times New Roman"/>
          <w:b w:val="0"/>
        </w:rPr>
        <w:t>由投标人代表或相关监督部门查验投标文件的密封情况，经确认无误后拆封唱标。</w:t>
      </w:r>
    </w:p>
    <w:p>
      <w:pPr>
        <w:pStyle w:val="5"/>
        <w:keepNext w:val="0"/>
        <w:keepLines w:val="0"/>
        <w:numPr>
          <w:ilvl w:val="1"/>
          <w:numId w:val="6"/>
        </w:numPr>
        <w:tabs>
          <w:tab w:val="left" w:pos="1050"/>
          <w:tab w:val="clear" w:pos="993"/>
        </w:tabs>
        <w:spacing w:before="0" w:after="0" w:line="500" w:lineRule="exact"/>
        <w:ind w:left="0" w:firstLine="480" w:firstLineChars="200"/>
        <w:rPr>
          <w:rFonts w:ascii="Times New Roman" w:hAnsi="Times New Roman"/>
          <w:b w:val="0"/>
        </w:rPr>
      </w:pPr>
      <w:r>
        <w:rPr>
          <w:rFonts w:hint="eastAsia" w:ascii="Times New Roman" w:hAnsi="Times New Roman"/>
          <w:b w:val="0"/>
        </w:rPr>
        <w:t>唱标人宣读投标人的名称、投标价格及其投标的修改、投标的撤回等。记录人制作开标记录。</w:t>
      </w:r>
    </w:p>
    <w:p>
      <w:pPr>
        <w:pStyle w:val="5"/>
        <w:keepNext w:val="0"/>
        <w:keepLines w:val="0"/>
        <w:numPr>
          <w:ilvl w:val="1"/>
          <w:numId w:val="6"/>
        </w:numPr>
        <w:tabs>
          <w:tab w:val="left" w:pos="1050"/>
          <w:tab w:val="clear" w:pos="993"/>
        </w:tabs>
        <w:spacing w:before="0" w:after="0" w:line="500" w:lineRule="exact"/>
        <w:ind w:left="0" w:firstLine="480" w:firstLineChars="200"/>
        <w:rPr>
          <w:rFonts w:ascii="Times New Roman" w:hAnsi="Times New Roman"/>
          <w:b w:val="0"/>
        </w:rPr>
      </w:pPr>
      <w:r>
        <w:rPr>
          <w:rFonts w:hint="eastAsia" w:ascii="Times New Roman" w:hAnsi="Times New Roman"/>
          <w:b w:val="0"/>
        </w:rPr>
        <w:t>投标文件中投标函内容与投标文件中明细表内容不一致的，以投标函为准。</w:t>
      </w:r>
    </w:p>
    <w:p>
      <w:pPr>
        <w:pStyle w:val="5"/>
        <w:keepNext w:val="0"/>
        <w:keepLines w:val="0"/>
        <w:numPr>
          <w:ilvl w:val="1"/>
          <w:numId w:val="6"/>
        </w:numPr>
        <w:tabs>
          <w:tab w:val="left" w:pos="1050"/>
          <w:tab w:val="clear" w:pos="993"/>
        </w:tabs>
        <w:spacing w:before="0" w:after="0" w:line="500" w:lineRule="exact"/>
        <w:ind w:left="0" w:firstLine="480" w:firstLineChars="200"/>
        <w:rPr>
          <w:rFonts w:ascii="Times New Roman" w:hAnsi="Times New Roman"/>
          <w:b w:val="0"/>
        </w:rPr>
      </w:pPr>
      <w:r>
        <w:rPr>
          <w:rFonts w:hint="eastAsia" w:ascii="Times New Roman" w:hAnsi="Times New Roman"/>
          <w:b w:val="0"/>
        </w:rPr>
        <w:t>唱标以投标函中的大写金额为准。当出现大写金额与小写金额不一致或总价金额与按单价计算的汇总金额不一致等法定可修正情形时，由评审委员会在初步审查时进行修正。</w:t>
      </w:r>
    </w:p>
    <w:p>
      <w:pPr>
        <w:pStyle w:val="5"/>
        <w:keepNext w:val="0"/>
        <w:keepLines w:val="0"/>
        <w:numPr>
          <w:ilvl w:val="1"/>
          <w:numId w:val="6"/>
        </w:numPr>
        <w:tabs>
          <w:tab w:val="left" w:pos="1050"/>
          <w:tab w:val="clear" w:pos="993"/>
        </w:tabs>
        <w:spacing w:before="0" w:after="0" w:line="500" w:lineRule="exact"/>
        <w:ind w:left="0" w:firstLine="480" w:firstLineChars="200"/>
        <w:rPr>
          <w:rFonts w:ascii="Times New Roman" w:hAnsi="Times New Roman"/>
          <w:b w:val="0"/>
        </w:rPr>
      </w:pPr>
      <w:r>
        <w:rPr>
          <w:rFonts w:hint="eastAsia" w:ascii="Times New Roman" w:hAnsi="Times New Roman"/>
          <w:b w:val="0"/>
        </w:rPr>
        <w:t>投标人如果对唱标内容有异议，应在获得主持人同意后当场提出。不属唱标错误的，应当请异议人核验“投标函”并维持原唱标结果；确属唱标人宣读错误的，应当将该“投标报价函”向所有开标仪式参与人公示，当场予以更正。</w:t>
      </w:r>
    </w:p>
    <w:p>
      <w:pPr>
        <w:pStyle w:val="5"/>
        <w:keepNext w:val="0"/>
        <w:keepLines w:val="0"/>
        <w:numPr>
          <w:ilvl w:val="1"/>
          <w:numId w:val="6"/>
        </w:numPr>
        <w:tabs>
          <w:tab w:val="left" w:pos="1050"/>
          <w:tab w:val="clear" w:pos="993"/>
        </w:tabs>
        <w:spacing w:before="0" w:after="0" w:line="500" w:lineRule="exact"/>
        <w:ind w:left="0" w:firstLine="480" w:firstLineChars="200"/>
        <w:rPr>
          <w:rFonts w:ascii="Times New Roman" w:hAnsi="Times New Roman"/>
          <w:b w:val="0"/>
        </w:rPr>
      </w:pPr>
      <w:r>
        <w:rPr>
          <w:rFonts w:hint="eastAsia" w:ascii="Times New Roman" w:hAnsi="Times New Roman"/>
          <w:b w:val="0"/>
        </w:rPr>
        <w:t>在开标时，投标文件有下列情况之一者，将被视为无效投标：</w:t>
      </w:r>
    </w:p>
    <w:p>
      <w:pPr>
        <w:numPr>
          <w:ilvl w:val="2"/>
          <w:numId w:val="6"/>
        </w:numPr>
        <w:spacing w:line="500" w:lineRule="exact"/>
        <w:ind w:left="0" w:firstLine="424" w:firstLineChars="177"/>
        <w:rPr>
          <w:sz w:val="24"/>
        </w:rPr>
      </w:pPr>
      <w:r>
        <w:rPr>
          <w:rFonts w:hint="eastAsia"/>
          <w:sz w:val="24"/>
        </w:rPr>
        <w:t>投标截止时间后送达的投标文件；</w:t>
      </w:r>
    </w:p>
    <w:p>
      <w:pPr>
        <w:numPr>
          <w:ilvl w:val="2"/>
          <w:numId w:val="6"/>
        </w:numPr>
        <w:spacing w:line="500" w:lineRule="exact"/>
        <w:ind w:left="0" w:firstLine="424" w:firstLineChars="177"/>
        <w:rPr>
          <w:sz w:val="24"/>
        </w:rPr>
      </w:pPr>
      <w:r>
        <w:rPr>
          <w:rFonts w:hint="eastAsia"/>
          <w:sz w:val="24"/>
        </w:rPr>
        <w:t>投标文件未按规定的方式密封。</w:t>
      </w:r>
    </w:p>
    <w:p>
      <w:pPr>
        <w:numPr>
          <w:ilvl w:val="0"/>
          <w:numId w:val="6"/>
        </w:numPr>
        <w:spacing w:line="500" w:lineRule="exact"/>
        <w:rPr>
          <w:b/>
          <w:sz w:val="24"/>
        </w:rPr>
      </w:pPr>
      <w:r>
        <w:rPr>
          <w:rFonts w:hint="eastAsia"/>
          <w:b/>
          <w:sz w:val="24"/>
        </w:rPr>
        <w:t>评审委员会</w:t>
      </w:r>
    </w:p>
    <w:p>
      <w:pPr>
        <w:pStyle w:val="5"/>
        <w:keepNext w:val="0"/>
        <w:keepLines w:val="0"/>
        <w:numPr>
          <w:ilvl w:val="1"/>
          <w:numId w:val="6"/>
        </w:numPr>
        <w:tabs>
          <w:tab w:val="clear" w:pos="993"/>
        </w:tabs>
        <w:spacing w:before="0" w:after="0" w:line="500" w:lineRule="exact"/>
        <w:rPr>
          <w:rFonts w:ascii="Times New Roman" w:hAnsi="Times New Roman"/>
          <w:b w:val="0"/>
        </w:rPr>
      </w:pPr>
      <w:r>
        <w:rPr>
          <w:rFonts w:hint="eastAsia" w:ascii="Times New Roman" w:hAnsi="Times New Roman"/>
          <w:b w:val="0"/>
        </w:rPr>
        <w:t>评审委员会组成：见投标人须知前附表。</w:t>
      </w:r>
    </w:p>
    <w:p>
      <w:pPr>
        <w:numPr>
          <w:ilvl w:val="0"/>
          <w:numId w:val="6"/>
        </w:numPr>
        <w:spacing w:line="500" w:lineRule="exact"/>
        <w:rPr>
          <w:b/>
          <w:sz w:val="24"/>
        </w:rPr>
      </w:pPr>
      <w:r>
        <w:rPr>
          <w:rFonts w:hint="eastAsia"/>
          <w:b/>
          <w:sz w:val="24"/>
        </w:rPr>
        <w:t>评标内容的保密</w:t>
      </w:r>
    </w:p>
    <w:p>
      <w:pPr>
        <w:pStyle w:val="5"/>
        <w:keepNext w:val="0"/>
        <w:keepLines w:val="0"/>
        <w:numPr>
          <w:ilvl w:val="1"/>
          <w:numId w:val="6"/>
        </w:numPr>
        <w:tabs>
          <w:tab w:val="left" w:pos="1050"/>
          <w:tab w:val="clear" w:pos="993"/>
        </w:tabs>
        <w:spacing w:before="0" w:after="0" w:line="500" w:lineRule="exact"/>
        <w:ind w:left="0" w:firstLine="480" w:firstLineChars="200"/>
        <w:rPr>
          <w:rFonts w:ascii="Times New Roman" w:hAnsi="Times New Roman"/>
          <w:b w:val="0"/>
        </w:rPr>
      </w:pPr>
      <w:r>
        <w:rPr>
          <w:rFonts w:hint="eastAsia" w:ascii="Times New Roman" w:hAnsi="Times New Roman"/>
          <w:b w:val="0"/>
        </w:rPr>
        <w:t>公开开标后，至正式授予中标人合同止，凡属于审查、澄清、评价和比较投标的所有资料、有关授予合同的信息等，都不能向投标人或与评标无关的其他人泄露。</w:t>
      </w:r>
    </w:p>
    <w:p>
      <w:pPr>
        <w:pStyle w:val="5"/>
        <w:keepNext w:val="0"/>
        <w:keepLines w:val="0"/>
        <w:numPr>
          <w:ilvl w:val="1"/>
          <w:numId w:val="6"/>
        </w:numPr>
        <w:tabs>
          <w:tab w:val="left" w:pos="1050"/>
          <w:tab w:val="clear" w:pos="993"/>
        </w:tabs>
        <w:spacing w:before="0" w:after="0" w:line="500" w:lineRule="exact"/>
        <w:ind w:left="0" w:firstLine="480" w:firstLineChars="200"/>
        <w:rPr>
          <w:rFonts w:ascii="Times New Roman" w:hAnsi="Times New Roman"/>
          <w:b w:val="0"/>
        </w:rPr>
      </w:pPr>
      <w:r>
        <w:rPr>
          <w:rFonts w:hint="eastAsia" w:ascii="Times New Roman" w:hAnsi="Times New Roman"/>
          <w:b w:val="0"/>
        </w:rPr>
        <w:t>在投标文件的审查、澄清、评价和比较以及授予合同的过程中，投标人对招标人、招标代理机构和评审委员会成员施加影响的任何行为，都将导致其投标资格被取消。</w:t>
      </w:r>
    </w:p>
    <w:p>
      <w:pPr>
        <w:pStyle w:val="5"/>
        <w:keepNext w:val="0"/>
        <w:keepLines w:val="0"/>
        <w:numPr>
          <w:ilvl w:val="1"/>
          <w:numId w:val="6"/>
        </w:numPr>
        <w:tabs>
          <w:tab w:val="left" w:pos="1050"/>
          <w:tab w:val="clear" w:pos="993"/>
        </w:tabs>
        <w:spacing w:before="0" w:after="0" w:line="500" w:lineRule="exact"/>
        <w:ind w:left="0" w:firstLine="480" w:firstLineChars="200"/>
        <w:rPr>
          <w:rFonts w:ascii="Times New Roman" w:hAnsi="Times New Roman"/>
          <w:b w:val="0"/>
        </w:rPr>
      </w:pPr>
      <w:r>
        <w:rPr>
          <w:rFonts w:hint="eastAsia" w:ascii="Times New Roman" w:hAnsi="Times New Roman"/>
          <w:b w:val="0"/>
        </w:rPr>
        <w:t>在评标期间，评审委员会将通过指定联络人与投标人进行联系。</w:t>
      </w:r>
    </w:p>
    <w:p>
      <w:pPr>
        <w:numPr>
          <w:ilvl w:val="0"/>
          <w:numId w:val="6"/>
        </w:numPr>
        <w:spacing w:line="500" w:lineRule="exact"/>
        <w:rPr>
          <w:b/>
          <w:sz w:val="24"/>
        </w:rPr>
      </w:pPr>
      <w:r>
        <w:rPr>
          <w:rFonts w:hint="eastAsia"/>
          <w:b/>
          <w:sz w:val="24"/>
        </w:rPr>
        <w:t>对投标文件的初步审查</w:t>
      </w:r>
    </w:p>
    <w:p>
      <w:pPr>
        <w:pStyle w:val="5"/>
        <w:keepNext w:val="0"/>
        <w:keepLines w:val="0"/>
        <w:numPr>
          <w:ilvl w:val="1"/>
          <w:numId w:val="6"/>
        </w:numPr>
        <w:tabs>
          <w:tab w:val="left" w:pos="1050"/>
          <w:tab w:val="clear" w:pos="993"/>
        </w:tabs>
        <w:spacing w:before="0" w:after="0" w:line="500" w:lineRule="exact"/>
        <w:ind w:left="0" w:firstLine="480" w:firstLineChars="200"/>
        <w:rPr>
          <w:rFonts w:ascii="Times New Roman" w:hAnsi="Times New Roman"/>
          <w:b w:val="0"/>
        </w:rPr>
      </w:pPr>
      <w:r>
        <w:rPr>
          <w:rFonts w:hint="eastAsia" w:ascii="Times New Roman" w:hAnsi="Times New Roman"/>
          <w:b w:val="0"/>
        </w:rPr>
        <w:t>初步审查内容为投标文件是否实质性响应招标文件的要求、内容是否完整、价格构成有无计算错误、文件签署是否齐全，与招标文件有重大偏离的投标文件不能投标。</w:t>
      </w:r>
    </w:p>
    <w:p>
      <w:pPr>
        <w:pStyle w:val="5"/>
        <w:keepNext w:val="0"/>
        <w:keepLines w:val="0"/>
        <w:numPr>
          <w:ilvl w:val="1"/>
          <w:numId w:val="6"/>
        </w:numPr>
        <w:tabs>
          <w:tab w:val="left" w:pos="1050"/>
          <w:tab w:val="clear" w:pos="993"/>
        </w:tabs>
        <w:spacing w:before="0" w:after="0" w:line="500" w:lineRule="exact"/>
        <w:ind w:left="0" w:firstLine="480" w:firstLineChars="200"/>
        <w:rPr>
          <w:rFonts w:ascii="Times New Roman" w:hAnsi="Times New Roman"/>
          <w:b w:val="0"/>
        </w:rPr>
      </w:pPr>
      <w:r>
        <w:rPr>
          <w:rFonts w:hint="eastAsia" w:ascii="Times New Roman" w:hAnsi="Times New Roman"/>
          <w:b w:val="0"/>
        </w:rPr>
        <w:t>初步审查中，对价格的计算错误按下述原则修正：</w:t>
      </w:r>
    </w:p>
    <w:p>
      <w:pPr>
        <w:numPr>
          <w:ilvl w:val="2"/>
          <w:numId w:val="6"/>
        </w:numPr>
        <w:spacing w:line="500" w:lineRule="exact"/>
        <w:ind w:left="0" w:firstLine="720" w:firstLineChars="300"/>
        <w:rPr>
          <w:sz w:val="24"/>
        </w:rPr>
      </w:pPr>
      <w:r>
        <w:rPr>
          <w:rFonts w:hint="eastAsia"/>
          <w:sz w:val="24"/>
        </w:rPr>
        <w:t>投标文件中的大写金额和小写金额不一致的，以大写金额为准；</w:t>
      </w:r>
    </w:p>
    <w:p>
      <w:pPr>
        <w:numPr>
          <w:ilvl w:val="2"/>
          <w:numId w:val="6"/>
        </w:numPr>
        <w:spacing w:line="500" w:lineRule="exact"/>
        <w:ind w:left="0" w:firstLine="720" w:firstLineChars="300"/>
        <w:rPr>
          <w:sz w:val="24"/>
        </w:rPr>
      </w:pPr>
      <w:r>
        <w:rPr>
          <w:rFonts w:hint="eastAsia"/>
          <w:sz w:val="24"/>
        </w:rPr>
        <w:t>总价金额与按单价汇总金额不一致的，以单价金额计算结果为准；单价金额小数点有明显错位的，应以总价为准，并修改单价；</w:t>
      </w:r>
    </w:p>
    <w:p>
      <w:pPr>
        <w:numPr>
          <w:ilvl w:val="2"/>
          <w:numId w:val="6"/>
        </w:numPr>
        <w:spacing w:line="500" w:lineRule="exact"/>
        <w:ind w:left="0" w:firstLine="720" w:firstLineChars="300"/>
        <w:rPr>
          <w:sz w:val="24"/>
        </w:rPr>
      </w:pPr>
      <w:r>
        <w:rPr>
          <w:rFonts w:hint="eastAsia"/>
          <w:sz w:val="24"/>
        </w:rPr>
        <w:t>对不同文字文本投标文件的解释发生异议的，以中文文本为准。</w:t>
      </w:r>
    </w:p>
    <w:p>
      <w:pPr>
        <w:numPr>
          <w:ilvl w:val="2"/>
          <w:numId w:val="6"/>
        </w:numPr>
        <w:spacing w:line="500" w:lineRule="exact"/>
        <w:ind w:left="0" w:firstLine="720" w:firstLineChars="300"/>
        <w:rPr>
          <w:sz w:val="24"/>
        </w:rPr>
      </w:pPr>
      <w:r>
        <w:rPr>
          <w:rFonts w:hint="eastAsia"/>
          <w:sz w:val="24"/>
        </w:rPr>
        <w:t>投标人不同意以上修正，其投标将被拒绝。</w:t>
      </w:r>
    </w:p>
    <w:p>
      <w:pPr>
        <w:pStyle w:val="5"/>
        <w:keepNext w:val="0"/>
        <w:keepLines w:val="0"/>
        <w:numPr>
          <w:ilvl w:val="1"/>
          <w:numId w:val="6"/>
        </w:numPr>
        <w:tabs>
          <w:tab w:val="left" w:pos="1050"/>
          <w:tab w:val="clear" w:pos="993"/>
        </w:tabs>
        <w:spacing w:before="0" w:after="0" w:line="500" w:lineRule="exact"/>
        <w:ind w:left="0" w:firstLine="480" w:firstLineChars="200"/>
        <w:rPr>
          <w:rFonts w:ascii="Times New Roman" w:hAnsi="Times New Roman"/>
          <w:b w:val="0"/>
        </w:rPr>
      </w:pPr>
      <w:r>
        <w:rPr>
          <w:rFonts w:hint="eastAsia" w:ascii="Times New Roman" w:hAnsi="Times New Roman"/>
          <w:b w:val="0"/>
        </w:rPr>
        <w:t xml:space="preserve"> 评审委员会对投标文件的判定，只依据投标文件的内容，不依靠开标后的任何外来证明。</w:t>
      </w:r>
    </w:p>
    <w:p>
      <w:pPr>
        <w:pStyle w:val="5"/>
        <w:keepNext w:val="0"/>
        <w:keepLines w:val="0"/>
        <w:numPr>
          <w:ilvl w:val="1"/>
          <w:numId w:val="6"/>
        </w:numPr>
        <w:tabs>
          <w:tab w:val="left" w:pos="1050"/>
          <w:tab w:val="clear" w:pos="993"/>
        </w:tabs>
        <w:spacing w:before="0" w:after="0" w:line="500" w:lineRule="exact"/>
        <w:ind w:left="0" w:firstLine="480" w:firstLineChars="200"/>
        <w:rPr>
          <w:rFonts w:ascii="Times New Roman" w:hAnsi="Times New Roman"/>
          <w:b w:val="0"/>
        </w:rPr>
      </w:pPr>
      <w:r>
        <w:rPr>
          <w:rFonts w:hint="eastAsia" w:ascii="Times New Roman" w:hAnsi="Times New Roman"/>
          <w:b w:val="0"/>
        </w:rPr>
        <w:t>下列投标文件将被拒绝：</w:t>
      </w:r>
    </w:p>
    <w:p>
      <w:pPr>
        <w:numPr>
          <w:ilvl w:val="2"/>
          <w:numId w:val="6"/>
        </w:numPr>
        <w:spacing w:line="500" w:lineRule="exact"/>
        <w:ind w:left="0" w:firstLine="720" w:firstLineChars="300"/>
        <w:rPr>
          <w:sz w:val="24"/>
        </w:rPr>
      </w:pPr>
      <w:r>
        <w:rPr>
          <w:rFonts w:hint="eastAsia"/>
          <w:sz w:val="24"/>
        </w:rPr>
        <w:t>投标人拒绝修正错误；</w:t>
      </w:r>
    </w:p>
    <w:p>
      <w:pPr>
        <w:numPr>
          <w:ilvl w:val="2"/>
          <w:numId w:val="6"/>
        </w:numPr>
        <w:spacing w:line="500" w:lineRule="exact"/>
        <w:ind w:left="0" w:firstLine="720" w:firstLineChars="300"/>
        <w:rPr>
          <w:sz w:val="24"/>
        </w:rPr>
      </w:pPr>
      <w:r>
        <w:rPr>
          <w:rFonts w:hint="eastAsia"/>
          <w:sz w:val="24"/>
        </w:rPr>
        <w:t>投标人的报价是选择性的；</w:t>
      </w:r>
    </w:p>
    <w:p>
      <w:pPr>
        <w:numPr>
          <w:ilvl w:val="0"/>
          <w:numId w:val="6"/>
        </w:numPr>
        <w:spacing w:line="500" w:lineRule="exact"/>
        <w:rPr>
          <w:b/>
          <w:sz w:val="24"/>
        </w:rPr>
      </w:pPr>
      <w:r>
        <w:rPr>
          <w:rFonts w:hint="eastAsia"/>
          <w:b/>
          <w:sz w:val="24"/>
        </w:rPr>
        <w:t>投标的澄清</w:t>
      </w:r>
    </w:p>
    <w:p>
      <w:pPr>
        <w:pStyle w:val="5"/>
        <w:keepNext w:val="0"/>
        <w:keepLines w:val="0"/>
        <w:numPr>
          <w:ilvl w:val="1"/>
          <w:numId w:val="6"/>
        </w:numPr>
        <w:tabs>
          <w:tab w:val="left" w:pos="1050"/>
          <w:tab w:val="clear" w:pos="993"/>
        </w:tabs>
        <w:spacing w:before="0" w:after="0" w:line="500" w:lineRule="exact"/>
        <w:ind w:left="0" w:firstLine="480" w:firstLineChars="200"/>
        <w:rPr>
          <w:rFonts w:ascii="Times New Roman" w:hAnsi="Times New Roman"/>
          <w:b w:val="0"/>
        </w:rPr>
      </w:pPr>
      <w:r>
        <w:rPr>
          <w:rFonts w:hint="eastAsia" w:ascii="Times New Roman" w:hAnsi="Times New Roman"/>
          <w:b w:val="0"/>
        </w:rPr>
        <w:t>评审委员会可以书面方式要求投标人对投标文件中含义不明确、对同类问题表述不一致或者有明显文字和计算错误的内容作必要的澄清、说明或者补正。澄清、说明或者补正应以书面方式进行并不得超出投标文件的范围或者改变投标文件的实质性内容。投标人必须按照评审委员会通知的时间、地点派技术和商务人员进行澄清。</w:t>
      </w:r>
    </w:p>
    <w:p>
      <w:pPr>
        <w:pStyle w:val="5"/>
        <w:keepNext w:val="0"/>
        <w:keepLines w:val="0"/>
        <w:numPr>
          <w:ilvl w:val="1"/>
          <w:numId w:val="6"/>
        </w:numPr>
        <w:tabs>
          <w:tab w:val="left" w:pos="1050"/>
          <w:tab w:val="clear" w:pos="993"/>
        </w:tabs>
        <w:spacing w:before="0" w:after="0" w:line="500" w:lineRule="exact"/>
        <w:ind w:left="0" w:firstLine="480" w:firstLineChars="200"/>
        <w:rPr>
          <w:rFonts w:ascii="Times New Roman" w:hAnsi="Times New Roman"/>
          <w:b w:val="0"/>
        </w:rPr>
      </w:pPr>
      <w:r>
        <w:rPr>
          <w:rFonts w:hint="eastAsia" w:ascii="Times New Roman" w:hAnsi="Times New Roman"/>
          <w:b w:val="0"/>
        </w:rPr>
        <w:t>投标人对投标文件的澄清、说明或者补正应有投标人代表的签署，并作为投标文件的组成部分。</w:t>
      </w:r>
    </w:p>
    <w:p>
      <w:pPr>
        <w:numPr>
          <w:ilvl w:val="0"/>
          <w:numId w:val="6"/>
        </w:numPr>
        <w:spacing w:line="500" w:lineRule="exact"/>
        <w:rPr>
          <w:b/>
          <w:sz w:val="24"/>
        </w:rPr>
      </w:pPr>
      <w:r>
        <w:rPr>
          <w:rFonts w:hint="eastAsia"/>
          <w:b/>
          <w:sz w:val="24"/>
        </w:rPr>
        <w:t>定标</w:t>
      </w:r>
    </w:p>
    <w:p>
      <w:pPr>
        <w:pStyle w:val="5"/>
        <w:keepNext w:val="0"/>
        <w:keepLines w:val="0"/>
        <w:numPr>
          <w:ilvl w:val="1"/>
          <w:numId w:val="6"/>
        </w:numPr>
        <w:tabs>
          <w:tab w:val="left" w:pos="1050"/>
          <w:tab w:val="clear" w:pos="993"/>
        </w:tabs>
        <w:spacing w:before="0" w:after="0" w:line="500" w:lineRule="exact"/>
        <w:ind w:left="0" w:firstLine="480" w:firstLineChars="200"/>
        <w:rPr>
          <w:rFonts w:ascii="Times New Roman" w:hAnsi="Times New Roman"/>
          <w:b w:val="0"/>
        </w:rPr>
      </w:pPr>
      <w:r>
        <w:rPr>
          <w:rFonts w:hint="eastAsia" w:ascii="Times New Roman" w:hAnsi="Times New Roman"/>
          <w:b w:val="0"/>
        </w:rPr>
        <w:t>招标人按照评标委员会推荐的中标候选人顺序确定中标人，评审委员会推荐3名中标候选人</w:t>
      </w:r>
    </w:p>
    <w:p>
      <w:pPr>
        <w:numPr>
          <w:ilvl w:val="0"/>
          <w:numId w:val="6"/>
        </w:numPr>
        <w:spacing w:line="500" w:lineRule="exact"/>
        <w:rPr>
          <w:b/>
          <w:sz w:val="24"/>
        </w:rPr>
      </w:pPr>
      <w:r>
        <w:rPr>
          <w:rFonts w:hint="eastAsia"/>
          <w:b/>
          <w:sz w:val="24"/>
        </w:rPr>
        <w:t>投标文件的评价和比较</w:t>
      </w:r>
    </w:p>
    <w:p>
      <w:pPr>
        <w:pStyle w:val="5"/>
        <w:keepNext w:val="0"/>
        <w:keepLines w:val="0"/>
        <w:numPr>
          <w:ilvl w:val="1"/>
          <w:numId w:val="6"/>
        </w:numPr>
        <w:tabs>
          <w:tab w:val="left" w:pos="1050"/>
          <w:tab w:val="clear" w:pos="993"/>
        </w:tabs>
        <w:spacing w:before="0" w:after="0" w:line="500" w:lineRule="exact"/>
        <w:ind w:left="0" w:firstLine="480" w:firstLineChars="200"/>
        <w:rPr>
          <w:rFonts w:ascii="Times New Roman" w:hAnsi="Times New Roman"/>
          <w:b w:val="0"/>
        </w:rPr>
      </w:pPr>
      <w:r>
        <w:rPr>
          <w:rFonts w:hint="eastAsia" w:ascii="Times New Roman" w:hAnsi="Times New Roman"/>
          <w:b w:val="0"/>
        </w:rPr>
        <w:t>评审方法：见投标人须知前附表。</w:t>
      </w:r>
    </w:p>
    <w:p>
      <w:pPr>
        <w:numPr>
          <w:ilvl w:val="0"/>
          <w:numId w:val="5"/>
        </w:numPr>
        <w:tabs>
          <w:tab w:val="left" w:pos="540"/>
          <w:tab w:val="left" w:pos="720"/>
          <w:tab w:val="clear" w:pos="960"/>
        </w:tabs>
        <w:spacing w:before="100" w:after="100" w:line="500" w:lineRule="exact"/>
        <w:ind w:left="720" w:hanging="720"/>
        <w:outlineLvl w:val="1"/>
        <w:rPr>
          <w:b/>
          <w:sz w:val="36"/>
          <w:szCs w:val="36"/>
        </w:rPr>
      </w:pPr>
      <w:bookmarkStart w:id="109" w:name="_Toc317237779"/>
      <w:bookmarkStart w:id="110" w:name="_Toc389164175"/>
      <w:bookmarkStart w:id="111" w:name="_Toc18612"/>
      <w:bookmarkStart w:id="112" w:name="_Toc26718"/>
      <w:bookmarkStart w:id="113" w:name="_Toc11810"/>
      <w:bookmarkStart w:id="114" w:name="_Toc18510"/>
      <w:bookmarkStart w:id="115" w:name="_Toc500150911"/>
      <w:bookmarkStart w:id="116" w:name="_Toc11081"/>
      <w:bookmarkStart w:id="117" w:name="_Toc392583291"/>
      <w:bookmarkStart w:id="118" w:name="_Toc19002"/>
      <w:bookmarkStart w:id="119" w:name="_Toc20052"/>
      <w:bookmarkStart w:id="120" w:name="_Toc317237604"/>
      <w:bookmarkStart w:id="121" w:name="_Toc24448"/>
      <w:bookmarkStart w:id="122" w:name="_Toc1580"/>
      <w:bookmarkStart w:id="123" w:name="_Toc27777"/>
      <w:r>
        <w:rPr>
          <w:rFonts w:hint="eastAsia"/>
          <w:b/>
          <w:sz w:val="36"/>
          <w:szCs w:val="36"/>
        </w:rPr>
        <w:t>授予合同</w:t>
      </w:r>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p>
    <w:p>
      <w:pPr>
        <w:numPr>
          <w:ilvl w:val="0"/>
          <w:numId w:val="6"/>
        </w:numPr>
        <w:spacing w:line="500" w:lineRule="exact"/>
        <w:rPr>
          <w:b/>
          <w:sz w:val="24"/>
        </w:rPr>
      </w:pPr>
      <w:r>
        <w:rPr>
          <w:rFonts w:hint="eastAsia"/>
          <w:b/>
          <w:sz w:val="24"/>
        </w:rPr>
        <w:t>中标人的确认</w:t>
      </w:r>
    </w:p>
    <w:p>
      <w:pPr>
        <w:pStyle w:val="5"/>
        <w:keepNext w:val="0"/>
        <w:keepLines w:val="0"/>
        <w:numPr>
          <w:ilvl w:val="1"/>
          <w:numId w:val="6"/>
        </w:numPr>
        <w:tabs>
          <w:tab w:val="left" w:pos="1050"/>
          <w:tab w:val="clear" w:pos="993"/>
        </w:tabs>
        <w:spacing w:before="0" w:after="0" w:line="500" w:lineRule="exact"/>
        <w:ind w:left="0" w:firstLine="480" w:firstLineChars="200"/>
        <w:rPr>
          <w:rFonts w:ascii="Times New Roman" w:hAnsi="Times New Roman"/>
          <w:b w:val="0"/>
        </w:rPr>
      </w:pPr>
      <w:r>
        <w:rPr>
          <w:rFonts w:hint="eastAsia" w:ascii="Times New Roman" w:hAnsi="Times New Roman"/>
          <w:b w:val="0"/>
        </w:rPr>
        <w:t>评审委员会根据本招标文件第4部分《评标方法和标准》的规定，对投标人的资格进行审查，对投标文件进行评价和比较，按照《评标方法和标准》排序原则推荐中标候选人。</w:t>
      </w:r>
    </w:p>
    <w:p>
      <w:pPr>
        <w:pStyle w:val="5"/>
        <w:keepNext w:val="0"/>
        <w:keepLines w:val="0"/>
        <w:numPr>
          <w:ilvl w:val="1"/>
          <w:numId w:val="6"/>
        </w:numPr>
        <w:tabs>
          <w:tab w:val="left" w:pos="1050"/>
          <w:tab w:val="clear" w:pos="993"/>
        </w:tabs>
        <w:spacing w:before="0" w:after="0" w:line="500" w:lineRule="exact"/>
        <w:ind w:left="0" w:firstLine="480" w:firstLineChars="200"/>
        <w:rPr>
          <w:rFonts w:ascii="Times New Roman" w:hAnsi="Times New Roman"/>
          <w:b w:val="0"/>
        </w:rPr>
      </w:pPr>
      <w:r>
        <w:rPr>
          <w:rFonts w:hint="eastAsia" w:ascii="Times New Roman" w:hAnsi="Times New Roman"/>
          <w:b w:val="0"/>
        </w:rPr>
        <w:t>招标人在授标时可以增加中标服务的数量，但增加的数量不得超过中标服务数量的10%。</w:t>
      </w:r>
    </w:p>
    <w:p>
      <w:pPr>
        <w:pStyle w:val="5"/>
        <w:keepNext w:val="0"/>
        <w:keepLines w:val="0"/>
        <w:numPr>
          <w:ilvl w:val="1"/>
          <w:numId w:val="6"/>
        </w:numPr>
        <w:tabs>
          <w:tab w:val="left" w:pos="1050"/>
          <w:tab w:val="clear" w:pos="993"/>
        </w:tabs>
        <w:spacing w:before="0" w:after="0" w:line="500" w:lineRule="exact"/>
        <w:ind w:left="0" w:firstLine="480" w:firstLineChars="200"/>
        <w:rPr>
          <w:rFonts w:ascii="Times New Roman" w:hAnsi="Times New Roman"/>
          <w:b w:val="0"/>
        </w:rPr>
      </w:pPr>
      <w:r>
        <w:rPr>
          <w:rFonts w:hint="eastAsia" w:ascii="Times New Roman" w:hAnsi="Times New Roman"/>
          <w:b w:val="0"/>
        </w:rPr>
        <w:t>评审委员会有权按招标文件的要求评定并推荐中标候选人，也有权拒绝任何或所有不符合招标文件要求的投标人的投标。</w:t>
      </w:r>
    </w:p>
    <w:p>
      <w:pPr>
        <w:numPr>
          <w:ilvl w:val="0"/>
          <w:numId w:val="6"/>
        </w:numPr>
        <w:spacing w:line="500" w:lineRule="exact"/>
        <w:rPr>
          <w:b/>
          <w:sz w:val="24"/>
        </w:rPr>
      </w:pPr>
      <w:r>
        <w:rPr>
          <w:rFonts w:hint="eastAsia"/>
          <w:b/>
          <w:sz w:val="24"/>
        </w:rPr>
        <w:t>合同授予标准</w:t>
      </w:r>
    </w:p>
    <w:p>
      <w:pPr>
        <w:pStyle w:val="5"/>
        <w:keepNext w:val="0"/>
        <w:keepLines w:val="0"/>
        <w:numPr>
          <w:ilvl w:val="1"/>
          <w:numId w:val="6"/>
        </w:numPr>
        <w:tabs>
          <w:tab w:val="left" w:pos="1050"/>
          <w:tab w:val="clear" w:pos="993"/>
        </w:tabs>
        <w:spacing w:before="0" w:after="0" w:line="500" w:lineRule="exact"/>
        <w:ind w:left="0" w:firstLine="480" w:firstLineChars="200"/>
        <w:rPr>
          <w:rFonts w:ascii="Times New Roman" w:hAnsi="Times New Roman"/>
          <w:b w:val="0"/>
        </w:rPr>
      </w:pPr>
      <w:r>
        <w:rPr>
          <w:rFonts w:hint="eastAsia" w:ascii="Times New Roman" w:hAnsi="Times New Roman"/>
          <w:b w:val="0"/>
        </w:rPr>
        <w:t>招标人应当把合同授予评审委员会按本须知第25条规定推荐的中标候选人。被授予合同的投标人必须具有实施本合同的能力和资源。</w:t>
      </w:r>
    </w:p>
    <w:p>
      <w:pPr>
        <w:pStyle w:val="5"/>
        <w:keepNext w:val="0"/>
        <w:keepLines w:val="0"/>
        <w:numPr>
          <w:ilvl w:val="1"/>
          <w:numId w:val="6"/>
        </w:numPr>
        <w:tabs>
          <w:tab w:val="left" w:pos="1050"/>
          <w:tab w:val="clear" w:pos="993"/>
        </w:tabs>
        <w:spacing w:before="0" w:after="0" w:line="500" w:lineRule="exact"/>
        <w:ind w:left="0" w:firstLine="480" w:firstLineChars="200"/>
        <w:rPr>
          <w:rFonts w:ascii="Times New Roman" w:hAnsi="Times New Roman"/>
          <w:b w:val="0"/>
        </w:rPr>
      </w:pPr>
      <w:r>
        <w:rPr>
          <w:rFonts w:hint="eastAsia" w:ascii="Times New Roman" w:hAnsi="Times New Roman"/>
          <w:b w:val="0"/>
        </w:rPr>
        <w:t>确认中标人之前，招标人有权对中标候选人诚信履约的能力进行最后审查。审查方式包括询问、调查、考察、要求中标候选人作出履约承诺或担保等。如果发现中标候选人提供了虚假材料，在投标响应中有故意隐瞒或虚报的情节，在以往的中标项目中有不诚信履约的情形，不能按招标人要求作出相应的履约承诺或担保等，招标人有权否决其中标资格，按顺序确定排名随后的中标候选人中标。</w:t>
      </w:r>
    </w:p>
    <w:p>
      <w:pPr>
        <w:numPr>
          <w:ilvl w:val="0"/>
          <w:numId w:val="6"/>
        </w:numPr>
        <w:spacing w:line="500" w:lineRule="exact"/>
        <w:rPr>
          <w:b/>
          <w:sz w:val="24"/>
        </w:rPr>
      </w:pPr>
      <w:r>
        <w:rPr>
          <w:rFonts w:hint="eastAsia"/>
          <w:b/>
          <w:sz w:val="24"/>
        </w:rPr>
        <w:t>中标通知</w:t>
      </w:r>
    </w:p>
    <w:p>
      <w:pPr>
        <w:pStyle w:val="5"/>
        <w:keepNext w:val="0"/>
        <w:keepLines w:val="0"/>
        <w:numPr>
          <w:ilvl w:val="1"/>
          <w:numId w:val="6"/>
        </w:numPr>
        <w:tabs>
          <w:tab w:val="left" w:pos="1050"/>
          <w:tab w:val="clear" w:pos="993"/>
        </w:tabs>
        <w:spacing w:before="0" w:after="0" w:line="500" w:lineRule="exact"/>
        <w:ind w:left="0" w:firstLine="480" w:firstLineChars="200"/>
        <w:rPr>
          <w:rFonts w:ascii="Times New Roman" w:hAnsi="Times New Roman"/>
          <w:b w:val="0"/>
        </w:rPr>
      </w:pPr>
      <w:r>
        <w:rPr>
          <w:rFonts w:hint="eastAsia" w:ascii="Times New Roman" w:hAnsi="Times New Roman"/>
          <w:b w:val="0"/>
        </w:rPr>
        <w:t>确定中标人后，招标代理机构在发布中标公告的同时，以书面形式向中标人发出中标通知书。中标通知书应当规定签署合同的日期和地点。</w:t>
      </w:r>
    </w:p>
    <w:p>
      <w:pPr>
        <w:pStyle w:val="5"/>
        <w:keepNext w:val="0"/>
        <w:keepLines w:val="0"/>
        <w:numPr>
          <w:ilvl w:val="1"/>
          <w:numId w:val="6"/>
        </w:numPr>
        <w:tabs>
          <w:tab w:val="left" w:pos="1050"/>
          <w:tab w:val="clear" w:pos="993"/>
        </w:tabs>
        <w:spacing w:before="0" w:after="0" w:line="500" w:lineRule="exact"/>
        <w:ind w:left="0" w:firstLine="480" w:firstLineChars="200"/>
        <w:rPr>
          <w:rFonts w:ascii="Times New Roman" w:hAnsi="Times New Roman"/>
          <w:b w:val="0"/>
        </w:rPr>
      </w:pPr>
      <w:r>
        <w:rPr>
          <w:rFonts w:hint="eastAsia" w:ascii="Times New Roman" w:hAnsi="Times New Roman"/>
          <w:b w:val="0"/>
        </w:rPr>
        <w:t>中标通知书的送达方式，包括传真、快递、电子邮件和委托代理人领取。招标代理机构可以选用其中一种或多种方式送达。</w:t>
      </w:r>
    </w:p>
    <w:p>
      <w:pPr>
        <w:pStyle w:val="5"/>
        <w:keepNext w:val="0"/>
        <w:keepLines w:val="0"/>
        <w:numPr>
          <w:ilvl w:val="1"/>
          <w:numId w:val="6"/>
        </w:numPr>
        <w:tabs>
          <w:tab w:val="left" w:pos="1050"/>
          <w:tab w:val="clear" w:pos="993"/>
        </w:tabs>
        <w:spacing w:before="0" w:after="0" w:line="500" w:lineRule="exact"/>
        <w:ind w:left="0" w:firstLine="480" w:firstLineChars="200"/>
        <w:rPr>
          <w:rFonts w:ascii="Times New Roman" w:hAnsi="Times New Roman"/>
          <w:b w:val="0"/>
        </w:rPr>
      </w:pPr>
      <w:r>
        <w:rPr>
          <w:rFonts w:hint="eastAsia" w:ascii="Times New Roman" w:hAnsi="Times New Roman"/>
          <w:b w:val="0"/>
        </w:rPr>
        <w:t>中标通知书是合同的组成部分。</w:t>
      </w:r>
    </w:p>
    <w:p>
      <w:pPr>
        <w:pStyle w:val="5"/>
        <w:keepNext w:val="0"/>
        <w:keepLines w:val="0"/>
        <w:numPr>
          <w:ilvl w:val="1"/>
          <w:numId w:val="6"/>
        </w:numPr>
        <w:tabs>
          <w:tab w:val="left" w:pos="1050"/>
          <w:tab w:val="clear" w:pos="993"/>
        </w:tabs>
        <w:spacing w:before="0" w:after="0" w:line="500" w:lineRule="exact"/>
        <w:ind w:left="0" w:firstLine="480" w:firstLineChars="200"/>
        <w:rPr>
          <w:rFonts w:ascii="Times New Roman" w:hAnsi="Times New Roman"/>
          <w:b w:val="0"/>
        </w:rPr>
      </w:pPr>
      <w:r>
        <w:rPr>
          <w:rFonts w:hint="eastAsia" w:ascii="Times New Roman" w:hAnsi="Times New Roman"/>
          <w:b w:val="0"/>
        </w:rPr>
        <w:t>招标代理机构没有对未中标人解释落标原因的义务。</w:t>
      </w:r>
    </w:p>
    <w:p>
      <w:pPr>
        <w:numPr>
          <w:ilvl w:val="0"/>
          <w:numId w:val="6"/>
        </w:numPr>
        <w:spacing w:line="500" w:lineRule="exact"/>
        <w:rPr>
          <w:b/>
          <w:sz w:val="24"/>
        </w:rPr>
      </w:pPr>
      <w:r>
        <w:rPr>
          <w:rFonts w:hint="eastAsia"/>
          <w:b/>
          <w:sz w:val="24"/>
        </w:rPr>
        <w:t>签订合同</w:t>
      </w:r>
    </w:p>
    <w:p>
      <w:pPr>
        <w:pStyle w:val="5"/>
        <w:keepNext w:val="0"/>
        <w:keepLines w:val="0"/>
        <w:numPr>
          <w:ilvl w:val="1"/>
          <w:numId w:val="6"/>
        </w:numPr>
        <w:tabs>
          <w:tab w:val="left" w:pos="1050"/>
          <w:tab w:val="clear" w:pos="993"/>
        </w:tabs>
        <w:spacing w:before="0" w:after="0" w:line="500" w:lineRule="exact"/>
        <w:ind w:left="0" w:firstLine="480" w:firstLineChars="200"/>
        <w:rPr>
          <w:rFonts w:ascii="Times New Roman" w:hAnsi="Times New Roman"/>
          <w:b w:val="0"/>
        </w:rPr>
      </w:pPr>
      <w:r>
        <w:rPr>
          <w:rFonts w:hint="eastAsia" w:ascii="Times New Roman" w:hAnsi="Times New Roman"/>
          <w:b w:val="0"/>
        </w:rPr>
        <w:t>招标人和中标人应当按照中标通知书规定的期限与中标人签订合同。中标通知书规定的期限最长不得超过30天。</w:t>
      </w:r>
    </w:p>
    <w:p>
      <w:pPr>
        <w:pStyle w:val="5"/>
        <w:keepNext w:val="0"/>
        <w:keepLines w:val="0"/>
        <w:numPr>
          <w:ilvl w:val="1"/>
          <w:numId w:val="6"/>
        </w:numPr>
        <w:tabs>
          <w:tab w:val="left" w:pos="1050"/>
          <w:tab w:val="clear" w:pos="993"/>
        </w:tabs>
        <w:spacing w:before="0" w:after="0" w:line="500" w:lineRule="exact"/>
        <w:ind w:left="0" w:firstLine="480" w:firstLineChars="200"/>
        <w:rPr>
          <w:rFonts w:ascii="Times New Roman" w:hAnsi="Times New Roman"/>
          <w:b w:val="0"/>
        </w:rPr>
      </w:pPr>
      <w:r>
        <w:rPr>
          <w:rFonts w:hint="eastAsia" w:ascii="Times New Roman" w:hAnsi="Times New Roman"/>
          <w:b w:val="0"/>
        </w:rPr>
        <w:t>中标人拒签合同，或不能在规定的期限内与招标人签订合同，招标人有权取消其中标资格，其投标保证金不予退还。</w:t>
      </w:r>
    </w:p>
    <w:p>
      <w:pPr>
        <w:pStyle w:val="5"/>
        <w:keepNext w:val="0"/>
        <w:keepLines w:val="0"/>
        <w:numPr>
          <w:ilvl w:val="1"/>
          <w:numId w:val="6"/>
        </w:numPr>
        <w:tabs>
          <w:tab w:val="left" w:pos="1050"/>
          <w:tab w:val="clear" w:pos="993"/>
        </w:tabs>
        <w:spacing w:before="0" w:after="0" w:line="500" w:lineRule="exact"/>
        <w:ind w:left="0" w:firstLine="480" w:firstLineChars="200"/>
        <w:rPr>
          <w:rFonts w:ascii="Times New Roman" w:hAnsi="Times New Roman"/>
          <w:b w:val="0"/>
        </w:rPr>
      </w:pPr>
      <w:r>
        <w:rPr>
          <w:rFonts w:hint="eastAsia" w:ascii="Times New Roman" w:hAnsi="Times New Roman"/>
          <w:b w:val="0"/>
        </w:rPr>
        <w:t>中标人放弃中标，其投标保证金不予退还。</w:t>
      </w:r>
    </w:p>
    <w:p>
      <w:pPr>
        <w:pStyle w:val="5"/>
        <w:keepNext w:val="0"/>
        <w:keepLines w:val="0"/>
        <w:numPr>
          <w:ilvl w:val="1"/>
          <w:numId w:val="6"/>
        </w:numPr>
        <w:tabs>
          <w:tab w:val="left" w:pos="1050"/>
          <w:tab w:val="clear" w:pos="993"/>
        </w:tabs>
        <w:spacing w:before="0" w:after="0" w:line="500" w:lineRule="exact"/>
        <w:ind w:left="0" w:firstLine="480" w:firstLineChars="200"/>
        <w:rPr>
          <w:rFonts w:ascii="Times New Roman" w:hAnsi="Times New Roman"/>
          <w:b w:val="0"/>
        </w:rPr>
      </w:pPr>
      <w:r>
        <w:rPr>
          <w:rFonts w:hint="eastAsia" w:ascii="Times New Roman" w:hAnsi="Times New Roman"/>
          <w:b w:val="0"/>
        </w:rPr>
        <w:t>中标人放弃中标或被取消中标资格后，招标人有权按评审委员会推荐的顺序确定备选中</w:t>
      </w:r>
      <w:r>
        <w:rPr>
          <w:rFonts w:ascii="Times New Roman" w:hAnsi="Times New Roman"/>
          <w:b w:val="0"/>
        </w:rPr>
        <w:t>标候选人</w:t>
      </w:r>
      <w:r>
        <w:rPr>
          <w:rFonts w:hint="eastAsia" w:ascii="Times New Roman" w:hAnsi="Times New Roman"/>
          <w:b w:val="0"/>
        </w:rPr>
        <w:t>中标并与之签订合同。所有被确定中标的候选中标人均放弃中标或被取消中标资格，招标人应当重新组织招标。弃标或被取消中标资格的供应商不得参加重新招标。</w:t>
      </w:r>
    </w:p>
    <w:p>
      <w:pPr>
        <w:pStyle w:val="5"/>
        <w:keepNext w:val="0"/>
        <w:keepLines w:val="0"/>
        <w:numPr>
          <w:ilvl w:val="1"/>
          <w:numId w:val="6"/>
        </w:numPr>
        <w:tabs>
          <w:tab w:val="left" w:pos="1050"/>
          <w:tab w:val="clear" w:pos="993"/>
        </w:tabs>
        <w:spacing w:before="0" w:after="0" w:line="500" w:lineRule="exact"/>
        <w:ind w:left="0" w:firstLine="480" w:firstLineChars="200"/>
        <w:rPr>
          <w:rFonts w:ascii="Times New Roman" w:hAnsi="Times New Roman"/>
          <w:b w:val="0"/>
        </w:rPr>
      </w:pPr>
      <w:r>
        <w:rPr>
          <w:rFonts w:hint="eastAsia" w:ascii="Times New Roman" w:hAnsi="Times New Roman"/>
          <w:b w:val="0"/>
        </w:rPr>
        <w:t>中标人拒签合同或放弃中标是违约行为，应当依法赔偿违约行为给招标人造成的实际损失。</w:t>
      </w:r>
    </w:p>
    <w:p>
      <w:pPr>
        <w:pStyle w:val="5"/>
        <w:keepNext w:val="0"/>
        <w:keepLines w:val="0"/>
        <w:numPr>
          <w:ilvl w:val="1"/>
          <w:numId w:val="6"/>
        </w:numPr>
        <w:tabs>
          <w:tab w:val="left" w:pos="1050"/>
          <w:tab w:val="clear" w:pos="993"/>
        </w:tabs>
        <w:spacing w:before="0" w:after="0" w:line="500" w:lineRule="exact"/>
        <w:ind w:left="0" w:firstLine="480" w:firstLineChars="200"/>
        <w:rPr>
          <w:rFonts w:ascii="Times New Roman" w:hAnsi="Times New Roman"/>
          <w:b w:val="0"/>
        </w:rPr>
      </w:pPr>
      <w:r>
        <w:rPr>
          <w:rFonts w:hint="eastAsia" w:ascii="Times New Roman" w:hAnsi="Times New Roman"/>
          <w:b w:val="0"/>
        </w:rPr>
        <w:t>前款所称“违约行为给招标人造成的实际损失”，是指顺延中标人的中标价格高于违约人中标价格的高出部分。</w:t>
      </w:r>
    </w:p>
    <w:p>
      <w:pPr>
        <w:pStyle w:val="5"/>
        <w:keepNext w:val="0"/>
        <w:keepLines w:val="0"/>
        <w:numPr>
          <w:ilvl w:val="1"/>
          <w:numId w:val="6"/>
        </w:numPr>
        <w:tabs>
          <w:tab w:val="left" w:pos="1050"/>
          <w:tab w:val="clear" w:pos="993"/>
        </w:tabs>
        <w:spacing w:before="0" w:after="0" w:line="500" w:lineRule="exact"/>
        <w:ind w:left="0" w:firstLine="480" w:firstLineChars="200"/>
        <w:rPr>
          <w:rFonts w:ascii="Times New Roman" w:hAnsi="Times New Roman"/>
          <w:b w:val="0"/>
        </w:rPr>
      </w:pPr>
      <w:r>
        <w:rPr>
          <w:rFonts w:hint="eastAsia" w:ascii="Times New Roman" w:hAnsi="Times New Roman"/>
          <w:b w:val="0"/>
        </w:rPr>
        <w:t>签订合同及合同条款应以招标文件和中标人的投标文件为依据。</w:t>
      </w:r>
    </w:p>
    <w:p>
      <w:pPr>
        <w:numPr>
          <w:ilvl w:val="0"/>
          <w:numId w:val="6"/>
        </w:numPr>
        <w:spacing w:line="500" w:lineRule="exact"/>
        <w:rPr>
          <w:b/>
          <w:sz w:val="24"/>
        </w:rPr>
      </w:pPr>
      <w:r>
        <w:rPr>
          <w:rFonts w:hint="eastAsia"/>
          <w:b/>
          <w:sz w:val="24"/>
        </w:rPr>
        <w:t>招标代理服务费</w:t>
      </w:r>
    </w:p>
    <w:p>
      <w:pPr>
        <w:pStyle w:val="5"/>
        <w:keepNext w:val="0"/>
        <w:keepLines w:val="0"/>
        <w:numPr>
          <w:ilvl w:val="1"/>
          <w:numId w:val="6"/>
        </w:numPr>
        <w:tabs>
          <w:tab w:val="left" w:pos="1050"/>
          <w:tab w:val="clear" w:pos="993"/>
        </w:tabs>
        <w:spacing w:before="0" w:after="0" w:line="500" w:lineRule="exact"/>
        <w:ind w:left="0" w:firstLine="480" w:firstLineChars="200"/>
        <w:rPr>
          <w:rFonts w:ascii="Times New Roman" w:hAnsi="Times New Roman"/>
          <w:b w:val="0"/>
        </w:rPr>
      </w:pPr>
      <w:bookmarkStart w:id="124" w:name="_Toc389164177"/>
      <w:bookmarkStart w:id="125" w:name="_Toc317237606"/>
      <w:bookmarkStart w:id="126" w:name="_Toc317237781"/>
      <w:bookmarkStart w:id="127" w:name="_Toc392583292"/>
      <w:r>
        <w:rPr>
          <w:rFonts w:hint="eastAsia" w:ascii="Times New Roman" w:hAnsi="Times New Roman"/>
          <w:b w:val="0"/>
        </w:rPr>
        <w:t>由招标人缴纳。</w:t>
      </w:r>
    </w:p>
    <w:p>
      <w:pPr>
        <w:numPr>
          <w:ilvl w:val="0"/>
          <w:numId w:val="5"/>
        </w:numPr>
        <w:tabs>
          <w:tab w:val="left" w:pos="540"/>
          <w:tab w:val="left" w:pos="720"/>
          <w:tab w:val="clear" w:pos="960"/>
        </w:tabs>
        <w:spacing w:before="100" w:after="100" w:line="500" w:lineRule="exact"/>
        <w:ind w:left="720" w:hanging="720"/>
        <w:outlineLvl w:val="1"/>
        <w:rPr>
          <w:b/>
          <w:sz w:val="36"/>
          <w:szCs w:val="36"/>
        </w:rPr>
      </w:pPr>
      <w:bookmarkStart w:id="128" w:name="_Toc24532"/>
      <w:bookmarkStart w:id="129" w:name="_Toc12817"/>
      <w:bookmarkStart w:id="130" w:name="_Toc500150912"/>
      <w:bookmarkStart w:id="131" w:name="_Toc9290"/>
      <w:bookmarkStart w:id="132" w:name="_Toc1891"/>
      <w:bookmarkStart w:id="133" w:name="_Toc16559"/>
      <w:bookmarkStart w:id="134" w:name="_Toc4254"/>
      <w:bookmarkStart w:id="135" w:name="_Toc10498"/>
      <w:bookmarkStart w:id="136" w:name="_Toc8729"/>
      <w:bookmarkStart w:id="137" w:name="_Toc10671"/>
      <w:bookmarkStart w:id="138" w:name="_Toc11364"/>
      <w:r>
        <w:rPr>
          <w:rFonts w:hint="eastAsia"/>
          <w:b/>
          <w:sz w:val="36"/>
          <w:szCs w:val="36"/>
        </w:rPr>
        <w:t>纪律和监督</w:t>
      </w:r>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p>
    <w:p>
      <w:pPr>
        <w:numPr>
          <w:ilvl w:val="0"/>
          <w:numId w:val="6"/>
        </w:numPr>
        <w:spacing w:line="500" w:lineRule="exact"/>
        <w:rPr>
          <w:b/>
          <w:sz w:val="24"/>
        </w:rPr>
      </w:pPr>
      <w:r>
        <w:rPr>
          <w:rFonts w:hint="eastAsia"/>
          <w:b/>
          <w:sz w:val="24"/>
        </w:rPr>
        <w:t>对招标人的纪律要求</w:t>
      </w:r>
    </w:p>
    <w:p>
      <w:pPr>
        <w:pStyle w:val="5"/>
        <w:numPr>
          <w:ilvl w:val="0"/>
          <w:numId w:val="0"/>
        </w:numPr>
        <w:tabs>
          <w:tab w:val="left" w:pos="1050"/>
        </w:tabs>
        <w:spacing w:line="500" w:lineRule="exact"/>
        <w:ind w:firstLine="480" w:firstLineChars="200"/>
        <w:rPr>
          <w:rFonts w:ascii="Times New Roman" w:hAnsi="Times New Roman"/>
          <w:b w:val="0"/>
        </w:rPr>
      </w:pPr>
      <w:r>
        <w:rPr>
          <w:rFonts w:hint="eastAsia" w:ascii="Times New Roman" w:hAnsi="Times New Roman"/>
          <w:b w:val="0"/>
        </w:rPr>
        <w:t>招标人不得泄漏招标投标活动中应当保密的情况和资料，不得与投标人串通损害国家利益、社会公共利益或他人的合法权益。</w:t>
      </w:r>
    </w:p>
    <w:p>
      <w:pPr>
        <w:numPr>
          <w:ilvl w:val="0"/>
          <w:numId w:val="6"/>
        </w:numPr>
        <w:spacing w:line="500" w:lineRule="exact"/>
        <w:rPr>
          <w:b/>
          <w:sz w:val="24"/>
        </w:rPr>
      </w:pPr>
      <w:r>
        <w:rPr>
          <w:rFonts w:hint="eastAsia"/>
          <w:b/>
          <w:sz w:val="24"/>
        </w:rPr>
        <w:t>对投标人的纪律要求</w:t>
      </w:r>
    </w:p>
    <w:p>
      <w:pPr>
        <w:pStyle w:val="5"/>
        <w:numPr>
          <w:ilvl w:val="0"/>
          <w:numId w:val="0"/>
        </w:numPr>
        <w:tabs>
          <w:tab w:val="left" w:pos="1050"/>
        </w:tabs>
        <w:spacing w:line="500" w:lineRule="exact"/>
        <w:ind w:firstLine="480" w:firstLineChars="200"/>
        <w:rPr>
          <w:rFonts w:ascii="Times New Roman" w:hAnsi="Times New Roman"/>
        </w:rPr>
      </w:pPr>
      <w:r>
        <w:rPr>
          <w:rFonts w:hint="eastAsia" w:ascii="Times New Roman" w:hAnsi="Times New Roman"/>
          <w:b w:val="0"/>
        </w:rPr>
        <w:t>不得提供虚假材料谋取中标；不得采取不正当手段诋毁、排挤其他投标人；不得与招标采购单位、其他投标人恶意串通；不得向招标采购单位、评审委员会成员行贿或者提供其他不正当利益；不得拒不遵守开标纪律，故意扰乱开标会场秩序或其他无理取闹行为；不得在招标过程中与招标采购单位进行协商谈判；不得拒绝有关部门的监督检查或者向监督检查部门提供虚假情况。有上述情形之一的投标人，属于不合格投标人，其投标或中标资格将被取消。</w:t>
      </w:r>
    </w:p>
    <w:p>
      <w:pPr>
        <w:numPr>
          <w:ilvl w:val="0"/>
          <w:numId w:val="6"/>
        </w:numPr>
        <w:spacing w:line="500" w:lineRule="exact"/>
        <w:rPr>
          <w:b/>
          <w:sz w:val="24"/>
        </w:rPr>
      </w:pPr>
      <w:r>
        <w:rPr>
          <w:rFonts w:hint="eastAsia"/>
          <w:b/>
          <w:sz w:val="24"/>
        </w:rPr>
        <w:t>对评审委员会成员的纪律要求</w:t>
      </w:r>
    </w:p>
    <w:p>
      <w:pPr>
        <w:pStyle w:val="5"/>
        <w:numPr>
          <w:ilvl w:val="0"/>
          <w:numId w:val="0"/>
        </w:numPr>
        <w:tabs>
          <w:tab w:val="left" w:pos="1050"/>
        </w:tabs>
        <w:spacing w:line="500" w:lineRule="exact"/>
        <w:ind w:firstLine="480" w:firstLineChars="200"/>
        <w:rPr>
          <w:rFonts w:ascii="Times New Roman" w:hAnsi="Times New Roman"/>
          <w:b w:val="0"/>
        </w:rPr>
      </w:pPr>
      <w:r>
        <w:rPr>
          <w:rFonts w:hint="eastAsia" w:ascii="Times New Roman" w:hAnsi="Times New Roman"/>
          <w:b w:val="0"/>
        </w:rPr>
        <w:t>评审委员会成员不得收受他人的财物或者其他好处，不得向他人透漏对投标文件的评审和比较、中标候选人的推荐情况以及评标有关的其他情况。在评标活动中，评审委员会成员不得擅离职守，影响评标程序正常进行，不得使用本招标文件第4部分“评标方法和标准”的规定之外的评审因素和标准进行评标。</w:t>
      </w:r>
    </w:p>
    <w:p>
      <w:pPr>
        <w:numPr>
          <w:ilvl w:val="0"/>
          <w:numId w:val="6"/>
        </w:numPr>
        <w:spacing w:line="500" w:lineRule="exact"/>
        <w:rPr>
          <w:b/>
          <w:sz w:val="24"/>
        </w:rPr>
      </w:pPr>
      <w:r>
        <w:rPr>
          <w:rFonts w:hint="eastAsia"/>
          <w:b/>
          <w:sz w:val="24"/>
        </w:rPr>
        <w:t>对与评标活动有关的工作人员的纪律要求</w:t>
      </w:r>
    </w:p>
    <w:p>
      <w:pPr>
        <w:pStyle w:val="5"/>
        <w:numPr>
          <w:ilvl w:val="0"/>
          <w:numId w:val="0"/>
        </w:numPr>
        <w:tabs>
          <w:tab w:val="left" w:pos="1050"/>
        </w:tabs>
        <w:spacing w:line="500" w:lineRule="exact"/>
        <w:ind w:firstLine="480" w:firstLineChars="200"/>
        <w:rPr>
          <w:rFonts w:ascii="Times New Roman" w:hAnsi="Times New Roman"/>
          <w:b w:val="0"/>
        </w:rPr>
      </w:pPr>
      <w:r>
        <w:rPr>
          <w:rFonts w:hint="eastAsia" w:ascii="Times New Roman" w:hAnsi="Times New Roman"/>
          <w:b w:val="0"/>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pPr>
        <w:numPr>
          <w:ilvl w:val="0"/>
          <w:numId w:val="6"/>
        </w:numPr>
        <w:spacing w:line="500" w:lineRule="exact"/>
        <w:rPr>
          <w:rFonts w:ascii="Times New Roman" w:hAnsi="Times New Roman"/>
          <w:b w:val="0"/>
        </w:rPr>
      </w:pPr>
      <w:r>
        <w:rPr>
          <w:rFonts w:hint="eastAsia"/>
          <w:b/>
          <w:sz w:val="24"/>
        </w:rPr>
        <w:t>政策功能</w:t>
      </w:r>
      <w:bookmarkEnd w:id="46"/>
      <w:bookmarkEnd w:id="47"/>
    </w:p>
    <w:p>
      <w:pPr>
        <w:numPr>
          <w:ilvl w:val="0"/>
          <w:numId w:val="0"/>
        </w:numPr>
        <w:spacing w:line="500" w:lineRule="exact"/>
        <w:ind w:leftChars="0" w:firstLine="480" w:firstLineChars="200"/>
        <w:rPr>
          <w:rFonts w:hint="eastAsia" w:ascii="Times New Roman" w:hAnsi="Times New Roman" w:eastAsia="宋体" w:cs="Arial"/>
          <w:b w:val="0"/>
          <w:bCs/>
          <w:kern w:val="2"/>
          <w:sz w:val="24"/>
          <w:szCs w:val="24"/>
          <w:lang w:val="en-US" w:eastAsia="zh-CN" w:bidi="ar-SA"/>
        </w:rPr>
      </w:pPr>
      <w:r>
        <w:rPr>
          <w:rFonts w:hint="eastAsia" w:ascii="Times New Roman" w:hAnsi="Times New Roman" w:eastAsia="宋体" w:cs="Arial"/>
          <w:b w:val="0"/>
          <w:bCs/>
          <w:kern w:val="2"/>
          <w:sz w:val="24"/>
          <w:szCs w:val="24"/>
          <w:lang w:val="en-US" w:eastAsia="zh-CN" w:bidi="ar-SA"/>
        </w:rPr>
        <w:t>36．1 本次招标优先选购中华人民共和国财政部公布的《政府采购自主创新产品目录》和《节能环保产品目录》的标的物。</w:t>
      </w:r>
    </w:p>
    <w:p>
      <w:pPr>
        <w:numPr>
          <w:ilvl w:val="0"/>
          <w:numId w:val="0"/>
        </w:numPr>
        <w:spacing w:line="500" w:lineRule="exact"/>
        <w:ind w:leftChars="0" w:firstLine="480" w:firstLineChars="200"/>
        <w:rPr>
          <w:rFonts w:hint="eastAsia" w:ascii="Times New Roman" w:hAnsi="Times New Roman" w:eastAsia="宋体" w:cs="Arial"/>
          <w:b w:val="0"/>
          <w:bCs/>
          <w:kern w:val="2"/>
          <w:sz w:val="24"/>
          <w:szCs w:val="24"/>
          <w:lang w:val="en-US" w:eastAsia="zh-CN" w:bidi="ar-SA"/>
        </w:rPr>
      </w:pPr>
      <w:r>
        <w:rPr>
          <w:rFonts w:hint="eastAsia" w:ascii="Times New Roman" w:hAnsi="Times New Roman" w:eastAsia="宋体" w:cs="Arial"/>
          <w:b w:val="0"/>
          <w:bCs/>
          <w:kern w:val="2"/>
          <w:sz w:val="24"/>
          <w:szCs w:val="24"/>
          <w:lang w:val="en-US" w:eastAsia="zh-CN" w:bidi="ar-SA"/>
        </w:rPr>
        <w:t xml:space="preserve">36．2 强制采购节能产品、信息安全产品，优先采购环境标志产品。节能产品是指列入财政部、国家发展和改革委员会制定的《节能产品政府采购清单》，且经过认定的节能产品；信息安全产品是指列入国家质检总局 国家认监委《信息安全产品强制性认证目录》，并获得强制性产品认证证书的产品；环境标志产品是指列入财政部、国家环保总局制定的《环境标志产品政府采购清单》，且经过认证的环境标志产品。  </w:t>
      </w:r>
    </w:p>
    <w:p>
      <w:pPr>
        <w:numPr>
          <w:ilvl w:val="0"/>
          <w:numId w:val="0"/>
        </w:numPr>
        <w:spacing w:line="500" w:lineRule="exact"/>
        <w:ind w:leftChars="0" w:firstLine="480" w:firstLineChars="200"/>
        <w:rPr>
          <w:rFonts w:hint="eastAsia" w:ascii="Times New Roman" w:hAnsi="Times New Roman" w:eastAsia="宋体" w:cs="Arial"/>
          <w:b w:val="0"/>
          <w:bCs/>
          <w:kern w:val="2"/>
          <w:sz w:val="24"/>
          <w:szCs w:val="24"/>
          <w:lang w:val="en-US" w:eastAsia="zh-CN" w:bidi="ar-SA"/>
        </w:rPr>
      </w:pPr>
      <w:r>
        <w:rPr>
          <w:rFonts w:hint="eastAsia" w:ascii="Times New Roman" w:hAnsi="Times New Roman" w:eastAsia="宋体" w:cs="Arial"/>
          <w:b w:val="0"/>
          <w:bCs/>
          <w:kern w:val="2"/>
          <w:sz w:val="24"/>
          <w:szCs w:val="24"/>
          <w:lang w:val="en-US" w:eastAsia="zh-CN" w:bidi="ar-SA"/>
        </w:rPr>
        <w:t>36．3 投标产品属于信息安全产品的，投标人应当选择经国家认证的信息安全产品投标，并提供由中国信息安全认证中心按国家标准颁发的有效认证证书复印件。</w:t>
      </w:r>
    </w:p>
    <w:p>
      <w:pPr>
        <w:numPr>
          <w:ilvl w:val="0"/>
          <w:numId w:val="0"/>
        </w:numPr>
        <w:spacing w:line="500" w:lineRule="exact"/>
        <w:ind w:leftChars="0" w:firstLine="480" w:firstLineChars="200"/>
        <w:rPr>
          <w:rFonts w:hint="eastAsia" w:ascii="Times New Roman" w:hAnsi="Times New Roman" w:eastAsia="宋体" w:cs="Arial"/>
          <w:b w:val="0"/>
          <w:bCs/>
          <w:kern w:val="2"/>
          <w:sz w:val="24"/>
          <w:szCs w:val="24"/>
          <w:lang w:val="en-US" w:eastAsia="zh-CN" w:bidi="ar-SA"/>
        </w:rPr>
      </w:pPr>
      <w:r>
        <w:rPr>
          <w:rFonts w:hint="eastAsia" w:ascii="Times New Roman" w:hAnsi="Times New Roman" w:eastAsia="宋体" w:cs="Arial"/>
          <w:b w:val="0"/>
          <w:bCs/>
          <w:kern w:val="2"/>
          <w:sz w:val="24"/>
          <w:szCs w:val="24"/>
          <w:lang w:val="en-US" w:eastAsia="zh-CN" w:bidi="ar-SA"/>
        </w:rPr>
        <w:t>36．4 投标产品属于政府强制采购节能产品的，投标人应当选择《节能产品政府采购清单》中的产品投标，并提供有效的节能产品认证证书复印件。</w:t>
      </w:r>
    </w:p>
    <w:p>
      <w:pPr>
        <w:numPr>
          <w:ilvl w:val="0"/>
          <w:numId w:val="0"/>
        </w:numPr>
        <w:spacing w:line="500" w:lineRule="exact"/>
        <w:ind w:leftChars="0" w:firstLine="480" w:firstLineChars="200"/>
        <w:rPr>
          <w:rFonts w:hint="eastAsia" w:ascii="Times New Roman" w:hAnsi="Times New Roman" w:eastAsia="宋体" w:cs="Arial"/>
          <w:b w:val="0"/>
          <w:bCs/>
          <w:kern w:val="2"/>
          <w:sz w:val="24"/>
          <w:szCs w:val="24"/>
          <w:lang w:val="en-US" w:eastAsia="zh-CN" w:bidi="ar-SA"/>
        </w:rPr>
      </w:pPr>
      <w:r>
        <w:rPr>
          <w:rFonts w:hint="eastAsia" w:ascii="Times New Roman" w:hAnsi="Times New Roman" w:eastAsia="宋体" w:cs="Arial"/>
          <w:b w:val="0"/>
          <w:bCs/>
          <w:kern w:val="2"/>
          <w:sz w:val="24"/>
          <w:szCs w:val="24"/>
          <w:lang w:val="en-US" w:eastAsia="zh-CN" w:bidi="ar-SA"/>
        </w:rPr>
        <w:t>36．5 招标文件中提供的参考产品品牌或型号，是采购人根据项目所要实现的功能根据市场情况列出的品牌或型号，并不是限制条件。</w:t>
      </w:r>
    </w:p>
    <w:p>
      <w:pPr>
        <w:numPr>
          <w:ilvl w:val="0"/>
          <w:numId w:val="0"/>
        </w:numPr>
        <w:spacing w:line="500" w:lineRule="exact"/>
        <w:ind w:leftChars="0" w:firstLine="480" w:firstLineChars="200"/>
        <w:rPr>
          <w:rFonts w:hint="eastAsia" w:ascii="Times New Roman" w:hAnsi="Times New Roman" w:eastAsia="宋体" w:cs="Arial"/>
          <w:b w:val="0"/>
          <w:bCs/>
          <w:kern w:val="2"/>
          <w:sz w:val="24"/>
          <w:szCs w:val="24"/>
          <w:lang w:val="en-US" w:eastAsia="zh-CN" w:bidi="ar-SA"/>
        </w:rPr>
      </w:pPr>
      <w:r>
        <w:rPr>
          <w:rFonts w:hint="eastAsia" w:ascii="Times New Roman" w:hAnsi="Times New Roman" w:eastAsia="宋体" w:cs="Arial"/>
          <w:b w:val="0"/>
          <w:bCs/>
          <w:kern w:val="2"/>
          <w:sz w:val="24"/>
          <w:szCs w:val="24"/>
          <w:lang w:val="en-US" w:eastAsia="zh-CN" w:bidi="ar-SA"/>
        </w:rPr>
        <w:t>36．6 对于非专门面向中小企业的项目，对小型和微型企业产品的价格给予6%的扣除（监狱企业视同小型、微型企业），用扣除后的价格参与评审。参加投标的中小企业，应当提供《中小企业声明函》（“中小企业划型标准”详见《关于印发中小企业划型标准规定的通知》工信部联企业（2011）300号）。</w:t>
      </w:r>
    </w:p>
    <w:p>
      <w:pPr>
        <w:numPr>
          <w:ilvl w:val="0"/>
          <w:numId w:val="6"/>
        </w:numPr>
        <w:spacing w:line="500" w:lineRule="exact"/>
        <w:rPr>
          <w:b/>
          <w:sz w:val="24"/>
        </w:rPr>
      </w:pPr>
      <w:r>
        <w:rPr>
          <w:rFonts w:hint="eastAsia"/>
          <w:b/>
          <w:sz w:val="24"/>
        </w:rPr>
        <w:t>信用查询记录</w:t>
      </w:r>
    </w:p>
    <w:p>
      <w:pPr>
        <w:spacing w:line="500" w:lineRule="exact"/>
        <w:ind w:firstLine="480" w:firstLineChars="200"/>
        <w:rPr>
          <w:rFonts w:ascii="宋体" w:hAnsi="宋体"/>
          <w:sz w:val="24"/>
          <w:szCs w:val="24"/>
        </w:rPr>
      </w:pPr>
      <w:r>
        <w:rPr>
          <w:rFonts w:hint="eastAsia" w:ascii="宋体" w:hAnsi="宋体" w:cs="宋体"/>
          <w:sz w:val="24"/>
        </w:rPr>
        <w:t>根据财库（2016）125号文《关于在政府采购活动中查询及使用信用记录有关问题的通知》的规定，所有投标人需提供“信用中国”网站(www.creditchina.gov.cn)或中国政府采购网(www.ccgp.gov.cn)查询的企业信用记录，并将网站截图作为投标文件的组成部分，如投标人不提供截图或被列入失信被执行人、重大税收违法案件当事人名单、政府采购严重违法实行行为记录名单的单位将被拒绝参加本次投标。</w:t>
      </w:r>
    </w:p>
    <w:p>
      <w:bookmarkStart w:id="139" w:name="_Toc500150913"/>
      <w:bookmarkStart w:id="140" w:name="_Toc468811122"/>
    </w:p>
    <w:p>
      <w:pPr>
        <w:spacing w:line="360" w:lineRule="auto"/>
        <w:ind w:firstLine="723" w:firstLineChars="200"/>
        <w:jc w:val="center"/>
        <w:outlineLvl w:val="0"/>
        <w:rPr>
          <w:rFonts w:ascii="宋体" w:hAnsi="宋体" w:cs="宋体"/>
          <w:b/>
          <w:bCs/>
          <w:sz w:val="36"/>
          <w:szCs w:val="36"/>
        </w:rPr>
      </w:pPr>
    </w:p>
    <w:p>
      <w:pPr>
        <w:spacing w:line="360" w:lineRule="auto"/>
        <w:ind w:firstLine="723" w:firstLineChars="200"/>
        <w:jc w:val="center"/>
        <w:outlineLvl w:val="0"/>
        <w:rPr>
          <w:rFonts w:ascii="宋体" w:hAnsi="宋体" w:cs="宋体"/>
          <w:b/>
          <w:bCs/>
          <w:sz w:val="36"/>
          <w:szCs w:val="36"/>
        </w:rPr>
        <w:sectPr>
          <w:footerReference r:id="rId7" w:type="default"/>
          <w:pgSz w:w="11907" w:h="16840"/>
          <w:pgMar w:top="1418" w:right="1134" w:bottom="1361" w:left="1134" w:header="794" w:footer="794" w:gutter="0"/>
          <w:cols w:space="720" w:num="1"/>
          <w:docGrid w:linePitch="285" w:charSpace="0"/>
        </w:sectPr>
      </w:pPr>
    </w:p>
    <w:p>
      <w:pPr>
        <w:spacing w:line="360" w:lineRule="auto"/>
        <w:ind w:firstLine="723" w:firstLineChars="200"/>
        <w:jc w:val="center"/>
        <w:outlineLvl w:val="0"/>
        <w:rPr>
          <w:rFonts w:ascii="宋体" w:cs="Times New Roman"/>
          <w:b/>
          <w:bCs/>
          <w:sz w:val="36"/>
          <w:szCs w:val="36"/>
        </w:rPr>
      </w:pPr>
      <w:r>
        <w:rPr>
          <w:rFonts w:hint="eastAsia" w:ascii="宋体" w:hAnsi="宋体" w:cs="宋体"/>
          <w:b/>
          <w:bCs/>
          <w:sz w:val="36"/>
          <w:szCs w:val="36"/>
        </w:rPr>
        <w:t>第三部分用户需求书</w:t>
      </w:r>
      <w:bookmarkEnd w:id="48"/>
      <w:bookmarkEnd w:id="139"/>
      <w:bookmarkEnd w:id="140"/>
      <w:bookmarkStart w:id="141" w:name="_Toc238907047"/>
    </w:p>
    <w:p>
      <w:pPr>
        <w:spacing w:line="440" w:lineRule="exact"/>
        <w:ind w:firstLine="482" w:firstLineChars="200"/>
        <w:rPr>
          <w:rFonts w:ascii="宋体" w:hAnsi="宋体"/>
          <w:b/>
          <w:snapToGrid w:val="0"/>
          <w:kern w:val="0"/>
          <w:sz w:val="24"/>
        </w:rPr>
      </w:pPr>
      <w:bookmarkStart w:id="142" w:name="_Toc468811128"/>
      <w:bookmarkStart w:id="143" w:name="_Toc500150917"/>
      <w:r>
        <w:rPr>
          <w:rFonts w:hint="eastAsia" w:ascii="宋体" w:hAnsi="宋体"/>
          <w:b/>
          <w:snapToGrid w:val="0"/>
          <w:kern w:val="0"/>
          <w:sz w:val="24"/>
        </w:rPr>
        <w:t>1</w:t>
      </w:r>
      <w:r>
        <w:rPr>
          <w:rFonts w:ascii="宋体" w:hAnsi="宋体"/>
          <w:b/>
          <w:snapToGrid w:val="0"/>
          <w:kern w:val="0"/>
          <w:sz w:val="24"/>
        </w:rPr>
        <w:t>.投标人资格要求</w:t>
      </w:r>
    </w:p>
    <w:p>
      <w:pPr>
        <w:spacing w:line="440" w:lineRule="exact"/>
        <w:ind w:firstLine="480" w:firstLineChars="200"/>
        <w:rPr>
          <w:rFonts w:ascii="宋体" w:hAnsi="宋体"/>
          <w:snapToGrid w:val="0"/>
          <w:kern w:val="0"/>
          <w:sz w:val="24"/>
        </w:rPr>
      </w:pPr>
      <w:r>
        <w:rPr>
          <w:rFonts w:hint="eastAsia" w:ascii="宋体" w:hAnsi="宋体"/>
          <w:sz w:val="24"/>
        </w:rPr>
        <w:t>①</w:t>
      </w:r>
      <w:r>
        <w:rPr>
          <w:rFonts w:hint="eastAsia" w:ascii="宋体" w:hAnsi="宋体"/>
          <w:snapToGrid w:val="0"/>
          <w:kern w:val="0"/>
          <w:sz w:val="24"/>
        </w:rPr>
        <w:t>投标人须为在中华人民共和国境内注册的独立法人或其他组织，能独立承担民事责任和合同义务，能在国内合法提供采购内容及其相应的服务。投标人与签订合同时的中标人必须为同一主体，名称保证一致，否则视为弃标。</w:t>
      </w:r>
    </w:p>
    <w:p>
      <w:pPr>
        <w:spacing w:line="440" w:lineRule="exact"/>
        <w:ind w:firstLine="480" w:firstLineChars="200"/>
        <w:rPr>
          <w:rFonts w:ascii="宋体" w:hAnsi="宋体"/>
          <w:snapToGrid w:val="0"/>
          <w:kern w:val="0"/>
          <w:sz w:val="24"/>
        </w:rPr>
      </w:pPr>
      <w:r>
        <w:rPr>
          <w:rFonts w:hint="eastAsia" w:ascii="宋体" w:hAnsi="宋体"/>
          <w:sz w:val="24"/>
        </w:rPr>
        <w:t>②</w:t>
      </w:r>
      <w:r>
        <w:rPr>
          <w:rFonts w:hint="eastAsia" w:ascii="宋体" w:hAnsi="宋体"/>
          <w:snapToGrid w:val="0"/>
          <w:kern w:val="0"/>
          <w:sz w:val="24"/>
        </w:rPr>
        <w:t>具有</w:t>
      </w:r>
      <w:r>
        <w:rPr>
          <w:rFonts w:hint="eastAsia" w:ascii="宋体" w:hAnsi="宋体" w:cs="宋体"/>
          <w:kern w:val="0"/>
          <w:sz w:val="24"/>
        </w:rPr>
        <w:t>建设项目环境影响评价（交通运输）甲级资质</w:t>
      </w:r>
      <w:r>
        <w:rPr>
          <w:rFonts w:hint="eastAsia" w:ascii="宋体" w:hAnsi="宋体"/>
          <w:snapToGrid w:val="0"/>
          <w:kern w:val="0"/>
          <w:sz w:val="24"/>
        </w:rPr>
        <w:t>；</w:t>
      </w:r>
    </w:p>
    <w:p>
      <w:pPr>
        <w:tabs>
          <w:tab w:val="left" w:pos="0"/>
          <w:tab w:val="left" w:pos="360"/>
          <w:tab w:val="left" w:pos="840"/>
          <w:tab w:val="left" w:pos="955"/>
        </w:tabs>
        <w:autoSpaceDE w:val="0"/>
        <w:autoSpaceDN w:val="0"/>
        <w:adjustRightInd w:val="0"/>
        <w:spacing w:line="440" w:lineRule="exact"/>
        <w:ind w:firstLine="470" w:firstLineChars="196"/>
        <w:rPr>
          <w:rFonts w:ascii="宋体" w:hAnsi="宋体"/>
          <w:snapToGrid w:val="0"/>
          <w:kern w:val="0"/>
          <w:sz w:val="24"/>
        </w:rPr>
      </w:pPr>
      <w:r>
        <w:rPr>
          <w:rFonts w:hint="eastAsia" w:ascii="宋体" w:hAnsi="宋体"/>
          <w:sz w:val="24"/>
        </w:rPr>
        <w:t>③</w:t>
      </w:r>
      <w:r>
        <w:rPr>
          <w:rFonts w:hint="eastAsia" w:ascii="宋体" w:hAnsi="宋体"/>
          <w:snapToGrid w:val="0"/>
          <w:kern w:val="0"/>
          <w:sz w:val="24"/>
        </w:rPr>
        <w:t>投标人参加政府采购活动前3年内在经营活动中没有重大违法记录。</w:t>
      </w:r>
    </w:p>
    <w:p>
      <w:pPr>
        <w:tabs>
          <w:tab w:val="left" w:pos="0"/>
          <w:tab w:val="left" w:pos="360"/>
          <w:tab w:val="left" w:pos="840"/>
          <w:tab w:val="left" w:pos="955"/>
        </w:tabs>
        <w:autoSpaceDE w:val="0"/>
        <w:autoSpaceDN w:val="0"/>
        <w:adjustRightInd w:val="0"/>
        <w:spacing w:line="440" w:lineRule="exact"/>
        <w:ind w:firstLine="470" w:firstLineChars="196"/>
        <w:rPr>
          <w:rFonts w:ascii="宋体" w:hAnsi="宋体"/>
          <w:snapToGrid w:val="0"/>
          <w:kern w:val="0"/>
          <w:sz w:val="24"/>
        </w:rPr>
      </w:pPr>
      <w:r>
        <w:rPr>
          <w:rFonts w:hint="eastAsia" w:ascii="宋体" w:hAnsi="宋体"/>
          <w:sz w:val="24"/>
        </w:rPr>
        <w:t>④</w:t>
      </w:r>
      <w:r>
        <w:rPr>
          <w:rFonts w:hint="eastAsia" w:ascii="宋体" w:hAnsi="宋体"/>
          <w:snapToGrid w:val="0"/>
          <w:kern w:val="0"/>
          <w:sz w:val="24"/>
        </w:rPr>
        <w:t>本项目不接受联合体投标，投标人应符合《中华人民共和国政府采购法》第二十二条的有关规定。</w:t>
      </w:r>
    </w:p>
    <w:p>
      <w:pPr>
        <w:snapToGrid w:val="0"/>
        <w:spacing w:line="360" w:lineRule="auto"/>
        <w:ind w:firstLine="482" w:firstLineChars="200"/>
        <w:rPr>
          <w:rFonts w:ascii="宋体" w:hAnsi="宋体"/>
          <w:b/>
          <w:snapToGrid w:val="0"/>
          <w:kern w:val="0"/>
          <w:sz w:val="24"/>
        </w:rPr>
      </w:pPr>
      <w:r>
        <w:rPr>
          <w:rFonts w:hint="eastAsia" w:ascii="宋体" w:hAnsi="宋体"/>
          <w:b/>
          <w:snapToGrid w:val="0"/>
          <w:kern w:val="0"/>
          <w:sz w:val="24"/>
        </w:rPr>
        <w:t>2．技术服务的内容</w:t>
      </w:r>
    </w:p>
    <w:p>
      <w:pPr>
        <w:snapToGrid w:val="0"/>
        <w:spacing w:line="360" w:lineRule="auto"/>
        <w:ind w:firstLine="480" w:firstLineChars="200"/>
        <w:rPr>
          <w:rFonts w:ascii="宋体" w:hAnsi="宋体"/>
          <w:sz w:val="24"/>
        </w:rPr>
      </w:pPr>
      <w:r>
        <w:rPr>
          <w:rFonts w:hint="eastAsia" w:ascii="宋体" w:hAnsi="宋体"/>
          <w:sz w:val="24"/>
        </w:rPr>
        <w:t>环境影响评价内容：</w:t>
      </w:r>
    </w:p>
    <w:p>
      <w:pPr>
        <w:pStyle w:val="256"/>
        <w:numPr>
          <w:ilvl w:val="0"/>
          <w:numId w:val="7"/>
        </w:numPr>
        <w:snapToGrid w:val="0"/>
        <w:spacing w:line="360" w:lineRule="auto"/>
        <w:ind w:firstLineChars="0"/>
        <w:rPr>
          <w:rFonts w:ascii="宋体" w:hAnsi="宋体"/>
          <w:sz w:val="24"/>
        </w:rPr>
      </w:pPr>
      <w:r>
        <w:rPr>
          <w:rFonts w:hint="eastAsia" w:ascii="宋体" w:hAnsi="宋体"/>
          <w:sz w:val="24"/>
        </w:rPr>
        <w:t>过工程分析，查清污染源及排出的危害周围环境的污染物质的种类、数量、排放方式、排放强度。对环境进行现状监测调查。</w:t>
      </w:r>
    </w:p>
    <w:p>
      <w:pPr>
        <w:snapToGrid w:val="0"/>
        <w:spacing w:line="360" w:lineRule="auto"/>
        <w:ind w:firstLine="480" w:firstLineChars="200"/>
        <w:rPr>
          <w:rFonts w:ascii="宋体" w:hAnsi="宋体"/>
          <w:sz w:val="24"/>
        </w:rPr>
      </w:pPr>
      <w:r>
        <w:rPr>
          <w:rFonts w:hint="eastAsia" w:ascii="宋体" w:hAnsi="宋体"/>
          <w:sz w:val="24"/>
        </w:rPr>
        <w:t>②工程建设对大气、噪声、水环境的影响预测分析。</w:t>
      </w:r>
    </w:p>
    <w:p>
      <w:pPr>
        <w:snapToGrid w:val="0"/>
        <w:spacing w:line="360" w:lineRule="auto"/>
        <w:ind w:firstLine="480" w:firstLineChars="200"/>
        <w:rPr>
          <w:rFonts w:ascii="宋体" w:hAnsi="宋体"/>
          <w:sz w:val="24"/>
        </w:rPr>
      </w:pPr>
      <w:r>
        <w:rPr>
          <w:rFonts w:hint="eastAsia" w:ascii="宋体" w:hAnsi="宋体"/>
          <w:sz w:val="24"/>
        </w:rPr>
        <w:t>③对工程前后的海流场、海底泥沙冲淤变化进行高时空分辨率的数值模拟，分析评价工程建设前后对海洋动力环境变化。</w:t>
      </w:r>
    </w:p>
    <w:p>
      <w:pPr>
        <w:snapToGrid w:val="0"/>
        <w:spacing w:line="360" w:lineRule="auto"/>
        <w:ind w:firstLine="480" w:firstLineChars="200"/>
        <w:rPr>
          <w:rFonts w:ascii="宋体" w:hAnsi="宋体"/>
          <w:sz w:val="24"/>
        </w:rPr>
      </w:pPr>
      <w:r>
        <w:rPr>
          <w:rFonts w:hint="eastAsia" w:ascii="宋体" w:hAnsi="宋体"/>
          <w:sz w:val="24"/>
        </w:rPr>
        <w:t>④对工程各阶段可能出现的风险、污染、非污染事件进行评价。</w:t>
      </w:r>
    </w:p>
    <w:p>
      <w:pPr>
        <w:snapToGrid w:val="0"/>
        <w:spacing w:line="360" w:lineRule="auto"/>
        <w:ind w:firstLine="480" w:firstLineChars="200"/>
        <w:rPr>
          <w:rFonts w:ascii="宋体" w:hAnsi="宋体"/>
          <w:sz w:val="24"/>
        </w:rPr>
      </w:pPr>
      <w:r>
        <w:rPr>
          <w:rFonts w:hint="eastAsia" w:ascii="宋体" w:hAnsi="宋体"/>
          <w:sz w:val="24"/>
        </w:rPr>
        <w:t>⑤施工过程中局部扬起的悬浮泥沙根据海洋水动力条件，预测悬浮物对海洋环境和资源的影响。</w:t>
      </w:r>
    </w:p>
    <w:p>
      <w:pPr>
        <w:snapToGrid w:val="0"/>
        <w:spacing w:line="360" w:lineRule="auto"/>
        <w:ind w:firstLine="480" w:firstLineChars="200"/>
        <w:rPr>
          <w:rFonts w:ascii="宋体" w:hAnsi="宋体"/>
          <w:sz w:val="24"/>
        </w:rPr>
      </w:pPr>
      <w:r>
        <w:rPr>
          <w:rFonts w:hint="eastAsia" w:ascii="宋体" w:hAnsi="宋体"/>
          <w:sz w:val="24"/>
        </w:rPr>
        <w:t>⑥评价工程对海域的主要影响，阐明该工程的环境效益、经济效益和社会效益。</w:t>
      </w:r>
    </w:p>
    <w:p>
      <w:pPr>
        <w:snapToGrid w:val="0"/>
        <w:spacing w:line="360" w:lineRule="auto"/>
        <w:ind w:firstLine="480" w:firstLineChars="200"/>
        <w:rPr>
          <w:rFonts w:ascii="宋体" w:hAnsi="宋体"/>
          <w:sz w:val="24"/>
        </w:rPr>
      </w:pPr>
      <w:r>
        <w:rPr>
          <w:rFonts w:hint="eastAsia" w:ascii="宋体" w:hAnsi="宋体"/>
          <w:sz w:val="24"/>
        </w:rPr>
        <w:t>⑦评价工程项目在环境保护方面的可行性，为工程环境保护设计提供参考，为工程主管部门和环境保护主管部门提供管理与决策依据。</w:t>
      </w:r>
    </w:p>
    <w:p>
      <w:pPr>
        <w:snapToGrid w:val="0"/>
        <w:spacing w:line="360" w:lineRule="auto"/>
        <w:ind w:firstLine="472" w:firstLineChars="196"/>
        <w:rPr>
          <w:rFonts w:ascii="宋体" w:hAnsi="宋体"/>
          <w:b/>
          <w:sz w:val="24"/>
        </w:rPr>
      </w:pPr>
      <w:r>
        <w:rPr>
          <w:rFonts w:hint="eastAsia" w:ascii="宋体" w:hAnsi="宋体"/>
          <w:b/>
          <w:sz w:val="24"/>
        </w:rPr>
        <w:t>3.技术服务要求</w:t>
      </w:r>
    </w:p>
    <w:p>
      <w:pPr>
        <w:tabs>
          <w:tab w:val="left" w:pos="0"/>
          <w:tab w:val="left" w:pos="360"/>
          <w:tab w:val="left" w:pos="840"/>
          <w:tab w:val="left" w:pos="955"/>
        </w:tabs>
        <w:autoSpaceDE w:val="0"/>
        <w:autoSpaceDN w:val="0"/>
        <w:adjustRightInd w:val="0"/>
        <w:spacing w:line="440" w:lineRule="exact"/>
        <w:ind w:firstLine="240" w:firstLineChars="100"/>
        <w:rPr>
          <w:rFonts w:ascii="宋体" w:hAnsi="宋体" w:cs="宋体"/>
          <w:b/>
          <w:bCs/>
          <w:sz w:val="30"/>
          <w:szCs w:val="30"/>
        </w:rPr>
        <w:sectPr>
          <w:pgSz w:w="11907" w:h="16840"/>
          <w:pgMar w:top="1418" w:right="1134" w:bottom="1361" w:left="1134" w:header="794" w:footer="794" w:gutter="0"/>
          <w:cols w:space="720" w:num="1"/>
          <w:docGrid w:linePitch="285" w:charSpace="0"/>
        </w:sectPr>
      </w:pPr>
      <w:r>
        <w:rPr>
          <w:rFonts w:hint="eastAsia" w:ascii="宋体" w:hAnsi="宋体"/>
          <w:sz w:val="24"/>
        </w:rPr>
        <w:t xml:space="preserve">  按</w:t>
      </w:r>
      <w:r>
        <w:rPr>
          <w:rFonts w:hint="eastAsia"/>
          <w:sz w:val="24"/>
          <w:szCs w:val="24"/>
        </w:rPr>
        <w:t>《环境影响评价技术导则总纲》（HJ2.1-2016）、《环境影响评价技术导则大气环境》（HJ2.2-2008）、《环境影响评价技术导则地表水环境》（HJ/T2.3-93）、《环境影响评价技术导则声环境》（HJ2.4-2009）、《环境影响评价技术导则声环境》（HJ2.4-2009）</w:t>
      </w:r>
      <w:r>
        <w:rPr>
          <w:rFonts w:hint="eastAsia" w:ascii="宋体" w:hAnsi="宋体"/>
          <w:sz w:val="24"/>
        </w:rPr>
        <w:t>《海洋调查规范》(</w:t>
      </w:r>
      <w:r>
        <w:rPr>
          <w:rFonts w:ascii="宋体" w:hAnsi="宋体"/>
          <w:sz w:val="24"/>
        </w:rPr>
        <w:t>GB/T12763-2007</w:t>
      </w:r>
      <w:r>
        <w:rPr>
          <w:rFonts w:hint="eastAsia" w:ascii="宋体" w:hAnsi="宋体"/>
          <w:sz w:val="24"/>
        </w:rPr>
        <w:t>)、《海洋监测规范》(</w:t>
      </w:r>
      <w:r>
        <w:rPr>
          <w:rFonts w:ascii="宋体" w:hAnsi="宋体"/>
          <w:sz w:val="24"/>
        </w:rPr>
        <w:t>GB17378-2007</w:t>
      </w:r>
      <w:r>
        <w:rPr>
          <w:rFonts w:hint="eastAsia" w:ascii="宋体" w:hAnsi="宋体"/>
          <w:sz w:val="24"/>
        </w:rPr>
        <w:t>)、《海域使用论证技术导则》（国海发[2010]22号）、《海洋工程环境影响评价技术导则》及相关规范中有关技术要求进行。</w:t>
      </w:r>
      <w:r>
        <w:rPr>
          <w:rFonts w:hint="eastAsia" w:asciiTheme="minorEastAsia" w:hAnsiTheme="minorEastAsia" w:eastAsiaTheme="minorEastAsia"/>
          <w:sz w:val="24"/>
          <w:szCs w:val="24"/>
        </w:rPr>
        <w:t>编制的《环境影响评价报告》通过生态环境部主管部门组织的专家评审。</w:t>
      </w:r>
    </w:p>
    <w:p>
      <w:pPr>
        <w:spacing w:line="360" w:lineRule="auto"/>
        <w:ind w:firstLine="602" w:firstLineChars="200"/>
        <w:jc w:val="center"/>
        <w:outlineLvl w:val="0"/>
        <w:rPr>
          <w:rFonts w:ascii="宋体" w:cs="Times New Roman"/>
          <w:b/>
          <w:bCs/>
          <w:sz w:val="30"/>
          <w:szCs w:val="30"/>
        </w:rPr>
      </w:pPr>
      <w:r>
        <w:rPr>
          <w:rFonts w:hint="eastAsia" w:ascii="宋体" w:hAnsi="宋体" w:cs="宋体"/>
          <w:b/>
          <w:bCs/>
          <w:sz w:val="30"/>
          <w:szCs w:val="30"/>
        </w:rPr>
        <w:t>第四部分  合同条款</w:t>
      </w:r>
      <w:bookmarkEnd w:id="141"/>
      <w:bookmarkEnd w:id="142"/>
      <w:bookmarkEnd w:id="143"/>
    </w:p>
    <w:p>
      <w:pPr>
        <w:pStyle w:val="15"/>
        <w:rPr>
          <w:rFonts w:ascii="Times New Roman" w:hAnsi="Times New Roman"/>
          <w:sz w:val="28"/>
          <w:szCs w:val="28"/>
        </w:rPr>
      </w:pPr>
      <w:bookmarkStart w:id="144" w:name="_Toc500150926"/>
      <w:bookmarkStart w:id="145" w:name="_Toc468811129"/>
    </w:p>
    <w:p>
      <w:pPr>
        <w:rPr>
          <w:rFonts w:ascii="Times New Roman" w:hAnsi="Times New Roman"/>
          <w:sz w:val="28"/>
          <w:szCs w:val="28"/>
        </w:rPr>
      </w:pPr>
      <w:r>
        <w:rPr>
          <w:rFonts w:hint="eastAsia" w:ascii="Times New Roman" w:hAnsi="Times New Roman"/>
          <w:sz w:val="28"/>
          <w:szCs w:val="28"/>
        </w:rPr>
        <w:t>合同编号：</w:t>
      </w:r>
    </w:p>
    <w:p>
      <w:pPr>
        <w:rPr>
          <w:rFonts w:ascii="Times New Roman" w:hAnsi="Times New Roman"/>
          <w:sz w:val="28"/>
          <w:szCs w:val="28"/>
        </w:rPr>
      </w:pPr>
    </w:p>
    <w:p>
      <w:pPr>
        <w:jc w:val="center"/>
        <w:rPr>
          <w:rFonts w:ascii="Times New Roman" w:hAnsi="Times New Roman"/>
        </w:rPr>
      </w:pPr>
    </w:p>
    <w:p>
      <w:pPr>
        <w:pStyle w:val="2"/>
        <w:numPr>
          <w:ilvl w:val="0"/>
          <w:numId w:val="0"/>
        </w:numPr>
        <w:ind w:left="3261"/>
      </w:pPr>
    </w:p>
    <w:p>
      <w:pPr>
        <w:pStyle w:val="3"/>
        <w:numPr>
          <w:ilvl w:val="0"/>
          <w:numId w:val="0"/>
        </w:numPr>
        <w:spacing w:after="120"/>
        <w:ind w:left="851"/>
      </w:pPr>
    </w:p>
    <w:p>
      <w:pPr>
        <w:jc w:val="center"/>
        <w:rPr>
          <w:rFonts w:ascii="Times New Roman" w:hAnsi="Times New Roman"/>
        </w:rPr>
      </w:pPr>
    </w:p>
    <w:p>
      <w:pPr>
        <w:jc w:val="center"/>
        <w:rPr>
          <w:rFonts w:ascii="黑体" w:hAnsi="Times New Roman" w:eastAsia="黑体"/>
          <w:sz w:val="36"/>
          <w:szCs w:val="36"/>
        </w:rPr>
      </w:pPr>
    </w:p>
    <w:p>
      <w:pPr>
        <w:jc w:val="center"/>
      </w:pPr>
      <w:r>
        <w:rPr>
          <w:rFonts w:hint="eastAsia" w:ascii="黑体" w:eastAsia="黑体"/>
          <w:sz w:val="52"/>
          <w:szCs w:val="52"/>
        </w:rPr>
        <w:t>合同范本</w:t>
      </w:r>
    </w:p>
    <w:p>
      <w:pPr>
        <w:rPr>
          <w:rFonts w:ascii="黑体" w:eastAsia="黑体"/>
          <w:sz w:val="36"/>
          <w:szCs w:val="36"/>
        </w:rPr>
      </w:pPr>
    </w:p>
    <w:p>
      <w:pPr>
        <w:rPr>
          <w:rFonts w:ascii="黑体" w:eastAsia="黑体"/>
          <w:sz w:val="36"/>
          <w:szCs w:val="36"/>
        </w:rPr>
      </w:pPr>
    </w:p>
    <w:p>
      <w:pPr>
        <w:rPr>
          <w:rFonts w:ascii="黑体" w:eastAsia="黑体"/>
          <w:sz w:val="36"/>
          <w:szCs w:val="36"/>
        </w:rPr>
      </w:pPr>
    </w:p>
    <w:p>
      <w:pPr>
        <w:rPr>
          <w:rFonts w:ascii="黑体" w:eastAsia="黑体"/>
          <w:sz w:val="36"/>
          <w:szCs w:val="36"/>
        </w:rPr>
      </w:pPr>
    </w:p>
    <w:p>
      <w:pPr>
        <w:rPr>
          <w:rFonts w:ascii="黑体" w:eastAsia="黑体"/>
          <w:sz w:val="36"/>
          <w:szCs w:val="36"/>
        </w:rPr>
      </w:pPr>
    </w:p>
    <w:p>
      <w:pPr>
        <w:rPr>
          <w:rFonts w:ascii="黑体" w:eastAsia="黑体"/>
          <w:sz w:val="36"/>
          <w:szCs w:val="36"/>
        </w:rPr>
      </w:pPr>
    </w:p>
    <w:p>
      <w:pPr>
        <w:rPr>
          <w:rFonts w:ascii="黑体" w:eastAsia="黑体"/>
          <w:sz w:val="36"/>
          <w:szCs w:val="36"/>
        </w:rPr>
      </w:pPr>
    </w:p>
    <w:p>
      <w:pPr>
        <w:spacing w:line="360" w:lineRule="auto"/>
        <w:rPr>
          <w:rFonts w:ascii="黑体" w:eastAsia="黑体"/>
          <w:sz w:val="36"/>
          <w:szCs w:val="36"/>
        </w:rPr>
      </w:pPr>
    </w:p>
    <w:p>
      <w:pPr>
        <w:spacing w:line="360" w:lineRule="auto"/>
        <w:rPr>
          <w:rFonts w:ascii="黑体" w:eastAsia="黑体"/>
          <w:sz w:val="36"/>
          <w:szCs w:val="36"/>
        </w:rPr>
      </w:pPr>
      <w:r>
        <w:rPr>
          <w:rFonts w:hint="eastAsia" w:ascii="黑体" w:eastAsia="黑体"/>
          <w:sz w:val="36"/>
          <w:szCs w:val="36"/>
        </w:rPr>
        <w:t xml:space="preserve">         委托单位：</w:t>
      </w:r>
    </w:p>
    <w:p>
      <w:pPr>
        <w:spacing w:line="360" w:lineRule="auto"/>
        <w:rPr>
          <w:rFonts w:ascii="黑体" w:eastAsia="黑体"/>
          <w:sz w:val="36"/>
          <w:szCs w:val="36"/>
        </w:rPr>
      </w:pPr>
      <w:r>
        <w:rPr>
          <w:rFonts w:hint="eastAsia" w:ascii="黑体" w:eastAsia="黑体"/>
          <w:sz w:val="36"/>
          <w:szCs w:val="36"/>
        </w:rPr>
        <w:t xml:space="preserve">         编制单位：</w:t>
      </w:r>
    </w:p>
    <w:p>
      <w:pPr>
        <w:spacing w:line="360" w:lineRule="auto"/>
        <w:rPr>
          <w:rFonts w:ascii="黑体" w:eastAsia="黑体"/>
          <w:sz w:val="36"/>
          <w:szCs w:val="36"/>
          <w:u w:val="single"/>
        </w:rPr>
      </w:pPr>
      <w:r>
        <w:rPr>
          <w:rFonts w:hint="eastAsia" w:ascii="黑体" w:eastAsia="黑体"/>
          <w:sz w:val="36"/>
          <w:szCs w:val="36"/>
        </w:rPr>
        <w:t xml:space="preserve">         签约地点：</w:t>
      </w:r>
    </w:p>
    <w:p>
      <w:pPr>
        <w:spacing w:line="360" w:lineRule="auto"/>
        <w:rPr>
          <w:rFonts w:ascii="黑体" w:eastAsia="黑体"/>
          <w:sz w:val="36"/>
          <w:szCs w:val="36"/>
          <w:u w:val="single"/>
        </w:rPr>
      </w:pPr>
      <w:r>
        <w:rPr>
          <w:rFonts w:hint="eastAsia" w:ascii="黑体" w:eastAsia="黑体"/>
          <w:sz w:val="36"/>
          <w:szCs w:val="36"/>
        </w:rPr>
        <w:t xml:space="preserve">         签约日期：</w:t>
      </w:r>
      <w:r>
        <w:rPr>
          <w:rFonts w:hint="eastAsia" w:ascii="黑体" w:eastAsia="黑体"/>
          <w:sz w:val="36"/>
          <w:szCs w:val="36"/>
          <w:u w:val="single"/>
        </w:rPr>
        <w:t xml:space="preserve">     年    月    日        </w:t>
      </w:r>
    </w:p>
    <w:p>
      <w:pPr>
        <w:spacing w:line="276" w:lineRule="auto"/>
        <w:rPr>
          <w:rFonts w:ascii="黑体" w:hAnsi="Times New Roman" w:eastAsia="黑体" w:cs="方正仿宋简体"/>
          <w:sz w:val="36"/>
          <w:szCs w:val="36"/>
        </w:rPr>
      </w:pPr>
    </w:p>
    <w:p>
      <w:pPr>
        <w:spacing w:line="276" w:lineRule="auto"/>
        <w:rPr>
          <w:rFonts w:ascii="黑体" w:hAnsi="Times New Roman" w:eastAsia="黑体" w:cs="方正仿宋简体"/>
          <w:sz w:val="36"/>
          <w:szCs w:val="36"/>
        </w:rPr>
      </w:pPr>
    </w:p>
    <w:p>
      <w:pPr>
        <w:spacing w:line="276" w:lineRule="auto"/>
        <w:rPr>
          <w:rFonts w:ascii="黑体" w:hAnsi="Times New Roman" w:eastAsia="黑体"/>
          <w:sz w:val="36"/>
          <w:szCs w:val="36"/>
        </w:rPr>
      </w:pPr>
    </w:p>
    <w:p/>
    <w:p/>
    <w:p/>
    <w:p/>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甲方（委托方）：</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乙方（服务方）：</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根据《中华人民共和国合同法》的规定，甲乙双方就服务，协商签订本合同，以共同信守。</w:t>
      </w:r>
    </w:p>
    <w:p>
      <w:pPr>
        <w:spacing w:line="360" w:lineRule="auto"/>
        <w:rPr>
          <w:rFonts w:asciiTheme="minorEastAsia" w:hAnsiTheme="minorEastAsia" w:eastAsiaTheme="minorEastAsia"/>
          <w:b/>
          <w:sz w:val="24"/>
          <w:szCs w:val="24"/>
        </w:rPr>
      </w:pPr>
      <w:r>
        <w:rPr>
          <w:rFonts w:hint="eastAsia" w:asciiTheme="minorEastAsia" w:hAnsiTheme="minorEastAsia" w:eastAsiaTheme="minorEastAsia"/>
          <w:b/>
          <w:sz w:val="24"/>
          <w:szCs w:val="24"/>
        </w:rPr>
        <w:t>一、服务内容、要求和验收方式</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1、甲方委托乙方对</w:t>
      </w:r>
      <w:r>
        <w:rPr>
          <w:rFonts w:hint="eastAsia" w:hAnsi="宋体"/>
          <w:u w:val="single"/>
        </w:rPr>
        <w:t>深海科考实验研究与岸基保障平台——三亚深海科考码头</w:t>
      </w:r>
      <w:r>
        <w:rPr>
          <w:rFonts w:hint="eastAsia" w:asciiTheme="minorEastAsia" w:hAnsiTheme="minorEastAsia" w:eastAsiaTheme="minorEastAsia"/>
          <w:sz w:val="24"/>
          <w:szCs w:val="24"/>
        </w:rPr>
        <w:t>项目进行</w:t>
      </w:r>
      <w:r>
        <w:rPr>
          <w:rFonts w:hint="eastAsia" w:asciiTheme="minorEastAsia" w:hAnsiTheme="minorEastAsia" w:eastAsiaTheme="minorEastAsia"/>
          <w:sz w:val="24"/>
          <w:szCs w:val="24"/>
          <w:u w:val="single"/>
        </w:rPr>
        <w:t xml:space="preserve">环境影响评价相关 </w:t>
      </w:r>
      <w:r>
        <w:rPr>
          <w:rFonts w:hint="eastAsia" w:asciiTheme="minorEastAsia" w:hAnsiTheme="minorEastAsia" w:eastAsiaTheme="minorEastAsia"/>
          <w:sz w:val="24"/>
          <w:szCs w:val="24"/>
        </w:rPr>
        <w:t>工作，并编制</w:t>
      </w:r>
      <w:r>
        <w:rPr>
          <w:rFonts w:hint="eastAsia" w:asciiTheme="minorEastAsia" w:hAnsiTheme="minorEastAsia" w:eastAsiaTheme="minorEastAsia"/>
          <w:b/>
          <w:sz w:val="24"/>
          <w:szCs w:val="24"/>
          <w:u w:val="single"/>
        </w:rPr>
        <w:t>《</w:t>
      </w:r>
      <w:r>
        <w:rPr>
          <w:rFonts w:hint="eastAsia" w:asciiTheme="minorEastAsia" w:hAnsiTheme="minorEastAsia" w:eastAsiaTheme="minorEastAsia"/>
          <w:sz w:val="24"/>
          <w:szCs w:val="24"/>
          <w:u w:val="single"/>
        </w:rPr>
        <w:t xml:space="preserve">环境影响评价报告》等 </w:t>
      </w:r>
      <w:r>
        <w:rPr>
          <w:rFonts w:hint="eastAsia" w:asciiTheme="minorEastAsia" w:hAnsiTheme="minorEastAsia" w:eastAsiaTheme="minorEastAsia"/>
          <w:sz w:val="24"/>
          <w:szCs w:val="24"/>
        </w:rPr>
        <w:t xml:space="preserve"> 。</w:t>
      </w:r>
    </w:p>
    <w:p>
      <w:pPr>
        <w:pStyle w:val="2"/>
        <w:numPr>
          <w:ilvl w:val="0"/>
          <w:numId w:val="0"/>
        </w:numPr>
        <w:ind w:firstLine="480" w:firstLineChars="200"/>
        <w:rPr>
          <w:rFonts w:asciiTheme="minorEastAsia" w:hAnsiTheme="minorEastAsia" w:eastAsiaTheme="minorEastAsia"/>
          <w:b w:val="0"/>
          <w:sz w:val="24"/>
          <w:szCs w:val="24"/>
        </w:rPr>
      </w:pPr>
      <w:r>
        <w:rPr>
          <w:rFonts w:hint="eastAsia" w:asciiTheme="minorEastAsia" w:hAnsiTheme="minorEastAsia" w:eastAsiaTheme="minorEastAsia"/>
          <w:b w:val="0"/>
          <w:sz w:val="24"/>
          <w:szCs w:val="24"/>
        </w:rPr>
        <w:t>2、工作要求：乙方应遵循客观、科学、公平、公正原则，提供符合国家经济技术政策、规定，符合甲方的技术、质量要求的咨询服务，并按照合同约定完成本项目</w:t>
      </w:r>
      <w:r>
        <w:rPr>
          <w:rFonts w:hint="eastAsia" w:asciiTheme="minorEastAsia" w:hAnsiTheme="minorEastAsia" w:eastAsiaTheme="minorEastAsia"/>
          <w:b w:val="0"/>
          <w:sz w:val="24"/>
          <w:szCs w:val="24"/>
          <w:u w:val="single"/>
        </w:rPr>
        <w:t xml:space="preserve">  环境影响评价报告及评审工作  </w:t>
      </w:r>
      <w:r>
        <w:rPr>
          <w:rFonts w:hint="eastAsia" w:asciiTheme="minorEastAsia" w:hAnsiTheme="minorEastAsia" w:eastAsiaTheme="minorEastAsia"/>
          <w:b w:val="0"/>
          <w:sz w:val="24"/>
          <w:szCs w:val="24"/>
        </w:rPr>
        <w:t>。</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3、验收方式：双方确定，乙方编制的《环境影响评价报告》以通过生态环境部（如政策调整，以实际审批部门为准）组织的专家评审的方式验收，符合国家发改委立项项目的报批要求。</w:t>
      </w:r>
    </w:p>
    <w:p>
      <w:pPr>
        <w:spacing w:line="360" w:lineRule="auto"/>
        <w:rPr>
          <w:rFonts w:asciiTheme="minorEastAsia" w:hAnsiTheme="minorEastAsia" w:eastAsiaTheme="minorEastAsia"/>
          <w:b/>
          <w:sz w:val="24"/>
          <w:szCs w:val="24"/>
        </w:rPr>
      </w:pPr>
      <w:r>
        <w:rPr>
          <w:rFonts w:hint="eastAsia" w:asciiTheme="minorEastAsia" w:hAnsiTheme="minorEastAsia" w:eastAsiaTheme="minorEastAsia"/>
          <w:b/>
          <w:sz w:val="24"/>
          <w:szCs w:val="24"/>
        </w:rPr>
        <w:t>二、服务收费及付款方式</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1、本合同总金额共计人民币（大写）：</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元）（</w:t>
      </w:r>
      <w:r>
        <w:rPr>
          <w:rFonts w:hint="eastAsia" w:ascii="宋体" w:hAnsi="宋体"/>
          <w:kern w:val="0"/>
          <w:sz w:val="24"/>
        </w:rPr>
        <w:t>费用包括环境</w:t>
      </w:r>
      <w:r>
        <w:rPr>
          <w:rFonts w:hint="eastAsia" w:ascii="宋体" w:hAnsi="宋体"/>
          <w:sz w:val="24"/>
          <w:szCs w:val="24"/>
        </w:rPr>
        <w:t>调查与监测费（大气、噪声、地表水）</w:t>
      </w:r>
      <w:r>
        <w:rPr>
          <w:rFonts w:hint="eastAsia" w:ascii="宋体" w:hAnsi="宋体"/>
          <w:kern w:val="0"/>
          <w:sz w:val="24"/>
        </w:rPr>
        <w:t>、资料收集费、数学模拟费、文本编制费、文本修改费、会务费、专家评审费、税费等报告书通过审批所需要的全部工作费用</w:t>
      </w:r>
      <w:r>
        <w:rPr>
          <w:rFonts w:ascii="宋体" w:hAnsi="宋体"/>
          <w:kern w:val="0"/>
          <w:sz w:val="24"/>
        </w:rPr>
        <w:t>）</w:t>
      </w:r>
      <w:r>
        <w:rPr>
          <w:rFonts w:hint="eastAsia" w:asciiTheme="minorEastAsia" w:hAnsiTheme="minorEastAsia" w:eastAsiaTheme="minorEastAsia"/>
          <w:sz w:val="24"/>
          <w:szCs w:val="24"/>
        </w:rPr>
        <w:t>。</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2、合同签订后7天内支付合同总金额的40%，即￥元；</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3、</w:t>
      </w:r>
      <w:r>
        <w:rPr>
          <w:rFonts w:hint="eastAsia" w:ascii="宋体" w:hAnsi="宋体"/>
          <w:sz w:val="24"/>
          <w:szCs w:val="24"/>
        </w:rPr>
        <w:t>递交</w:t>
      </w:r>
      <w:r>
        <w:rPr>
          <w:rFonts w:hint="eastAsia" w:asciiTheme="minorEastAsia" w:hAnsiTheme="minorEastAsia" w:eastAsiaTheme="minorEastAsia"/>
          <w:sz w:val="24"/>
          <w:szCs w:val="24"/>
        </w:rPr>
        <w:t>《环境影响评价报告》</w:t>
      </w:r>
      <w:r>
        <w:rPr>
          <w:rFonts w:hint="eastAsia" w:ascii="宋体" w:hAnsi="宋体"/>
          <w:sz w:val="24"/>
          <w:szCs w:val="24"/>
        </w:rPr>
        <w:t>送审稿后7天内支付总费用的30%，</w:t>
      </w:r>
      <w:r>
        <w:rPr>
          <w:rFonts w:hint="eastAsia" w:asciiTheme="minorEastAsia" w:hAnsiTheme="minorEastAsia" w:eastAsiaTheme="minorEastAsia"/>
          <w:sz w:val="24"/>
          <w:szCs w:val="24"/>
        </w:rPr>
        <w:t>即￥元。</w:t>
      </w:r>
    </w:p>
    <w:p>
      <w:pPr>
        <w:spacing w:line="360" w:lineRule="auto"/>
        <w:ind w:firstLine="480" w:firstLineChars="200"/>
        <w:rPr>
          <w:rFonts w:hint="eastAsia" w:asciiTheme="minorEastAsia" w:hAnsiTheme="minorEastAsia" w:eastAsiaTheme="minorEastAsia"/>
          <w:sz w:val="24"/>
          <w:szCs w:val="24"/>
        </w:rPr>
      </w:pPr>
      <w:r>
        <w:rPr>
          <w:rFonts w:hint="eastAsia" w:asciiTheme="minorEastAsia" w:hAnsiTheme="minorEastAsia" w:eastAsiaTheme="minorEastAsia"/>
          <w:sz w:val="24"/>
          <w:szCs w:val="24"/>
        </w:rPr>
        <w:t>4、通过生态环境部主管部门组织的专家评审，乙方根据专家意见修改完善经专家复核形成报批稿并提交给甲方后，甲方应向乙方支付合同总金额的30%，即￥元。</w:t>
      </w:r>
    </w:p>
    <w:p>
      <w:pPr>
        <w:pStyle w:val="2"/>
        <w:numPr>
          <w:ilvl w:val="0"/>
          <w:numId w:val="0"/>
        </w:numPr>
        <w:jc w:val="left"/>
        <w:rPr>
          <w:rFonts w:cs="Calibri" w:asciiTheme="minorEastAsia" w:hAnsiTheme="minorEastAsia" w:eastAsiaTheme="minorEastAsia"/>
          <w:b w:val="0"/>
          <w:bCs w:val="0"/>
          <w:sz w:val="24"/>
          <w:szCs w:val="24"/>
        </w:rPr>
      </w:pPr>
      <w:r>
        <w:rPr>
          <w:rFonts w:hint="eastAsia" w:cs="Calibri" w:asciiTheme="minorEastAsia" w:hAnsiTheme="minorEastAsia" w:eastAsiaTheme="minorEastAsia"/>
          <w:b w:val="0"/>
          <w:bCs w:val="0"/>
          <w:sz w:val="24"/>
          <w:szCs w:val="24"/>
        </w:rPr>
        <w:t xml:space="preserve">    5、乙方在每次请款前的5日内，应向甲方提供足额的甲方认可的有效合法发票作为请款依据，否则，甲方有权拒绝付款。因乙方出具发票迟延，甲方付款时间做相应顺延。</w:t>
      </w:r>
    </w:p>
    <w:p>
      <w:pPr>
        <w:spacing w:line="360" w:lineRule="auto"/>
        <w:rPr>
          <w:rFonts w:asciiTheme="minorEastAsia" w:hAnsiTheme="minorEastAsia" w:eastAsiaTheme="minorEastAsia"/>
          <w:b/>
          <w:sz w:val="24"/>
          <w:szCs w:val="24"/>
        </w:rPr>
      </w:pPr>
      <w:r>
        <w:rPr>
          <w:rFonts w:hint="eastAsia" w:asciiTheme="minorEastAsia" w:hAnsiTheme="minorEastAsia" w:eastAsiaTheme="minorEastAsia"/>
          <w:b/>
          <w:sz w:val="24"/>
          <w:szCs w:val="24"/>
        </w:rPr>
        <w:t>三、双方权利义务</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1、甲方</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(1) 甲方应及时向乙方提供有关的项目工程资料及有关的批复文件，并对所提供资料负责。</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(2)甲方应按合同约定向乙方支付服务费。</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2、乙方</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(1) 监测完成后，乙方须按甲方要求提交</w:t>
      </w:r>
      <w:r>
        <w:rPr>
          <w:rFonts w:hint="eastAsia" w:asciiTheme="minorEastAsia" w:hAnsiTheme="minorEastAsia" w:eastAsiaTheme="minorEastAsia"/>
          <w:b/>
          <w:sz w:val="24"/>
          <w:szCs w:val="24"/>
        </w:rPr>
        <w:t>《</w:t>
      </w:r>
      <w:r>
        <w:rPr>
          <w:rFonts w:hint="eastAsia" w:asciiTheme="minorEastAsia" w:hAnsiTheme="minorEastAsia" w:eastAsiaTheme="minorEastAsia"/>
          <w:sz w:val="24"/>
          <w:szCs w:val="24"/>
        </w:rPr>
        <w:t>环境影响评价报告》、盖CMA的数据报表、等成果文件各一式</w:t>
      </w:r>
      <w:r>
        <w:rPr>
          <w:rFonts w:hint="eastAsia" w:asciiTheme="minorEastAsia" w:hAnsiTheme="minorEastAsia" w:eastAsiaTheme="minorEastAsia"/>
          <w:sz w:val="24"/>
          <w:szCs w:val="24"/>
          <w:u w:val="single"/>
        </w:rPr>
        <w:t xml:space="preserve"> 6 </w:t>
      </w:r>
      <w:r>
        <w:rPr>
          <w:rFonts w:hint="eastAsia" w:asciiTheme="minorEastAsia" w:hAnsiTheme="minorEastAsia" w:eastAsiaTheme="minorEastAsia"/>
          <w:sz w:val="24"/>
          <w:szCs w:val="24"/>
        </w:rPr>
        <w:t>份。由甲方呈报生态环境部组织专家评审，乙方应保证《环境影响评价报告》通过生态环境部主管部门组织的专家评审。</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(2) 乙方应对编制的成果文件结论负责。</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(3)评审会务费及专家审查费由乙方承担。</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(4)乙方编制的成果文件应满足</w:t>
      </w:r>
      <w:r>
        <w:rPr>
          <w:rFonts w:hint="eastAsia"/>
          <w:sz w:val="24"/>
          <w:szCs w:val="24"/>
        </w:rPr>
        <w:t>《中华人民共和国环境保护法》、</w:t>
      </w:r>
      <w:r>
        <w:rPr>
          <w:rFonts w:hint="eastAsia" w:asciiTheme="minorEastAsia" w:hAnsiTheme="minorEastAsia" w:eastAsiaTheme="minorEastAsia"/>
          <w:sz w:val="24"/>
          <w:szCs w:val="24"/>
        </w:rPr>
        <w:t>《中华人民共和国海洋环境保护法》、《中华人民共和国海域使用管理法》、《中华人民共和国海洋环境保护法》等法律、法规、技术规范要求，并通过生态环境部主管部门组织的专家评审。</w:t>
      </w:r>
    </w:p>
    <w:p>
      <w:pPr>
        <w:spacing w:line="360" w:lineRule="auto"/>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四、违约处理及解决办法</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1、违约处理</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(1) 任何一方如提前终止合同，则按合同金额的30%向另一方赔偿经济损失。</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(2) 如果《环境影响评价报告》质量没有达到生态环境部主管部门组织的专家评审要求，需要增加或补充工作时，其经费由乙方负责。</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(3) 如甲方改变建设地点、建设规模及其它建设条件的，甲方须增加相应的费用。</w:t>
      </w:r>
    </w:p>
    <w:p>
      <w:pPr>
        <w:spacing w:line="360" w:lineRule="auto"/>
        <w:ind w:firstLine="600" w:firstLineChars="250"/>
        <w:rPr>
          <w:rFonts w:asciiTheme="minorEastAsia" w:hAnsiTheme="minorEastAsia" w:eastAsiaTheme="minorEastAsia"/>
          <w:sz w:val="24"/>
          <w:szCs w:val="24"/>
        </w:rPr>
      </w:pPr>
      <w:r>
        <w:rPr>
          <w:rFonts w:hint="eastAsia" w:asciiTheme="minorEastAsia" w:hAnsiTheme="minorEastAsia" w:eastAsiaTheme="minorEastAsia"/>
          <w:sz w:val="24"/>
          <w:szCs w:val="24"/>
        </w:rPr>
        <w:t>2、争议的解决办法</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(1) 在合同履行过程中发生争议，双方应协商解决，也可请求各自主管部门调解。</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(2) 甲乙双方不愿协商、调解或者协商、调解不成的，由三亚市仲裁委员会仲裁解决。</w:t>
      </w:r>
    </w:p>
    <w:p>
      <w:pPr>
        <w:spacing w:line="360" w:lineRule="auto"/>
        <w:rPr>
          <w:rFonts w:asciiTheme="minorEastAsia" w:hAnsiTheme="minorEastAsia" w:eastAsiaTheme="minorEastAsia"/>
          <w:b/>
          <w:sz w:val="24"/>
          <w:szCs w:val="24"/>
        </w:rPr>
      </w:pPr>
      <w:r>
        <w:rPr>
          <w:rFonts w:hint="eastAsia" w:asciiTheme="minorEastAsia" w:hAnsiTheme="minorEastAsia" w:eastAsiaTheme="minorEastAsia"/>
          <w:b/>
          <w:sz w:val="24"/>
          <w:szCs w:val="24"/>
        </w:rPr>
        <w:t>五、其它</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1、本合同未尽事宜，双方协商解决。</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2、本合同经双方签字盖章后生效。</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3、本合同一式8份，甲方执6份，乙方执2份。</w:t>
      </w:r>
    </w:p>
    <w:p>
      <w:pPr>
        <w:pStyle w:val="15"/>
        <w:ind w:firstLine="480" w:firstLineChars="200"/>
        <w:rPr>
          <w:rFonts w:cs="方正仿宋简体" w:asciiTheme="minorEastAsia" w:hAnsiTheme="minorEastAsia" w:eastAsiaTheme="minorEastAsia"/>
          <w:sz w:val="24"/>
          <w:szCs w:val="24"/>
        </w:rPr>
      </w:pP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甲方：                                 乙方：</w:t>
      </w:r>
    </w:p>
    <w:p>
      <w:pPr>
        <w:spacing w:line="360" w:lineRule="auto"/>
        <w:rPr>
          <w:rFonts w:asciiTheme="minorEastAsia" w:hAnsiTheme="minorEastAsia" w:eastAsiaTheme="minorEastAsia"/>
          <w:sz w:val="24"/>
          <w:szCs w:val="24"/>
        </w:rPr>
      </w:pP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法定代表人(签字):                      法定代表人(签字)：</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委托代表人(签字):                      委托代表人(签字):</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地  址：                               地  址：</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电  话：                               电  话：</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开户行：                               开户行：</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帐号:                                  帐  号：</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邮  编：                               邮  编：</w:t>
      </w:r>
    </w:p>
    <w:p>
      <w:pPr>
        <w:spacing w:line="360" w:lineRule="auto"/>
        <w:ind w:firstLine="602" w:firstLineChars="200"/>
        <w:jc w:val="center"/>
        <w:outlineLvl w:val="0"/>
        <w:rPr>
          <w:rFonts w:ascii="宋体" w:hAnsi="宋体" w:cs="宋体"/>
          <w:b/>
          <w:bCs/>
          <w:sz w:val="30"/>
          <w:szCs w:val="30"/>
        </w:rPr>
        <w:sectPr>
          <w:pgSz w:w="11907" w:h="16840"/>
          <w:pgMar w:top="1418" w:right="1134" w:bottom="1361" w:left="1134" w:header="794" w:footer="794" w:gutter="0"/>
          <w:cols w:space="720" w:num="1"/>
          <w:docGrid w:linePitch="285" w:charSpace="0"/>
        </w:sectPr>
      </w:pPr>
    </w:p>
    <w:p>
      <w:pPr>
        <w:spacing w:line="360" w:lineRule="auto"/>
        <w:ind w:firstLine="602" w:firstLineChars="200"/>
        <w:jc w:val="center"/>
        <w:outlineLvl w:val="0"/>
        <w:rPr>
          <w:rFonts w:ascii="宋体" w:cs="Times New Roman"/>
          <w:b/>
          <w:bCs/>
          <w:sz w:val="30"/>
          <w:szCs w:val="30"/>
        </w:rPr>
      </w:pPr>
      <w:r>
        <w:rPr>
          <w:rFonts w:hint="eastAsia" w:ascii="宋体" w:hAnsi="宋体" w:cs="宋体"/>
          <w:b/>
          <w:bCs/>
          <w:sz w:val="30"/>
          <w:szCs w:val="30"/>
        </w:rPr>
        <w:t>第五部分  投标文件格式</w:t>
      </w:r>
      <w:bookmarkEnd w:id="144"/>
      <w:bookmarkEnd w:id="145"/>
    </w:p>
    <w:p>
      <w:bookmarkStart w:id="146" w:name="_Toc6671"/>
      <w:bookmarkStart w:id="147" w:name="_Toc238907095"/>
      <w:bookmarkStart w:id="148" w:name="_Toc500150957"/>
      <w:bookmarkStart w:id="149" w:name="_Toc468811150"/>
      <w:r>
        <w:rPr>
          <w:rFonts w:hint="eastAsia" w:ascii="黑体" w:eastAsia="黑体"/>
          <w:sz w:val="32"/>
          <w:szCs w:val="32"/>
        </w:rPr>
        <w:t>（正本</w:t>
      </w:r>
      <w:r>
        <w:rPr>
          <w:rFonts w:ascii="黑体" w:hAnsi="黑体" w:eastAsia="黑体"/>
          <w:sz w:val="32"/>
          <w:szCs w:val="32"/>
        </w:rPr>
        <w:t>/</w:t>
      </w:r>
      <w:r>
        <w:rPr>
          <w:rFonts w:hint="eastAsia" w:ascii="黑体" w:eastAsia="黑体"/>
          <w:sz w:val="32"/>
          <w:szCs w:val="32"/>
        </w:rPr>
        <w:t>副本）</w:t>
      </w:r>
    </w:p>
    <w:p/>
    <w:p>
      <w:pPr>
        <w:spacing w:line="900" w:lineRule="exact"/>
        <w:ind w:right="-840" w:rightChars="-400"/>
        <w:jc w:val="center"/>
        <w:rPr>
          <w:rFonts w:ascii="宋体" w:hAnsi="宋体" w:cs="宋体"/>
          <w:b/>
          <w:bCs/>
          <w:sz w:val="48"/>
          <w:szCs w:val="52"/>
        </w:rPr>
      </w:pPr>
      <w:r>
        <w:rPr>
          <w:rFonts w:hint="eastAsia" w:ascii="宋体" w:hAnsi="宋体" w:cs="宋体"/>
          <w:b/>
          <w:bCs/>
          <w:sz w:val="48"/>
          <w:szCs w:val="52"/>
        </w:rPr>
        <w:t>深海科考实验研究与岸基保障平台</w:t>
      </w:r>
    </w:p>
    <w:p>
      <w:pPr>
        <w:spacing w:line="900" w:lineRule="exact"/>
        <w:ind w:right="-840" w:rightChars="-400"/>
        <w:jc w:val="center"/>
        <w:rPr>
          <w:rFonts w:ascii="宋体" w:hAnsi="宋体" w:cs="宋体"/>
          <w:b/>
          <w:bCs/>
          <w:sz w:val="48"/>
          <w:szCs w:val="52"/>
        </w:rPr>
      </w:pPr>
      <w:r>
        <w:rPr>
          <w:rFonts w:hint="eastAsia" w:ascii="宋体" w:hAnsi="宋体" w:cs="宋体"/>
          <w:b/>
          <w:bCs/>
          <w:sz w:val="48"/>
          <w:szCs w:val="52"/>
        </w:rPr>
        <w:t>——三亚深海科考码头项目</w:t>
      </w:r>
    </w:p>
    <w:p>
      <w:pPr>
        <w:spacing w:line="900" w:lineRule="exact"/>
        <w:ind w:right="-840" w:rightChars="-400"/>
        <w:jc w:val="center"/>
        <w:rPr>
          <w:rFonts w:ascii="宋体" w:hAnsi="宋体" w:cs="宋体"/>
          <w:b/>
          <w:bCs/>
          <w:sz w:val="48"/>
          <w:szCs w:val="52"/>
        </w:rPr>
      </w:pPr>
      <w:r>
        <w:rPr>
          <w:rFonts w:hint="eastAsia" w:ascii="宋体" w:hAnsi="宋体" w:cs="宋体"/>
          <w:b/>
          <w:bCs/>
          <w:sz w:val="48"/>
          <w:szCs w:val="52"/>
        </w:rPr>
        <w:t>环境影响评价</w:t>
      </w:r>
    </w:p>
    <w:p>
      <w:pPr>
        <w:spacing w:line="900" w:lineRule="exact"/>
        <w:ind w:left="-840" w:leftChars="-400" w:right="-840" w:rightChars="-400"/>
        <w:jc w:val="center"/>
        <w:rPr>
          <w:rFonts w:ascii="宋体" w:hAnsi="宋体"/>
          <w:b/>
          <w:sz w:val="44"/>
          <w:szCs w:val="44"/>
        </w:rPr>
      </w:pPr>
    </w:p>
    <w:p>
      <w:pPr>
        <w:spacing w:line="900" w:lineRule="exact"/>
        <w:ind w:left="-840" w:leftChars="-400" w:right="-840" w:rightChars="-400"/>
        <w:jc w:val="center"/>
        <w:rPr>
          <w:rFonts w:ascii="宋体" w:hAnsi="宋体"/>
          <w:b/>
          <w:sz w:val="44"/>
          <w:szCs w:val="44"/>
        </w:rPr>
      </w:pPr>
    </w:p>
    <w:p>
      <w:pPr>
        <w:pStyle w:val="2"/>
        <w:numPr>
          <w:ilvl w:val="0"/>
          <w:numId w:val="0"/>
        </w:numPr>
        <w:ind w:left="2694"/>
      </w:pPr>
    </w:p>
    <w:p>
      <w:pPr>
        <w:spacing w:line="900" w:lineRule="exact"/>
        <w:ind w:left="-840" w:leftChars="-400" w:right="-840" w:rightChars="-400"/>
        <w:jc w:val="center"/>
        <w:rPr>
          <w:rFonts w:ascii="宋体" w:hAnsi="宋体"/>
          <w:b/>
          <w:sz w:val="44"/>
          <w:szCs w:val="44"/>
        </w:rPr>
      </w:pPr>
      <w:r>
        <w:rPr>
          <w:rFonts w:hint="eastAsia" w:ascii="宋体" w:hAnsi="宋体"/>
          <w:b/>
          <w:sz w:val="44"/>
          <w:szCs w:val="44"/>
        </w:rPr>
        <w:t>投标文件</w:t>
      </w:r>
    </w:p>
    <w:p>
      <w:pPr>
        <w:snapToGrid w:val="0"/>
        <w:spacing w:line="760" w:lineRule="exact"/>
        <w:jc w:val="center"/>
        <w:rPr>
          <w:rFonts w:ascii="宋体" w:hAnsi="宋体"/>
          <w:sz w:val="32"/>
        </w:rPr>
      </w:pPr>
      <w:r>
        <w:rPr>
          <w:rFonts w:hint="eastAsia" w:ascii="宋体" w:hAnsi="宋体"/>
          <w:sz w:val="32"/>
        </w:rPr>
        <w:t>（商务及技术文件）</w:t>
      </w:r>
    </w:p>
    <w:p>
      <w:pPr>
        <w:pStyle w:val="2"/>
        <w:keepNext w:val="0"/>
        <w:keepLines w:val="0"/>
        <w:numPr>
          <w:ilvl w:val="0"/>
          <w:numId w:val="0"/>
        </w:numPr>
        <w:tabs>
          <w:tab w:val="left" w:pos="210"/>
          <w:tab w:val="left" w:pos="540"/>
          <w:tab w:val="left" w:pos="720"/>
        </w:tabs>
        <w:adjustRightInd w:val="0"/>
        <w:spacing w:beforeLines="50" w:afterLines="50"/>
        <w:ind w:left="1560"/>
        <w:rPr>
          <w:rFonts w:ascii="Times New Roman" w:hAnsi="Times New Roman"/>
          <w:sz w:val="32"/>
        </w:rPr>
      </w:pPr>
    </w:p>
    <w:p>
      <w:pPr>
        <w:pStyle w:val="2"/>
        <w:keepNext w:val="0"/>
        <w:keepLines w:val="0"/>
        <w:numPr>
          <w:ilvl w:val="0"/>
          <w:numId w:val="0"/>
        </w:numPr>
        <w:tabs>
          <w:tab w:val="left" w:pos="210"/>
          <w:tab w:val="left" w:pos="540"/>
          <w:tab w:val="left" w:pos="720"/>
        </w:tabs>
        <w:adjustRightInd w:val="0"/>
        <w:spacing w:beforeLines="50" w:afterLines="50"/>
        <w:ind w:left="1560"/>
        <w:rPr>
          <w:rFonts w:ascii="Times New Roman" w:hAnsi="Times New Roman"/>
          <w:sz w:val="32"/>
        </w:rPr>
      </w:pPr>
    </w:p>
    <w:p>
      <w:pPr>
        <w:pStyle w:val="2"/>
        <w:keepNext w:val="0"/>
        <w:keepLines w:val="0"/>
        <w:numPr>
          <w:ilvl w:val="0"/>
          <w:numId w:val="0"/>
        </w:numPr>
        <w:tabs>
          <w:tab w:val="left" w:pos="210"/>
          <w:tab w:val="left" w:pos="540"/>
          <w:tab w:val="left" w:pos="720"/>
        </w:tabs>
        <w:adjustRightInd w:val="0"/>
        <w:spacing w:beforeLines="50" w:afterLines="50"/>
        <w:ind w:left="1560"/>
        <w:rPr>
          <w:rFonts w:ascii="Times New Roman" w:hAnsi="Times New Roman"/>
          <w:sz w:val="32"/>
        </w:rPr>
      </w:pPr>
    </w:p>
    <w:p>
      <w:pPr>
        <w:pStyle w:val="2"/>
        <w:keepNext w:val="0"/>
        <w:keepLines w:val="0"/>
        <w:numPr>
          <w:ilvl w:val="0"/>
          <w:numId w:val="0"/>
        </w:numPr>
        <w:tabs>
          <w:tab w:val="left" w:pos="210"/>
          <w:tab w:val="left" w:pos="540"/>
          <w:tab w:val="left" w:pos="720"/>
        </w:tabs>
        <w:adjustRightInd w:val="0"/>
        <w:spacing w:beforeLines="50" w:afterLines="50"/>
        <w:ind w:left="1560"/>
        <w:rPr>
          <w:rFonts w:ascii="Times New Roman" w:hAnsi="Times New Roman"/>
          <w:sz w:val="32"/>
        </w:rPr>
      </w:pPr>
    </w:p>
    <w:p>
      <w:pPr>
        <w:snapToGrid w:val="0"/>
        <w:spacing w:line="760" w:lineRule="exact"/>
        <w:jc w:val="center"/>
        <w:rPr>
          <w:rFonts w:ascii="宋体" w:hAnsi="宋体"/>
          <w:sz w:val="28"/>
          <w:u w:val="single"/>
        </w:rPr>
      </w:pPr>
      <w:r>
        <w:rPr>
          <w:rFonts w:hint="eastAsia" w:ascii="宋体" w:hAnsi="宋体"/>
          <w:sz w:val="28"/>
        </w:rPr>
        <w:t>投标人：</w:t>
      </w:r>
      <w:r>
        <w:rPr>
          <w:rFonts w:hint="eastAsia" w:ascii="宋体" w:hAnsi="宋体"/>
          <w:sz w:val="28"/>
          <w:u w:val="single"/>
        </w:rPr>
        <w:t xml:space="preserve">                （盖法人单位公章 ）</w:t>
      </w:r>
    </w:p>
    <w:p>
      <w:pPr>
        <w:snapToGrid w:val="0"/>
        <w:spacing w:line="760" w:lineRule="exact"/>
        <w:ind w:firstLine="1120" w:firstLineChars="400"/>
        <w:rPr>
          <w:rFonts w:ascii="宋体" w:hAnsi="宋体"/>
          <w:sz w:val="28"/>
          <w:u w:val="single"/>
        </w:rPr>
      </w:pPr>
      <w:r>
        <w:rPr>
          <w:rFonts w:hint="eastAsia" w:ascii="宋体" w:hAnsi="宋体"/>
          <w:sz w:val="28"/>
        </w:rPr>
        <w:t xml:space="preserve">法定代表人或其委托代理人: </w:t>
      </w:r>
      <w:r>
        <w:rPr>
          <w:rFonts w:hint="eastAsia" w:ascii="宋体" w:hAnsi="宋体"/>
          <w:sz w:val="28"/>
          <w:u w:val="single"/>
        </w:rPr>
        <w:t xml:space="preserve">          （签名或盖章）</w:t>
      </w:r>
    </w:p>
    <w:p>
      <w:pPr>
        <w:snapToGrid w:val="0"/>
        <w:spacing w:line="760" w:lineRule="exact"/>
        <w:jc w:val="center"/>
        <w:rPr>
          <w:rFonts w:ascii="宋体" w:hAnsi="宋体"/>
          <w:b/>
          <w:sz w:val="32"/>
        </w:rPr>
      </w:pPr>
      <w:r>
        <w:rPr>
          <w:rFonts w:hint="eastAsia" w:ascii="宋体" w:hAnsi="宋体"/>
          <w:sz w:val="32"/>
        </w:rPr>
        <w:t>日期：    年   月   日</w:t>
      </w:r>
    </w:p>
    <w:p>
      <w:pPr>
        <w:jc w:val="center"/>
        <w:rPr>
          <w:b/>
        </w:rPr>
      </w:pPr>
      <w:r>
        <w:rPr>
          <w:rFonts w:hint="eastAsia"/>
          <w:b/>
        </w:rPr>
        <w:t>目录</w:t>
      </w:r>
    </w:p>
    <w:p>
      <w:pPr>
        <w:spacing w:line="360" w:lineRule="auto"/>
        <w:rPr>
          <w:rFonts w:ascii="宋体" w:hAnsi="宋体"/>
        </w:rPr>
      </w:pPr>
      <w:r>
        <w:rPr>
          <w:rFonts w:hint="eastAsia" w:ascii="宋体" w:hAnsi="宋体"/>
        </w:rPr>
        <w:t>（一）商务部分</w:t>
      </w:r>
    </w:p>
    <w:p>
      <w:pPr>
        <w:spacing w:line="360" w:lineRule="auto"/>
        <w:rPr>
          <w:rFonts w:ascii="宋体" w:hAnsi="宋体"/>
        </w:rPr>
      </w:pPr>
      <w:r>
        <w:rPr>
          <w:rFonts w:hint="eastAsia" w:ascii="宋体" w:hAnsi="宋体"/>
        </w:rPr>
        <w:t>一、投标函</w:t>
      </w:r>
    </w:p>
    <w:p>
      <w:pPr>
        <w:spacing w:line="360" w:lineRule="auto"/>
        <w:rPr>
          <w:rFonts w:ascii="宋体" w:hAnsi="宋体"/>
        </w:rPr>
      </w:pPr>
      <w:r>
        <w:rPr>
          <w:rFonts w:hint="eastAsia" w:ascii="宋体" w:hAnsi="宋体"/>
        </w:rPr>
        <w:t>二、报价一览表</w:t>
      </w:r>
    </w:p>
    <w:p>
      <w:pPr>
        <w:spacing w:line="360" w:lineRule="auto"/>
        <w:rPr>
          <w:rFonts w:ascii="宋体" w:hAnsi="宋体"/>
        </w:rPr>
      </w:pPr>
      <w:r>
        <w:rPr>
          <w:rFonts w:hint="eastAsia" w:ascii="宋体" w:hAnsi="宋体"/>
        </w:rPr>
        <w:t>三、法定代表人授权委托书</w:t>
      </w:r>
    </w:p>
    <w:p>
      <w:pPr>
        <w:spacing w:line="360" w:lineRule="auto"/>
        <w:rPr>
          <w:rFonts w:ascii="宋体" w:hAnsi="宋体"/>
        </w:rPr>
      </w:pPr>
      <w:r>
        <w:rPr>
          <w:rFonts w:hint="eastAsia" w:ascii="宋体" w:hAnsi="宋体"/>
        </w:rPr>
        <w:t>四、投标人基本情况表</w:t>
      </w:r>
    </w:p>
    <w:p>
      <w:pPr>
        <w:spacing w:line="360" w:lineRule="auto"/>
        <w:rPr>
          <w:rFonts w:ascii="宋体" w:hAnsi="宋体"/>
        </w:rPr>
      </w:pPr>
      <w:r>
        <w:rPr>
          <w:rFonts w:hint="eastAsia" w:ascii="宋体" w:hAnsi="宋体"/>
        </w:rPr>
        <w:t>五、投标人类似业绩一览表</w:t>
      </w:r>
    </w:p>
    <w:p>
      <w:pPr>
        <w:spacing w:line="360" w:lineRule="auto"/>
        <w:rPr>
          <w:rFonts w:ascii="宋体" w:hAnsi="宋体"/>
        </w:rPr>
      </w:pPr>
      <w:r>
        <w:rPr>
          <w:rFonts w:hint="eastAsia" w:ascii="宋体" w:hAnsi="宋体"/>
        </w:rPr>
        <w:t>六、项目管理人员配备及执行本合同的主要管理人员资格和经历</w:t>
      </w:r>
    </w:p>
    <w:p>
      <w:pPr>
        <w:spacing w:line="360" w:lineRule="auto"/>
        <w:rPr>
          <w:rFonts w:ascii="宋体" w:hAnsi="宋体"/>
        </w:rPr>
      </w:pPr>
      <w:r>
        <w:rPr>
          <w:rFonts w:hint="eastAsia" w:ascii="宋体" w:hAnsi="宋体"/>
        </w:rPr>
        <w:t>七、项目负责人资历及业绩表</w:t>
      </w:r>
    </w:p>
    <w:p>
      <w:pPr>
        <w:spacing w:line="360" w:lineRule="auto"/>
        <w:rPr>
          <w:rFonts w:ascii="宋体" w:hAnsi="宋体"/>
        </w:rPr>
      </w:pPr>
      <w:r>
        <w:rPr>
          <w:rFonts w:hint="eastAsia" w:ascii="宋体" w:hAnsi="宋体"/>
        </w:rPr>
        <w:t>八、其他材料</w:t>
      </w:r>
    </w:p>
    <w:p>
      <w:pPr>
        <w:spacing w:line="360" w:lineRule="auto"/>
        <w:rPr>
          <w:rFonts w:ascii="宋体" w:hAnsi="宋体"/>
        </w:rPr>
      </w:pPr>
      <w:r>
        <w:rPr>
          <w:rFonts w:hint="eastAsia" w:ascii="宋体" w:hAnsi="宋体"/>
        </w:rPr>
        <w:t>（二）技术部分</w:t>
      </w:r>
    </w:p>
    <w:p>
      <w:pPr>
        <w:spacing w:line="360" w:lineRule="auto"/>
        <w:rPr>
          <w:rFonts w:ascii="宋体" w:hAnsi="宋体"/>
        </w:rPr>
      </w:pPr>
    </w:p>
    <w:p>
      <w:pPr>
        <w:pStyle w:val="15"/>
        <w:overflowPunct w:val="0"/>
        <w:spacing w:line="560" w:lineRule="exact"/>
        <w:ind w:firstLine="0"/>
        <w:jc w:val="center"/>
        <w:rPr>
          <w:b/>
          <w:sz w:val="36"/>
          <w:szCs w:val="36"/>
        </w:rPr>
      </w:pPr>
    </w:p>
    <w:p>
      <w:pPr>
        <w:pStyle w:val="15"/>
        <w:overflowPunct w:val="0"/>
        <w:spacing w:line="560" w:lineRule="exact"/>
        <w:ind w:firstLine="0"/>
        <w:jc w:val="center"/>
        <w:rPr>
          <w:b/>
          <w:sz w:val="36"/>
          <w:szCs w:val="36"/>
        </w:rPr>
      </w:pPr>
    </w:p>
    <w:p>
      <w:pPr>
        <w:pStyle w:val="15"/>
        <w:overflowPunct w:val="0"/>
        <w:spacing w:line="560" w:lineRule="exact"/>
        <w:ind w:firstLine="0"/>
        <w:jc w:val="center"/>
        <w:rPr>
          <w:b/>
          <w:sz w:val="36"/>
          <w:szCs w:val="36"/>
        </w:rPr>
      </w:pPr>
    </w:p>
    <w:p>
      <w:pPr>
        <w:pStyle w:val="15"/>
        <w:overflowPunct w:val="0"/>
        <w:spacing w:line="560" w:lineRule="exact"/>
        <w:ind w:firstLine="0"/>
        <w:jc w:val="center"/>
        <w:rPr>
          <w:b/>
          <w:sz w:val="36"/>
          <w:szCs w:val="36"/>
        </w:rPr>
        <w:sectPr>
          <w:pgSz w:w="11906" w:h="16838"/>
          <w:pgMar w:top="1418" w:right="1361" w:bottom="1418" w:left="1474" w:header="851" w:footer="851" w:gutter="0"/>
          <w:cols w:space="720" w:num="1"/>
          <w:titlePg/>
          <w:docGrid w:type="lines" w:linePitch="312" w:charSpace="0"/>
        </w:sectPr>
      </w:pPr>
    </w:p>
    <w:p>
      <w:pPr>
        <w:pStyle w:val="2"/>
        <w:keepNext w:val="0"/>
        <w:keepLines w:val="0"/>
        <w:numPr>
          <w:ilvl w:val="0"/>
          <w:numId w:val="0"/>
        </w:numPr>
        <w:jc w:val="left"/>
        <w:rPr>
          <w:rFonts w:ascii="Times New Roman" w:hAnsi="Times New Roman"/>
          <w:sz w:val="32"/>
        </w:rPr>
      </w:pPr>
      <w:r>
        <w:rPr>
          <w:rFonts w:hint="eastAsia" w:ascii="Times New Roman" w:hAnsi="Times New Roman"/>
          <w:sz w:val="32"/>
        </w:rPr>
        <w:t>（一）商务部分</w:t>
      </w:r>
    </w:p>
    <w:p>
      <w:pPr>
        <w:pStyle w:val="15"/>
        <w:overflowPunct w:val="0"/>
        <w:spacing w:line="560" w:lineRule="exact"/>
        <w:ind w:firstLine="0"/>
        <w:jc w:val="center"/>
        <w:rPr>
          <w:b/>
          <w:sz w:val="32"/>
          <w:szCs w:val="36"/>
        </w:rPr>
      </w:pPr>
      <w:r>
        <w:rPr>
          <w:rFonts w:hint="eastAsia"/>
          <w:b/>
          <w:sz w:val="32"/>
          <w:szCs w:val="36"/>
        </w:rPr>
        <w:t>1、投  标  函</w:t>
      </w:r>
    </w:p>
    <w:p>
      <w:pPr>
        <w:pStyle w:val="15"/>
        <w:overflowPunct w:val="0"/>
        <w:spacing w:line="560" w:lineRule="exact"/>
        <w:ind w:firstLine="0"/>
        <w:jc w:val="center"/>
        <w:rPr>
          <w:b/>
          <w:sz w:val="32"/>
          <w:szCs w:val="36"/>
        </w:rPr>
      </w:pPr>
    </w:p>
    <w:p>
      <w:pPr>
        <w:spacing w:line="360" w:lineRule="auto"/>
        <w:rPr>
          <w:sz w:val="24"/>
        </w:rPr>
      </w:pPr>
      <w:r>
        <w:rPr>
          <w:rFonts w:hint="eastAsia" w:ascii="Times New Roman" w:hAnsi="Times New Roman" w:cs="Times New Roman"/>
          <w:b/>
          <w:bCs/>
          <w:sz w:val="24"/>
          <w:szCs w:val="24"/>
          <w:lang w:val="en-GB"/>
        </w:rPr>
        <w:t>中国科学院深海科学与工程研究所</w:t>
      </w:r>
      <w:r>
        <w:rPr>
          <w:rFonts w:hint="eastAsia"/>
          <w:sz w:val="24"/>
        </w:rPr>
        <w:t>：</w:t>
      </w:r>
    </w:p>
    <w:p>
      <w:pPr>
        <w:pStyle w:val="233"/>
        <w:spacing w:line="440" w:lineRule="exact"/>
        <w:ind w:firstLine="480" w:firstLineChars="200"/>
        <w:rPr>
          <w:rFonts w:ascii="Times New Roman" w:hAnsi="Times New Roman" w:eastAsia="宋体"/>
          <w:sz w:val="24"/>
          <w:szCs w:val="24"/>
        </w:rPr>
      </w:pPr>
      <w:r>
        <w:rPr>
          <w:rFonts w:hint="eastAsia" w:ascii="Times New Roman" w:hAnsi="Times New Roman" w:eastAsia="宋体"/>
          <w:sz w:val="24"/>
          <w:szCs w:val="24"/>
        </w:rPr>
        <w:t>我们仔细阅读并全面研究了</w:t>
      </w:r>
      <w:r>
        <w:rPr>
          <w:rFonts w:hint="eastAsia" w:ascii="Times New Roman" w:hAnsi="Times New Roman" w:eastAsia="宋体"/>
          <w:iCs/>
          <w:sz w:val="24"/>
          <w:szCs w:val="21"/>
          <w:u w:val="single"/>
        </w:rPr>
        <w:t>（招标项目名称和编号）</w:t>
      </w:r>
      <w:r>
        <w:rPr>
          <w:rFonts w:hint="eastAsia" w:ascii="Times New Roman" w:hAnsi="Times New Roman" w:eastAsia="宋体"/>
          <w:sz w:val="24"/>
          <w:szCs w:val="24"/>
        </w:rPr>
        <w:t>招标文件，决定响应招标文件的邀请，参加本项目投标。</w:t>
      </w:r>
    </w:p>
    <w:p>
      <w:pPr>
        <w:spacing w:line="440" w:lineRule="exact"/>
        <w:ind w:firstLine="480" w:firstLineChars="200"/>
        <w:rPr>
          <w:sz w:val="24"/>
        </w:rPr>
      </w:pPr>
      <w:r>
        <w:rPr>
          <w:sz w:val="24"/>
        </w:rPr>
        <w:t>1</w:t>
      </w:r>
      <w:r>
        <w:rPr>
          <w:rFonts w:hint="eastAsia"/>
          <w:sz w:val="24"/>
        </w:rPr>
        <w:t>、</w:t>
      </w:r>
      <w:r>
        <w:rPr>
          <w:sz w:val="24"/>
        </w:rPr>
        <w:t>按照贵方提供的招标文件的要求，我方愿以总价元</w:t>
      </w:r>
      <w:r>
        <w:rPr>
          <w:rFonts w:hint="eastAsia"/>
          <w:bCs/>
          <w:kern w:val="0"/>
        </w:rPr>
        <w:t>，</w:t>
      </w:r>
      <w:r>
        <w:rPr>
          <w:sz w:val="24"/>
        </w:rPr>
        <w:t>作为本项目报价，</w:t>
      </w:r>
      <w:r>
        <w:rPr>
          <w:rFonts w:hint="eastAsia"/>
          <w:sz w:val="24"/>
        </w:rPr>
        <w:t>投标报价一次报定。</w:t>
      </w:r>
    </w:p>
    <w:p>
      <w:pPr>
        <w:pStyle w:val="233"/>
        <w:spacing w:line="440" w:lineRule="exact"/>
        <w:ind w:firstLine="480" w:firstLineChars="200"/>
        <w:rPr>
          <w:rFonts w:ascii="Times New Roman" w:hAnsi="Times New Roman" w:eastAsia="宋体"/>
          <w:sz w:val="24"/>
          <w:szCs w:val="24"/>
        </w:rPr>
      </w:pPr>
      <w:r>
        <w:rPr>
          <w:rFonts w:hint="eastAsia" w:ascii="Times New Roman" w:hAnsi="Times New Roman" w:eastAsia="宋体"/>
          <w:sz w:val="24"/>
          <w:szCs w:val="24"/>
        </w:rPr>
        <w:t>2、我们同意按招标文件中的规定，本投标文件的有效期限为开标之日起</w:t>
      </w:r>
      <w:r>
        <w:rPr>
          <w:rFonts w:hint="eastAsia" w:ascii="Times New Roman" w:hAnsi="Times New Roman" w:eastAsia="宋体"/>
          <w:b/>
          <w:sz w:val="24"/>
          <w:szCs w:val="24"/>
          <w:u w:val="single"/>
        </w:rPr>
        <w:t>90</w:t>
      </w:r>
      <w:r>
        <w:rPr>
          <w:rFonts w:hint="eastAsia" w:ascii="Times New Roman" w:hAnsi="Times New Roman" w:eastAsia="宋体"/>
          <w:sz w:val="24"/>
          <w:szCs w:val="24"/>
        </w:rPr>
        <w:t>天，服务周期：日历天。</w:t>
      </w:r>
    </w:p>
    <w:p>
      <w:pPr>
        <w:pStyle w:val="233"/>
        <w:spacing w:line="440" w:lineRule="exact"/>
        <w:ind w:firstLine="480" w:firstLineChars="200"/>
        <w:rPr>
          <w:rFonts w:ascii="Times New Roman" w:hAnsi="Times New Roman" w:eastAsia="宋体"/>
          <w:sz w:val="24"/>
          <w:szCs w:val="24"/>
        </w:rPr>
      </w:pPr>
      <w:r>
        <w:rPr>
          <w:rFonts w:hint="eastAsia" w:ascii="Times New Roman" w:hAnsi="Times New Roman" w:eastAsia="宋体"/>
          <w:sz w:val="24"/>
          <w:szCs w:val="24"/>
        </w:rPr>
        <w:t>3、我们愿意提供招标方在招标文件中要求的所有资料。</w:t>
      </w:r>
    </w:p>
    <w:p>
      <w:pPr>
        <w:pStyle w:val="233"/>
        <w:spacing w:line="440" w:lineRule="exact"/>
        <w:ind w:firstLine="480" w:firstLineChars="200"/>
        <w:rPr>
          <w:rFonts w:ascii="Times New Roman" w:hAnsi="Times New Roman" w:eastAsia="宋体"/>
          <w:sz w:val="24"/>
          <w:szCs w:val="24"/>
        </w:rPr>
      </w:pPr>
      <w:r>
        <w:rPr>
          <w:rFonts w:hint="eastAsia" w:ascii="Times New Roman" w:hAnsi="Times New Roman" w:eastAsia="宋体"/>
          <w:sz w:val="24"/>
          <w:szCs w:val="24"/>
        </w:rPr>
        <w:t>4、我们承诺该项投标在开标后至投标有效期截止前保持有效，不作任何更改和变动。</w:t>
      </w:r>
    </w:p>
    <w:p>
      <w:pPr>
        <w:pStyle w:val="233"/>
        <w:spacing w:line="440" w:lineRule="exact"/>
        <w:ind w:firstLine="480" w:firstLineChars="200"/>
        <w:rPr>
          <w:rFonts w:ascii="Times New Roman" w:hAnsi="Times New Roman" w:eastAsia="宋体"/>
          <w:sz w:val="24"/>
          <w:szCs w:val="24"/>
        </w:rPr>
      </w:pPr>
      <w:r>
        <w:rPr>
          <w:rFonts w:hint="eastAsia" w:ascii="Times New Roman" w:hAnsi="Times New Roman" w:eastAsia="宋体"/>
          <w:sz w:val="24"/>
          <w:szCs w:val="24"/>
        </w:rPr>
        <w:t>5、我方已经详细阅读招标文件，包括修改文件（如有的话）以及全部参考资料和有关附件，将自行承担因对招标文件不明或误解而产生的相应后果。同时，投标人充分理解招标人本次招投标活动所采取的程序性办法及相应安排。</w:t>
      </w:r>
    </w:p>
    <w:p>
      <w:pPr>
        <w:pStyle w:val="233"/>
        <w:spacing w:line="440" w:lineRule="exact"/>
        <w:ind w:firstLine="480" w:firstLineChars="200"/>
        <w:rPr>
          <w:rFonts w:ascii="Times New Roman" w:hAnsi="Times New Roman" w:eastAsia="宋体"/>
          <w:sz w:val="24"/>
          <w:szCs w:val="24"/>
        </w:rPr>
      </w:pPr>
      <w:r>
        <w:rPr>
          <w:rFonts w:hint="eastAsia" w:ascii="Times New Roman" w:hAnsi="Times New Roman" w:eastAsia="宋体"/>
          <w:sz w:val="24"/>
          <w:szCs w:val="24"/>
        </w:rPr>
        <w:t>6、我方同意投标文件递交截止期起投标有效期内，严格遵守本投标文件中列明的各项承诺，在期满前本投标对我方始终有约束力。本投标文件同贵方的招标文件、中标通知书、双方签订的补充、修改文件、答疑文件和附件均将成为约束双方的、用于合同签订的法律依据文件。</w:t>
      </w:r>
    </w:p>
    <w:p>
      <w:pPr>
        <w:pStyle w:val="233"/>
        <w:spacing w:line="440" w:lineRule="exact"/>
        <w:ind w:firstLine="480" w:firstLineChars="200"/>
        <w:rPr>
          <w:rFonts w:ascii="Times New Roman" w:hAnsi="Times New Roman" w:eastAsia="宋体"/>
          <w:sz w:val="24"/>
          <w:szCs w:val="24"/>
        </w:rPr>
      </w:pPr>
      <w:r>
        <w:rPr>
          <w:rFonts w:hint="eastAsia" w:ascii="Times New Roman" w:hAnsi="Times New Roman" w:eastAsia="宋体"/>
          <w:sz w:val="24"/>
          <w:szCs w:val="24"/>
        </w:rPr>
        <w:t>7、如你方接受我们的投标，我方保证在接到中标通知书后，在招标文件规定的期限内签署合同、完成并交付合同规定的全部工作成果。</w:t>
      </w:r>
    </w:p>
    <w:p>
      <w:pPr>
        <w:pStyle w:val="233"/>
        <w:spacing w:line="440" w:lineRule="exact"/>
        <w:ind w:firstLine="480" w:firstLineChars="200"/>
        <w:rPr>
          <w:rFonts w:ascii="Times New Roman" w:hAnsi="Times New Roman" w:eastAsia="宋体"/>
          <w:sz w:val="24"/>
          <w:szCs w:val="24"/>
        </w:rPr>
      </w:pPr>
      <w:r>
        <w:rPr>
          <w:rFonts w:hint="eastAsia" w:ascii="Times New Roman" w:hAnsi="Times New Roman" w:eastAsia="宋体"/>
          <w:sz w:val="24"/>
          <w:szCs w:val="24"/>
        </w:rPr>
        <w:t>8、我方声</w:t>
      </w:r>
      <w:r>
        <w:rPr>
          <w:rFonts w:ascii="Times New Roman" w:hAnsi="Times New Roman" w:eastAsia="宋体"/>
          <w:sz w:val="24"/>
          <w:szCs w:val="24"/>
        </w:rPr>
        <w:t>明与招标人聘请的为本项目提供服务的公司及任何附属机构无关联。</w:t>
      </w:r>
    </w:p>
    <w:p>
      <w:pPr>
        <w:pStyle w:val="233"/>
        <w:spacing w:line="440" w:lineRule="exact"/>
        <w:ind w:left="3400" w:hanging="3400"/>
        <w:jc w:val="left"/>
        <w:rPr>
          <w:rFonts w:ascii="Times New Roman" w:hAnsi="Times New Roman" w:eastAsia="宋体"/>
          <w:sz w:val="24"/>
          <w:szCs w:val="24"/>
        </w:rPr>
      </w:pPr>
      <w:r>
        <w:rPr>
          <w:rFonts w:hint="eastAsia" w:ascii="Times New Roman" w:hAnsi="Times New Roman" w:eastAsia="宋体"/>
          <w:sz w:val="24"/>
          <w:szCs w:val="24"/>
        </w:rPr>
        <w:t>投标人：</w:t>
      </w:r>
      <w:r>
        <w:rPr>
          <w:rFonts w:hint="eastAsia" w:ascii="Times New Roman" w:hAnsi="Times New Roman" w:eastAsia="宋体"/>
          <w:iCs/>
          <w:sz w:val="24"/>
          <w:szCs w:val="21"/>
        </w:rPr>
        <w:t>（单位盖章）</w:t>
      </w:r>
    </w:p>
    <w:p>
      <w:pPr>
        <w:pStyle w:val="233"/>
        <w:spacing w:line="440" w:lineRule="exact"/>
        <w:rPr>
          <w:rFonts w:ascii="Times New Roman" w:hAnsi="Times New Roman" w:eastAsia="宋体"/>
          <w:sz w:val="21"/>
          <w:szCs w:val="21"/>
        </w:rPr>
      </w:pPr>
    </w:p>
    <w:p>
      <w:pPr>
        <w:pStyle w:val="233"/>
        <w:spacing w:line="440" w:lineRule="exact"/>
        <w:ind w:left="3400" w:hanging="3400"/>
        <w:jc w:val="left"/>
        <w:rPr>
          <w:rFonts w:ascii="Times New Roman" w:hAnsi="Times New Roman" w:eastAsia="宋体"/>
          <w:sz w:val="24"/>
          <w:szCs w:val="24"/>
        </w:rPr>
      </w:pPr>
      <w:r>
        <w:rPr>
          <w:rFonts w:hint="eastAsia" w:ascii="Times New Roman" w:hAnsi="Times New Roman" w:eastAsia="宋体"/>
          <w:sz w:val="24"/>
          <w:szCs w:val="24"/>
        </w:rPr>
        <w:t>法定代表人或授权委托人：</w:t>
      </w:r>
      <w:r>
        <w:rPr>
          <w:rFonts w:hint="eastAsia" w:ascii="Times New Roman" w:hAnsi="Times New Roman" w:eastAsia="宋体"/>
          <w:iCs/>
          <w:sz w:val="24"/>
          <w:szCs w:val="21"/>
        </w:rPr>
        <w:t>（签字或盖章）</w:t>
      </w:r>
    </w:p>
    <w:p>
      <w:pPr>
        <w:pStyle w:val="233"/>
        <w:tabs>
          <w:tab w:val="left" w:pos="5040"/>
        </w:tabs>
        <w:spacing w:line="440" w:lineRule="exact"/>
        <w:rPr>
          <w:rFonts w:ascii="Times New Roman" w:hAnsi="Times New Roman" w:eastAsia="宋体"/>
          <w:sz w:val="24"/>
          <w:szCs w:val="24"/>
        </w:rPr>
      </w:pPr>
      <w:r>
        <w:rPr>
          <w:rFonts w:hint="eastAsia" w:ascii="Times New Roman" w:hAnsi="Times New Roman" w:eastAsia="宋体"/>
          <w:sz w:val="24"/>
          <w:szCs w:val="24"/>
        </w:rPr>
        <w:t>地址：</w:t>
      </w:r>
      <w:r>
        <w:rPr>
          <w:rFonts w:hint="eastAsia" w:ascii="Times New Roman" w:hAnsi="Times New Roman" w:eastAsia="宋体"/>
          <w:sz w:val="24"/>
          <w:szCs w:val="24"/>
        </w:rPr>
        <w:tab/>
      </w:r>
      <w:r>
        <w:rPr>
          <w:rFonts w:hint="eastAsia" w:ascii="Times New Roman" w:hAnsi="Times New Roman" w:eastAsia="宋体"/>
          <w:sz w:val="24"/>
          <w:szCs w:val="24"/>
        </w:rPr>
        <w:t>邮政编码：</w:t>
      </w:r>
    </w:p>
    <w:p>
      <w:pPr>
        <w:pStyle w:val="233"/>
        <w:tabs>
          <w:tab w:val="left" w:pos="5040"/>
        </w:tabs>
        <w:spacing w:line="440" w:lineRule="exact"/>
        <w:rPr>
          <w:rFonts w:ascii="Times New Roman" w:hAnsi="Times New Roman" w:eastAsia="宋体"/>
          <w:sz w:val="24"/>
          <w:szCs w:val="24"/>
        </w:rPr>
      </w:pPr>
      <w:r>
        <w:rPr>
          <w:rFonts w:hint="eastAsia" w:ascii="Times New Roman" w:hAnsi="Times New Roman" w:eastAsia="宋体"/>
          <w:sz w:val="24"/>
          <w:szCs w:val="24"/>
        </w:rPr>
        <w:t>联系人：</w:t>
      </w:r>
      <w:r>
        <w:rPr>
          <w:rFonts w:hint="eastAsia" w:ascii="Times New Roman" w:hAnsi="Times New Roman" w:eastAsia="宋体"/>
          <w:sz w:val="24"/>
          <w:szCs w:val="24"/>
        </w:rPr>
        <w:tab/>
      </w:r>
      <w:r>
        <w:rPr>
          <w:rFonts w:hint="eastAsia" w:ascii="Times New Roman" w:hAnsi="Times New Roman" w:eastAsia="宋体"/>
          <w:sz w:val="24"/>
          <w:szCs w:val="24"/>
        </w:rPr>
        <w:t>联系电话：</w:t>
      </w:r>
    </w:p>
    <w:p>
      <w:pPr>
        <w:pStyle w:val="233"/>
        <w:tabs>
          <w:tab w:val="left" w:pos="5040"/>
        </w:tabs>
        <w:spacing w:line="440" w:lineRule="exact"/>
        <w:rPr>
          <w:rFonts w:ascii="Times New Roman" w:hAnsi="Times New Roman" w:eastAsia="宋体"/>
          <w:sz w:val="24"/>
          <w:szCs w:val="24"/>
        </w:rPr>
      </w:pPr>
      <w:r>
        <w:rPr>
          <w:rFonts w:hint="eastAsia" w:ascii="Times New Roman" w:hAnsi="Times New Roman" w:eastAsia="宋体"/>
          <w:sz w:val="24"/>
          <w:szCs w:val="24"/>
        </w:rPr>
        <w:t>电子邮件：</w:t>
      </w:r>
      <w:r>
        <w:rPr>
          <w:rFonts w:hint="eastAsia" w:ascii="Times New Roman" w:hAnsi="Times New Roman" w:eastAsia="宋体"/>
          <w:sz w:val="24"/>
          <w:szCs w:val="24"/>
        </w:rPr>
        <w:tab/>
      </w:r>
      <w:r>
        <w:rPr>
          <w:rFonts w:hint="eastAsia" w:ascii="Times New Roman" w:hAnsi="Times New Roman" w:eastAsia="宋体"/>
          <w:sz w:val="24"/>
          <w:szCs w:val="24"/>
        </w:rPr>
        <w:t>传真：</w:t>
      </w:r>
    </w:p>
    <w:p>
      <w:pPr>
        <w:pStyle w:val="233"/>
        <w:spacing w:line="440" w:lineRule="exact"/>
        <w:rPr>
          <w:rFonts w:ascii="Times New Roman" w:hAnsi="Times New Roman" w:eastAsia="宋体"/>
          <w:sz w:val="24"/>
          <w:szCs w:val="24"/>
        </w:rPr>
        <w:sectPr>
          <w:pgSz w:w="11906" w:h="16838"/>
          <w:pgMar w:top="1418" w:right="1361" w:bottom="1418" w:left="1474" w:header="851" w:footer="851" w:gutter="0"/>
          <w:cols w:space="720" w:num="1"/>
          <w:titlePg/>
          <w:docGrid w:type="lines" w:linePitch="312" w:charSpace="0"/>
        </w:sectPr>
      </w:pPr>
      <w:r>
        <w:rPr>
          <w:rFonts w:hint="eastAsia" w:ascii="Times New Roman" w:hAnsi="Times New Roman" w:eastAsia="宋体"/>
          <w:sz w:val="24"/>
          <w:szCs w:val="24"/>
        </w:rPr>
        <w:t>日期：2018年月日</w:t>
      </w:r>
    </w:p>
    <w:p>
      <w:pPr>
        <w:pStyle w:val="15"/>
        <w:overflowPunct w:val="0"/>
        <w:spacing w:line="560" w:lineRule="exact"/>
        <w:ind w:firstLine="0"/>
        <w:jc w:val="center"/>
        <w:rPr>
          <w:b/>
          <w:sz w:val="32"/>
          <w:szCs w:val="36"/>
        </w:rPr>
      </w:pPr>
      <w:bookmarkStart w:id="150" w:name="_Toc16619"/>
      <w:bookmarkStart w:id="151" w:name="_Toc441740805"/>
      <w:bookmarkStart w:id="152" w:name="_Toc394922034"/>
      <w:r>
        <w:rPr>
          <w:rFonts w:hint="eastAsia"/>
          <w:b/>
          <w:sz w:val="32"/>
          <w:szCs w:val="36"/>
        </w:rPr>
        <w:t>2、报价一览表格式</w:t>
      </w:r>
      <w:bookmarkEnd w:id="150"/>
      <w:bookmarkEnd w:id="151"/>
      <w:bookmarkEnd w:id="152"/>
    </w:p>
    <w:p/>
    <w:p>
      <w:pPr>
        <w:pStyle w:val="15"/>
        <w:overflowPunct w:val="0"/>
        <w:spacing w:line="560" w:lineRule="exact"/>
        <w:ind w:firstLine="0"/>
        <w:jc w:val="center"/>
        <w:rPr>
          <w:b/>
          <w:sz w:val="30"/>
          <w:szCs w:val="30"/>
        </w:rPr>
      </w:pPr>
      <w:r>
        <w:rPr>
          <w:rFonts w:hint="eastAsia"/>
          <w:b/>
          <w:sz w:val="30"/>
          <w:szCs w:val="30"/>
        </w:rPr>
        <w:t>报价一览表</w:t>
      </w:r>
    </w:p>
    <w:p>
      <w:pPr>
        <w:pStyle w:val="233"/>
        <w:rPr>
          <w:rFonts w:ascii="Times New Roman" w:hAnsi="Times New Roman" w:eastAsia="宋体"/>
          <w:sz w:val="21"/>
          <w:szCs w:val="21"/>
        </w:rPr>
      </w:pPr>
    </w:p>
    <w:p>
      <w:pPr>
        <w:pStyle w:val="233"/>
        <w:rPr>
          <w:rFonts w:ascii="Times New Roman" w:hAnsi="Times New Roman" w:eastAsia="宋体"/>
          <w:sz w:val="21"/>
          <w:szCs w:val="21"/>
        </w:rPr>
      </w:pPr>
    </w:p>
    <w:p>
      <w:pPr>
        <w:spacing w:line="360" w:lineRule="auto"/>
        <w:ind w:firstLine="105" w:firstLineChars="50"/>
      </w:pPr>
      <w:r>
        <w:rPr>
          <w:rFonts w:hint="eastAsia"/>
        </w:rPr>
        <w:t>项目名称：三亚深海科考码头工程环境影响评价项目</w:t>
      </w:r>
    </w:p>
    <w:p>
      <w:pPr>
        <w:spacing w:line="360" w:lineRule="auto"/>
      </w:pPr>
      <w:r>
        <w:rPr>
          <w:rFonts w:hint="eastAsia"/>
        </w:rPr>
        <w:t>金额单位：人民币</w:t>
      </w:r>
    </w:p>
    <w:p>
      <w:pPr>
        <w:spacing w:line="360" w:lineRule="auto"/>
      </w:pPr>
      <w:r>
        <w:rPr>
          <w:rFonts w:hint="eastAsia"/>
        </w:rPr>
        <w:t>项目编号：</w:t>
      </w:r>
    </w:p>
    <w:tbl>
      <w:tblPr>
        <w:tblStyle w:val="59"/>
        <w:tblW w:w="969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870"/>
        <w:gridCol w:w="6306"/>
        <w:gridCol w:w="25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39" w:hRule="atLeast"/>
        </w:trPr>
        <w:tc>
          <w:tcPr>
            <w:tcW w:w="870" w:type="dxa"/>
            <w:vAlign w:val="center"/>
          </w:tcPr>
          <w:p>
            <w:pPr>
              <w:jc w:val="center"/>
            </w:pPr>
            <w:r>
              <w:rPr>
                <w:rFonts w:hint="eastAsia"/>
              </w:rPr>
              <w:t>序号</w:t>
            </w:r>
          </w:p>
        </w:tc>
        <w:tc>
          <w:tcPr>
            <w:tcW w:w="6306" w:type="dxa"/>
            <w:vAlign w:val="center"/>
          </w:tcPr>
          <w:p>
            <w:pPr>
              <w:jc w:val="center"/>
            </w:pPr>
            <w:r>
              <w:rPr>
                <w:rFonts w:hint="eastAsia"/>
              </w:rPr>
              <w:t>投标总价（元）</w:t>
            </w:r>
          </w:p>
        </w:tc>
        <w:tc>
          <w:tcPr>
            <w:tcW w:w="2519" w:type="dxa"/>
            <w:vAlign w:val="center"/>
          </w:tcPr>
          <w:p>
            <w:pPr>
              <w:jc w:val="center"/>
            </w:pPr>
            <w:r>
              <w:rPr>
                <w:rFonts w:hint="eastAsia"/>
              </w:rPr>
              <w:t>服务周期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1807" w:hRule="exact"/>
        </w:trPr>
        <w:tc>
          <w:tcPr>
            <w:tcW w:w="870" w:type="dxa"/>
            <w:vAlign w:val="center"/>
          </w:tcPr>
          <w:p>
            <w:pPr>
              <w:jc w:val="center"/>
            </w:pPr>
            <w:r>
              <w:rPr>
                <w:rFonts w:hint="eastAsia"/>
              </w:rPr>
              <w:t>1</w:t>
            </w:r>
          </w:p>
        </w:tc>
        <w:tc>
          <w:tcPr>
            <w:tcW w:w="6306" w:type="dxa"/>
            <w:vAlign w:val="center"/>
          </w:tcPr>
          <w:p>
            <w:pPr>
              <w:jc w:val="center"/>
            </w:pPr>
          </w:p>
        </w:tc>
        <w:tc>
          <w:tcPr>
            <w:tcW w:w="2519" w:type="dxa"/>
            <w:vAlign w:val="center"/>
          </w:tcPr>
          <w:p>
            <w:pPr>
              <w:jc w:val="center"/>
            </w:pPr>
          </w:p>
        </w:tc>
      </w:tr>
    </w:tbl>
    <w:p>
      <w:pPr>
        <w:spacing w:line="360" w:lineRule="auto"/>
      </w:pPr>
    </w:p>
    <w:p>
      <w:pPr>
        <w:spacing w:line="360" w:lineRule="auto"/>
      </w:pPr>
    </w:p>
    <w:p>
      <w:pPr>
        <w:spacing w:line="360" w:lineRule="auto"/>
      </w:pPr>
      <w:r>
        <w:rPr>
          <w:rFonts w:hint="eastAsia"/>
        </w:rPr>
        <w:t>投标人：（填写名称并盖章）</w:t>
      </w:r>
    </w:p>
    <w:p>
      <w:pPr>
        <w:spacing w:line="360" w:lineRule="auto"/>
      </w:pPr>
    </w:p>
    <w:p>
      <w:pPr>
        <w:spacing w:line="360" w:lineRule="auto"/>
      </w:pPr>
      <w:r>
        <w:rPr>
          <w:rFonts w:hint="eastAsia"/>
        </w:rPr>
        <w:t>法定代表人或授权委托人签字或盖章：</w:t>
      </w:r>
    </w:p>
    <w:p>
      <w:pPr>
        <w:pStyle w:val="233"/>
        <w:rPr>
          <w:rFonts w:ascii="Times New Roman" w:hAnsi="Times New Roman" w:eastAsia="宋体"/>
          <w:sz w:val="24"/>
          <w:szCs w:val="24"/>
        </w:rPr>
      </w:pPr>
    </w:p>
    <w:p>
      <w:pPr>
        <w:pStyle w:val="233"/>
        <w:rPr>
          <w:rFonts w:ascii="Times New Roman" w:hAnsi="Times New Roman" w:eastAsia="宋体"/>
          <w:sz w:val="24"/>
          <w:szCs w:val="24"/>
        </w:rPr>
      </w:pPr>
    </w:p>
    <w:p>
      <w:pPr>
        <w:pStyle w:val="2"/>
        <w:keepNext w:val="0"/>
        <w:keepLines w:val="0"/>
        <w:numPr>
          <w:ilvl w:val="0"/>
          <w:numId w:val="0"/>
        </w:numPr>
        <w:ind w:left="2694"/>
        <w:rPr>
          <w:rFonts w:ascii="Times New Roman" w:hAnsi="Times New Roman"/>
          <w:sz w:val="32"/>
        </w:rPr>
      </w:pPr>
    </w:p>
    <w:p/>
    <w:p/>
    <w:p/>
    <w:p/>
    <w:p/>
    <w:p/>
    <w:p/>
    <w:p/>
    <w:p/>
    <w:p/>
    <w:p>
      <w:pPr>
        <w:pStyle w:val="2"/>
        <w:keepNext w:val="0"/>
        <w:keepLines w:val="0"/>
        <w:numPr>
          <w:ilvl w:val="0"/>
          <w:numId w:val="0"/>
        </w:numPr>
        <w:tabs>
          <w:tab w:val="left" w:pos="360"/>
          <w:tab w:val="left" w:pos="540"/>
        </w:tabs>
        <w:spacing w:beforeLines="50" w:afterLines="50"/>
        <w:ind w:left="2694"/>
        <w:rPr>
          <w:rFonts w:ascii="Times New Roman" w:hAnsi="Times New Roman"/>
          <w:sz w:val="32"/>
        </w:rPr>
      </w:pPr>
      <w:bookmarkStart w:id="153" w:name="_Toc26650"/>
      <w:bookmarkStart w:id="154" w:name="_Toc23632"/>
      <w:bookmarkStart w:id="155" w:name="_Toc31242"/>
      <w:bookmarkStart w:id="156" w:name="_Toc389164189"/>
      <w:bookmarkStart w:id="157" w:name="_Toc7086"/>
      <w:bookmarkStart w:id="158" w:name="_Toc317237635"/>
      <w:bookmarkStart w:id="159" w:name="_Toc8117"/>
      <w:bookmarkStart w:id="160" w:name="_Toc392583304"/>
      <w:bookmarkStart w:id="161" w:name="_Toc22411"/>
      <w:bookmarkStart w:id="162" w:name="_Toc30947"/>
      <w:bookmarkStart w:id="163" w:name="_Toc20036"/>
      <w:bookmarkStart w:id="164" w:name="_Toc18213"/>
      <w:bookmarkStart w:id="165" w:name="_Toc10685"/>
    </w:p>
    <w:p>
      <w:pPr>
        <w:pStyle w:val="15"/>
        <w:overflowPunct w:val="0"/>
        <w:spacing w:line="560" w:lineRule="exact"/>
        <w:ind w:firstLine="0"/>
        <w:jc w:val="center"/>
        <w:rPr>
          <w:b/>
          <w:sz w:val="36"/>
          <w:szCs w:val="36"/>
        </w:rPr>
        <w:sectPr>
          <w:footerReference r:id="rId8" w:type="default"/>
          <w:pgSz w:w="11907" w:h="16840"/>
          <w:pgMar w:top="1418" w:right="1134" w:bottom="1361" w:left="1134" w:header="794" w:footer="794" w:gutter="0"/>
          <w:cols w:space="720" w:num="1"/>
          <w:docGrid w:linePitch="285" w:charSpace="0"/>
        </w:sectPr>
      </w:pPr>
    </w:p>
    <w:p>
      <w:pPr>
        <w:pStyle w:val="15"/>
        <w:overflowPunct w:val="0"/>
        <w:spacing w:line="560" w:lineRule="exact"/>
        <w:ind w:firstLine="0"/>
        <w:jc w:val="center"/>
        <w:rPr>
          <w:b/>
          <w:sz w:val="32"/>
          <w:szCs w:val="36"/>
        </w:rPr>
      </w:pPr>
      <w:r>
        <w:rPr>
          <w:rFonts w:hint="eastAsia"/>
          <w:b/>
          <w:sz w:val="32"/>
          <w:szCs w:val="36"/>
        </w:rPr>
        <w:t>3、法定代表人授权委托书格式</w:t>
      </w:r>
      <w:bookmarkEnd w:id="153"/>
      <w:bookmarkEnd w:id="154"/>
      <w:bookmarkEnd w:id="155"/>
      <w:bookmarkEnd w:id="156"/>
      <w:bookmarkEnd w:id="157"/>
      <w:bookmarkEnd w:id="158"/>
      <w:bookmarkEnd w:id="159"/>
      <w:bookmarkEnd w:id="160"/>
      <w:bookmarkEnd w:id="161"/>
      <w:bookmarkEnd w:id="162"/>
      <w:bookmarkEnd w:id="163"/>
      <w:bookmarkEnd w:id="164"/>
      <w:bookmarkEnd w:id="165"/>
    </w:p>
    <w:p>
      <w:pPr>
        <w:pStyle w:val="15"/>
        <w:overflowPunct w:val="0"/>
        <w:spacing w:line="560" w:lineRule="exact"/>
        <w:ind w:firstLine="0"/>
        <w:rPr>
          <w:b/>
          <w:szCs w:val="24"/>
        </w:rPr>
      </w:pPr>
    </w:p>
    <w:p>
      <w:pPr>
        <w:pStyle w:val="15"/>
        <w:overflowPunct w:val="0"/>
        <w:spacing w:line="560" w:lineRule="exact"/>
        <w:ind w:firstLine="0"/>
        <w:jc w:val="center"/>
        <w:rPr>
          <w:b/>
          <w:sz w:val="32"/>
          <w:szCs w:val="32"/>
        </w:rPr>
      </w:pPr>
      <w:r>
        <w:rPr>
          <w:rFonts w:hint="eastAsia"/>
          <w:b/>
          <w:sz w:val="32"/>
          <w:szCs w:val="32"/>
        </w:rPr>
        <w:t>授权委托书</w:t>
      </w:r>
    </w:p>
    <w:p>
      <w:pPr>
        <w:pStyle w:val="15"/>
        <w:overflowPunct w:val="0"/>
        <w:jc w:val="center"/>
        <w:rPr>
          <w:b/>
          <w:szCs w:val="24"/>
        </w:rPr>
      </w:pPr>
    </w:p>
    <w:p>
      <w:pPr>
        <w:pStyle w:val="15"/>
        <w:overflowPunct w:val="0"/>
        <w:ind w:firstLineChars="200"/>
        <w:jc w:val="both"/>
        <w:rPr>
          <w:szCs w:val="24"/>
        </w:rPr>
      </w:pPr>
      <w:r>
        <w:rPr>
          <w:rFonts w:hint="eastAsia"/>
          <w:szCs w:val="24"/>
        </w:rPr>
        <w:t>本授权委托书声明：我</w:t>
      </w:r>
      <w:r>
        <w:rPr>
          <w:rFonts w:hint="eastAsia"/>
          <w:iCs/>
          <w:u w:val="single"/>
        </w:rPr>
        <w:t xml:space="preserve">  （姓名）  </w:t>
      </w:r>
      <w:r>
        <w:rPr>
          <w:rFonts w:hint="eastAsia"/>
          <w:szCs w:val="24"/>
        </w:rPr>
        <w:t>系</w:t>
      </w:r>
      <w:r>
        <w:rPr>
          <w:rFonts w:hint="eastAsia"/>
          <w:iCs/>
          <w:u w:val="single"/>
        </w:rPr>
        <w:t xml:space="preserve">   （投标单位名称）  </w:t>
      </w:r>
      <w:r>
        <w:rPr>
          <w:rFonts w:hint="eastAsia"/>
          <w:szCs w:val="24"/>
        </w:rPr>
        <w:t>的法定代表人，现授权委托</w:t>
      </w:r>
      <w:r>
        <w:rPr>
          <w:rFonts w:hint="eastAsia"/>
          <w:iCs/>
          <w:u w:val="single"/>
        </w:rPr>
        <w:t xml:space="preserve">  （被授权人姓名及身份证号码）  </w:t>
      </w:r>
      <w:r>
        <w:rPr>
          <w:rFonts w:hint="eastAsia"/>
          <w:szCs w:val="24"/>
        </w:rPr>
        <w:t>为我公司的代理人，以本公司的名义参加河南兴建建设管理有限公司组织的编号为</w:t>
      </w:r>
      <w:r>
        <w:rPr>
          <w:rFonts w:hint="eastAsia"/>
          <w:iCs/>
          <w:u w:val="single"/>
        </w:rPr>
        <w:t xml:space="preserve">  （招标项目编号）  </w:t>
      </w:r>
      <w:r>
        <w:rPr>
          <w:rFonts w:hint="eastAsia"/>
          <w:szCs w:val="24"/>
        </w:rPr>
        <w:t>的招标活动，处理与本招标活动有关的一切事务。被授权人在开标、评标、合同签订过程中所签署的一切文件，我均予以承认。</w:t>
      </w:r>
    </w:p>
    <w:p>
      <w:pPr>
        <w:pStyle w:val="15"/>
        <w:overflowPunct w:val="0"/>
        <w:ind w:firstLineChars="200"/>
        <w:jc w:val="both"/>
        <w:rPr>
          <w:szCs w:val="24"/>
        </w:rPr>
      </w:pPr>
      <w:r>
        <w:rPr>
          <w:rFonts w:hint="eastAsia"/>
          <w:szCs w:val="24"/>
        </w:rPr>
        <w:t>与本项目有关的质疑、投诉事项，我将亲自处理或另行特别授权。</w:t>
      </w:r>
    </w:p>
    <w:p>
      <w:pPr>
        <w:pStyle w:val="15"/>
        <w:overflowPunct w:val="0"/>
        <w:ind w:firstLineChars="200"/>
        <w:jc w:val="both"/>
        <w:rPr>
          <w:szCs w:val="24"/>
        </w:rPr>
      </w:pPr>
      <w:r>
        <w:rPr>
          <w:rFonts w:hint="eastAsia"/>
          <w:szCs w:val="24"/>
        </w:rPr>
        <w:t>本授权委托书的效力自签署日起至合同履行完毕止。</w:t>
      </w:r>
    </w:p>
    <w:p>
      <w:pPr>
        <w:pStyle w:val="15"/>
        <w:overflowPunct w:val="0"/>
        <w:ind w:firstLineChars="200"/>
        <w:jc w:val="both"/>
        <w:rPr>
          <w:szCs w:val="24"/>
        </w:rPr>
      </w:pPr>
      <w:r>
        <w:rPr>
          <w:rFonts w:hint="eastAsia"/>
          <w:szCs w:val="24"/>
        </w:rPr>
        <w:t>被授权人无转委托权。特此委托。</w:t>
      </w:r>
    </w:p>
    <w:p>
      <w:pPr>
        <w:pStyle w:val="15"/>
        <w:overflowPunct w:val="0"/>
        <w:spacing w:line="460" w:lineRule="exact"/>
        <w:jc w:val="both"/>
        <w:rPr>
          <w:szCs w:val="24"/>
        </w:rPr>
      </w:pPr>
      <w:r>
        <w:rPr>
          <w:rFonts w:hint="eastAsia"/>
          <w:szCs w:val="24"/>
        </w:rPr>
        <w:t>本授权书于年月日签字生效，特此证明。</w:t>
      </w:r>
    </w:p>
    <w:p>
      <w:pPr>
        <w:pStyle w:val="15"/>
        <w:overflowPunct w:val="0"/>
        <w:spacing w:line="460" w:lineRule="exact"/>
        <w:jc w:val="both"/>
        <w:rPr>
          <w:szCs w:val="24"/>
        </w:rPr>
      </w:pPr>
    </w:p>
    <w:p>
      <w:pPr>
        <w:pStyle w:val="15"/>
        <w:overflowPunct w:val="0"/>
        <w:spacing w:line="460" w:lineRule="exact"/>
        <w:jc w:val="both"/>
        <w:rPr>
          <w:szCs w:val="24"/>
        </w:rPr>
      </w:pPr>
    </w:p>
    <w:p>
      <w:pPr>
        <w:pStyle w:val="15"/>
        <w:overflowPunct w:val="0"/>
        <w:spacing w:line="460" w:lineRule="exact"/>
        <w:jc w:val="both"/>
        <w:rPr>
          <w:szCs w:val="24"/>
        </w:rPr>
      </w:pPr>
      <w:r>
        <w:rPr>
          <w:rFonts w:hint="eastAsia"/>
          <w:szCs w:val="24"/>
        </w:rPr>
        <w:t>投标人：</w:t>
      </w:r>
      <w:r>
        <w:rPr>
          <w:rFonts w:hint="eastAsia"/>
          <w:iCs/>
        </w:rPr>
        <w:t>（单位盖章）</w:t>
      </w:r>
    </w:p>
    <w:p>
      <w:pPr>
        <w:pStyle w:val="15"/>
        <w:overflowPunct w:val="0"/>
        <w:spacing w:line="460" w:lineRule="exact"/>
        <w:jc w:val="both"/>
        <w:rPr>
          <w:szCs w:val="24"/>
        </w:rPr>
      </w:pPr>
    </w:p>
    <w:p>
      <w:pPr>
        <w:pStyle w:val="15"/>
        <w:overflowPunct w:val="0"/>
        <w:spacing w:line="460" w:lineRule="exact"/>
        <w:jc w:val="both"/>
        <w:rPr>
          <w:szCs w:val="24"/>
        </w:rPr>
      </w:pPr>
      <w:r>
        <w:rPr>
          <w:rFonts w:hint="eastAsia"/>
          <w:szCs w:val="24"/>
        </w:rPr>
        <w:t>法定代表人：</w:t>
      </w:r>
      <w:r>
        <w:rPr>
          <w:rFonts w:hint="eastAsia"/>
          <w:iCs/>
        </w:rPr>
        <w:t>（签字或盖章）</w:t>
      </w:r>
    </w:p>
    <w:p>
      <w:pPr>
        <w:pStyle w:val="15"/>
        <w:overflowPunct w:val="0"/>
        <w:spacing w:line="460" w:lineRule="exact"/>
        <w:jc w:val="both"/>
        <w:rPr>
          <w:szCs w:val="24"/>
        </w:rPr>
      </w:pPr>
    </w:p>
    <w:p>
      <w:pPr>
        <w:pStyle w:val="15"/>
        <w:overflowPunct w:val="0"/>
        <w:spacing w:line="460" w:lineRule="exact"/>
        <w:jc w:val="both"/>
        <w:rPr>
          <w:iCs/>
        </w:rPr>
      </w:pPr>
      <w:r>
        <w:rPr>
          <w:rFonts w:hint="eastAsia"/>
          <w:szCs w:val="24"/>
        </w:rPr>
        <w:t>被授权人：</w:t>
      </w:r>
      <w:bookmarkStart w:id="166" w:name="_Toc212102886"/>
      <w:r>
        <w:rPr>
          <w:rFonts w:hint="eastAsia"/>
          <w:iCs/>
        </w:rPr>
        <w:t>（签字或盖章）</w:t>
      </w:r>
    </w:p>
    <w:p>
      <w:pPr>
        <w:pStyle w:val="15"/>
        <w:overflowPunct w:val="0"/>
        <w:spacing w:line="460" w:lineRule="exact"/>
        <w:jc w:val="both"/>
        <w:rPr>
          <w:iCs/>
        </w:rPr>
      </w:pPr>
    </w:p>
    <w:p>
      <w:pPr>
        <w:spacing w:line="360" w:lineRule="auto"/>
        <w:ind w:firstLine="360" w:firstLineChars="150"/>
        <w:rPr>
          <w:sz w:val="24"/>
        </w:rPr>
        <w:sectPr>
          <w:pgSz w:w="11907" w:h="16840"/>
          <w:pgMar w:top="1418" w:right="1134" w:bottom="1361" w:left="1134" w:header="794" w:footer="794" w:gutter="0"/>
          <w:cols w:space="720" w:num="1"/>
          <w:docGrid w:linePitch="285" w:charSpace="0"/>
        </w:sectPr>
      </w:pPr>
      <w:r>
        <w:rPr>
          <w:rFonts w:hint="eastAsia"/>
          <w:sz w:val="24"/>
        </w:rPr>
        <w:t>日期：2018年月</w:t>
      </w:r>
      <w:bookmarkStart w:id="167" w:name="_Toc389164191"/>
      <w:bookmarkStart w:id="168" w:name="_Toc19146"/>
      <w:bookmarkStart w:id="169" w:name="_Toc11572"/>
      <w:bookmarkStart w:id="170" w:name="_Toc24452"/>
      <w:bookmarkStart w:id="171" w:name="_Toc1"/>
      <w:bookmarkStart w:id="172" w:name="_Toc12590"/>
      <w:bookmarkStart w:id="173" w:name="_Toc17558"/>
      <w:bookmarkStart w:id="174" w:name="_Toc12336"/>
      <w:bookmarkStart w:id="175" w:name="_Toc9644"/>
      <w:bookmarkStart w:id="176" w:name="_Toc15635"/>
      <w:bookmarkStart w:id="177" w:name="_Toc317237638"/>
      <w:bookmarkStart w:id="178" w:name="_Toc23540"/>
      <w:bookmarkStart w:id="179" w:name="_Toc392583306"/>
    </w:p>
    <w:p>
      <w:pPr>
        <w:pStyle w:val="15"/>
        <w:overflowPunct w:val="0"/>
        <w:spacing w:line="560" w:lineRule="exact"/>
        <w:ind w:firstLine="0"/>
        <w:jc w:val="center"/>
        <w:rPr>
          <w:b/>
          <w:sz w:val="32"/>
          <w:szCs w:val="36"/>
        </w:rPr>
      </w:pPr>
      <w:r>
        <w:rPr>
          <w:rFonts w:hint="eastAsia"/>
          <w:b/>
          <w:sz w:val="32"/>
          <w:szCs w:val="36"/>
        </w:rPr>
        <w:t>4、投标人基本情况表</w:t>
      </w:r>
      <w:bookmarkEnd w:id="167"/>
      <w:bookmarkEnd w:id="168"/>
      <w:bookmarkEnd w:id="169"/>
      <w:bookmarkEnd w:id="170"/>
      <w:bookmarkEnd w:id="171"/>
      <w:bookmarkEnd w:id="172"/>
      <w:bookmarkEnd w:id="173"/>
      <w:bookmarkEnd w:id="174"/>
      <w:bookmarkEnd w:id="175"/>
      <w:bookmarkEnd w:id="176"/>
      <w:bookmarkEnd w:id="177"/>
      <w:bookmarkEnd w:id="178"/>
      <w:bookmarkEnd w:id="179"/>
    </w:p>
    <w:p>
      <w:pPr>
        <w:pStyle w:val="15"/>
        <w:overflowPunct w:val="0"/>
        <w:spacing w:line="560" w:lineRule="exact"/>
        <w:ind w:firstLine="0"/>
        <w:jc w:val="center"/>
        <w:rPr>
          <w:b/>
          <w:sz w:val="32"/>
          <w:szCs w:val="36"/>
        </w:rPr>
      </w:pPr>
    </w:p>
    <w:tbl>
      <w:tblPr>
        <w:tblStyle w:val="59"/>
        <w:tblW w:w="9009" w:type="dxa"/>
        <w:jc w:val="center"/>
        <w:tblInd w:w="0" w:type="dxa"/>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
      <w:tblGrid>
        <w:gridCol w:w="1597"/>
        <w:gridCol w:w="851"/>
        <w:gridCol w:w="169"/>
        <w:gridCol w:w="1451"/>
        <w:gridCol w:w="724"/>
        <w:gridCol w:w="434"/>
        <w:gridCol w:w="8"/>
        <w:gridCol w:w="458"/>
        <w:gridCol w:w="936"/>
        <w:gridCol w:w="684"/>
        <w:gridCol w:w="1697"/>
      </w:tblGrid>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cantSplit/>
          <w:trHeight w:val="462" w:hRule="atLeast"/>
          <w:jc w:val="center"/>
        </w:trPr>
        <w:tc>
          <w:tcPr>
            <w:tcW w:w="1597" w:type="dxa"/>
            <w:vAlign w:val="center"/>
          </w:tcPr>
          <w:p>
            <w:pPr>
              <w:autoSpaceDE w:val="0"/>
              <w:autoSpaceDN w:val="0"/>
              <w:adjustRightInd w:val="0"/>
              <w:spacing w:line="360" w:lineRule="auto"/>
              <w:rPr>
                <w:kern w:val="0"/>
              </w:rPr>
            </w:pPr>
            <w:r>
              <w:rPr>
                <w:rFonts w:hint="eastAsia"/>
                <w:kern w:val="0"/>
              </w:rPr>
              <w:t>投标人名称</w:t>
            </w:r>
          </w:p>
        </w:tc>
        <w:tc>
          <w:tcPr>
            <w:tcW w:w="7412" w:type="dxa"/>
            <w:gridSpan w:val="10"/>
            <w:vAlign w:val="center"/>
          </w:tcPr>
          <w:p>
            <w:pPr>
              <w:autoSpaceDE w:val="0"/>
              <w:autoSpaceDN w:val="0"/>
              <w:adjustRightInd w:val="0"/>
              <w:spacing w:line="360" w:lineRule="auto"/>
              <w:rPr>
                <w:kern w:val="0"/>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cantSplit/>
          <w:trHeight w:val="462" w:hRule="atLeast"/>
          <w:jc w:val="center"/>
        </w:trPr>
        <w:tc>
          <w:tcPr>
            <w:tcW w:w="1597" w:type="dxa"/>
            <w:vAlign w:val="center"/>
          </w:tcPr>
          <w:p>
            <w:pPr>
              <w:autoSpaceDE w:val="0"/>
              <w:autoSpaceDN w:val="0"/>
              <w:adjustRightInd w:val="0"/>
              <w:spacing w:line="360" w:lineRule="auto"/>
              <w:rPr>
                <w:kern w:val="0"/>
              </w:rPr>
            </w:pPr>
            <w:r>
              <w:rPr>
                <w:rFonts w:hint="eastAsia"/>
                <w:kern w:val="0"/>
              </w:rPr>
              <w:t>注册地址</w:t>
            </w:r>
          </w:p>
        </w:tc>
        <w:tc>
          <w:tcPr>
            <w:tcW w:w="3637" w:type="dxa"/>
            <w:gridSpan w:val="6"/>
            <w:vAlign w:val="center"/>
          </w:tcPr>
          <w:p>
            <w:pPr>
              <w:autoSpaceDE w:val="0"/>
              <w:autoSpaceDN w:val="0"/>
              <w:adjustRightInd w:val="0"/>
              <w:spacing w:line="360" w:lineRule="auto"/>
              <w:rPr>
                <w:kern w:val="0"/>
              </w:rPr>
            </w:pPr>
          </w:p>
        </w:tc>
        <w:tc>
          <w:tcPr>
            <w:tcW w:w="1394" w:type="dxa"/>
            <w:gridSpan w:val="2"/>
            <w:vAlign w:val="center"/>
          </w:tcPr>
          <w:p>
            <w:pPr>
              <w:autoSpaceDE w:val="0"/>
              <w:autoSpaceDN w:val="0"/>
              <w:adjustRightInd w:val="0"/>
              <w:spacing w:line="360" w:lineRule="auto"/>
              <w:rPr>
                <w:kern w:val="0"/>
              </w:rPr>
            </w:pPr>
            <w:r>
              <w:rPr>
                <w:rFonts w:hint="eastAsia"/>
                <w:kern w:val="0"/>
              </w:rPr>
              <w:t>邮政编码</w:t>
            </w:r>
          </w:p>
        </w:tc>
        <w:tc>
          <w:tcPr>
            <w:tcW w:w="2381" w:type="dxa"/>
            <w:gridSpan w:val="2"/>
            <w:vAlign w:val="center"/>
          </w:tcPr>
          <w:p>
            <w:pPr>
              <w:autoSpaceDE w:val="0"/>
              <w:autoSpaceDN w:val="0"/>
              <w:adjustRightInd w:val="0"/>
              <w:spacing w:line="360" w:lineRule="auto"/>
              <w:rPr>
                <w:kern w:val="0"/>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cantSplit/>
          <w:trHeight w:val="442" w:hRule="atLeast"/>
          <w:jc w:val="center"/>
        </w:trPr>
        <w:tc>
          <w:tcPr>
            <w:tcW w:w="1597" w:type="dxa"/>
            <w:vMerge w:val="restart"/>
            <w:vAlign w:val="center"/>
          </w:tcPr>
          <w:p>
            <w:pPr>
              <w:autoSpaceDE w:val="0"/>
              <w:autoSpaceDN w:val="0"/>
              <w:adjustRightInd w:val="0"/>
              <w:spacing w:line="360" w:lineRule="auto"/>
              <w:rPr>
                <w:kern w:val="0"/>
              </w:rPr>
            </w:pPr>
            <w:r>
              <w:rPr>
                <w:rFonts w:hint="eastAsia"/>
                <w:kern w:val="0"/>
              </w:rPr>
              <w:t>联系方式</w:t>
            </w:r>
          </w:p>
        </w:tc>
        <w:tc>
          <w:tcPr>
            <w:tcW w:w="1020" w:type="dxa"/>
            <w:gridSpan w:val="2"/>
            <w:vAlign w:val="center"/>
          </w:tcPr>
          <w:p>
            <w:pPr>
              <w:autoSpaceDE w:val="0"/>
              <w:autoSpaceDN w:val="0"/>
              <w:adjustRightInd w:val="0"/>
              <w:spacing w:line="360" w:lineRule="auto"/>
              <w:rPr>
                <w:kern w:val="0"/>
              </w:rPr>
            </w:pPr>
            <w:r>
              <w:rPr>
                <w:rFonts w:hint="eastAsia"/>
                <w:kern w:val="0"/>
              </w:rPr>
              <w:t>联系人</w:t>
            </w:r>
          </w:p>
        </w:tc>
        <w:tc>
          <w:tcPr>
            <w:tcW w:w="2609" w:type="dxa"/>
            <w:gridSpan w:val="3"/>
            <w:vAlign w:val="center"/>
          </w:tcPr>
          <w:p>
            <w:pPr>
              <w:autoSpaceDE w:val="0"/>
              <w:autoSpaceDN w:val="0"/>
              <w:adjustRightInd w:val="0"/>
              <w:spacing w:line="360" w:lineRule="auto"/>
              <w:rPr>
                <w:kern w:val="0"/>
              </w:rPr>
            </w:pPr>
          </w:p>
        </w:tc>
        <w:tc>
          <w:tcPr>
            <w:tcW w:w="1402" w:type="dxa"/>
            <w:gridSpan w:val="3"/>
            <w:vAlign w:val="center"/>
          </w:tcPr>
          <w:p>
            <w:pPr>
              <w:autoSpaceDE w:val="0"/>
              <w:autoSpaceDN w:val="0"/>
              <w:adjustRightInd w:val="0"/>
              <w:spacing w:line="360" w:lineRule="auto"/>
              <w:rPr>
                <w:kern w:val="0"/>
              </w:rPr>
            </w:pPr>
            <w:r>
              <w:rPr>
                <w:rFonts w:hint="eastAsia"/>
                <w:kern w:val="0"/>
              </w:rPr>
              <w:t>电话</w:t>
            </w:r>
          </w:p>
        </w:tc>
        <w:tc>
          <w:tcPr>
            <w:tcW w:w="2381" w:type="dxa"/>
            <w:gridSpan w:val="2"/>
            <w:vAlign w:val="center"/>
          </w:tcPr>
          <w:p>
            <w:pPr>
              <w:autoSpaceDE w:val="0"/>
              <w:autoSpaceDN w:val="0"/>
              <w:adjustRightInd w:val="0"/>
              <w:spacing w:line="360" w:lineRule="auto"/>
              <w:rPr>
                <w:kern w:val="0"/>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cantSplit/>
          <w:trHeight w:val="148" w:hRule="atLeast"/>
          <w:jc w:val="center"/>
        </w:trPr>
        <w:tc>
          <w:tcPr>
            <w:tcW w:w="1597" w:type="dxa"/>
            <w:vMerge w:val="continue"/>
            <w:vAlign w:val="center"/>
          </w:tcPr>
          <w:p>
            <w:pPr>
              <w:autoSpaceDE w:val="0"/>
              <w:autoSpaceDN w:val="0"/>
              <w:adjustRightInd w:val="0"/>
              <w:spacing w:line="360" w:lineRule="auto"/>
              <w:rPr>
                <w:kern w:val="0"/>
              </w:rPr>
            </w:pPr>
          </w:p>
        </w:tc>
        <w:tc>
          <w:tcPr>
            <w:tcW w:w="1020" w:type="dxa"/>
            <w:gridSpan w:val="2"/>
            <w:vAlign w:val="center"/>
          </w:tcPr>
          <w:p>
            <w:pPr>
              <w:autoSpaceDE w:val="0"/>
              <w:autoSpaceDN w:val="0"/>
              <w:adjustRightInd w:val="0"/>
              <w:spacing w:line="360" w:lineRule="auto"/>
              <w:rPr>
                <w:kern w:val="0"/>
              </w:rPr>
            </w:pPr>
            <w:r>
              <w:rPr>
                <w:rFonts w:hint="eastAsia"/>
                <w:kern w:val="0"/>
              </w:rPr>
              <w:t>传真</w:t>
            </w:r>
          </w:p>
        </w:tc>
        <w:tc>
          <w:tcPr>
            <w:tcW w:w="2609" w:type="dxa"/>
            <w:gridSpan w:val="3"/>
            <w:vAlign w:val="center"/>
          </w:tcPr>
          <w:p>
            <w:pPr>
              <w:autoSpaceDE w:val="0"/>
              <w:autoSpaceDN w:val="0"/>
              <w:adjustRightInd w:val="0"/>
              <w:spacing w:line="360" w:lineRule="auto"/>
              <w:rPr>
                <w:kern w:val="0"/>
              </w:rPr>
            </w:pPr>
          </w:p>
        </w:tc>
        <w:tc>
          <w:tcPr>
            <w:tcW w:w="1402" w:type="dxa"/>
            <w:gridSpan w:val="3"/>
            <w:vAlign w:val="center"/>
          </w:tcPr>
          <w:p>
            <w:pPr>
              <w:autoSpaceDE w:val="0"/>
              <w:autoSpaceDN w:val="0"/>
              <w:adjustRightInd w:val="0"/>
              <w:spacing w:line="360" w:lineRule="auto"/>
              <w:rPr>
                <w:kern w:val="0"/>
              </w:rPr>
            </w:pPr>
            <w:r>
              <w:rPr>
                <w:rFonts w:hint="eastAsia"/>
                <w:kern w:val="0"/>
              </w:rPr>
              <w:t>网址</w:t>
            </w:r>
          </w:p>
        </w:tc>
        <w:tc>
          <w:tcPr>
            <w:tcW w:w="2381" w:type="dxa"/>
            <w:gridSpan w:val="2"/>
            <w:vAlign w:val="center"/>
          </w:tcPr>
          <w:p>
            <w:pPr>
              <w:autoSpaceDE w:val="0"/>
              <w:autoSpaceDN w:val="0"/>
              <w:adjustRightInd w:val="0"/>
              <w:spacing w:line="360" w:lineRule="auto"/>
              <w:rPr>
                <w:kern w:val="0"/>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trHeight w:val="462" w:hRule="atLeast"/>
          <w:jc w:val="center"/>
        </w:trPr>
        <w:tc>
          <w:tcPr>
            <w:tcW w:w="1597" w:type="dxa"/>
            <w:vAlign w:val="center"/>
          </w:tcPr>
          <w:p>
            <w:pPr>
              <w:autoSpaceDE w:val="0"/>
              <w:autoSpaceDN w:val="0"/>
              <w:adjustRightInd w:val="0"/>
              <w:spacing w:line="360" w:lineRule="auto"/>
              <w:rPr>
                <w:kern w:val="0"/>
              </w:rPr>
            </w:pPr>
            <w:r>
              <w:rPr>
                <w:rFonts w:hint="eastAsia"/>
                <w:kern w:val="0"/>
              </w:rPr>
              <w:t>法定代表人</w:t>
            </w:r>
          </w:p>
        </w:tc>
        <w:tc>
          <w:tcPr>
            <w:tcW w:w="851" w:type="dxa"/>
            <w:vAlign w:val="center"/>
          </w:tcPr>
          <w:p>
            <w:pPr>
              <w:autoSpaceDE w:val="0"/>
              <w:autoSpaceDN w:val="0"/>
              <w:adjustRightInd w:val="0"/>
              <w:spacing w:line="360" w:lineRule="auto"/>
              <w:jc w:val="center"/>
              <w:rPr>
                <w:kern w:val="0"/>
              </w:rPr>
            </w:pPr>
            <w:r>
              <w:rPr>
                <w:rFonts w:hint="eastAsia"/>
                <w:kern w:val="0"/>
              </w:rPr>
              <w:t>姓名</w:t>
            </w:r>
          </w:p>
        </w:tc>
        <w:tc>
          <w:tcPr>
            <w:tcW w:w="1620" w:type="dxa"/>
            <w:gridSpan w:val="2"/>
            <w:vAlign w:val="center"/>
          </w:tcPr>
          <w:p>
            <w:pPr>
              <w:autoSpaceDE w:val="0"/>
              <w:autoSpaceDN w:val="0"/>
              <w:adjustRightInd w:val="0"/>
              <w:spacing w:line="360" w:lineRule="auto"/>
              <w:rPr>
                <w:kern w:val="0"/>
              </w:rPr>
            </w:pPr>
          </w:p>
        </w:tc>
        <w:tc>
          <w:tcPr>
            <w:tcW w:w="1158" w:type="dxa"/>
            <w:gridSpan w:val="2"/>
            <w:vAlign w:val="center"/>
          </w:tcPr>
          <w:p>
            <w:pPr>
              <w:autoSpaceDE w:val="0"/>
              <w:autoSpaceDN w:val="0"/>
              <w:adjustRightInd w:val="0"/>
              <w:spacing w:line="360" w:lineRule="auto"/>
              <w:rPr>
                <w:kern w:val="0"/>
              </w:rPr>
            </w:pPr>
            <w:r>
              <w:rPr>
                <w:rFonts w:hint="eastAsia"/>
                <w:kern w:val="0"/>
              </w:rPr>
              <w:t>技术职称</w:t>
            </w:r>
          </w:p>
        </w:tc>
        <w:tc>
          <w:tcPr>
            <w:tcW w:w="1402" w:type="dxa"/>
            <w:gridSpan w:val="3"/>
            <w:vAlign w:val="center"/>
          </w:tcPr>
          <w:p>
            <w:pPr>
              <w:autoSpaceDE w:val="0"/>
              <w:autoSpaceDN w:val="0"/>
              <w:adjustRightInd w:val="0"/>
              <w:spacing w:line="360" w:lineRule="auto"/>
              <w:rPr>
                <w:kern w:val="0"/>
              </w:rPr>
            </w:pPr>
          </w:p>
        </w:tc>
        <w:tc>
          <w:tcPr>
            <w:tcW w:w="684" w:type="dxa"/>
            <w:vAlign w:val="center"/>
          </w:tcPr>
          <w:p>
            <w:pPr>
              <w:autoSpaceDE w:val="0"/>
              <w:autoSpaceDN w:val="0"/>
              <w:adjustRightInd w:val="0"/>
              <w:spacing w:line="360" w:lineRule="auto"/>
              <w:rPr>
                <w:kern w:val="0"/>
              </w:rPr>
            </w:pPr>
            <w:r>
              <w:rPr>
                <w:rFonts w:hint="eastAsia"/>
                <w:kern w:val="0"/>
              </w:rPr>
              <w:t>电话</w:t>
            </w:r>
          </w:p>
        </w:tc>
        <w:tc>
          <w:tcPr>
            <w:tcW w:w="1697" w:type="dxa"/>
            <w:vAlign w:val="center"/>
          </w:tcPr>
          <w:p>
            <w:pPr>
              <w:autoSpaceDE w:val="0"/>
              <w:autoSpaceDN w:val="0"/>
              <w:adjustRightInd w:val="0"/>
              <w:spacing w:line="360" w:lineRule="auto"/>
              <w:rPr>
                <w:b/>
                <w:bCs/>
                <w:kern w:val="0"/>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trHeight w:val="442" w:hRule="atLeast"/>
          <w:jc w:val="center"/>
        </w:trPr>
        <w:tc>
          <w:tcPr>
            <w:tcW w:w="1597" w:type="dxa"/>
            <w:vAlign w:val="center"/>
          </w:tcPr>
          <w:p>
            <w:pPr>
              <w:autoSpaceDE w:val="0"/>
              <w:autoSpaceDN w:val="0"/>
              <w:adjustRightInd w:val="0"/>
              <w:spacing w:line="360" w:lineRule="auto"/>
              <w:rPr>
                <w:kern w:val="0"/>
              </w:rPr>
            </w:pPr>
            <w:r>
              <w:rPr>
                <w:rFonts w:hint="eastAsia"/>
                <w:kern w:val="0"/>
              </w:rPr>
              <w:t>技术负责人</w:t>
            </w:r>
          </w:p>
        </w:tc>
        <w:tc>
          <w:tcPr>
            <w:tcW w:w="851" w:type="dxa"/>
            <w:vAlign w:val="center"/>
          </w:tcPr>
          <w:p>
            <w:pPr>
              <w:autoSpaceDE w:val="0"/>
              <w:autoSpaceDN w:val="0"/>
              <w:adjustRightInd w:val="0"/>
              <w:spacing w:line="360" w:lineRule="auto"/>
              <w:jc w:val="center"/>
              <w:rPr>
                <w:kern w:val="0"/>
              </w:rPr>
            </w:pPr>
            <w:r>
              <w:rPr>
                <w:rFonts w:hint="eastAsia"/>
                <w:kern w:val="0"/>
              </w:rPr>
              <w:t>姓名</w:t>
            </w:r>
          </w:p>
        </w:tc>
        <w:tc>
          <w:tcPr>
            <w:tcW w:w="1620" w:type="dxa"/>
            <w:gridSpan w:val="2"/>
            <w:vAlign w:val="center"/>
          </w:tcPr>
          <w:p>
            <w:pPr>
              <w:autoSpaceDE w:val="0"/>
              <w:autoSpaceDN w:val="0"/>
              <w:adjustRightInd w:val="0"/>
              <w:spacing w:line="360" w:lineRule="auto"/>
              <w:rPr>
                <w:kern w:val="0"/>
              </w:rPr>
            </w:pPr>
          </w:p>
        </w:tc>
        <w:tc>
          <w:tcPr>
            <w:tcW w:w="1158" w:type="dxa"/>
            <w:gridSpan w:val="2"/>
            <w:vAlign w:val="center"/>
          </w:tcPr>
          <w:p>
            <w:pPr>
              <w:autoSpaceDE w:val="0"/>
              <w:autoSpaceDN w:val="0"/>
              <w:adjustRightInd w:val="0"/>
              <w:spacing w:line="360" w:lineRule="auto"/>
              <w:rPr>
                <w:kern w:val="0"/>
              </w:rPr>
            </w:pPr>
            <w:r>
              <w:rPr>
                <w:rFonts w:hint="eastAsia"/>
                <w:kern w:val="0"/>
              </w:rPr>
              <w:t>技术职称</w:t>
            </w:r>
          </w:p>
        </w:tc>
        <w:tc>
          <w:tcPr>
            <w:tcW w:w="1402" w:type="dxa"/>
            <w:gridSpan w:val="3"/>
            <w:vAlign w:val="center"/>
          </w:tcPr>
          <w:p>
            <w:pPr>
              <w:autoSpaceDE w:val="0"/>
              <w:autoSpaceDN w:val="0"/>
              <w:adjustRightInd w:val="0"/>
              <w:spacing w:line="360" w:lineRule="auto"/>
              <w:rPr>
                <w:kern w:val="0"/>
              </w:rPr>
            </w:pPr>
          </w:p>
        </w:tc>
        <w:tc>
          <w:tcPr>
            <w:tcW w:w="684" w:type="dxa"/>
            <w:vAlign w:val="center"/>
          </w:tcPr>
          <w:p>
            <w:pPr>
              <w:autoSpaceDE w:val="0"/>
              <w:autoSpaceDN w:val="0"/>
              <w:adjustRightInd w:val="0"/>
              <w:spacing w:line="360" w:lineRule="auto"/>
              <w:rPr>
                <w:kern w:val="0"/>
              </w:rPr>
            </w:pPr>
            <w:r>
              <w:rPr>
                <w:rFonts w:hint="eastAsia"/>
                <w:kern w:val="0"/>
              </w:rPr>
              <w:t>电话</w:t>
            </w:r>
          </w:p>
        </w:tc>
        <w:tc>
          <w:tcPr>
            <w:tcW w:w="1697" w:type="dxa"/>
            <w:vAlign w:val="center"/>
          </w:tcPr>
          <w:p>
            <w:pPr>
              <w:autoSpaceDE w:val="0"/>
              <w:autoSpaceDN w:val="0"/>
              <w:adjustRightInd w:val="0"/>
              <w:spacing w:line="360" w:lineRule="auto"/>
              <w:rPr>
                <w:b/>
                <w:bCs/>
                <w:kern w:val="0"/>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cantSplit/>
          <w:trHeight w:val="442" w:hRule="atLeast"/>
          <w:jc w:val="center"/>
        </w:trPr>
        <w:tc>
          <w:tcPr>
            <w:tcW w:w="1597" w:type="dxa"/>
            <w:vAlign w:val="center"/>
          </w:tcPr>
          <w:p>
            <w:pPr>
              <w:autoSpaceDE w:val="0"/>
              <w:autoSpaceDN w:val="0"/>
              <w:adjustRightInd w:val="0"/>
              <w:spacing w:line="360" w:lineRule="auto"/>
              <w:rPr>
                <w:kern w:val="0"/>
              </w:rPr>
            </w:pPr>
            <w:r>
              <w:rPr>
                <w:rFonts w:hint="eastAsia"/>
                <w:kern w:val="0"/>
              </w:rPr>
              <w:t>成立时间</w:t>
            </w:r>
          </w:p>
        </w:tc>
        <w:tc>
          <w:tcPr>
            <w:tcW w:w="3195" w:type="dxa"/>
            <w:gridSpan w:val="4"/>
            <w:tcBorders>
              <w:right w:val="single" w:color="auto" w:sz="4" w:space="0"/>
            </w:tcBorders>
            <w:vAlign w:val="center"/>
          </w:tcPr>
          <w:p>
            <w:pPr>
              <w:autoSpaceDE w:val="0"/>
              <w:autoSpaceDN w:val="0"/>
              <w:adjustRightInd w:val="0"/>
              <w:spacing w:line="360" w:lineRule="auto"/>
              <w:ind w:firstLine="1470" w:firstLineChars="700"/>
              <w:jc w:val="left"/>
              <w:rPr>
                <w:kern w:val="0"/>
              </w:rPr>
            </w:pPr>
          </w:p>
        </w:tc>
        <w:tc>
          <w:tcPr>
            <w:tcW w:w="4217" w:type="dxa"/>
            <w:gridSpan w:val="6"/>
            <w:tcBorders>
              <w:left w:val="single" w:color="auto" w:sz="4" w:space="0"/>
            </w:tcBorders>
            <w:vAlign w:val="center"/>
          </w:tcPr>
          <w:p>
            <w:pPr>
              <w:autoSpaceDE w:val="0"/>
              <w:autoSpaceDN w:val="0"/>
              <w:adjustRightInd w:val="0"/>
              <w:spacing w:line="360" w:lineRule="auto"/>
              <w:rPr>
                <w:kern w:val="0"/>
              </w:rPr>
            </w:pPr>
            <w:r>
              <w:rPr>
                <w:rFonts w:hint="eastAsia"/>
                <w:kern w:val="0"/>
              </w:rPr>
              <w:t>员工总人数：</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cantSplit/>
          <w:trHeight w:val="462" w:hRule="atLeast"/>
          <w:jc w:val="center"/>
        </w:trPr>
        <w:tc>
          <w:tcPr>
            <w:tcW w:w="1597" w:type="dxa"/>
            <w:vAlign w:val="center"/>
          </w:tcPr>
          <w:p>
            <w:pPr>
              <w:autoSpaceDE w:val="0"/>
              <w:autoSpaceDN w:val="0"/>
              <w:adjustRightInd w:val="0"/>
              <w:spacing w:line="360" w:lineRule="auto"/>
              <w:rPr>
                <w:kern w:val="0"/>
              </w:rPr>
            </w:pPr>
            <w:r>
              <w:rPr>
                <w:rFonts w:hint="eastAsia"/>
                <w:kern w:val="0"/>
              </w:rPr>
              <w:t>企业资质等级</w:t>
            </w:r>
          </w:p>
        </w:tc>
        <w:tc>
          <w:tcPr>
            <w:tcW w:w="3195" w:type="dxa"/>
            <w:gridSpan w:val="4"/>
            <w:tcBorders>
              <w:right w:val="single" w:color="auto" w:sz="4" w:space="0"/>
            </w:tcBorders>
            <w:vAlign w:val="center"/>
          </w:tcPr>
          <w:p>
            <w:pPr>
              <w:autoSpaceDE w:val="0"/>
              <w:autoSpaceDN w:val="0"/>
              <w:adjustRightInd w:val="0"/>
              <w:spacing w:line="360" w:lineRule="auto"/>
              <w:rPr>
                <w:kern w:val="0"/>
              </w:rPr>
            </w:pPr>
          </w:p>
        </w:tc>
        <w:tc>
          <w:tcPr>
            <w:tcW w:w="900" w:type="dxa"/>
            <w:gridSpan w:val="3"/>
            <w:vMerge w:val="restart"/>
            <w:tcBorders>
              <w:left w:val="single" w:color="auto" w:sz="4" w:space="0"/>
            </w:tcBorders>
            <w:vAlign w:val="center"/>
          </w:tcPr>
          <w:p>
            <w:pPr>
              <w:autoSpaceDE w:val="0"/>
              <w:autoSpaceDN w:val="0"/>
              <w:adjustRightInd w:val="0"/>
              <w:spacing w:line="360" w:lineRule="auto"/>
              <w:jc w:val="center"/>
              <w:rPr>
                <w:kern w:val="0"/>
              </w:rPr>
            </w:pPr>
            <w:r>
              <w:rPr>
                <w:rFonts w:hint="eastAsia"/>
                <w:kern w:val="0"/>
              </w:rPr>
              <w:t>其中</w:t>
            </w:r>
          </w:p>
        </w:tc>
        <w:tc>
          <w:tcPr>
            <w:tcW w:w="1620" w:type="dxa"/>
            <w:gridSpan w:val="2"/>
            <w:vAlign w:val="center"/>
          </w:tcPr>
          <w:p>
            <w:pPr>
              <w:autoSpaceDE w:val="0"/>
              <w:autoSpaceDN w:val="0"/>
              <w:adjustRightInd w:val="0"/>
              <w:spacing w:line="360" w:lineRule="auto"/>
              <w:rPr>
                <w:kern w:val="0"/>
              </w:rPr>
            </w:pPr>
            <w:r>
              <w:rPr>
                <w:rFonts w:hint="eastAsia"/>
                <w:kern w:val="0"/>
              </w:rPr>
              <w:t>项目经理</w:t>
            </w:r>
          </w:p>
        </w:tc>
        <w:tc>
          <w:tcPr>
            <w:tcW w:w="1697" w:type="dxa"/>
            <w:vAlign w:val="center"/>
          </w:tcPr>
          <w:p>
            <w:pPr>
              <w:autoSpaceDE w:val="0"/>
              <w:autoSpaceDN w:val="0"/>
              <w:adjustRightInd w:val="0"/>
              <w:spacing w:line="360" w:lineRule="auto"/>
              <w:rPr>
                <w:b/>
                <w:bCs/>
                <w:kern w:val="0"/>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cantSplit/>
          <w:trHeight w:val="442" w:hRule="atLeast"/>
          <w:jc w:val="center"/>
        </w:trPr>
        <w:tc>
          <w:tcPr>
            <w:tcW w:w="1597" w:type="dxa"/>
            <w:vAlign w:val="center"/>
          </w:tcPr>
          <w:p>
            <w:pPr>
              <w:autoSpaceDE w:val="0"/>
              <w:autoSpaceDN w:val="0"/>
              <w:adjustRightInd w:val="0"/>
              <w:spacing w:line="360" w:lineRule="auto"/>
              <w:rPr>
                <w:kern w:val="0"/>
              </w:rPr>
            </w:pPr>
            <w:r>
              <w:rPr>
                <w:rFonts w:hint="eastAsia"/>
                <w:kern w:val="0"/>
              </w:rPr>
              <w:t>营业执照号</w:t>
            </w:r>
          </w:p>
        </w:tc>
        <w:tc>
          <w:tcPr>
            <w:tcW w:w="3195" w:type="dxa"/>
            <w:gridSpan w:val="4"/>
            <w:tcBorders>
              <w:right w:val="single" w:color="auto" w:sz="4" w:space="0"/>
            </w:tcBorders>
            <w:vAlign w:val="center"/>
          </w:tcPr>
          <w:p>
            <w:pPr>
              <w:autoSpaceDE w:val="0"/>
              <w:autoSpaceDN w:val="0"/>
              <w:adjustRightInd w:val="0"/>
              <w:spacing w:line="360" w:lineRule="auto"/>
              <w:rPr>
                <w:kern w:val="0"/>
              </w:rPr>
            </w:pPr>
          </w:p>
        </w:tc>
        <w:tc>
          <w:tcPr>
            <w:tcW w:w="900" w:type="dxa"/>
            <w:gridSpan w:val="3"/>
            <w:vMerge w:val="continue"/>
            <w:tcBorders>
              <w:left w:val="single" w:color="auto" w:sz="4" w:space="0"/>
            </w:tcBorders>
            <w:vAlign w:val="center"/>
          </w:tcPr>
          <w:p>
            <w:pPr>
              <w:autoSpaceDE w:val="0"/>
              <w:autoSpaceDN w:val="0"/>
              <w:adjustRightInd w:val="0"/>
              <w:spacing w:line="360" w:lineRule="auto"/>
              <w:rPr>
                <w:kern w:val="0"/>
              </w:rPr>
            </w:pPr>
          </w:p>
        </w:tc>
        <w:tc>
          <w:tcPr>
            <w:tcW w:w="1620" w:type="dxa"/>
            <w:gridSpan w:val="2"/>
            <w:vAlign w:val="center"/>
          </w:tcPr>
          <w:p>
            <w:pPr>
              <w:autoSpaceDE w:val="0"/>
              <w:autoSpaceDN w:val="0"/>
              <w:adjustRightInd w:val="0"/>
              <w:spacing w:line="360" w:lineRule="auto"/>
              <w:rPr>
                <w:kern w:val="0"/>
              </w:rPr>
            </w:pPr>
            <w:r>
              <w:rPr>
                <w:rFonts w:hint="eastAsia"/>
                <w:kern w:val="0"/>
              </w:rPr>
              <w:t>高级职称人员</w:t>
            </w:r>
          </w:p>
        </w:tc>
        <w:tc>
          <w:tcPr>
            <w:tcW w:w="1697" w:type="dxa"/>
            <w:vAlign w:val="center"/>
          </w:tcPr>
          <w:p>
            <w:pPr>
              <w:autoSpaceDE w:val="0"/>
              <w:autoSpaceDN w:val="0"/>
              <w:adjustRightInd w:val="0"/>
              <w:spacing w:line="360" w:lineRule="auto"/>
              <w:rPr>
                <w:b/>
                <w:bCs/>
                <w:kern w:val="0"/>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cantSplit/>
          <w:trHeight w:val="442" w:hRule="atLeast"/>
          <w:jc w:val="center"/>
        </w:trPr>
        <w:tc>
          <w:tcPr>
            <w:tcW w:w="1597" w:type="dxa"/>
            <w:vAlign w:val="center"/>
          </w:tcPr>
          <w:p>
            <w:pPr>
              <w:autoSpaceDE w:val="0"/>
              <w:autoSpaceDN w:val="0"/>
              <w:adjustRightInd w:val="0"/>
              <w:spacing w:line="360" w:lineRule="auto"/>
              <w:rPr>
                <w:kern w:val="0"/>
              </w:rPr>
            </w:pPr>
            <w:r>
              <w:rPr>
                <w:rFonts w:hint="eastAsia"/>
                <w:kern w:val="0"/>
              </w:rPr>
              <w:t>注册资金</w:t>
            </w:r>
          </w:p>
        </w:tc>
        <w:tc>
          <w:tcPr>
            <w:tcW w:w="3195" w:type="dxa"/>
            <w:gridSpan w:val="4"/>
            <w:tcBorders>
              <w:right w:val="single" w:color="auto" w:sz="4" w:space="0"/>
            </w:tcBorders>
            <w:vAlign w:val="center"/>
          </w:tcPr>
          <w:p>
            <w:pPr>
              <w:autoSpaceDE w:val="0"/>
              <w:autoSpaceDN w:val="0"/>
              <w:adjustRightInd w:val="0"/>
              <w:spacing w:line="360" w:lineRule="auto"/>
              <w:rPr>
                <w:kern w:val="0"/>
              </w:rPr>
            </w:pPr>
          </w:p>
        </w:tc>
        <w:tc>
          <w:tcPr>
            <w:tcW w:w="900" w:type="dxa"/>
            <w:gridSpan w:val="3"/>
            <w:vMerge w:val="continue"/>
            <w:tcBorders>
              <w:left w:val="single" w:color="auto" w:sz="4" w:space="0"/>
            </w:tcBorders>
            <w:vAlign w:val="center"/>
          </w:tcPr>
          <w:p>
            <w:pPr>
              <w:autoSpaceDE w:val="0"/>
              <w:autoSpaceDN w:val="0"/>
              <w:adjustRightInd w:val="0"/>
              <w:spacing w:line="360" w:lineRule="auto"/>
              <w:rPr>
                <w:kern w:val="0"/>
              </w:rPr>
            </w:pPr>
          </w:p>
        </w:tc>
        <w:tc>
          <w:tcPr>
            <w:tcW w:w="1620" w:type="dxa"/>
            <w:gridSpan w:val="2"/>
            <w:vAlign w:val="center"/>
          </w:tcPr>
          <w:p>
            <w:pPr>
              <w:autoSpaceDE w:val="0"/>
              <w:autoSpaceDN w:val="0"/>
              <w:adjustRightInd w:val="0"/>
              <w:spacing w:line="360" w:lineRule="auto"/>
              <w:rPr>
                <w:kern w:val="0"/>
              </w:rPr>
            </w:pPr>
            <w:r>
              <w:rPr>
                <w:rFonts w:hint="eastAsia"/>
                <w:kern w:val="0"/>
              </w:rPr>
              <w:t>中级职称人员</w:t>
            </w:r>
          </w:p>
        </w:tc>
        <w:tc>
          <w:tcPr>
            <w:tcW w:w="1697" w:type="dxa"/>
            <w:vAlign w:val="center"/>
          </w:tcPr>
          <w:p>
            <w:pPr>
              <w:autoSpaceDE w:val="0"/>
              <w:autoSpaceDN w:val="0"/>
              <w:adjustRightInd w:val="0"/>
              <w:spacing w:line="360" w:lineRule="auto"/>
              <w:rPr>
                <w:b/>
                <w:bCs/>
                <w:kern w:val="0"/>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cantSplit/>
          <w:trHeight w:val="462" w:hRule="atLeast"/>
          <w:jc w:val="center"/>
        </w:trPr>
        <w:tc>
          <w:tcPr>
            <w:tcW w:w="1597" w:type="dxa"/>
            <w:vAlign w:val="center"/>
          </w:tcPr>
          <w:p>
            <w:pPr>
              <w:autoSpaceDE w:val="0"/>
              <w:autoSpaceDN w:val="0"/>
              <w:adjustRightInd w:val="0"/>
              <w:spacing w:line="360" w:lineRule="auto"/>
              <w:rPr>
                <w:kern w:val="0"/>
              </w:rPr>
            </w:pPr>
            <w:r>
              <w:rPr>
                <w:rFonts w:hint="eastAsia"/>
                <w:kern w:val="0"/>
              </w:rPr>
              <w:t>开户银行</w:t>
            </w:r>
          </w:p>
        </w:tc>
        <w:tc>
          <w:tcPr>
            <w:tcW w:w="3195" w:type="dxa"/>
            <w:gridSpan w:val="4"/>
            <w:tcBorders>
              <w:right w:val="single" w:color="auto" w:sz="4" w:space="0"/>
            </w:tcBorders>
            <w:vAlign w:val="center"/>
          </w:tcPr>
          <w:p>
            <w:pPr>
              <w:autoSpaceDE w:val="0"/>
              <w:autoSpaceDN w:val="0"/>
              <w:adjustRightInd w:val="0"/>
              <w:spacing w:line="360" w:lineRule="auto"/>
              <w:rPr>
                <w:kern w:val="0"/>
              </w:rPr>
            </w:pPr>
          </w:p>
        </w:tc>
        <w:tc>
          <w:tcPr>
            <w:tcW w:w="900" w:type="dxa"/>
            <w:gridSpan w:val="3"/>
            <w:vMerge w:val="continue"/>
            <w:tcBorders>
              <w:left w:val="single" w:color="auto" w:sz="4" w:space="0"/>
            </w:tcBorders>
            <w:vAlign w:val="center"/>
          </w:tcPr>
          <w:p>
            <w:pPr>
              <w:autoSpaceDE w:val="0"/>
              <w:autoSpaceDN w:val="0"/>
              <w:adjustRightInd w:val="0"/>
              <w:spacing w:line="360" w:lineRule="auto"/>
              <w:rPr>
                <w:kern w:val="0"/>
              </w:rPr>
            </w:pPr>
          </w:p>
        </w:tc>
        <w:tc>
          <w:tcPr>
            <w:tcW w:w="1620" w:type="dxa"/>
            <w:gridSpan w:val="2"/>
            <w:vAlign w:val="center"/>
          </w:tcPr>
          <w:p>
            <w:pPr>
              <w:autoSpaceDE w:val="0"/>
              <w:autoSpaceDN w:val="0"/>
              <w:adjustRightInd w:val="0"/>
              <w:spacing w:line="360" w:lineRule="auto"/>
              <w:rPr>
                <w:kern w:val="0"/>
              </w:rPr>
            </w:pPr>
            <w:r>
              <w:rPr>
                <w:rFonts w:hint="eastAsia"/>
                <w:kern w:val="0"/>
              </w:rPr>
              <w:t>初级职称人员</w:t>
            </w:r>
          </w:p>
        </w:tc>
        <w:tc>
          <w:tcPr>
            <w:tcW w:w="1697" w:type="dxa"/>
            <w:vAlign w:val="center"/>
          </w:tcPr>
          <w:p>
            <w:pPr>
              <w:autoSpaceDE w:val="0"/>
              <w:autoSpaceDN w:val="0"/>
              <w:adjustRightInd w:val="0"/>
              <w:spacing w:line="360" w:lineRule="auto"/>
              <w:rPr>
                <w:b/>
                <w:bCs/>
                <w:kern w:val="0"/>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cantSplit/>
          <w:trHeight w:val="442" w:hRule="atLeast"/>
          <w:jc w:val="center"/>
        </w:trPr>
        <w:tc>
          <w:tcPr>
            <w:tcW w:w="1597" w:type="dxa"/>
            <w:vAlign w:val="center"/>
          </w:tcPr>
          <w:p>
            <w:pPr>
              <w:autoSpaceDE w:val="0"/>
              <w:autoSpaceDN w:val="0"/>
              <w:adjustRightInd w:val="0"/>
              <w:spacing w:line="360" w:lineRule="auto"/>
              <w:rPr>
                <w:kern w:val="0"/>
              </w:rPr>
            </w:pPr>
            <w:r>
              <w:rPr>
                <w:rFonts w:hint="eastAsia"/>
                <w:kern w:val="0"/>
              </w:rPr>
              <w:t>账号</w:t>
            </w:r>
          </w:p>
        </w:tc>
        <w:tc>
          <w:tcPr>
            <w:tcW w:w="3195" w:type="dxa"/>
            <w:gridSpan w:val="4"/>
            <w:tcBorders>
              <w:right w:val="single" w:color="auto" w:sz="4" w:space="0"/>
            </w:tcBorders>
            <w:vAlign w:val="center"/>
          </w:tcPr>
          <w:p>
            <w:pPr>
              <w:autoSpaceDE w:val="0"/>
              <w:autoSpaceDN w:val="0"/>
              <w:adjustRightInd w:val="0"/>
              <w:spacing w:line="360" w:lineRule="auto"/>
              <w:rPr>
                <w:kern w:val="0"/>
              </w:rPr>
            </w:pPr>
          </w:p>
        </w:tc>
        <w:tc>
          <w:tcPr>
            <w:tcW w:w="900" w:type="dxa"/>
            <w:gridSpan w:val="3"/>
            <w:vMerge w:val="continue"/>
            <w:tcBorders>
              <w:left w:val="single" w:color="auto" w:sz="4" w:space="0"/>
            </w:tcBorders>
            <w:vAlign w:val="center"/>
          </w:tcPr>
          <w:p>
            <w:pPr>
              <w:autoSpaceDE w:val="0"/>
              <w:autoSpaceDN w:val="0"/>
              <w:adjustRightInd w:val="0"/>
              <w:spacing w:line="360" w:lineRule="auto"/>
              <w:rPr>
                <w:kern w:val="0"/>
              </w:rPr>
            </w:pPr>
          </w:p>
        </w:tc>
        <w:tc>
          <w:tcPr>
            <w:tcW w:w="1620" w:type="dxa"/>
            <w:gridSpan w:val="2"/>
            <w:vAlign w:val="center"/>
          </w:tcPr>
          <w:p>
            <w:pPr>
              <w:autoSpaceDE w:val="0"/>
              <w:autoSpaceDN w:val="0"/>
              <w:adjustRightInd w:val="0"/>
              <w:spacing w:line="360" w:lineRule="auto"/>
              <w:rPr>
                <w:kern w:val="0"/>
              </w:rPr>
            </w:pPr>
            <w:r>
              <w:rPr>
                <w:rFonts w:hint="eastAsia"/>
                <w:kern w:val="0"/>
              </w:rPr>
              <w:t>普通职工</w:t>
            </w:r>
          </w:p>
        </w:tc>
        <w:tc>
          <w:tcPr>
            <w:tcW w:w="1697" w:type="dxa"/>
            <w:vAlign w:val="center"/>
          </w:tcPr>
          <w:p>
            <w:pPr>
              <w:autoSpaceDE w:val="0"/>
              <w:autoSpaceDN w:val="0"/>
              <w:adjustRightInd w:val="0"/>
              <w:spacing w:line="360" w:lineRule="auto"/>
              <w:rPr>
                <w:b/>
                <w:bCs/>
                <w:kern w:val="0"/>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cantSplit/>
          <w:trHeight w:val="2442" w:hRule="atLeast"/>
          <w:jc w:val="center"/>
        </w:trPr>
        <w:tc>
          <w:tcPr>
            <w:tcW w:w="1597" w:type="dxa"/>
            <w:vAlign w:val="center"/>
          </w:tcPr>
          <w:p>
            <w:pPr>
              <w:autoSpaceDE w:val="0"/>
              <w:autoSpaceDN w:val="0"/>
              <w:adjustRightInd w:val="0"/>
              <w:spacing w:line="360" w:lineRule="auto"/>
              <w:rPr>
                <w:kern w:val="0"/>
              </w:rPr>
            </w:pPr>
            <w:r>
              <w:rPr>
                <w:rFonts w:hint="eastAsia"/>
                <w:kern w:val="0"/>
              </w:rPr>
              <w:t>经营范围</w:t>
            </w:r>
          </w:p>
        </w:tc>
        <w:tc>
          <w:tcPr>
            <w:tcW w:w="7412" w:type="dxa"/>
            <w:gridSpan w:val="10"/>
            <w:vAlign w:val="center"/>
          </w:tcPr>
          <w:p>
            <w:pPr>
              <w:autoSpaceDE w:val="0"/>
              <w:autoSpaceDN w:val="0"/>
              <w:adjustRightInd w:val="0"/>
              <w:spacing w:line="360" w:lineRule="auto"/>
              <w:rPr>
                <w:b/>
                <w:bCs/>
                <w:kern w:val="0"/>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cantSplit/>
          <w:trHeight w:val="1072" w:hRule="atLeast"/>
          <w:jc w:val="center"/>
        </w:trPr>
        <w:tc>
          <w:tcPr>
            <w:tcW w:w="1597" w:type="dxa"/>
          </w:tcPr>
          <w:p>
            <w:pPr>
              <w:autoSpaceDE w:val="0"/>
              <w:autoSpaceDN w:val="0"/>
              <w:adjustRightInd w:val="0"/>
              <w:spacing w:line="360" w:lineRule="auto"/>
              <w:rPr>
                <w:kern w:val="0"/>
              </w:rPr>
            </w:pPr>
            <w:r>
              <w:rPr>
                <w:rFonts w:hint="eastAsia"/>
                <w:kern w:val="0"/>
              </w:rPr>
              <w:t>备注</w:t>
            </w:r>
          </w:p>
        </w:tc>
        <w:tc>
          <w:tcPr>
            <w:tcW w:w="7412" w:type="dxa"/>
            <w:gridSpan w:val="10"/>
          </w:tcPr>
          <w:p>
            <w:pPr>
              <w:autoSpaceDE w:val="0"/>
              <w:autoSpaceDN w:val="0"/>
              <w:adjustRightInd w:val="0"/>
              <w:spacing w:line="360" w:lineRule="auto"/>
              <w:rPr>
                <w:kern w:val="0"/>
              </w:rPr>
            </w:pPr>
          </w:p>
        </w:tc>
      </w:tr>
    </w:tbl>
    <w:p>
      <w:pPr>
        <w:adjustRightInd w:val="0"/>
        <w:snapToGrid w:val="0"/>
        <w:spacing w:line="360" w:lineRule="auto"/>
        <w:ind w:firstLine="480" w:firstLineChars="200"/>
        <w:rPr>
          <w:sz w:val="24"/>
        </w:rPr>
      </w:pPr>
    </w:p>
    <w:p>
      <w:pPr>
        <w:adjustRightInd w:val="0"/>
        <w:snapToGrid w:val="0"/>
        <w:spacing w:line="360" w:lineRule="auto"/>
        <w:ind w:firstLine="480" w:firstLineChars="200"/>
        <w:rPr>
          <w:sz w:val="24"/>
        </w:rPr>
      </w:pPr>
    </w:p>
    <w:p>
      <w:pPr>
        <w:adjustRightInd w:val="0"/>
        <w:snapToGrid w:val="0"/>
        <w:spacing w:line="360" w:lineRule="auto"/>
        <w:ind w:firstLine="480" w:firstLineChars="200"/>
        <w:rPr>
          <w:sz w:val="24"/>
        </w:rPr>
      </w:pPr>
    </w:p>
    <w:p>
      <w:pPr>
        <w:adjustRightInd w:val="0"/>
        <w:snapToGrid w:val="0"/>
        <w:spacing w:line="360" w:lineRule="auto"/>
        <w:ind w:firstLine="480" w:firstLineChars="200"/>
        <w:rPr>
          <w:sz w:val="24"/>
        </w:rPr>
      </w:pPr>
    </w:p>
    <w:p>
      <w:pPr>
        <w:adjustRightInd w:val="0"/>
        <w:snapToGrid w:val="0"/>
        <w:spacing w:line="360" w:lineRule="auto"/>
        <w:ind w:firstLine="480" w:firstLineChars="200"/>
        <w:rPr>
          <w:sz w:val="24"/>
        </w:rPr>
      </w:pPr>
    </w:p>
    <w:p>
      <w:pPr>
        <w:adjustRightInd w:val="0"/>
        <w:snapToGrid w:val="0"/>
        <w:spacing w:line="360" w:lineRule="auto"/>
        <w:ind w:firstLine="480" w:firstLineChars="200"/>
        <w:rPr>
          <w:sz w:val="24"/>
        </w:rPr>
      </w:pPr>
    </w:p>
    <w:p>
      <w:pPr>
        <w:rPr>
          <w:sz w:val="24"/>
          <w:u w:val="single"/>
        </w:rPr>
      </w:pPr>
      <w:bookmarkStart w:id="180" w:name="_Toc317237639"/>
    </w:p>
    <w:p>
      <w:pPr>
        <w:pStyle w:val="2"/>
        <w:keepNext w:val="0"/>
        <w:keepLines w:val="0"/>
        <w:numPr>
          <w:ilvl w:val="0"/>
          <w:numId w:val="0"/>
        </w:numPr>
        <w:tabs>
          <w:tab w:val="left" w:pos="360"/>
          <w:tab w:val="left" w:pos="540"/>
        </w:tabs>
        <w:spacing w:beforeLines="50" w:afterLines="50"/>
        <w:ind w:left="2694"/>
        <w:rPr>
          <w:rFonts w:ascii="Times New Roman" w:hAnsi="Times New Roman"/>
          <w:szCs w:val="36"/>
        </w:rPr>
        <w:sectPr>
          <w:pgSz w:w="11907" w:h="16840"/>
          <w:pgMar w:top="1418" w:right="1134" w:bottom="1361" w:left="1134" w:header="794" w:footer="794" w:gutter="0"/>
          <w:cols w:space="720" w:num="1"/>
          <w:docGrid w:linePitch="285" w:charSpace="0"/>
        </w:sectPr>
      </w:pPr>
      <w:bookmarkStart w:id="181" w:name="_Toc17032"/>
      <w:bookmarkStart w:id="182" w:name="_Toc4789"/>
      <w:bookmarkStart w:id="183" w:name="_Toc20354"/>
      <w:bookmarkStart w:id="184" w:name="_Toc23605"/>
      <w:bookmarkStart w:id="185" w:name="_Toc10224"/>
    </w:p>
    <w:p>
      <w:pPr>
        <w:pStyle w:val="15"/>
        <w:overflowPunct w:val="0"/>
        <w:spacing w:line="560" w:lineRule="exact"/>
        <w:ind w:firstLine="0"/>
        <w:jc w:val="center"/>
        <w:rPr>
          <w:b/>
          <w:sz w:val="32"/>
          <w:szCs w:val="36"/>
        </w:rPr>
      </w:pPr>
      <w:r>
        <w:rPr>
          <w:rFonts w:hint="eastAsia"/>
          <w:b/>
          <w:sz w:val="32"/>
          <w:szCs w:val="36"/>
        </w:rPr>
        <w:t>5、投标人类似业绩一览表</w:t>
      </w:r>
      <w:bookmarkEnd w:id="181"/>
      <w:bookmarkEnd w:id="182"/>
      <w:bookmarkEnd w:id="183"/>
      <w:bookmarkEnd w:id="184"/>
      <w:bookmarkEnd w:id="185"/>
    </w:p>
    <w:p>
      <w:pPr>
        <w:pStyle w:val="15"/>
        <w:overflowPunct w:val="0"/>
        <w:spacing w:line="560" w:lineRule="exact"/>
        <w:ind w:firstLine="0"/>
        <w:jc w:val="center"/>
        <w:rPr>
          <w:b/>
          <w:sz w:val="32"/>
          <w:szCs w:val="36"/>
        </w:rPr>
      </w:pPr>
    </w:p>
    <w:tbl>
      <w:tblPr>
        <w:tblStyle w:val="59"/>
        <w:tblW w:w="99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4" w:type="dxa"/>
          <w:bottom w:w="0" w:type="dxa"/>
          <w:right w:w="54" w:type="dxa"/>
        </w:tblCellMar>
      </w:tblPr>
      <w:tblGrid>
        <w:gridCol w:w="1100"/>
        <w:gridCol w:w="1440"/>
        <w:gridCol w:w="1320"/>
        <w:gridCol w:w="1161"/>
        <w:gridCol w:w="1260"/>
        <w:gridCol w:w="1260"/>
        <w:gridCol w:w="9"/>
        <w:gridCol w:w="1356"/>
        <w:gridCol w:w="9"/>
        <w:gridCol w:w="10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4" w:type="dxa"/>
            <w:bottom w:w="0" w:type="dxa"/>
            <w:right w:w="54" w:type="dxa"/>
          </w:tblCellMar>
        </w:tblPrEx>
        <w:trPr>
          <w:cantSplit/>
          <w:trHeight w:val="600" w:hRule="atLeast"/>
          <w:jc w:val="center"/>
        </w:trPr>
        <w:tc>
          <w:tcPr>
            <w:tcW w:w="1100" w:type="dxa"/>
            <w:vAlign w:val="center"/>
          </w:tcPr>
          <w:p>
            <w:pPr>
              <w:spacing w:line="360" w:lineRule="auto"/>
              <w:ind w:firstLine="105" w:firstLineChars="50"/>
              <w:jc w:val="center"/>
              <w:rPr>
                <w:rFonts w:cs="Arial"/>
                <w:b/>
              </w:rPr>
            </w:pPr>
            <w:r>
              <w:rPr>
                <w:rFonts w:hint="eastAsia" w:cs="Arial"/>
                <w:b/>
              </w:rPr>
              <w:t>年份</w:t>
            </w:r>
          </w:p>
        </w:tc>
        <w:tc>
          <w:tcPr>
            <w:tcW w:w="1440" w:type="dxa"/>
            <w:vAlign w:val="center"/>
          </w:tcPr>
          <w:p>
            <w:pPr>
              <w:spacing w:line="360" w:lineRule="auto"/>
              <w:jc w:val="center"/>
              <w:rPr>
                <w:rFonts w:cs="Arial"/>
                <w:b/>
              </w:rPr>
            </w:pPr>
            <w:r>
              <w:rPr>
                <w:rFonts w:hint="eastAsia" w:cs="Arial"/>
                <w:b/>
              </w:rPr>
              <w:t>用户名称</w:t>
            </w:r>
          </w:p>
        </w:tc>
        <w:tc>
          <w:tcPr>
            <w:tcW w:w="1320" w:type="dxa"/>
            <w:vAlign w:val="center"/>
          </w:tcPr>
          <w:p>
            <w:pPr>
              <w:spacing w:line="360" w:lineRule="auto"/>
              <w:jc w:val="center"/>
              <w:rPr>
                <w:rFonts w:cs="Arial"/>
                <w:b/>
              </w:rPr>
            </w:pPr>
            <w:r>
              <w:rPr>
                <w:rFonts w:cs="Arial"/>
                <w:b/>
              </w:rPr>
              <w:t>项目名称</w:t>
            </w:r>
          </w:p>
        </w:tc>
        <w:tc>
          <w:tcPr>
            <w:tcW w:w="1161" w:type="dxa"/>
            <w:vAlign w:val="center"/>
          </w:tcPr>
          <w:p>
            <w:pPr>
              <w:spacing w:line="360" w:lineRule="auto"/>
              <w:jc w:val="center"/>
              <w:rPr>
                <w:rFonts w:cs="Arial"/>
                <w:b/>
              </w:rPr>
            </w:pPr>
            <w:r>
              <w:rPr>
                <w:rFonts w:cs="Arial"/>
                <w:b/>
              </w:rPr>
              <w:t>完成时间</w:t>
            </w:r>
          </w:p>
        </w:tc>
        <w:tc>
          <w:tcPr>
            <w:tcW w:w="1260" w:type="dxa"/>
          </w:tcPr>
          <w:p>
            <w:pPr>
              <w:spacing w:line="360" w:lineRule="auto"/>
              <w:ind w:firstLine="105" w:firstLineChars="50"/>
              <w:jc w:val="center"/>
              <w:rPr>
                <w:rFonts w:cs="Arial"/>
                <w:b/>
              </w:rPr>
            </w:pPr>
            <w:r>
              <w:rPr>
                <w:rFonts w:hint="eastAsia" w:cs="Arial"/>
                <w:b/>
              </w:rPr>
              <w:t>总建筑面积</w:t>
            </w:r>
          </w:p>
        </w:tc>
        <w:tc>
          <w:tcPr>
            <w:tcW w:w="1260" w:type="dxa"/>
            <w:vAlign w:val="center"/>
          </w:tcPr>
          <w:p>
            <w:pPr>
              <w:spacing w:line="360" w:lineRule="auto"/>
              <w:ind w:firstLine="105" w:firstLineChars="50"/>
              <w:jc w:val="center"/>
              <w:rPr>
                <w:rFonts w:cs="Arial"/>
                <w:b/>
              </w:rPr>
            </w:pPr>
            <w:r>
              <w:rPr>
                <w:rFonts w:cs="Arial"/>
                <w:b/>
              </w:rPr>
              <w:t>合同金额</w:t>
            </w:r>
          </w:p>
        </w:tc>
        <w:tc>
          <w:tcPr>
            <w:tcW w:w="1374" w:type="dxa"/>
            <w:gridSpan w:val="3"/>
            <w:vAlign w:val="center"/>
          </w:tcPr>
          <w:p>
            <w:pPr>
              <w:spacing w:line="360" w:lineRule="auto"/>
              <w:jc w:val="center"/>
              <w:rPr>
                <w:rFonts w:cs="Arial"/>
                <w:b/>
              </w:rPr>
            </w:pPr>
            <w:r>
              <w:rPr>
                <w:rFonts w:hint="eastAsia" w:cs="Arial"/>
                <w:b/>
              </w:rPr>
              <w:t>完成项目质量</w:t>
            </w:r>
          </w:p>
        </w:tc>
        <w:tc>
          <w:tcPr>
            <w:tcW w:w="1025" w:type="dxa"/>
            <w:vAlign w:val="center"/>
          </w:tcPr>
          <w:p>
            <w:pPr>
              <w:spacing w:line="360" w:lineRule="auto"/>
              <w:jc w:val="center"/>
              <w:rPr>
                <w:rFonts w:cs="Arial"/>
                <w:b/>
              </w:rPr>
            </w:pPr>
            <w:r>
              <w:rPr>
                <w:rFonts w:hint="eastAsia" w:cs="Arial"/>
                <w:b/>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4" w:type="dxa"/>
            <w:bottom w:w="0" w:type="dxa"/>
            <w:right w:w="54" w:type="dxa"/>
          </w:tblCellMar>
        </w:tblPrEx>
        <w:trPr>
          <w:cantSplit/>
          <w:trHeight w:val="567" w:hRule="atLeast"/>
          <w:jc w:val="center"/>
        </w:trPr>
        <w:tc>
          <w:tcPr>
            <w:tcW w:w="1100" w:type="dxa"/>
            <w:vAlign w:val="center"/>
          </w:tcPr>
          <w:p>
            <w:pPr>
              <w:spacing w:line="360" w:lineRule="auto"/>
              <w:jc w:val="center"/>
              <w:rPr>
                <w:rFonts w:cs="Arial"/>
              </w:rPr>
            </w:pPr>
          </w:p>
        </w:tc>
        <w:tc>
          <w:tcPr>
            <w:tcW w:w="1440" w:type="dxa"/>
            <w:vAlign w:val="center"/>
          </w:tcPr>
          <w:p>
            <w:pPr>
              <w:spacing w:line="360" w:lineRule="auto"/>
              <w:jc w:val="center"/>
              <w:rPr>
                <w:rFonts w:cs="Arial"/>
              </w:rPr>
            </w:pPr>
          </w:p>
        </w:tc>
        <w:tc>
          <w:tcPr>
            <w:tcW w:w="1320" w:type="dxa"/>
            <w:vAlign w:val="center"/>
          </w:tcPr>
          <w:p>
            <w:pPr>
              <w:spacing w:line="360" w:lineRule="auto"/>
              <w:jc w:val="center"/>
              <w:rPr>
                <w:rFonts w:cs="Arial"/>
              </w:rPr>
            </w:pPr>
          </w:p>
        </w:tc>
        <w:tc>
          <w:tcPr>
            <w:tcW w:w="1161" w:type="dxa"/>
            <w:vAlign w:val="center"/>
          </w:tcPr>
          <w:p>
            <w:pPr>
              <w:spacing w:line="360" w:lineRule="auto"/>
              <w:jc w:val="center"/>
              <w:rPr>
                <w:rFonts w:cs="Arial"/>
              </w:rPr>
            </w:pPr>
          </w:p>
        </w:tc>
        <w:tc>
          <w:tcPr>
            <w:tcW w:w="1260" w:type="dxa"/>
          </w:tcPr>
          <w:p>
            <w:pPr>
              <w:spacing w:line="360" w:lineRule="auto"/>
              <w:jc w:val="center"/>
              <w:rPr>
                <w:rFonts w:cs="Arial"/>
              </w:rPr>
            </w:pPr>
          </w:p>
        </w:tc>
        <w:tc>
          <w:tcPr>
            <w:tcW w:w="1260" w:type="dxa"/>
            <w:vAlign w:val="center"/>
          </w:tcPr>
          <w:p>
            <w:pPr>
              <w:spacing w:line="360" w:lineRule="auto"/>
              <w:jc w:val="center"/>
              <w:rPr>
                <w:rFonts w:cs="Arial"/>
              </w:rPr>
            </w:pPr>
          </w:p>
        </w:tc>
        <w:tc>
          <w:tcPr>
            <w:tcW w:w="1374" w:type="dxa"/>
            <w:gridSpan w:val="3"/>
            <w:vAlign w:val="center"/>
          </w:tcPr>
          <w:p>
            <w:pPr>
              <w:spacing w:line="360" w:lineRule="auto"/>
              <w:jc w:val="center"/>
              <w:rPr>
                <w:rFonts w:cs="Arial"/>
              </w:rPr>
            </w:pPr>
          </w:p>
        </w:tc>
        <w:tc>
          <w:tcPr>
            <w:tcW w:w="1025" w:type="dxa"/>
            <w:vAlign w:val="center"/>
          </w:tcPr>
          <w:p>
            <w:pPr>
              <w:spacing w:line="360" w:lineRule="auto"/>
              <w:jc w:val="center"/>
              <w:rPr>
                <w:rFont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4" w:type="dxa"/>
            <w:bottom w:w="0" w:type="dxa"/>
            <w:right w:w="54" w:type="dxa"/>
          </w:tblCellMar>
        </w:tblPrEx>
        <w:trPr>
          <w:cantSplit/>
          <w:trHeight w:val="567" w:hRule="atLeast"/>
          <w:jc w:val="center"/>
        </w:trPr>
        <w:tc>
          <w:tcPr>
            <w:tcW w:w="1100" w:type="dxa"/>
            <w:vAlign w:val="center"/>
          </w:tcPr>
          <w:p>
            <w:pPr>
              <w:spacing w:line="360" w:lineRule="auto"/>
              <w:jc w:val="center"/>
              <w:rPr>
                <w:rFonts w:cs="Arial"/>
              </w:rPr>
            </w:pPr>
          </w:p>
        </w:tc>
        <w:tc>
          <w:tcPr>
            <w:tcW w:w="1440" w:type="dxa"/>
            <w:vAlign w:val="center"/>
          </w:tcPr>
          <w:p>
            <w:pPr>
              <w:spacing w:line="360" w:lineRule="auto"/>
              <w:jc w:val="center"/>
              <w:rPr>
                <w:rFonts w:cs="Arial"/>
              </w:rPr>
            </w:pPr>
          </w:p>
        </w:tc>
        <w:tc>
          <w:tcPr>
            <w:tcW w:w="1320" w:type="dxa"/>
            <w:vAlign w:val="center"/>
          </w:tcPr>
          <w:p>
            <w:pPr>
              <w:spacing w:line="360" w:lineRule="auto"/>
              <w:jc w:val="center"/>
              <w:rPr>
                <w:rFonts w:cs="Arial"/>
              </w:rPr>
            </w:pPr>
          </w:p>
        </w:tc>
        <w:tc>
          <w:tcPr>
            <w:tcW w:w="1161" w:type="dxa"/>
            <w:vAlign w:val="center"/>
          </w:tcPr>
          <w:p>
            <w:pPr>
              <w:spacing w:line="360" w:lineRule="auto"/>
              <w:jc w:val="center"/>
              <w:rPr>
                <w:rFonts w:cs="Arial"/>
              </w:rPr>
            </w:pPr>
          </w:p>
        </w:tc>
        <w:tc>
          <w:tcPr>
            <w:tcW w:w="1260" w:type="dxa"/>
          </w:tcPr>
          <w:p>
            <w:pPr>
              <w:spacing w:line="360" w:lineRule="auto"/>
              <w:jc w:val="center"/>
              <w:rPr>
                <w:rFonts w:cs="Arial"/>
              </w:rPr>
            </w:pPr>
          </w:p>
        </w:tc>
        <w:tc>
          <w:tcPr>
            <w:tcW w:w="1260" w:type="dxa"/>
            <w:vAlign w:val="center"/>
          </w:tcPr>
          <w:p>
            <w:pPr>
              <w:spacing w:line="360" w:lineRule="auto"/>
              <w:jc w:val="center"/>
              <w:rPr>
                <w:rFonts w:cs="Arial"/>
              </w:rPr>
            </w:pPr>
          </w:p>
        </w:tc>
        <w:tc>
          <w:tcPr>
            <w:tcW w:w="1374" w:type="dxa"/>
            <w:gridSpan w:val="3"/>
            <w:vAlign w:val="center"/>
          </w:tcPr>
          <w:p>
            <w:pPr>
              <w:spacing w:line="360" w:lineRule="auto"/>
              <w:jc w:val="center"/>
              <w:rPr>
                <w:rFonts w:cs="Arial"/>
              </w:rPr>
            </w:pPr>
          </w:p>
        </w:tc>
        <w:tc>
          <w:tcPr>
            <w:tcW w:w="1025" w:type="dxa"/>
            <w:vAlign w:val="center"/>
          </w:tcPr>
          <w:p>
            <w:pPr>
              <w:spacing w:line="360" w:lineRule="auto"/>
              <w:jc w:val="center"/>
              <w:rPr>
                <w:rFont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4" w:type="dxa"/>
            <w:bottom w:w="0" w:type="dxa"/>
            <w:right w:w="54" w:type="dxa"/>
          </w:tblCellMar>
        </w:tblPrEx>
        <w:trPr>
          <w:cantSplit/>
          <w:trHeight w:val="567" w:hRule="atLeast"/>
          <w:jc w:val="center"/>
        </w:trPr>
        <w:tc>
          <w:tcPr>
            <w:tcW w:w="1100" w:type="dxa"/>
            <w:vAlign w:val="center"/>
          </w:tcPr>
          <w:p>
            <w:pPr>
              <w:spacing w:line="360" w:lineRule="auto"/>
              <w:jc w:val="center"/>
              <w:rPr>
                <w:rFonts w:cs="Arial"/>
              </w:rPr>
            </w:pPr>
          </w:p>
        </w:tc>
        <w:tc>
          <w:tcPr>
            <w:tcW w:w="1440" w:type="dxa"/>
            <w:vAlign w:val="center"/>
          </w:tcPr>
          <w:p>
            <w:pPr>
              <w:spacing w:line="360" w:lineRule="auto"/>
              <w:jc w:val="center"/>
              <w:rPr>
                <w:rFonts w:cs="Arial"/>
              </w:rPr>
            </w:pPr>
          </w:p>
        </w:tc>
        <w:tc>
          <w:tcPr>
            <w:tcW w:w="1320" w:type="dxa"/>
            <w:vAlign w:val="center"/>
          </w:tcPr>
          <w:p>
            <w:pPr>
              <w:spacing w:line="360" w:lineRule="auto"/>
              <w:jc w:val="center"/>
              <w:rPr>
                <w:rFonts w:cs="Arial"/>
              </w:rPr>
            </w:pPr>
          </w:p>
        </w:tc>
        <w:tc>
          <w:tcPr>
            <w:tcW w:w="1161" w:type="dxa"/>
            <w:vAlign w:val="center"/>
          </w:tcPr>
          <w:p>
            <w:pPr>
              <w:spacing w:line="360" w:lineRule="auto"/>
              <w:jc w:val="center"/>
              <w:rPr>
                <w:rFonts w:cs="Arial"/>
              </w:rPr>
            </w:pPr>
          </w:p>
        </w:tc>
        <w:tc>
          <w:tcPr>
            <w:tcW w:w="1260" w:type="dxa"/>
          </w:tcPr>
          <w:p>
            <w:pPr>
              <w:spacing w:line="360" w:lineRule="auto"/>
              <w:jc w:val="center"/>
              <w:rPr>
                <w:rFonts w:cs="Arial"/>
              </w:rPr>
            </w:pPr>
          </w:p>
        </w:tc>
        <w:tc>
          <w:tcPr>
            <w:tcW w:w="1269" w:type="dxa"/>
            <w:gridSpan w:val="2"/>
            <w:vAlign w:val="center"/>
          </w:tcPr>
          <w:p>
            <w:pPr>
              <w:spacing w:line="360" w:lineRule="auto"/>
              <w:jc w:val="center"/>
              <w:rPr>
                <w:rFonts w:cs="Arial"/>
              </w:rPr>
            </w:pPr>
          </w:p>
        </w:tc>
        <w:tc>
          <w:tcPr>
            <w:tcW w:w="1365" w:type="dxa"/>
            <w:gridSpan w:val="2"/>
            <w:vAlign w:val="center"/>
          </w:tcPr>
          <w:p>
            <w:pPr>
              <w:spacing w:line="360" w:lineRule="auto"/>
              <w:jc w:val="center"/>
              <w:rPr>
                <w:rFonts w:cs="Arial"/>
              </w:rPr>
            </w:pPr>
          </w:p>
        </w:tc>
        <w:tc>
          <w:tcPr>
            <w:tcW w:w="1025" w:type="dxa"/>
            <w:vAlign w:val="center"/>
          </w:tcPr>
          <w:p>
            <w:pPr>
              <w:spacing w:line="360" w:lineRule="auto"/>
              <w:jc w:val="center"/>
              <w:rPr>
                <w:rFont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4" w:type="dxa"/>
            <w:bottom w:w="0" w:type="dxa"/>
            <w:right w:w="54" w:type="dxa"/>
          </w:tblCellMar>
        </w:tblPrEx>
        <w:trPr>
          <w:cantSplit/>
          <w:trHeight w:val="567" w:hRule="atLeast"/>
          <w:jc w:val="center"/>
        </w:trPr>
        <w:tc>
          <w:tcPr>
            <w:tcW w:w="1100" w:type="dxa"/>
            <w:vAlign w:val="center"/>
          </w:tcPr>
          <w:p>
            <w:pPr>
              <w:spacing w:line="360" w:lineRule="auto"/>
              <w:jc w:val="center"/>
              <w:rPr>
                <w:rFonts w:cs="Arial"/>
              </w:rPr>
            </w:pPr>
          </w:p>
        </w:tc>
        <w:tc>
          <w:tcPr>
            <w:tcW w:w="1440" w:type="dxa"/>
            <w:vAlign w:val="center"/>
          </w:tcPr>
          <w:p>
            <w:pPr>
              <w:spacing w:line="360" w:lineRule="auto"/>
              <w:jc w:val="center"/>
              <w:rPr>
                <w:rFonts w:cs="Arial"/>
              </w:rPr>
            </w:pPr>
          </w:p>
        </w:tc>
        <w:tc>
          <w:tcPr>
            <w:tcW w:w="1320" w:type="dxa"/>
            <w:vAlign w:val="center"/>
          </w:tcPr>
          <w:p>
            <w:pPr>
              <w:spacing w:line="360" w:lineRule="auto"/>
              <w:jc w:val="center"/>
              <w:rPr>
                <w:rFonts w:cs="Arial"/>
              </w:rPr>
            </w:pPr>
          </w:p>
        </w:tc>
        <w:tc>
          <w:tcPr>
            <w:tcW w:w="1161" w:type="dxa"/>
            <w:vAlign w:val="center"/>
          </w:tcPr>
          <w:p>
            <w:pPr>
              <w:spacing w:line="360" w:lineRule="auto"/>
              <w:jc w:val="center"/>
              <w:rPr>
                <w:rFonts w:cs="Arial"/>
              </w:rPr>
            </w:pPr>
          </w:p>
        </w:tc>
        <w:tc>
          <w:tcPr>
            <w:tcW w:w="1260" w:type="dxa"/>
          </w:tcPr>
          <w:p>
            <w:pPr>
              <w:spacing w:line="360" w:lineRule="auto"/>
              <w:jc w:val="center"/>
              <w:rPr>
                <w:rFonts w:cs="Arial"/>
              </w:rPr>
            </w:pPr>
          </w:p>
        </w:tc>
        <w:tc>
          <w:tcPr>
            <w:tcW w:w="1269" w:type="dxa"/>
            <w:gridSpan w:val="2"/>
            <w:vAlign w:val="center"/>
          </w:tcPr>
          <w:p>
            <w:pPr>
              <w:spacing w:line="360" w:lineRule="auto"/>
              <w:jc w:val="center"/>
              <w:rPr>
                <w:rFonts w:cs="Arial"/>
              </w:rPr>
            </w:pPr>
          </w:p>
        </w:tc>
        <w:tc>
          <w:tcPr>
            <w:tcW w:w="1356" w:type="dxa"/>
            <w:vAlign w:val="center"/>
          </w:tcPr>
          <w:p>
            <w:pPr>
              <w:spacing w:line="360" w:lineRule="auto"/>
              <w:jc w:val="center"/>
              <w:rPr>
                <w:rFonts w:cs="Arial"/>
              </w:rPr>
            </w:pPr>
          </w:p>
        </w:tc>
        <w:tc>
          <w:tcPr>
            <w:tcW w:w="1034" w:type="dxa"/>
            <w:gridSpan w:val="2"/>
            <w:vAlign w:val="center"/>
          </w:tcPr>
          <w:p>
            <w:pPr>
              <w:spacing w:line="360" w:lineRule="auto"/>
              <w:jc w:val="center"/>
              <w:rPr>
                <w:rFont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4" w:type="dxa"/>
            <w:bottom w:w="0" w:type="dxa"/>
            <w:right w:w="54" w:type="dxa"/>
          </w:tblCellMar>
        </w:tblPrEx>
        <w:trPr>
          <w:cantSplit/>
          <w:trHeight w:val="567" w:hRule="atLeast"/>
          <w:jc w:val="center"/>
        </w:trPr>
        <w:tc>
          <w:tcPr>
            <w:tcW w:w="1100" w:type="dxa"/>
            <w:vAlign w:val="center"/>
          </w:tcPr>
          <w:p>
            <w:pPr>
              <w:spacing w:line="360" w:lineRule="auto"/>
              <w:jc w:val="center"/>
              <w:rPr>
                <w:rFonts w:cs="Arial"/>
              </w:rPr>
            </w:pPr>
          </w:p>
        </w:tc>
        <w:tc>
          <w:tcPr>
            <w:tcW w:w="1440" w:type="dxa"/>
            <w:vAlign w:val="center"/>
          </w:tcPr>
          <w:p>
            <w:pPr>
              <w:spacing w:line="360" w:lineRule="auto"/>
              <w:jc w:val="center"/>
              <w:rPr>
                <w:rFonts w:cs="Arial"/>
              </w:rPr>
            </w:pPr>
          </w:p>
        </w:tc>
        <w:tc>
          <w:tcPr>
            <w:tcW w:w="1320" w:type="dxa"/>
            <w:vAlign w:val="center"/>
          </w:tcPr>
          <w:p>
            <w:pPr>
              <w:spacing w:line="360" w:lineRule="auto"/>
              <w:jc w:val="center"/>
              <w:rPr>
                <w:rFonts w:cs="Arial"/>
              </w:rPr>
            </w:pPr>
          </w:p>
        </w:tc>
        <w:tc>
          <w:tcPr>
            <w:tcW w:w="1161" w:type="dxa"/>
            <w:vAlign w:val="center"/>
          </w:tcPr>
          <w:p>
            <w:pPr>
              <w:spacing w:line="360" w:lineRule="auto"/>
              <w:jc w:val="center"/>
              <w:rPr>
                <w:rFonts w:cs="Arial"/>
              </w:rPr>
            </w:pPr>
          </w:p>
        </w:tc>
        <w:tc>
          <w:tcPr>
            <w:tcW w:w="1260" w:type="dxa"/>
          </w:tcPr>
          <w:p>
            <w:pPr>
              <w:spacing w:line="360" w:lineRule="auto"/>
              <w:jc w:val="center"/>
              <w:rPr>
                <w:rFonts w:cs="Arial"/>
              </w:rPr>
            </w:pPr>
          </w:p>
        </w:tc>
        <w:tc>
          <w:tcPr>
            <w:tcW w:w="1269" w:type="dxa"/>
            <w:gridSpan w:val="2"/>
            <w:vAlign w:val="center"/>
          </w:tcPr>
          <w:p>
            <w:pPr>
              <w:spacing w:line="360" w:lineRule="auto"/>
              <w:jc w:val="center"/>
              <w:rPr>
                <w:rFonts w:cs="Arial"/>
              </w:rPr>
            </w:pPr>
          </w:p>
        </w:tc>
        <w:tc>
          <w:tcPr>
            <w:tcW w:w="1356" w:type="dxa"/>
            <w:vAlign w:val="center"/>
          </w:tcPr>
          <w:p>
            <w:pPr>
              <w:spacing w:line="360" w:lineRule="auto"/>
              <w:jc w:val="center"/>
              <w:rPr>
                <w:rFonts w:cs="Arial"/>
              </w:rPr>
            </w:pPr>
          </w:p>
        </w:tc>
        <w:tc>
          <w:tcPr>
            <w:tcW w:w="1034" w:type="dxa"/>
            <w:gridSpan w:val="2"/>
            <w:vAlign w:val="center"/>
          </w:tcPr>
          <w:p>
            <w:pPr>
              <w:spacing w:line="360" w:lineRule="auto"/>
              <w:jc w:val="center"/>
              <w:rPr>
                <w:rFont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4" w:type="dxa"/>
            <w:bottom w:w="0" w:type="dxa"/>
            <w:right w:w="54" w:type="dxa"/>
          </w:tblCellMar>
        </w:tblPrEx>
        <w:trPr>
          <w:cantSplit/>
          <w:trHeight w:val="567" w:hRule="atLeast"/>
          <w:jc w:val="center"/>
        </w:trPr>
        <w:tc>
          <w:tcPr>
            <w:tcW w:w="1100" w:type="dxa"/>
            <w:vAlign w:val="center"/>
          </w:tcPr>
          <w:p>
            <w:pPr>
              <w:spacing w:line="360" w:lineRule="auto"/>
              <w:jc w:val="center"/>
              <w:rPr>
                <w:rFonts w:cs="Arial"/>
              </w:rPr>
            </w:pPr>
          </w:p>
        </w:tc>
        <w:tc>
          <w:tcPr>
            <w:tcW w:w="1440" w:type="dxa"/>
            <w:vAlign w:val="center"/>
          </w:tcPr>
          <w:p>
            <w:pPr>
              <w:spacing w:line="360" w:lineRule="auto"/>
              <w:jc w:val="center"/>
              <w:rPr>
                <w:rFonts w:cs="Arial"/>
              </w:rPr>
            </w:pPr>
          </w:p>
        </w:tc>
        <w:tc>
          <w:tcPr>
            <w:tcW w:w="1320" w:type="dxa"/>
            <w:vAlign w:val="center"/>
          </w:tcPr>
          <w:p>
            <w:pPr>
              <w:spacing w:line="360" w:lineRule="auto"/>
              <w:jc w:val="center"/>
              <w:rPr>
                <w:rFonts w:cs="Arial"/>
              </w:rPr>
            </w:pPr>
          </w:p>
        </w:tc>
        <w:tc>
          <w:tcPr>
            <w:tcW w:w="1161" w:type="dxa"/>
            <w:vAlign w:val="center"/>
          </w:tcPr>
          <w:p>
            <w:pPr>
              <w:spacing w:line="360" w:lineRule="auto"/>
              <w:jc w:val="center"/>
              <w:rPr>
                <w:rFonts w:cs="Arial"/>
              </w:rPr>
            </w:pPr>
          </w:p>
        </w:tc>
        <w:tc>
          <w:tcPr>
            <w:tcW w:w="1260" w:type="dxa"/>
          </w:tcPr>
          <w:p>
            <w:pPr>
              <w:spacing w:line="360" w:lineRule="auto"/>
              <w:jc w:val="center"/>
              <w:rPr>
                <w:rFonts w:cs="Arial"/>
              </w:rPr>
            </w:pPr>
          </w:p>
        </w:tc>
        <w:tc>
          <w:tcPr>
            <w:tcW w:w="1269" w:type="dxa"/>
            <w:gridSpan w:val="2"/>
            <w:vAlign w:val="center"/>
          </w:tcPr>
          <w:p>
            <w:pPr>
              <w:spacing w:line="360" w:lineRule="auto"/>
              <w:jc w:val="center"/>
              <w:rPr>
                <w:rFonts w:cs="Arial"/>
              </w:rPr>
            </w:pPr>
          </w:p>
        </w:tc>
        <w:tc>
          <w:tcPr>
            <w:tcW w:w="1356" w:type="dxa"/>
            <w:vAlign w:val="center"/>
          </w:tcPr>
          <w:p>
            <w:pPr>
              <w:spacing w:line="360" w:lineRule="auto"/>
              <w:jc w:val="center"/>
              <w:rPr>
                <w:rFonts w:cs="Arial"/>
              </w:rPr>
            </w:pPr>
          </w:p>
        </w:tc>
        <w:tc>
          <w:tcPr>
            <w:tcW w:w="1034" w:type="dxa"/>
            <w:gridSpan w:val="2"/>
            <w:vAlign w:val="center"/>
          </w:tcPr>
          <w:p>
            <w:pPr>
              <w:spacing w:line="360" w:lineRule="auto"/>
              <w:jc w:val="center"/>
              <w:rPr>
                <w:rFont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4" w:type="dxa"/>
            <w:bottom w:w="0" w:type="dxa"/>
            <w:right w:w="54" w:type="dxa"/>
          </w:tblCellMar>
        </w:tblPrEx>
        <w:trPr>
          <w:cantSplit/>
          <w:trHeight w:val="567" w:hRule="atLeast"/>
          <w:jc w:val="center"/>
        </w:trPr>
        <w:tc>
          <w:tcPr>
            <w:tcW w:w="1100" w:type="dxa"/>
            <w:vAlign w:val="center"/>
          </w:tcPr>
          <w:p>
            <w:pPr>
              <w:spacing w:line="360" w:lineRule="auto"/>
              <w:jc w:val="center"/>
              <w:rPr>
                <w:rFonts w:cs="Arial"/>
              </w:rPr>
            </w:pPr>
          </w:p>
        </w:tc>
        <w:tc>
          <w:tcPr>
            <w:tcW w:w="1440" w:type="dxa"/>
            <w:vAlign w:val="center"/>
          </w:tcPr>
          <w:p>
            <w:pPr>
              <w:spacing w:line="360" w:lineRule="auto"/>
              <w:jc w:val="center"/>
              <w:rPr>
                <w:rFonts w:cs="Arial"/>
              </w:rPr>
            </w:pPr>
          </w:p>
        </w:tc>
        <w:tc>
          <w:tcPr>
            <w:tcW w:w="1320" w:type="dxa"/>
            <w:vAlign w:val="center"/>
          </w:tcPr>
          <w:p>
            <w:pPr>
              <w:spacing w:line="360" w:lineRule="auto"/>
              <w:jc w:val="center"/>
              <w:rPr>
                <w:rFonts w:cs="Arial"/>
              </w:rPr>
            </w:pPr>
          </w:p>
        </w:tc>
        <w:tc>
          <w:tcPr>
            <w:tcW w:w="1161" w:type="dxa"/>
            <w:vAlign w:val="center"/>
          </w:tcPr>
          <w:p>
            <w:pPr>
              <w:spacing w:line="360" w:lineRule="auto"/>
              <w:jc w:val="center"/>
              <w:rPr>
                <w:rFonts w:cs="Arial"/>
              </w:rPr>
            </w:pPr>
          </w:p>
        </w:tc>
        <w:tc>
          <w:tcPr>
            <w:tcW w:w="1260" w:type="dxa"/>
          </w:tcPr>
          <w:p>
            <w:pPr>
              <w:spacing w:line="360" w:lineRule="auto"/>
              <w:jc w:val="center"/>
              <w:rPr>
                <w:rFonts w:cs="Arial"/>
              </w:rPr>
            </w:pPr>
          </w:p>
        </w:tc>
        <w:tc>
          <w:tcPr>
            <w:tcW w:w="1269" w:type="dxa"/>
            <w:gridSpan w:val="2"/>
            <w:vAlign w:val="center"/>
          </w:tcPr>
          <w:p>
            <w:pPr>
              <w:spacing w:line="360" w:lineRule="auto"/>
              <w:jc w:val="center"/>
              <w:rPr>
                <w:rFonts w:cs="Arial"/>
              </w:rPr>
            </w:pPr>
          </w:p>
        </w:tc>
        <w:tc>
          <w:tcPr>
            <w:tcW w:w="1356" w:type="dxa"/>
            <w:vAlign w:val="center"/>
          </w:tcPr>
          <w:p>
            <w:pPr>
              <w:spacing w:line="360" w:lineRule="auto"/>
              <w:jc w:val="center"/>
              <w:rPr>
                <w:rFonts w:cs="Arial"/>
              </w:rPr>
            </w:pPr>
          </w:p>
        </w:tc>
        <w:tc>
          <w:tcPr>
            <w:tcW w:w="1034" w:type="dxa"/>
            <w:gridSpan w:val="2"/>
            <w:vAlign w:val="center"/>
          </w:tcPr>
          <w:p>
            <w:pPr>
              <w:spacing w:line="360" w:lineRule="auto"/>
              <w:jc w:val="center"/>
              <w:rPr>
                <w:rFont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4" w:type="dxa"/>
            <w:bottom w:w="0" w:type="dxa"/>
            <w:right w:w="54" w:type="dxa"/>
          </w:tblCellMar>
        </w:tblPrEx>
        <w:trPr>
          <w:cantSplit/>
          <w:trHeight w:val="567" w:hRule="atLeast"/>
          <w:jc w:val="center"/>
        </w:trPr>
        <w:tc>
          <w:tcPr>
            <w:tcW w:w="1100" w:type="dxa"/>
            <w:vAlign w:val="center"/>
          </w:tcPr>
          <w:p>
            <w:pPr>
              <w:spacing w:line="360" w:lineRule="auto"/>
              <w:jc w:val="center"/>
              <w:rPr>
                <w:rFonts w:cs="Arial"/>
              </w:rPr>
            </w:pPr>
          </w:p>
        </w:tc>
        <w:tc>
          <w:tcPr>
            <w:tcW w:w="1440" w:type="dxa"/>
            <w:vAlign w:val="center"/>
          </w:tcPr>
          <w:p>
            <w:pPr>
              <w:spacing w:line="360" w:lineRule="auto"/>
              <w:jc w:val="center"/>
              <w:rPr>
                <w:rFonts w:cs="Arial"/>
              </w:rPr>
            </w:pPr>
          </w:p>
        </w:tc>
        <w:tc>
          <w:tcPr>
            <w:tcW w:w="1320" w:type="dxa"/>
            <w:vAlign w:val="center"/>
          </w:tcPr>
          <w:p>
            <w:pPr>
              <w:spacing w:line="360" w:lineRule="auto"/>
              <w:jc w:val="center"/>
              <w:rPr>
                <w:rFonts w:cs="Arial"/>
              </w:rPr>
            </w:pPr>
          </w:p>
        </w:tc>
        <w:tc>
          <w:tcPr>
            <w:tcW w:w="1161" w:type="dxa"/>
            <w:vAlign w:val="center"/>
          </w:tcPr>
          <w:p>
            <w:pPr>
              <w:spacing w:line="360" w:lineRule="auto"/>
              <w:jc w:val="center"/>
              <w:rPr>
                <w:rFonts w:cs="Arial"/>
              </w:rPr>
            </w:pPr>
          </w:p>
        </w:tc>
        <w:tc>
          <w:tcPr>
            <w:tcW w:w="1260" w:type="dxa"/>
          </w:tcPr>
          <w:p>
            <w:pPr>
              <w:spacing w:line="360" w:lineRule="auto"/>
              <w:jc w:val="center"/>
              <w:rPr>
                <w:rFonts w:cs="Arial"/>
              </w:rPr>
            </w:pPr>
          </w:p>
        </w:tc>
        <w:tc>
          <w:tcPr>
            <w:tcW w:w="1269" w:type="dxa"/>
            <w:gridSpan w:val="2"/>
            <w:vAlign w:val="center"/>
          </w:tcPr>
          <w:p>
            <w:pPr>
              <w:spacing w:line="360" w:lineRule="auto"/>
              <w:jc w:val="center"/>
              <w:rPr>
                <w:rFonts w:cs="Arial"/>
              </w:rPr>
            </w:pPr>
          </w:p>
        </w:tc>
        <w:tc>
          <w:tcPr>
            <w:tcW w:w="1356" w:type="dxa"/>
            <w:vAlign w:val="center"/>
          </w:tcPr>
          <w:p>
            <w:pPr>
              <w:spacing w:line="360" w:lineRule="auto"/>
              <w:jc w:val="center"/>
              <w:rPr>
                <w:rFonts w:cs="Arial"/>
              </w:rPr>
            </w:pPr>
          </w:p>
        </w:tc>
        <w:tc>
          <w:tcPr>
            <w:tcW w:w="1034" w:type="dxa"/>
            <w:gridSpan w:val="2"/>
            <w:vAlign w:val="center"/>
          </w:tcPr>
          <w:p>
            <w:pPr>
              <w:spacing w:line="360" w:lineRule="auto"/>
              <w:jc w:val="center"/>
              <w:rPr>
                <w:rFonts w:cs="Arial"/>
              </w:rPr>
            </w:pPr>
          </w:p>
        </w:tc>
      </w:tr>
    </w:tbl>
    <w:p>
      <w:r>
        <w:rPr>
          <w:sz w:val="24"/>
        </w:rPr>
        <w:br w:type="page"/>
      </w:r>
    </w:p>
    <w:bookmarkEnd w:id="180"/>
    <w:p>
      <w:pPr>
        <w:pStyle w:val="15"/>
        <w:overflowPunct w:val="0"/>
        <w:spacing w:line="560" w:lineRule="exact"/>
        <w:ind w:firstLine="0"/>
        <w:jc w:val="center"/>
        <w:rPr>
          <w:b/>
          <w:sz w:val="32"/>
          <w:szCs w:val="36"/>
        </w:rPr>
      </w:pPr>
      <w:r>
        <w:rPr>
          <w:rFonts w:hint="eastAsia"/>
          <w:b/>
          <w:sz w:val="32"/>
          <w:szCs w:val="36"/>
        </w:rPr>
        <w:t>6. 项目管理人员配备及执行本合同的主要管理人员资格和经历</w:t>
      </w:r>
    </w:p>
    <w:p>
      <w:pPr>
        <w:spacing w:line="320" w:lineRule="exact"/>
        <w:ind w:firstLine="562" w:firstLineChars="200"/>
        <w:jc w:val="center"/>
        <w:textAlignment w:val="baseline"/>
        <w:rPr>
          <w:rFonts w:ascii="宋体" w:hAnsi="宋体"/>
          <w:b/>
          <w:sz w:val="28"/>
          <w:szCs w:val="28"/>
        </w:rPr>
      </w:pPr>
    </w:p>
    <w:tbl>
      <w:tblPr>
        <w:tblStyle w:val="59"/>
        <w:tblW w:w="98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8"/>
        <w:gridCol w:w="721"/>
        <w:gridCol w:w="727"/>
        <w:gridCol w:w="1451"/>
        <w:gridCol w:w="1054"/>
        <w:gridCol w:w="1403"/>
        <w:gridCol w:w="1405"/>
        <w:gridCol w:w="23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28" w:type="dxa"/>
            <w:vAlign w:val="center"/>
          </w:tcPr>
          <w:p>
            <w:pPr>
              <w:spacing w:line="320" w:lineRule="exact"/>
              <w:jc w:val="center"/>
              <w:textAlignment w:val="baseline"/>
              <w:rPr>
                <w:rFonts w:ascii="宋体" w:hAnsi="宋体"/>
              </w:rPr>
            </w:pPr>
            <w:r>
              <w:rPr>
                <w:rFonts w:hint="eastAsia" w:ascii="宋体" w:hAnsi="宋体"/>
              </w:rPr>
              <w:t>姓名</w:t>
            </w:r>
          </w:p>
        </w:tc>
        <w:tc>
          <w:tcPr>
            <w:tcW w:w="721" w:type="dxa"/>
            <w:vAlign w:val="center"/>
          </w:tcPr>
          <w:p>
            <w:pPr>
              <w:spacing w:line="320" w:lineRule="exact"/>
              <w:jc w:val="center"/>
              <w:textAlignment w:val="baseline"/>
              <w:rPr>
                <w:rFonts w:ascii="宋体" w:hAnsi="宋体"/>
              </w:rPr>
            </w:pPr>
            <w:r>
              <w:rPr>
                <w:rFonts w:hint="eastAsia" w:ascii="宋体" w:hAnsi="宋体"/>
              </w:rPr>
              <w:t>性别</w:t>
            </w:r>
          </w:p>
        </w:tc>
        <w:tc>
          <w:tcPr>
            <w:tcW w:w="727" w:type="dxa"/>
            <w:vAlign w:val="center"/>
          </w:tcPr>
          <w:p>
            <w:pPr>
              <w:spacing w:line="320" w:lineRule="exact"/>
              <w:jc w:val="center"/>
              <w:textAlignment w:val="baseline"/>
              <w:rPr>
                <w:rFonts w:ascii="宋体" w:hAnsi="宋体"/>
              </w:rPr>
            </w:pPr>
            <w:r>
              <w:rPr>
                <w:rFonts w:hint="eastAsia" w:ascii="宋体" w:hAnsi="宋体"/>
              </w:rPr>
              <w:t>年龄</w:t>
            </w:r>
          </w:p>
        </w:tc>
        <w:tc>
          <w:tcPr>
            <w:tcW w:w="1451" w:type="dxa"/>
            <w:vAlign w:val="center"/>
          </w:tcPr>
          <w:p>
            <w:pPr>
              <w:spacing w:line="320" w:lineRule="exact"/>
              <w:jc w:val="center"/>
              <w:textAlignment w:val="baseline"/>
              <w:rPr>
                <w:rFonts w:ascii="宋体" w:hAnsi="宋体"/>
              </w:rPr>
            </w:pPr>
            <w:r>
              <w:rPr>
                <w:rFonts w:hint="eastAsia" w:ascii="宋体" w:hAnsi="宋体"/>
              </w:rPr>
              <w:t>本项目中担任的职务或岗位</w:t>
            </w:r>
          </w:p>
        </w:tc>
        <w:tc>
          <w:tcPr>
            <w:tcW w:w="1054" w:type="dxa"/>
            <w:vAlign w:val="center"/>
          </w:tcPr>
          <w:p>
            <w:pPr>
              <w:spacing w:line="320" w:lineRule="exact"/>
              <w:jc w:val="center"/>
              <w:textAlignment w:val="baseline"/>
              <w:rPr>
                <w:rFonts w:ascii="宋体" w:hAnsi="宋体"/>
              </w:rPr>
            </w:pPr>
            <w:r>
              <w:rPr>
                <w:rFonts w:hint="eastAsia" w:ascii="宋体" w:hAnsi="宋体"/>
              </w:rPr>
              <w:t>职称</w:t>
            </w:r>
          </w:p>
        </w:tc>
        <w:tc>
          <w:tcPr>
            <w:tcW w:w="1403" w:type="dxa"/>
            <w:vAlign w:val="center"/>
          </w:tcPr>
          <w:p>
            <w:pPr>
              <w:spacing w:line="320" w:lineRule="exact"/>
              <w:jc w:val="center"/>
              <w:textAlignment w:val="baseline"/>
              <w:rPr>
                <w:rFonts w:ascii="宋体" w:hAnsi="宋体"/>
              </w:rPr>
            </w:pPr>
            <w:r>
              <w:rPr>
                <w:rFonts w:hint="eastAsia" w:ascii="宋体" w:hAnsi="宋体"/>
              </w:rPr>
              <w:t>执业资格</w:t>
            </w:r>
          </w:p>
        </w:tc>
        <w:tc>
          <w:tcPr>
            <w:tcW w:w="1405" w:type="dxa"/>
            <w:vAlign w:val="center"/>
          </w:tcPr>
          <w:p>
            <w:pPr>
              <w:spacing w:line="320" w:lineRule="exact"/>
              <w:jc w:val="center"/>
              <w:textAlignment w:val="baseline"/>
              <w:rPr>
                <w:rFonts w:ascii="宋体" w:hAnsi="宋体"/>
              </w:rPr>
            </w:pPr>
            <w:r>
              <w:rPr>
                <w:rFonts w:hint="eastAsia" w:ascii="宋体" w:hAnsi="宋体"/>
              </w:rPr>
              <w:t>从事</w:t>
            </w:r>
          </w:p>
          <w:p>
            <w:pPr>
              <w:spacing w:line="320" w:lineRule="exact"/>
              <w:jc w:val="center"/>
              <w:textAlignment w:val="baseline"/>
              <w:rPr>
                <w:rFonts w:ascii="宋体" w:hAnsi="宋体"/>
              </w:rPr>
            </w:pPr>
            <w:r>
              <w:rPr>
                <w:rFonts w:hint="eastAsia" w:ascii="宋体" w:hAnsi="宋体"/>
              </w:rPr>
              <w:t>工作年限</w:t>
            </w:r>
          </w:p>
        </w:tc>
        <w:tc>
          <w:tcPr>
            <w:tcW w:w="2365" w:type="dxa"/>
            <w:vAlign w:val="center"/>
          </w:tcPr>
          <w:p>
            <w:pPr>
              <w:spacing w:line="320" w:lineRule="exact"/>
              <w:jc w:val="center"/>
              <w:textAlignment w:val="baseline"/>
              <w:rPr>
                <w:rFonts w:ascii="宋体" w:hAnsi="宋体"/>
              </w:rPr>
            </w:pPr>
            <w:r>
              <w:rPr>
                <w:rFonts w:hint="eastAsia" w:ascii="宋体" w:hAnsi="宋体"/>
              </w:rPr>
              <w:t>资格经历（项目名称及其项目担任的职务）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28" w:type="dxa"/>
            <w:vAlign w:val="center"/>
          </w:tcPr>
          <w:p>
            <w:pPr>
              <w:spacing w:line="320" w:lineRule="exact"/>
              <w:jc w:val="center"/>
              <w:textAlignment w:val="baseline"/>
              <w:rPr>
                <w:rFonts w:ascii="宋体" w:hAnsi="宋体"/>
              </w:rPr>
            </w:pPr>
          </w:p>
        </w:tc>
        <w:tc>
          <w:tcPr>
            <w:tcW w:w="721" w:type="dxa"/>
            <w:vAlign w:val="center"/>
          </w:tcPr>
          <w:p>
            <w:pPr>
              <w:spacing w:line="320" w:lineRule="exact"/>
              <w:jc w:val="center"/>
              <w:textAlignment w:val="baseline"/>
              <w:rPr>
                <w:rFonts w:ascii="宋体" w:hAnsi="宋体"/>
              </w:rPr>
            </w:pPr>
          </w:p>
        </w:tc>
        <w:tc>
          <w:tcPr>
            <w:tcW w:w="727" w:type="dxa"/>
            <w:vAlign w:val="center"/>
          </w:tcPr>
          <w:p>
            <w:pPr>
              <w:spacing w:line="320" w:lineRule="exact"/>
              <w:jc w:val="center"/>
              <w:textAlignment w:val="baseline"/>
              <w:rPr>
                <w:rFonts w:ascii="宋体" w:hAnsi="宋体"/>
              </w:rPr>
            </w:pPr>
          </w:p>
        </w:tc>
        <w:tc>
          <w:tcPr>
            <w:tcW w:w="1451" w:type="dxa"/>
            <w:vAlign w:val="center"/>
          </w:tcPr>
          <w:p>
            <w:pPr>
              <w:spacing w:line="320" w:lineRule="exact"/>
              <w:jc w:val="center"/>
              <w:textAlignment w:val="baseline"/>
              <w:rPr>
                <w:rFonts w:ascii="宋体" w:hAnsi="宋体"/>
              </w:rPr>
            </w:pPr>
          </w:p>
        </w:tc>
        <w:tc>
          <w:tcPr>
            <w:tcW w:w="1054" w:type="dxa"/>
            <w:vAlign w:val="center"/>
          </w:tcPr>
          <w:p>
            <w:pPr>
              <w:spacing w:line="320" w:lineRule="exact"/>
              <w:jc w:val="center"/>
              <w:textAlignment w:val="baseline"/>
              <w:rPr>
                <w:rFonts w:ascii="宋体" w:hAnsi="宋体"/>
              </w:rPr>
            </w:pPr>
          </w:p>
        </w:tc>
        <w:tc>
          <w:tcPr>
            <w:tcW w:w="1403" w:type="dxa"/>
            <w:vAlign w:val="center"/>
          </w:tcPr>
          <w:p>
            <w:pPr>
              <w:spacing w:line="320" w:lineRule="exact"/>
              <w:jc w:val="center"/>
              <w:textAlignment w:val="baseline"/>
              <w:rPr>
                <w:rFonts w:ascii="宋体" w:hAnsi="宋体"/>
              </w:rPr>
            </w:pPr>
          </w:p>
        </w:tc>
        <w:tc>
          <w:tcPr>
            <w:tcW w:w="1405" w:type="dxa"/>
            <w:vAlign w:val="center"/>
          </w:tcPr>
          <w:p>
            <w:pPr>
              <w:spacing w:line="320" w:lineRule="exact"/>
              <w:jc w:val="center"/>
              <w:textAlignment w:val="baseline"/>
              <w:rPr>
                <w:rFonts w:ascii="宋体" w:hAnsi="宋体"/>
              </w:rPr>
            </w:pPr>
          </w:p>
        </w:tc>
        <w:tc>
          <w:tcPr>
            <w:tcW w:w="2365" w:type="dxa"/>
            <w:vAlign w:val="center"/>
          </w:tcPr>
          <w:p>
            <w:pPr>
              <w:spacing w:line="320" w:lineRule="exact"/>
              <w:jc w:val="center"/>
              <w:textAlignment w:val="baseline"/>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28" w:type="dxa"/>
            <w:vAlign w:val="center"/>
          </w:tcPr>
          <w:p>
            <w:pPr>
              <w:spacing w:line="320" w:lineRule="exact"/>
              <w:jc w:val="center"/>
              <w:textAlignment w:val="baseline"/>
              <w:rPr>
                <w:rFonts w:ascii="宋体" w:hAnsi="宋体"/>
              </w:rPr>
            </w:pPr>
          </w:p>
        </w:tc>
        <w:tc>
          <w:tcPr>
            <w:tcW w:w="721" w:type="dxa"/>
            <w:vAlign w:val="center"/>
          </w:tcPr>
          <w:p>
            <w:pPr>
              <w:spacing w:line="320" w:lineRule="exact"/>
              <w:jc w:val="center"/>
              <w:textAlignment w:val="baseline"/>
              <w:rPr>
                <w:rFonts w:ascii="宋体" w:hAnsi="宋体"/>
              </w:rPr>
            </w:pPr>
          </w:p>
        </w:tc>
        <w:tc>
          <w:tcPr>
            <w:tcW w:w="727" w:type="dxa"/>
            <w:vAlign w:val="center"/>
          </w:tcPr>
          <w:p>
            <w:pPr>
              <w:spacing w:line="320" w:lineRule="exact"/>
              <w:jc w:val="center"/>
              <w:textAlignment w:val="baseline"/>
              <w:rPr>
                <w:rFonts w:ascii="宋体" w:hAnsi="宋体"/>
              </w:rPr>
            </w:pPr>
          </w:p>
        </w:tc>
        <w:tc>
          <w:tcPr>
            <w:tcW w:w="1451" w:type="dxa"/>
            <w:vAlign w:val="center"/>
          </w:tcPr>
          <w:p>
            <w:pPr>
              <w:spacing w:line="320" w:lineRule="exact"/>
              <w:jc w:val="center"/>
              <w:textAlignment w:val="baseline"/>
              <w:rPr>
                <w:rFonts w:ascii="宋体" w:hAnsi="宋体"/>
              </w:rPr>
            </w:pPr>
          </w:p>
        </w:tc>
        <w:tc>
          <w:tcPr>
            <w:tcW w:w="1054" w:type="dxa"/>
            <w:vAlign w:val="center"/>
          </w:tcPr>
          <w:p>
            <w:pPr>
              <w:spacing w:line="320" w:lineRule="exact"/>
              <w:jc w:val="center"/>
              <w:textAlignment w:val="baseline"/>
              <w:rPr>
                <w:rFonts w:ascii="宋体" w:hAnsi="宋体"/>
              </w:rPr>
            </w:pPr>
          </w:p>
        </w:tc>
        <w:tc>
          <w:tcPr>
            <w:tcW w:w="1403" w:type="dxa"/>
            <w:vAlign w:val="center"/>
          </w:tcPr>
          <w:p>
            <w:pPr>
              <w:spacing w:line="320" w:lineRule="exact"/>
              <w:jc w:val="center"/>
              <w:textAlignment w:val="baseline"/>
              <w:rPr>
                <w:rFonts w:ascii="宋体" w:hAnsi="宋体"/>
              </w:rPr>
            </w:pPr>
          </w:p>
        </w:tc>
        <w:tc>
          <w:tcPr>
            <w:tcW w:w="1405" w:type="dxa"/>
            <w:vAlign w:val="center"/>
          </w:tcPr>
          <w:p>
            <w:pPr>
              <w:spacing w:line="320" w:lineRule="exact"/>
              <w:jc w:val="center"/>
              <w:textAlignment w:val="baseline"/>
              <w:rPr>
                <w:rFonts w:ascii="宋体" w:hAnsi="宋体"/>
              </w:rPr>
            </w:pPr>
          </w:p>
        </w:tc>
        <w:tc>
          <w:tcPr>
            <w:tcW w:w="2365" w:type="dxa"/>
            <w:vAlign w:val="center"/>
          </w:tcPr>
          <w:p>
            <w:pPr>
              <w:spacing w:line="320" w:lineRule="exact"/>
              <w:jc w:val="center"/>
              <w:textAlignment w:val="baseline"/>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28" w:type="dxa"/>
            <w:vAlign w:val="center"/>
          </w:tcPr>
          <w:p>
            <w:pPr>
              <w:spacing w:line="320" w:lineRule="exact"/>
              <w:jc w:val="center"/>
              <w:textAlignment w:val="baseline"/>
              <w:rPr>
                <w:rFonts w:ascii="宋体" w:hAnsi="宋体"/>
              </w:rPr>
            </w:pPr>
          </w:p>
        </w:tc>
        <w:tc>
          <w:tcPr>
            <w:tcW w:w="721" w:type="dxa"/>
            <w:vAlign w:val="center"/>
          </w:tcPr>
          <w:p>
            <w:pPr>
              <w:spacing w:line="320" w:lineRule="exact"/>
              <w:jc w:val="center"/>
              <w:textAlignment w:val="baseline"/>
              <w:rPr>
                <w:rFonts w:ascii="宋体" w:hAnsi="宋体"/>
              </w:rPr>
            </w:pPr>
          </w:p>
        </w:tc>
        <w:tc>
          <w:tcPr>
            <w:tcW w:w="727" w:type="dxa"/>
            <w:vAlign w:val="center"/>
          </w:tcPr>
          <w:p>
            <w:pPr>
              <w:spacing w:line="320" w:lineRule="exact"/>
              <w:jc w:val="center"/>
              <w:textAlignment w:val="baseline"/>
              <w:rPr>
                <w:rFonts w:ascii="宋体" w:hAnsi="宋体"/>
              </w:rPr>
            </w:pPr>
          </w:p>
        </w:tc>
        <w:tc>
          <w:tcPr>
            <w:tcW w:w="1451" w:type="dxa"/>
            <w:vAlign w:val="center"/>
          </w:tcPr>
          <w:p>
            <w:pPr>
              <w:spacing w:line="320" w:lineRule="exact"/>
              <w:jc w:val="center"/>
              <w:textAlignment w:val="baseline"/>
              <w:rPr>
                <w:rFonts w:ascii="宋体" w:hAnsi="宋体"/>
              </w:rPr>
            </w:pPr>
          </w:p>
        </w:tc>
        <w:tc>
          <w:tcPr>
            <w:tcW w:w="1054" w:type="dxa"/>
            <w:vAlign w:val="center"/>
          </w:tcPr>
          <w:p>
            <w:pPr>
              <w:spacing w:line="320" w:lineRule="exact"/>
              <w:jc w:val="center"/>
              <w:textAlignment w:val="baseline"/>
              <w:rPr>
                <w:rFonts w:ascii="宋体" w:hAnsi="宋体"/>
              </w:rPr>
            </w:pPr>
          </w:p>
        </w:tc>
        <w:tc>
          <w:tcPr>
            <w:tcW w:w="1403" w:type="dxa"/>
            <w:vAlign w:val="center"/>
          </w:tcPr>
          <w:p>
            <w:pPr>
              <w:spacing w:line="320" w:lineRule="exact"/>
              <w:jc w:val="center"/>
              <w:textAlignment w:val="baseline"/>
              <w:rPr>
                <w:rFonts w:ascii="宋体" w:hAnsi="宋体"/>
              </w:rPr>
            </w:pPr>
          </w:p>
        </w:tc>
        <w:tc>
          <w:tcPr>
            <w:tcW w:w="1405" w:type="dxa"/>
            <w:vAlign w:val="center"/>
          </w:tcPr>
          <w:p>
            <w:pPr>
              <w:spacing w:line="320" w:lineRule="exact"/>
              <w:jc w:val="center"/>
              <w:textAlignment w:val="baseline"/>
              <w:rPr>
                <w:rFonts w:ascii="宋体" w:hAnsi="宋体"/>
              </w:rPr>
            </w:pPr>
          </w:p>
        </w:tc>
        <w:tc>
          <w:tcPr>
            <w:tcW w:w="2365" w:type="dxa"/>
            <w:vAlign w:val="center"/>
          </w:tcPr>
          <w:p>
            <w:pPr>
              <w:spacing w:line="320" w:lineRule="exact"/>
              <w:jc w:val="center"/>
              <w:textAlignment w:val="baseline"/>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28" w:type="dxa"/>
            <w:vAlign w:val="center"/>
          </w:tcPr>
          <w:p>
            <w:pPr>
              <w:spacing w:line="320" w:lineRule="exact"/>
              <w:jc w:val="center"/>
              <w:textAlignment w:val="baseline"/>
              <w:rPr>
                <w:rFonts w:ascii="宋体" w:hAnsi="宋体"/>
              </w:rPr>
            </w:pPr>
          </w:p>
        </w:tc>
        <w:tc>
          <w:tcPr>
            <w:tcW w:w="721" w:type="dxa"/>
            <w:vAlign w:val="center"/>
          </w:tcPr>
          <w:p>
            <w:pPr>
              <w:spacing w:line="320" w:lineRule="exact"/>
              <w:jc w:val="center"/>
              <w:textAlignment w:val="baseline"/>
              <w:rPr>
                <w:rFonts w:ascii="宋体" w:hAnsi="宋体"/>
              </w:rPr>
            </w:pPr>
          </w:p>
        </w:tc>
        <w:tc>
          <w:tcPr>
            <w:tcW w:w="727" w:type="dxa"/>
            <w:vAlign w:val="center"/>
          </w:tcPr>
          <w:p>
            <w:pPr>
              <w:spacing w:line="320" w:lineRule="exact"/>
              <w:jc w:val="center"/>
              <w:textAlignment w:val="baseline"/>
              <w:rPr>
                <w:rFonts w:ascii="宋体" w:hAnsi="宋体"/>
              </w:rPr>
            </w:pPr>
          </w:p>
        </w:tc>
        <w:tc>
          <w:tcPr>
            <w:tcW w:w="1451" w:type="dxa"/>
            <w:vAlign w:val="center"/>
          </w:tcPr>
          <w:p>
            <w:pPr>
              <w:spacing w:line="320" w:lineRule="exact"/>
              <w:jc w:val="center"/>
              <w:textAlignment w:val="baseline"/>
              <w:rPr>
                <w:rFonts w:ascii="宋体" w:hAnsi="宋体"/>
              </w:rPr>
            </w:pPr>
          </w:p>
        </w:tc>
        <w:tc>
          <w:tcPr>
            <w:tcW w:w="1054" w:type="dxa"/>
            <w:vAlign w:val="center"/>
          </w:tcPr>
          <w:p>
            <w:pPr>
              <w:spacing w:line="320" w:lineRule="exact"/>
              <w:jc w:val="center"/>
              <w:textAlignment w:val="baseline"/>
              <w:rPr>
                <w:rFonts w:ascii="宋体" w:hAnsi="宋体"/>
              </w:rPr>
            </w:pPr>
          </w:p>
        </w:tc>
        <w:tc>
          <w:tcPr>
            <w:tcW w:w="1403" w:type="dxa"/>
            <w:vAlign w:val="center"/>
          </w:tcPr>
          <w:p>
            <w:pPr>
              <w:spacing w:line="320" w:lineRule="exact"/>
              <w:jc w:val="center"/>
              <w:textAlignment w:val="baseline"/>
              <w:rPr>
                <w:rFonts w:ascii="宋体" w:hAnsi="宋体"/>
              </w:rPr>
            </w:pPr>
          </w:p>
        </w:tc>
        <w:tc>
          <w:tcPr>
            <w:tcW w:w="1405" w:type="dxa"/>
            <w:vAlign w:val="center"/>
          </w:tcPr>
          <w:p>
            <w:pPr>
              <w:spacing w:line="320" w:lineRule="exact"/>
              <w:jc w:val="center"/>
              <w:textAlignment w:val="baseline"/>
              <w:rPr>
                <w:rFonts w:ascii="宋体" w:hAnsi="宋体"/>
              </w:rPr>
            </w:pPr>
          </w:p>
        </w:tc>
        <w:tc>
          <w:tcPr>
            <w:tcW w:w="2365" w:type="dxa"/>
            <w:vAlign w:val="center"/>
          </w:tcPr>
          <w:p>
            <w:pPr>
              <w:spacing w:line="320" w:lineRule="exact"/>
              <w:jc w:val="center"/>
              <w:textAlignment w:val="baseline"/>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28" w:type="dxa"/>
            <w:vAlign w:val="center"/>
          </w:tcPr>
          <w:p>
            <w:pPr>
              <w:spacing w:line="320" w:lineRule="exact"/>
              <w:jc w:val="center"/>
              <w:textAlignment w:val="baseline"/>
              <w:rPr>
                <w:rFonts w:ascii="宋体" w:hAnsi="宋体"/>
              </w:rPr>
            </w:pPr>
          </w:p>
        </w:tc>
        <w:tc>
          <w:tcPr>
            <w:tcW w:w="721" w:type="dxa"/>
            <w:vAlign w:val="center"/>
          </w:tcPr>
          <w:p>
            <w:pPr>
              <w:spacing w:line="320" w:lineRule="exact"/>
              <w:jc w:val="center"/>
              <w:textAlignment w:val="baseline"/>
              <w:rPr>
                <w:rFonts w:ascii="宋体" w:hAnsi="宋体"/>
              </w:rPr>
            </w:pPr>
          </w:p>
        </w:tc>
        <w:tc>
          <w:tcPr>
            <w:tcW w:w="727" w:type="dxa"/>
            <w:vAlign w:val="center"/>
          </w:tcPr>
          <w:p>
            <w:pPr>
              <w:spacing w:line="320" w:lineRule="exact"/>
              <w:jc w:val="center"/>
              <w:textAlignment w:val="baseline"/>
              <w:rPr>
                <w:rFonts w:ascii="宋体" w:hAnsi="宋体"/>
              </w:rPr>
            </w:pPr>
          </w:p>
        </w:tc>
        <w:tc>
          <w:tcPr>
            <w:tcW w:w="1451" w:type="dxa"/>
            <w:vAlign w:val="center"/>
          </w:tcPr>
          <w:p>
            <w:pPr>
              <w:spacing w:line="320" w:lineRule="exact"/>
              <w:jc w:val="center"/>
              <w:textAlignment w:val="baseline"/>
              <w:rPr>
                <w:rFonts w:ascii="宋体" w:hAnsi="宋体"/>
              </w:rPr>
            </w:pPr>
          </w:p>
        </w:tc>
        <w:tc>
          <w:tcPr>
            <w:tcW w:w="1054" w:type="dxa"/>
            <w:vAlign w:val="center"/>
          </w:tcPr>
          <w:p>
            <w:pPr>
              <w:spacing w:line="320" w:lineRule="exact"/>
              <w:jc w:val="center"/>
              <w:textAlignment w:val="baseline"/>
              <w:rPr>
                <w:rFonts w:ascii="宋体" w:hAnsi="宋体"/>
              </w:rPr>
            </w:pPr>
          </w:p>
        </w:tc>
        <w:tc>
          <w:tcPr>
            <w:tcW w:w="1403" w:type="dxa"/>
            <w:vAlign w:val="center"/>
          </w:tcPr>
          <w:p>
            <w:pPr>
              <w:spacing w:line="320" w:lineRule="exact"/>
              <w:jc w:val="center"/>
              <w:textAlignment w:val="baseline"/>
              <w:rPr>
                <w:rFonts w:ascii="宋体" w:hAnsi="宋体"/>
              </w:rPr>
            </w:pPr>
          </w:p>
        </w:tc>
        <w:tc>
          <w:tcPr>
            <w:tcW w:w="1405" w:type="dxa"/>
            <w:vAlign w:val="center"/>
          </w:tcPr>
          <w:p>
            <w:pPr>
              <w:spacing w:line="320" w:lineRule="exact"/>
              <w:jc w:val="center"/>
              <w:textAlignment w:val="baseline"/>
              <w:rPr>
                <w:rFonts w:ascii="宋体" w:hAnsi="宋体"/>
              </w:rPr>
            </w:pPr>
          </w:p>
        </w:tc>
        <w:tc>
          <w:tcPr>
            <w:tcW w:w="2365" w:type="dxa"/>
            <w:vAlign w:val="center"/>
          </w:tcPr>
          <w:p>
            <w:pPr>
              <w:spacing w:line="320" w:lineRule="exact"/>
              <w:jc w:val="center"/>
              <w:textAlignment w:val="baseline"/>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28" w:type="dxa"/>
            <w:vAlign w:val="center"/>
          </w:tcPr>
          <w:p>
            <w:pPr>
              <w:spacing w:line="320" w:lineRule="exact"/>
              <w:jc w:val="center"/>
              <w:textAlignment w:val="baseline"/>
              <w:rPr>
                <w:rFonts w:ascii="宋体" w:hAnsi="宋体"/>
              </w:rPr>
            </w:pPr>
          </w:p>
        </w:tc>
        <w:tc>
          <w:tcPr>
            <w:tcW w:w="721" w:type="dxa"/>
            <w:vAlign w:val="center"/>
          </w:tcPr>
          <w:p>
            <w:pPr>
              <w:spacing w:line="320" w:lineRule="exact"/>
              <w:jc w:val="center"/>
              <w:textAlignment w:val="baseline"/>
              <w:rPr>
                <w:rFonts w:ascii="宋体" w:hAnsi="宋体"/>
              </w:rPr>
            </w:pPr>
          </w:p>
        </w:tc>
        <w:tc>
          <w:tcPr>
            <w:tcW w:w="727" w:type="dxa"/>
            <w:vAlign w:val="center"/>
          </w:tcPr>
          <w:p>
            <w:pPr>
              <w:spacing w:line="320" w:lineRule="exact"/>
              <w:jc w:val="center"/>
              <w:textAlignment w:val="baseline"/>
              <w:rPr>
                <w:rFonts w:ascii="宋体" w:hAnsi="宋体"/>
              </w:rPr>
            </w:pPr>
          </w:p>
        </w:tc>
        <w:tc>
          <w:tcPr>
            <w:tcW w:w="1451" w:type="dxa"/>
            <w:vAlign w:val="center"/>
          </w:tcPr>
          <w:p>
            <w:pPr>
              <w:spacing w:line="320" w:lineRule="exact"/>
              <w:jc w:val="center"/>
              <w:textAlignment w:val="baseline"/>
              <w:rPr>
                <w:rFonts w:ascii="宋体" w:hAnsi="宋体"/>
              </w:rPr>
            </w:pPr>
          </w:p>
        </w:tc>
        <w:tc>
          <w:tcPr>
            <w:tcW w:w="1054" w:type="dxa"/>
            <w:vAlign w:val="center"/>
          </w:tcPr>
          <w:p>
            <w:pPr>
              <w:spacing w:line="320" w:lineRule="exact"/>
              <w:jc w:val="center"/>
              <w:textAlignment w:val="baseline"/>
              <w:rPr>
                <w:rFonts w:ascii="宋体" w:hAnsi="宋体"/>
              </w:rPr>
            </w:pPr>
          </w:p>
        </w:tc>
        <w:tc>
          <w:tcPr>
            <w:tcW w:w="1403" w:type="dxa"/>
            <w:vAlign w:val="center"/>
          </w:tcPr>
          <w:p>
            <w:pPr>
              <w:spacing w:line="320" w:lineRule="exact"/>
              <w:jc w:val="center"/>
              <w:textAlignment w:val="baseline"/>
              <w:rPr>
                <w:rFonts w:ascii="宋体" w:hAnsi="宋体"/>
              </w:rPr>
            </w:pPr>
          </w:p>
        </w:tc>
        <w:tc>
          <w:tcPr>
            <w:tcW w:w="1405" w:type="dxa"/>
            <w:vAlign w:val="center"/>
          </w:tcPr>
          <w:p>
            <w:pPr>
              <w:spacing w:line="320" w:lineRule="exact"/>
              <w:jc w:val="center"/>
              <w:textAlignment w:val="baseline"/>
              <w:rPr>
                <w:rFonts w:ascii="宋体" w:hAnsi="宋体"/>
              </w:rPr>
            </w:pPr>
          </w:p>
        </w:tc>
        <w:tc>
          <w:tcPr>
            <w:tcW w:w="2365" w:type="dxa"/>
            <w:vAlign w:val="center"/>
          </w:tcPr>
          <w:p>
            <w:pPr>
              <w:spacing w:line="320" w:lineRule="exact"/>
              <w:jc w:val="center"/>
              <w:textAlignment w:val="baseline"/>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28" w:type="dxa"/>
            <w:vAlign w:val="center"/>
          </w:tcPr>
          <w:p>
            <w:pPr>
              <w:spacing w:line="320" w:lineRule="exact"/>
              <w:jc w:val="center"/>
              <w:textAlignment w:val="baseline"/>
              <w:rPr>
                <w:rFonts w:ascii="宋体" w:hAnsi="宋体"/>
              </w:rPr>
            </w:pPr>
          </w:p>
        </w:tc>
        <w:tc>
          <w:tcPr>
            <w:tcW w:w="721" w:type="dxa"/>
            <w:vAlign w:val="center"/>
          </w:tcPr>
          <w:p>
            <w:pPr>
              <w:spacing w:line="320" w:lineRule="exact"/>
              <w:jc w:val="center"/>
              <w:textAlignment w:val="baseline"/>
              <w:rPr>
                <w:rFonts w:ascii="宋体" w:hAnsi="宋体"/>
              </w:rPr>
            </w:pPr>
          </w:p>
        </w:tc>
        <w:tc>
          <w:tcPr>
            <w:tcW w:w="727" w:type="dxa"/>
            <w:vAlign w:val="center"/>
          </w:tcPr>
          <w:p>
            <w:pPr>
              <w:spacing w:line="320" w:lineRule="exact"/>
              <w:jc w:val="center"/>
              <w:textAlignment w:val="baseline"/>
              <w:rPr>
                <w:rFonts w:ascii="宋体" w:hAnsi="宋体"/>
              </w:rPr>
            </w:pPr>
          </w:p>
        </w:tc>
        <w:tc>
          <w:tcPr>
            <w:tcW w:w="1451" w:type="dxa"/>
            <w:vAlign w:val="center"/>
          </w:tcPr>
          <w:p>
            <w:pPr>
              <w:spacing w:line="320" w:lineRule="exact"/>
              <w:jc w:val="center"/>
              <w:textAlignment w:val="baseline"/>
              <w:rPr>
                <w:rFonts w:ascii="宋体" w:hAnsi="宋体"/>
              </w:rPr>
            </w:pPr>
          </w:p>
        </w:tc>
        <w:tc>
          <w:tcPr>
            <w:tcW w:w="1054" w:type="dxa"/>
            <w:vAlign w:val="center"/>
          </w:tcPr>
          <w:p>
            <w:pPr>
              <w:spacing w:line="320" w:lineRule="exact"/>
              <w:jc w:val="center"/>
              <w:textAlignment w:val="baseline"/>
              <w:rPr>
                <w:rFonts w:ascii="宋体" w:hAnsi="宋体"/>
              </w:rPr>
            </w:pPr>
          </w:p>
        </w:tc>
        <w:tc>
          <w:tcPr>
            <w:tcW w:w="1403" w:type="dxa"/>
            <w:vAlign w:val="center"/>
          </w:tcPr>
          <w:p>
            <w:pPr>
              <w:spacing w:line="320" w:lineRule="exact"/>
              <w:jc w:val="center"/>
              <w:textAlignment w:val="baseline"/>
              <w:rPr>
                <w:rFonts w:ascii="宋体" w:hAnsi="宋体"/>
              </w:rPr>
            </w:pPr>
          </w:p>
        </w:tc>
        <w:tc>
          <w:tcPr>
            <w:tcW w:w="1405" w:type="dxa"/>
            <w:vAlign w:val="center"/>
          </w:tcPr>
          <w:p>
            <w:pPr>
              <w:spacing w:line="320" w:lineRule="exact"/>
              <w:jc w:val="center"/>
              <w:textAlignment w:val="baseline"/>
              <w:rPr>
                <w:rFonts w:ascii="宋体" w:hAnsi="宋体"/>
              </w:rPr>
            </w:pPr>
          </w:p>
        </w:tc>
        <w:tc>
          <w:tcPr>
            <w:tcW w:w="2365" w:type="dxa"/>
            <w:vAlign w:val="center"/>
          </w:tcPr>
          <w:p>
            <w:pPr>
              <w:spacing w:line="320" w:lineRule="exact"/>
              <w:jc w:val="center"/>
              <w:textAlignment w:val="baseline"/>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28" w:type="dxa"/>
            <w:vAlign w:val="center"/>
          </w:tcPr>
          <w:p>
            <w:pPr>
              <w:spacing w:line="320" w:lineRule="exact"/>
              <w:jc w:val="center"/>
              <w:textAlignment w:val="baseline"/>
              <w:rPr>
                <w:rFonts w:ascii="宋体" w:hAnsi="宋体"/>
              </w:rPr>
            </w:pPr>
          </w:p>
        </w:tc>
        <w:tc>
          <w:tcPr>
            <w:tcW w:w="721" w:type="dxa"/>
            <w:vAlign w:val="center"/>
          </w:tcPr>
          <w:p>
            <w:pPr>
              <w:spacing w:line="320" w:lineRule="exact"/>
              <w:jc w:val="center"/>
              <w:textAlignment w:val="baseline"/>
              <w:rPr>
                <w:rFonts w:ascii="宋体" w:hAnsi="宋体"/>
              </w:rPr>
            </w:pPr>
          </w:p>
        </w:tc>
        <w:tc>
          <w:tcPr>
            <w:tcW w:w="727" w:type="dxa"/>
            <w:vAlign w:val="center"/>
          </w:tcPr>
          <w:p>
            <w:pPr>
              <w:spacing w:line="320" w:lineRule="exact"/>
              <w:jc w:val="center"/>
              <w:textAlignment w:val="baseline"/>
              <w:rPr>
                <w:rFonts w:ascii="宋体" w:hAnsi="宋体"/>
              </w:rPr>
            </w:pPr>
          </w:p>
        </w:tc>
        <w:tc>
          <w:tcPr>
            <w:tcW w:w="1451" w:type="dxa"/>
            <w:vAlign w:val="center"/>
          </w:tcPr>
          <w:p>
            <w:pPr>
              <w:spacing w:line="320" w:lineRule="exact"/>
              <w:jc w:val="center"/>
              <w:textAlignment w:val="baseline"/>
              <w:rPr>
                <w:rFonts w:ascii="宋体" w:hAnsi="宋体"/>
              </w:rPr>
            </w:pPr>
          </w:p>
        </w:tc>
        <w:tc>
          <w:tcPr>
            <w:tcW w:w="1054" w:type="dxa"/>
            <w:vAlign w:val="center"/>
          </w:tcPr>
          <w:p>
            <w:pPr>
              <w:spacing w:line="320" w:lineRule="exact"/>
              <w:jc w:val="center"/>
              <w:textAlignment w:val="baseline"/>
              <w:rPr>
                <w:rFonts w:ascii="宋体" w:hAnsi="宋体"/>
              </w:rPr>
            </w:pPr>
          </w:p>
        </w:tc>
        <w:tc>
          <w:tcPr>
            <w:tcW w:w="1403" w:type="dxa"/>
            <w:vAlign w:val="center"/>
          </w:tcPr>
          <w:p>
            <w:pPr>
              <w:spacing w:line="320" w:lineRule="exact"/>
              <w:jc w:val="center"/>
              <w:textAlignment w:val="baseline"/>
              <w:rPr>
                <w:rFonts w:ascii="宋体" w:hAnsi="宋体"/>
              </w:rPr>
            </w:pPr>
          </w:p>
        </w:tc>
        <w:tc>
          <w:tcPr>
            <w:tcW w:w="1405" w:type="dxa"/>
            <w:vAlign w:val="center"/>
          </w:tcPr>
          <w:p>
            <w:pPr>
              <w:spacing w:line="320" w:lineRule="exact"/>
              <w:jc w:val="center"/>
              <w:textAlignment w:val="baseline"/>
              <w:rPr>
                <w:rFonts w:ascii="宋体" w:hAnsi="宋体"/>
              </w:rPr>
            </w:pPr>
          </w:p>
        </w:tc>
        <w:tc>
          <w:tcPr>
            <w:tcW w:w="2365" w:type="dxa"/>
            <w:vAlign w:val="center"/>
          </w:tcPr>
          <w:p>
            <w:pPr>
              <w:spacing w:line="320" w:lineRule="exact"/>
              <w:jc w:val="center"/>
              <w:textAlignment w:val="baseline"/>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28" w:type="dxa"/>
            <w:vAlign w:val="center"/>
          </w:tcPr>
          <w:p>
            <w:pPr>
              <w:spacing w:line="320" w:lineRule="exact"/>
              <w:jc w:val="center"/>
              <w:textAlignment w:val="baseline"/>
              <w:rPr>
                <w:rFonts w:ascii="宋体" w:hAnsi="宋体"/>
              </w:rPr>
            </w:pPr>
          </w:p>
        </w:tc>
        <w:tc>
          <w:tcPr>
            <w:tcW w:w="721" w:type="dxa"/>
            <w:vAlign w:val="center"/>
          </w:tcPr>
          <w:p>
            <w:pPr>
              <w:spacing w:line="320" w:lineRule="exact"/>
              <w:jc w:val="center"/>
              <w:textAlignment w:val="baseline"/>
              <w:rPr>
                <w:rFonts w:ascii="宋体" w:hAnsi="宋体"/>
              </w:rPr>
            </w:pPr>
          </w:p>
        </w:tc>
        <w:tc>
          <w:tcPr>
            <w:tcW w:w="727" w:type="dxa"/>
            <w:vAlign w:val="center"/>
          </w:tcPr>
          <w:p>
            <w:pPr>
              <w:spacing w:line="320" w:lineRule="exact"/>
              <w:jc w:val="center"/>
              <w:textAlignment w:val="baseline"/>
              <w:rPr>
                <w:rFonts w:ascii="宋体" w:hAnsi="宋体"/>
              </w:rPr>
            </w:pPr>
          </w:p>
        </w:tc>
        <w:tc>
          <w:tcPr>
            <w:tcW w:w="1451" w:type="dxa"/>
            <w:vAlign w:val="center"/>
          </w:tcPr>
          <w:p>
            <w:pPr>
              <w:spacing w:line="320" w:lineRule="exact"/>
              <w:jc w:val="center"/>
              <w:textAlignment w:val="baseline"/>
              <w:rPr>
                <w:rFonts w:ascii="宋体" w:hAnsi="宋体"/>
              </w:rPr>
            </w:pPr>
          </w:p>
        </w:tc>
        <w:tc>
          <w:tcPr>
            <w:tcW w:w="1054" w:type="dxa"/>
            <w:vAlign w:val="center"/>
          </w:tcPr>
          <w:p>
            <w:pPr>
              <w:spacing w:line="320" w:lineRule="exact"/>
              <w:jc w:val="center"/>
              <w:textAlignment w:val="baseline"/>
              <w:rPr>
                <w:rFonts w:ascii="宋体" w:hAnsi="宋体"/>
              </w:rPr>
            </w:pPr>
          </w:p>
        </w:tc>
        <w:tc>
          <w:tcPr>
            <w:tcW w:w="1403" w:type="dxa"/>
            <w:vAlign w:val="center"/>
          </w:tcPr>
          <w:p>
            <w:pPr>
              <w:spacing w:line="320" w:lineRule="exact"/>
              <w:jc w:val="center"/>
              <w:textAlignment w:val="baseline"/>
              <w:rPr>
                <w:rFonts w:ascii="宋体" w:hAnsi="宋体"/>
              </w:rPr>
            </w:pPr>
          </w:p>
        </w:tc>
        <w:tc>
          <w:tcPr>
            <w:tcW w:w="1405" w:type="dxa"/>
            <w:vAlign w:val="center"/>
          </w:tcPr>
          <w:p>
            <w:pPr>
              <w:spacing w:line="320" w:lineRule="exact"/>
              <w:jc w:val="center"/>
              <w:textAlignment w:val="baseline"/>
              <w:rPr>
                <w:rFonts w:ascii="宋体" w:hAnsi="宋体"/>
              </w:rPr>
            </w:pPr>
          </w:p>
        </w:tc>
        <w:tc>
          <w:tcPr>
            <w:tcW w:w="2365" w:type="dxa"/>
            <w:vAlign w:val="center"/>
          </w:tcPr>
          <w:p>
            <w:pPr>
              <w:spacing w:line="320" w:lineRule="exact"/>
              <w:jc w:val="center"/>
              <w:textAlignment w:val="baseline"/>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28" w:type="dxa"/>
            <w:vAlign w:val="center"/>
          </w:tcPr>
          <w:p>
            <w:pPr>
              <w:spacing w:line="320" w:lineRule="exact"/>
              <w:jc w:val="center"/>
              <w:textAlignment w:val="baseline"/>
              <w:rPr>
                <w:rFonts w:ascii="宋体" w:hAnsi="宋体"/>
              </w:rPr>
            </w:pPr>
          </w:p>
        </w:tc>
        <w:tc>
          <w:tcPr>
            <w:tcW w:w="721" w:type="dxa"/>
            <w:vAlign w:val="center"/>
          </w:tcPr>
          <w:p>
            <w:pPr>
              <w:spacing w:line="320" w:lineRule="exact"/>
              <w:jc w:val="center"/>
              <w:textAlignment w:val="baseline"/>
              <w:rPr>
                <w:rFonts w:ascii="宋体" w:hAnsi="宋体"/>
              </w:rPr>
            </w:pPr>
          </w:p>
        </w:tc>
        <w:tc>
          <w:tcPr>
            <w:tcW w:w="727" w:type="dxa"/>
            <w:vAlign w:val="center"/>
          </w:tcPr>
          <w:p>
            <w:pPr>
              <w:spacing w:line="320" w:lineRule="exact"/>
              <w:jc w:val="center"/>
              <w:textAlignment w:val="baseline"/>
              <w:rPr>
                <w:rFonts w:ascii="宋体" w:hAnsi="宋体"/>
              </w:rPr>
            </w:pPr>
          </w:p>
        </w:tc>
        <w:tc>
          <w:tcPr>
            <w:tcW w:w="1451" w:type="dxa"/>
            <w:vAlign w:val="center"/>
          </w:tcPr>
          <w:p>
            <w:pPr>
              <w:spacing w:line="320" w:lineRule="exact"/>
              <w:jc w:val="center"/>
              <w:textAlignment w:val="baseline"/>
              <w:rPr>
                <w:rFonts w:ascii="宋体" w:hAnsi="宋体"/>
              </w:rPr>
            </w:pPr>
          </w:p>
        </w:tc>
        <w:tc>
          <w:tcPr>
            <w:tcW w:w="1054" w:type="dxa"/>
            <w:vAlign w:val="center"/>
          </w:tcPr>
          <w:p>
            <w:pPr>
              <w:spacing w:line="320" w:lineRule="exact"/>
              <w:jc w:val="center"/>
              <w:textAlignment w:val="baseline"/>
              <w:rPr>
                <w:rFonts w:ascii="宋体" w:hAnsi="宋体"/>
              </w:rPr>
            </w:pPr>
          </w:p>
        </w:tc>
        <w:tc>
          <w:tcPr>
            <w:tcW w:w="1403" w:type="dxa"/>
            <w:vAlign w:val="center"/>
          </w:tcPr>
          <w:p>
            <w:pPr>
              <w:spacing w:line="320" w:lineRule="exact"/>
              <w:jc w:val="center"/>
              <w:textAlignment w:val="baseline"/>
              <w:rPr>
                <w:rFonts w:ascii="宋体" w:hAnsi="宋体"/>
              </w:rPr>
            </w:pPr>
          </w:p>
        </w:tc>
        <w:tc>
          <w:tcPr>
            <w:tcW w:w="1405" w:type="dxa"/>
            <w:vAlign w:val="center"/>
          </w:tcPr>
          <w:p>
            <w:pPr>
              <w:spacing w:line="320" w:lineRule="exact"/>
              <w:jc w:val="center"/>
              <w:textAlignment w:val="baseline"/>
              <w:rPr>
                <w:rFonts w:ascii="宋体" w:hAnsi="宋体"/>
              </w:rPr>
            </w:pPr>
          </w:p>
        </w:tc>
        <w:tc>
          <w:tcPr>
            <w:tcW w:w="2365" w:type="dxa"/>
            <w:vAlign w:val="center"/>
          </w:tcPr>
          <w:p>
            <w:pPr>
              <w:spacing w:line="320" w:lineRule="exact"/>
              <w:jc w:val="center"/>
              <w:textAlignment w:val="baseline"/>
              <w:rPr>
                <w:rFonts w:ascii="宋体" w:hAnsi="宋体"/>
              </w:rPr>
            </w:pPr>
          </w:p>
        </w:tc>
      </w:tr>
    </w:tbl>
    <w:p>
      <w:pPr>
        <w:spacing w:line="320" w:lineRule="exact"/>
        <w:jc w:val="center"/>
        <w:textAlignment w:val="baseline"/>
        <w:rPr>
          <w:rFonts w:ascii="宋体" w:hAnsi="宋体"/>
          <w:b/>
          <w:sz w:val="28"/>
          <w:szCs w:val="28"/>
        </w:rPr>
      </w:pPr>
    </w:p>
    <w:p>
      <w:pPr>
        <w:spacing w:line="320" w:lineRule="exact"/>
        <w:textAlignment w:val="baseline"/>
        <w:rPr>
          <w:rFonts w:ascii="宋体" w:hAnsi="宋体"/>
          <w:b/>
          <w:sz w:val="28"/>
          <w:szCs w:val="28"/>
        </w:rPr>
      </w:pPr>
      <w:r>
        <w:rPr>
          <w:rFonts w:hint="eastAsia" w:ascii="宋体" w:hAnsi="宋体"/>
          <w:b/>
        </w:rPr>
        <w:t>注：附相关证书复印件加盖公章</w:t>
      </w:r>
      <w:r>
        <w:rPr>
          <w:rFonts w:ascii="宋体" w:hAnsi="宋体"/>
          <w:b/>
          <w:sz w:val="28"/>
          <w:szCs w:val="28"/>
        </w:rPr>
        <w:br w:type="page"/>
      </w:r>
    </w:p>
    <w:p>
      <w:pPr>
        <w:pStyle w:val="15"/>
        <w:overflowPunct w:val="0"/>
        <w:spacing w:line="560" w:lineRule="exact"/>
        <w:ind w:firstLine="0"/>
        <w:jc w:val="center"/>
        <w:rPr>
          <w:b/>
          <w:sz w:val="32"/>
          <w:szCs w:val="36"/>
        </w:rPr>
      </w:pPr>
      <w:r>
        <w:rPr>
          <w:rFonts w:hint="eastAsia"/>
          <w:b/>
          <w:sz w:val="32"/>
          <w:szCs w:val="36"/>
        </w:rPr>
        <w:t>7、项目负责人资历及业绩表</w:t>
      </w:r>
    </w:p>
    <w:p>
      <w:pPr>
        <w:spacing w:line="320" w:lineRule="exact"/>
        <w:jc w:val="center"/>
        <w:textAlignment w:val="baseline"/>
        <w:rPr>
          <w:rFonts w:ascii="宋体" w:hAnsi="宋体"/>
          <w:b/>
        </w:rPr>
      </w:pPr>
    </w:p>
    <w:tbl>
      <w:tblPr>
        <w:tblStyle w:val="59"/>
        <w:tblW w:w="98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9"/>
        <w:gridCol w:w="1259"/>
        <w:gridCol w:w="999"/>
        <w:gridCol w:w="1385"/>
        <w:gridCol w:w="1971"/>
        <w:gridCol w:w="19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2269" w:type="dxa"/>
            <w:vAlign w:val="center"/>
          </w:tcPr>
          <w:p>
            <w:pPr>
              <w:spacing w:line="320" w:lineRule="exact"/>
              <w:jc w:val="center"/>
              <w:textAlignment w:val="baseline"/>
              <w:rPr>
                <w:rFonts w:ascii="宋体" w:hAnsi="宋体"/>
              </w:rPr>
            </w:pPr>
            <w:r>
              <w:rPr>
                <w:rFonts w:hint="eastAsia" w:ascii="宋体" w:hAnsi="宋体"/>
              </w:rPr>
              <w:t>姓名</w:t>
            </w:r>
          </w:p>
        </w:tc>
        <w:tc>
          <w:tcPr>
            <w:tcW w:w="1259" w:type="dxa"/>
            <w:vAlign w:val="center"/>
          </w:tcPr>
          <w:p>
            <w:pPr>
              <w:spacing w:line="320" w:lineRule="exact"/>
              <w:jc w:val="center"/>
              <w:textAlignment w:val="baseline"/>
              <w:rPr>
                <w:rFonts w:ascii="宋体" w:hAnsi="宋体"/>
              </w:rPr>
            </w:pPr>
          </w:p>
        </w:tc>
        <w:tc>
          <w:tcPr>
            <w:tcW w:w="999" w:type="dxa"/>
            <w:vAlign w:val="center"/>
          </w:tcPr>
          <w:p>
            <w:pPr>
              <w:spacing w:line="320" w:lineRule="exact"/>
              <w:jc w:val="center"/>
              <w:textAlignment w:val="baseline"/>
              <w:rPr>
                <w:rFonts w:ascii="宋体" w:hAnsi="宋体"/>
              </w:rPr>
            </w:pPr>
            <w:r>
              <w:rPr>
                <w:rFonts w:hint="eastAsia" w:ascii="宋体" w:hAnsi="宋体"/>
              </w:rPr>
              <w:t>年龄</w:t>
            </w:r>
          </w:p>
        </w:tc>
        <w:tc>
          <w:tcPr>
            <w:tcW w:w="1385" w:type="dxa"/>
            <w:vAlign w:val="center"/>
          </w:tcPr>
          <w:p>
            <w:pPr>
              <w:spacing w:line="320" w:lineRule="exact"/>
              <w:jc w:val="center"/>
              <w:textAlignment w:val="baseline"/>
              <w:rPr>
                <w:rFonts w:ascii="宋体" w:hAnsi="宋体"/>
              </w:rPr>
            </w:pPr>
          </w:p>
        </w:tc>
        <w:tc>
          <w:tcPr>
            <w:tcW w:w="1971" w:type="dxa"/>
            <w:vAlign w:val="center"/>
          </w:tcPr>
          <w:p>
            <w:pPr>
              <w:spacing w:line="320" w:lineRule="exact"/>
              <w:jc w:val="center"/>
              <w:textAlignment w:val="baseline"/>
              <w:rPr>
                <w:rFonts w:ascii="宋体" w:hAnsi="宋体"/>
              </w:rPr>
            </w:pPr>
            <w:r>
              <w:rPr>
                <w:rFonts w:hint="eastAsia" w:ascii="宋体" w:hAnsi="宋体"/>
              </w:rPr>
              <w:t>项目承担职务</w:t>
            </w:r>
          </w:p>
        </w:tc>
        <w:tc>
          <w:tcPr>
            <w:tcW w:w="1971" w:type="dxa"/>
            <w:vAlign w:val="center"/>
          </w:tcPr>
          <w:p>
            <w:pPr>
              <w:spacing w:line="320" w:lineRule="exact"/>
              <w:jc w:val="center"/>
              <w:textAlignment w:val="baseline"/>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2269" w:type="dxa"/>
            <w:vAlign w:val="center"/>
          </w:tcPr>
          <w:p>
            <w:pPr>
              <w:spacing w:line="320" w:lineRule="exact"/>
              <w:jc w:val="center"/>
              <w:textAlignment w:val="baseline"/>
              <w:rPr>
                <w:rFonts w:ascii="宋体" w:hAnsi="宋体"/>
              </w:rPr>
            </w:pPr>
            <w:r>
              <w:rPr>
                <w:rFonts w:hint="eastAsia" w:ascii="宋体" w:hAnsi="宋体"/>
              </w:rPr>
              <w:t>性别</w:t>
            </w:r>
          </w:p>
        </w:tc>
        <w:tc>
          <w:tcPr>
            <w:tcW w:w="1259" w:type="dxa"/>
            <w:vAlign w:val="center"/>
          </w:tcPr>
          <w:p>
            <w:pPr>
              <w:spacing w:line="320" w:lineRule="exact"/>
              <w:jc w:val="center"/>
              <w:textAlignment w:val="baseline"/>
              <w:rPr>
                <w:rFonts w:ascii="宋体" w:hAnsi="宋体"/>
              </w:rPr>
            </w:pPr>
          </w:p>
        </w:tc>
        <w:tc>
          <w:tcPr>
            <w:tcW w:w="999" w:type="dxa"/>
            <w:vAlign w:val="center"/>
          </w:tcPr>
          <w:p>
            <w:pPr>
              <w:spacing w:line="320" w:lineRule="exact"/>
              <w:jc w:val="center"/>
              <w:textAlignment w:val="baseline"/>
              <w:rPr>
                <w:rFonts w:ascii="宋体" w:hAnsi="宋体"/>
              </w:rPr>
            </w:pPr>
            <w:r>
              <w:rPr>
                <w:rFonts w:hint="eastAsia" w:ascii="宋体" w:hAnsi="宋体"/>
              </w:rPr>
              <w:t>职称</w:t>
            </w:r>
          </w:p>
        </w:tc>
        <w:tc>
          <w:tcPr>
            <w:tcW w:w="1385" w:type="dxa"/>
            <w:vAlign w:val="center"/>
          </w:tcPr>
          <w:p>
            <w:pPr>
              <w:spacing w:line="320" w:lineRule="exact"/>
              <w:jc w:val="center"/>
              <w:textAlignment w:val="baseline"/>
              <w:rPr>
                <w:rFonts w:ascii="宋体" w:hAnsi="宋体"/>
              </w:rPr>
            </w:pPr>
          </w:p>
        </w:tc>
        <w:tc>
          <w:tcPr>
            <w:tcW w:w="1971" w:type="dxa"/>
            <w:vAlign w:val="center"/>
          </w:tcPr>
          <w:p>
            <w:pPr>
              <w:spacing w:line="320" w:lineRule="exact"/>
              <w:jc w:val="center"/>
              <w:textAlignment w:val="baseline"/>
              <w:rPr>
                <w:rFonts w:ascii="宋体" w:hAnsi="宋体"/>
              </w:rPr>
            </w:pPr>
            <w:r>
              <w:rPr>
                <w:rFonts w:hint="eastAsia" w:ascii="宋体" w:hAnsi="宋体"/>
              </w:rPr>
              <w:t>专业</w:t>
            </w:r>
          </w:p>
        </w:tc>
        <w:tc>
          <w:tcPr>
            <w:tcW w:w="1971" w:type="dxa"/>
            <w:vAlign w:val="center"/>
          </w:tcPr>
          <w:p>
            <w:pPr>
              <w:spacing w:line="320" w:lineRule="exact"/>
              <w:jc w:val="center"/>
              <w:textAlignment w:val="baseline"/>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2269" w:type="dxa"/>
            <w:vAlign w:val="center"/>
          </w:tcPr>
          <w:p>
            <w:pPr>
              <w:spacing w:line="320" w:lineRule="exact"/>
              <w:jc w:val="center"/>
              <w:textAlignment w:val="baseline"/>
              <w:rPr>
                <w:rFonts w:ascii="宋体" w:hAnsi="宋体"/>
              </w:rPr>
            </w:pPr>
            <w:r>
              <w:rPr>
                <w:rFonts w:hint="eastAsia" w:ascii="宋体" w:hAnsi="宋体"/>
              </w:rPr>
              <w:t>资质</w:t>
            </w:r>
          </w:p>
        </w:tc>
        <w:tc>
          <w:tcPr>
            <w:tcW w:w="3643" w:type="dxa"/>
            <w:gridSpan w:val="3"/>
            <w:vAlign w:val="center"/>
          </w:tcPr>
          <w:p>
            <w:pPr>
              <w:spacing w:line="320" w:lineRule="exact"/>
              <w:jc w:val="center"/>
              <w:textAlignment w:val="baseline"/>
              <w:rPr>
                <w:rFonts w:ascii="宋体" w:hAnsi="宋体"/>
              </w:rPr>
            </w:pPr>
          </w:p>
        </w:tc>
        <w:tc>
          <w:tcPr>
            <w:tcW w:w="1971" w:type="dxa"/>
            <w:vAlign w:val="center"/>
          </w:tcPr>
          <w:p>
            <w:pPr>
              <w:spacing w:line="320" w:lineRule="exact"/>
              <w:jc w:val="center"/>
              <w:textAlignment w:val="baseline"/>
              <w:rPr>
                <w:rFonts w:ascii="宋体" w:hAnsi="宋体"/>
              </w:rPr>
            </w:pPr>
            <w:r>
              <w:rPr>
                <w:rFonts w:hint="eastAsia" w:ascii="宋体" w:hAnsi="宋体"/>
              </w:rPr>
              <w:t>证书编号</w:t>
            </w:r>
          </w:p>
        </w:tc>
        <w:tc>
          <w:tcPr>
            <w:tcW w:w="1971" w:type="dxa"/>
            <w:vAlign w:val="center"/>
          </w:tcPr>
          <w:p>
            <w:pPr>
              <w:spacing w:line="320" w:lineRule="exact"/>
              <w:jc w:val="center"/>
              <w:textAlignment w:val="baseline"/>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atLeast"/>
        </w:trPr>
        <w:tc>
          <w:tcPr>
            <w:tcW w:w="2269" w:type="dxa"/>
            <w:vAlign w:val="center"/>
          </w:tcPr>
          <w:p>
            <w:r>
              <w:rPr>
                <w:rFonts w:hint="eastAsia"/>
              </w:rPr>
              <w:t>作为项目负责人完成的同类型工程项目情况</w:t>
            </w:r>
          </w:p>
        </w:tc>
        <w:tc>
          <w:tcPr>
            <w:tcW w:w="7585" w:type="dxa"/>
            <w:gridSpan w:val="5"/>
            <w:vAlign w:val="center"/>
          </w:tcPr>
          <w:p>
            <w:pPr>
              <w:spacing w:line="320" w:lineRule="exact"/>
              <w:jc w:val="center"/>
              <w:textAlignment w:val="baseline"/>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atLeast"/>
        </w:trPr>
        <w:tc>
          <w:tcPr>
            <w:tcW w:w="2269" w:type="dxa"/>
            <w:vAlign w:val="center"/>
          </w:tcPr>
          <w:p>
            <w:r>
              <w:rPr>
                <w:rFonts w:hint="eastAsia"/>
              </w:rPr>
              <w:t>作为项目负责人目前正在承担的同类型工程项目情况</w:t>
            </w:r>
          </w:p>
        </w:tc>
        <w:tc>
          <w:tcPr>
            <w:tcW w:w="7585" w:type="dxa"/>
            <w:gridSpan w:val="5"/>
            <w:vAlign w:val="center"/>
          </w:tcPr>
          <w:p>
            <w:pPr>
              <w:spacing w:line="320" w:lineRule="exact"/>
              <w:jc w:val="center"/>
              <w:textAlignment w:val="baseline"/>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atLeast"/>
        </w:trPr>
        <w:tc>
          <w:tcPr>
            <w:tcW w:w="2269" w:type="dxa"/>
            <w:vAlign w:val="center"/>
          </w:tcPr>
          <w:p>
            <w:r>
              <w:rPr>
                <w:rFonts w:hint="eastAsia"/>
              </w:rPr>
              <w:t>教育与培训</w:t>
            </w:r>
          </w:p>
        </w:tc>
        <w:tc>
          <w:tcPr>
            <w:tcW w:w="7585" w:type="dxa"/>
            <w:gridSpan w:val="5"/>
            <w:vAlign w:val="center"/>
          </w:tcPr>
          <w:p>
            <w:pPr>
              <w:spacing w:line="320" w:lineRule="exact"/>
              <w:jc w:val="center"/>
              <w:textAlignment w:val="baseline"/>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atLeast"/>
        </w:trPr>
        <w:tc>
          <w:tcPr>
            <w:tcW w:w="2269" w:type="dxa"/>
            <w:vAlign w:val="center"/>
          </w:tcPr>
          <w:p>
            <w:r>
              <w:rPr>
                <w:rFonts w:hint="eastAsia"/>
              </w:rPr>
              <w:t>说明</w:t>
            </w:r>
          </w:p>
        </w:tc>
        <w:tc>
          <w:tcPr>
            <w:tcW w:w="7585" w:type="dxa"/>
            <w:gridSpan w:val="5"/>
            <w:vAlign w:val="center"/>
          </w:tcPr>
          <w:p>
            <w:pPr>
              <w:spacing w:line="320" w:lineRule="exact"/>
              <w:jc w:val="center"/>
              <w:textAlignment w:val="baseline"/>
              <w:rPr>
                <w:rFonts w:ascii="宋体" w:hAnsi="宋体"/>
              </w:rPr>
            </w:pPr>
          </w:p>
        </w:tc>
      </w:tr>
    </w:tbl>
    <w:p>
      <w:pPr>
        <w:spacing w:line="320" w:lineRule="exact"/>
        <w:textAlignment w:val="baseline"/>
        <w:rPr>
          <w:rFonts w:ascii="宋体" w:hAnsi="宋体"/>
          <w:b/>
        </w:rPr>
      </w:pPr>
      <w:r>
        <w:rPr>
          <w:rFonts w:hint="eastAsia" w:ascii="宋体" w:hAnsi="宋体"/>
          <w:b/>
        </w:rPr>
        <w:t>注：本表后附项目负责人相关证书复印件加盖公章。</w:t>
      </w:r>
    </w:p>
    <w:bookmarkEnd w:id="166"/>
    <w:p>
      <w:pPr>
        <w:spacing w:line="400" w:lineRule="exact"/>
        <w:ind w:firstLine="3488" w:firstLineChars="1090"/>
        <w:textAlignment w:val="baseline"/>
        <w:rPr>
          <w:rFonts w:ascii="Times New Roman" w:hAnsi="Times New Roman"/>
          <w:sz w:val="32"/>
        </w:rPr>
        <w:sectPr>
          <w:pgSz w:w="11907" w:h="16840"/>
          <w:pgMar w:top="1418" w:right="1134" w:bottom="1361" w:left="1134" w:header="794" w:footer="794" w:gutter="0"/>
          <w:cols w:space="720" w:num="1"/>
          <w:docGrid w:linePitch="285" w:charSpace="0"/>
        </w:sectPr>
      </w:pPr>
      <w:bookmarkStart w:id="186" w:name="_Toc317237647"/>
      <w:bookmarkStart w:id="187" w:name="_Toc3955"/>
      <w:bookmarkStart w:id="188" w:name="_Toc25863"/>
      <w:bookmarkStart w:id="189" w:name="_Toc12508"/>
      <w:bookmarkStart w:id="190" w:name="_Toc664"/>
      <w:bookmarkStart w:id="191" w:name="_Toc6568"/>
      <w:bookmarkStart w:id="192" w:name="_Toc12404"/>
      <w:bookmarkStart w:id="193" w:name="_Toc28929"/>
      <w:bookmarkStart w:id="194" w:name="_Toc21177"/>
      <w:bookmarkStart w:id="195" w:name="_Toc541"/>
      <w:bookmarkStart w:id="196" w:name="_Toc2484"/>
      <w:bookmarkStart w:id="197" w:name="_Toc392583317"/>
      <w:bookmarkStart w:id="198" w:name="_Toc389164202"/>
    </w:p>
    <w:p>
      <w:pPr>
        <w:pStyle w:val="15"/>
        <w:overflowPunct w:val="0"/>
        <w:spacing w:line="560" w:lineRule="exact"/>
        <w:ind w:firstLine="0"/>
        <w:jc w:val="center"/>
        <w:rPr>
          <w:b/>
          <w:sz w:val="32"/>
          <w:szCs w:val="36"/>
        </w:rPr>
      </w:pPr>
      <w:r>
        <w:rPr>
          <w:rFonts w:hint="eastAsia"/>
          <w:b/>
          <w:sz w:val="32"/>
          <w:szCs w:val="36"/>
        </w:rPr>
        <w:t>8、其它</w:t>
      </w:r>
      <w:bookmarkEnd w:id="186"/>
      <w:r>
        <w:rPr>
          <w:rFonts w:hint="eastAsia"/>
          <w:b/>
          <w:sz w:val="32"/>
          <w:szCs w:val="36"/>
        </w:rPr>
        <w:t>材料</w:t>
      </w:r>
      <w:bookmarkEnd w:id="187"/>
      <w:bookmarkEnd w:id="188"/>
      <w:bookmarkEnd w:id="189"/>
      <w:bookmarkEnd w:id="190"/>
      <w:bookmarkEnd w:id="191"/>
      <w:bookmarkEnd w:id="192"/>
      <w:bookmarkEnd w:id="193"/>
      <w:bookmarkEnd w:id="194"/>
      <w:bookmarkEnd w:id="195"/>
      <w:bookmarkEnd w:id="196"/>
      <w:bookmarkEnd w:id="197"/>
      <w:bookmarkEnd w:id="198"/>
    </w:p>
    <w:p>
      <w:pPr>
        <w:ind w:left="420"/>
        <w:jc w:val="left"/>
        <w:rPr>
          <w:sz w:val="24"/>
        </w:rPr>
      </w:pPr>
    </w:p>
    <w:p>
      <w:pPr>
        <w:ind w:left="420"/>
        <w:jc w:val="left"/>
        <w:rPr>
          <w:sz w:val="24"/>
        </w:rPr>
      </w:pPr>
    </w:p>
    <w:p>
      <w:pPr>
        <w:ind w:left="420"/>
        <w:jc w:val="left"/>
        <w:rPr>
          <w:sz w:val="24"/>
        </w:rPr>
      </w:pPr>
    </w:p>
    <w:p>
      <w:pPr>
        <w:ind w:left="420"/>
        <w:jc w:val="left"/>
        <w:rPr>
          <w:sz w:val="24"/>
        </w:rPr>
      </w:pPr>
    </w:p>
    <w:p>
      <w:pPr>
        <w:ind w:left="420"/>
        <w:jc w:val="left"/>
        <w:rPr>
          <w:sz w:val="24"/>
        </w:rPr>
      </w:pPr>
    </w:p>
    <w:p>
      <w:pPr>
        <w:ind w:left="420"/>
        <w:jc w:val="left"/>
        <w:rPr>
          <w:sz w:val="24"/>
        </w:rPr>
      </w:pPr>
    </w:p>
    <w:p>
      <w:pPr>
        <w:ind w:left="420"/>
        <w:jc w:val="left"/>
        <w:rPr>
          <w:sz w:val="24"/>
        </w:rPr>
      </w:pPr>
    </w:p>
    <w:p>
      <w:pPr>
        <w:ind w:left="420"/>
        <w:jc w:val="left"/>
        <w:rPr>
          <w:sz w:val="24"/>
        </w:rPr>
      </w:pPr>
    </w:p>
    <w:p>
      <w:pPr>
        <w:ind w:left="420"/>
        <w:jc w:val="left"/>
        <w:rPr>
          <w:sz w:val="24"/>
        </w:rPr>
      </w:pPr>
    </w:p>
    <w:p>
      <w:pPr>
        <w:ind w:left="420"/>
        <w:jc w:val="left"/>
        <w:rPr>
          <w:sz w:val="24"/>
        </w:rPr>
      </w:pPr>
    </w:p>
    <w:p>
      <w:pPr>
        <w:ind w:left="420"/>
        <w:jc w:val="left"/>
        <w:rPr>
          <w:sz w:val="24"/>
        </w:rPr>
      </w:pPr>
    </w:p>
    <w:p>
      <w:pPr>
        <w:ind w:left="420"/>
        <w:jc w:val="left"/>
        <w:rPr>
          <w:sz w:val="24"/>
        </w:rPr>
      </w:pPr>
    </w:p>
    <w:p>
      <w:pPr>
        <w:ind w:left="420"/>
        <w:jc w:val="left"/>
        <w:rPr>
          <w:sz w:val="24"/>
        </w:rPr>
      </w:pPr>
    </w:p>
    <w:p>
      <w:pPr>
        <w:ind w:left="420"/>
        <w:jc w:val="left"/>
        <w:rPr>
          <w:sz w:val="24"/>
        </w:rPr>
      </w:pPr>
    </w:p>
    <w:p>
      <w:pPr>
        <w:ind w:left="420"/>
        <w:jc w:val="left"/>
        <w:rPr>
          <w:sz w:val="24"/>
        </w:rPr>
      </w:pPr>
    </w:p>
    <w:p>
      <w:pPr>
        <w:ind w:left="420"/>
        <w:jc w:val="left"/>
        <w:rPr>
          <w:sz w:val="24"/>
        </w:rPr>
      </w:pPr>
    </w:p>
    <w:p>
      <w:pPr>
        <w:ind w:left="420"/>
        <w:jc w:val="left"/>
        <w:rPr>
          <w:sz w:val="24"/>
        </w:rPr>
      </w:pPr>
    </w:p>
    <w:p>
      <w:pPr>
        <w:ind w:left="420"/>
        <w:jc w:val="left"/>
        <w:rPr>
          <w:sz w:val="24"/>
        </w:rPr>
      </w:pPr>
    </w:p>
    <w:p>
      <w:pPr>
        <w:ind w:left="420"/>
        <w:jc w:val="left"/>
        <w:rPr>
          <w:sz w:val="24"/>
        </w:rPr>
      </w:pPr>
    </w:p>
    <w:p>
      <w:pPr>
        <w:ind w:left="420"/>
        <w:jc w:val="left"/>
        <w:rPr>
          <w:sz w:val="24"/>
        </w:rPr>
      </w:pPr>
    </w:p>
    <w:p>
      <w:pPr>
        <w:ind w:left="420"/>
        <w:jc w:val="left"/>
        <w:rPr>
          <w:sz w:val="24"/>
        </w:rPr>
      </w:pPr>
    </w:p>
    <w:p>
      <w:pPr>
        <w:ind w:left="420"/>
        <w:jc w:val="left"/>
        <w:rPr>
          <w:sz w:val="24"/>
        </w:rPr>
      </w:pPr>
    </w:p>
    <w:p>
      <w:pPr>
        <w:ind w:left="420"/>
        <w:jc w:val="left"/>
        <w:rPr>
          <w:sz w:val="24"/>
        </w:rPr>
      </w:pPr>
    </w:p>
    <w:p>
      <w:pPr>
        <w:pStyle w:val="2"/>
        <w:keepNext w:val="0"/>
        <w:keepLines w:val="0"/>
        <w:numPr>
          <w:ilvl w:val="0"/>
          <w:numId w:val="0"/>
        </w:numPr>
        <w:jc w:val="left"/>
        <w:rPr>
          <w:rFonts w:ascii="Times New Roman" w:hAnsi="Times New Roman"/>
          <w:sz w:val="32"/>
        </w:rPr>
        <w:sectPr>
          <w:pgSz w:w="11907" w:h="16840"/>
          <w:pgMar w:top="1418" w:right="1134" w:bottom="1361" w:left="1134" w:header="794" w:footer="794" w:gutter="0"/>
          <w:cols w:space="720" w:num="1"/>
          <w:docGrid w:linePitch="285" w:charSpace="0"/>
        </w:sectPr>
      </w:pPr>
      <w:bookmarkStart w:id="199" w:name="_Toc2440"/>
      <w:bookmarkStart w:id="200" w:name="_Toc317237644"/>
      <w:bookmarkStart w:id="201" w:name="_Toc6627"/>
      <w:bookmarkStart w:id="202" w:name="_Toc394922046"/>
    </w:p>
    <w:p>
      <w:pPr>
        <w:pStyle w:val="2"/>
        <w:keepNext w:val="0"/>
        <w:keepLines w:val="0"/>
        <w:numPr>
          <w:ilvl w:val="0"/>
          <w:numId w:val="0"/>
        </w:numPr>
        <w:jc w:val="center"/>
        <w:rPr>
          <w:rFonts w:ascii="Times New Roman" w:hAnsi="Times New Roman"/>
          <w:sz w:val="32"/>
        </w:rPr>
      </w:pPr>
      <w:r>
        <w:rPr>
          <w:rFonts w:hint="eastAsia" w:ascii="Times New Roman" w:hAnsi="Times New Roman"/>
          <w:sz w:val="32"/>
        </w:rPr>
        <w:t>（二）技术部分</w:t>
      </w:r>
      <w:bookmarkEnd w:id="199"/>
      <w:bookmarkEnd w:id="200"/>
      <w:bookmarkEnd w:id="201"/>
      <w:bookmarkEnd w:id="202"/>
    </w:p>
    <w:p/>
    <w:p>
      <w:pPr>
        <w:spacing w:line="600" w:lineRule="exact"/>
        <w:ind w:right="482"/>
        <w:outlineLvl w:val="1"/>
        <w:rPr>
          <w:b/>
          <w:bCs/>
          <w:sz w:val="32"/>
          <w:szCs w:val="32"/>
        </w:rPr>
      </w:pPr>
      <w:r>
        <w:rPr>
          <w:rFonts w:hint="eastAsia"/>
          <w:b/>
          <w:bCs/>
          <w:sz w:val="32"/>
          <w:szCs w:val="32"/>
        </w:rPr>
        <w:t>1、项目实施方案</w:t>
      </w:r>
    </w:p>
    <w:p>
      <w:pPr>
        <w:pStyle w:val="162"/>
        <w:rPr>
          <w:bCs/>
          <w:sz w:val="24"/>
          <w:szCs w:val="24"/>
        </w:rPr>
      </w:pPr>
    </w:p>
    <w:p>
      <w:pPr>
        <w:pStyle w:val="162"/>
        <w:spacing w:line="360" w:lineRule="auto"/>
        <w:ind w:firstLine="360" w:firstLineChars="150"/>
        <w:rPr>
          <w:rFonts w:ascii="黑体" w:hAnsi="黑体" w:eastAsia="黑体"/>
          <w:bCs/>
          <w:sz w:val="24"/>
          <w:szCs w:val="24"/>
        </w:rPr>
      </w:pPr>
    </w:p>
    <w:p>
      <w:pPr>
        <w:pStyle w:val="162"/>
        <w:spacing w:line="360" w:lineRule="auto"/>
        <w:rPr>
          <w:rFonts w:ascii="黑体" w:hAnsi="黑体" w:eastAsia="黑体"/>
          <w:bCs/>
          <w:sz w:val="24"/>
          <w:szCs w:val="24"/>
        </w:rPr>
      </w:pPr>
      <w:r>
        <w:rPr>
          <w:rFonts w:hint="eastAsia" w:ascii="黑体" w:hAnsi="黑体" w:eastAsia="黑体"/>
          <w:bCs/>
          <w:sz w:val="24"/>
          <w:szCs w:val="24"/>
        </w:rPr>
        <w:t>包括但不限于：</w:t>
      </w:r>
    </w:p>
    <w:p>
      <w:pPr>
        <w:pStyle w:val="162"/>
        <w:spacing w:line="360" w:lineRule="auto"/>
        <w:rPr>
          <w:rFonts w:ascii="黑体" w:hAnsi="黑体" w:eastAsia="黑体"/>
          <w:sz w:val="24"/>
          <w:szCs w:val="24"/>
        </w:rPr>
      </w:pPr>
      <w:r>
        <w:rPr>
          <w:rFonts w:hint="eastAsia" w:ascii="黑体" w:hAnsi="黑体" w:eastAsia="黑体"/>
          <w:bCs/>
          <w:sz w:val="24"/>
          <w:szCs w:val="24"/>
        </w:rPr>
        <w:t>1、</w:t>
      </w:r>
      <w:r>
        <w:rPr>
          <w:rFonts w:hint="eastAsia" w:ascii="黑体" w:hAnsi="黑体" w:eastAsia="黑体"/>
          <w:sz w:val="24"/>
          <w:szCs w:val="22"/>
        </w:rPr>
        <w:t>环境监测（大气、噪声、海水水质、沉淀物、海洋生物、岸滩冲淤等）</w:t>
      </w:r>
    </w:p>
    <w:p>
      <w:pPr>
        <w:pStyle w:val="162"/>
        <w:spacing w:line="360" w:lineRule="auto"/>
        <w:rPr>
          <w:rFonts w:ascii="黑体" w:hAnsi="黑体" w:eastAsia="黑体"/>
          <w:sz w:val="24"/>
          <w:szCs w:val="24"/>
        </w:rPr>
      </w:pPr>
      <w:r>
        <w:rPr>
          <w:rFonts w:hint="eastAsia" w:ascii="黑体" w:hAnsi="黑体" w:eastAsia="黑体"/>
          <w:sz w:val="24"/>
          <w:szCs w:val="24"/>
        </w:rPr>
        <w:t>2、</w:t>
      </w:r>
      <w:r>
        <w:rPr>
          <w:rFonts w:hint="eastAsia" w:ascii="黑体" w:hAnsi="黑体" w:eastAsia="黑体"/>
          <w:sz w:val="24"/>
        </w:rPr>
        <w:t>环境评价的主要内容、重点</w:t>
      </w:r>
      <w:r>
        <w:rPr>
          <w:rFonts w:hint="eastAsia" w:ascii="黑体" w:hAnsi="黑体" w:eastAsia="黑体"/>
          <w:sz w:val="24"/>
          <w:szCs w:val="24"/>
        </w:rPr>
        <w:t>；</w:t>
      </w:r>
    </w:p>
    <w:p>
      <w:pPr>
        <w:pStyle w:val="162"/>
        <w:spacing w:line="360" w:lineRule="auto"/>
        <w:rPr>
          <w:rFonts w:ascii="黑体" w:hAnsi="黑体" w:eastAsia="黑体"/>
          <w:sz w:val="24"/>
          <w:szCs w:val="24"/>
        </w:rPr>
      </w:pPr>
      <w:r>
        <w:rPr>
          <w:rFonts w:hint="eastAsia" w:ascii="黑体" w:hAnsi="黑体" w:eastAsia="黑体"/>
          <w:sz w:val="24"/>
          <w:szCs w:val="24"/>
        </w:rPr>
        <w:t>3、</w:t>
      </w:r>
      <w:r>
        <w:rPr>
          <w:rFonts w:hint="eastAsia" w:ascii="黑体" w:hAnsi="黑体" w:eastAsia="黑体"/>
          <w:sz w:val="24"/>
        </w:rPr>
        <w:t>质量控制</w:t>
      </w:r>
      <w:r>
        <w:rPr>
          <w:rFonts w:hint="eastAsia" w:ascii="黑体" w:hAnsi="黑体" w:eastAsia="黑体"/>
          <w:sz w:val="24"/>
          <w:szCs w:val="24"/>
        </w:rPr>
        <w:t>；</w:t>
      </w:r>
    </w:p>
    <w:p>
      <w:pPr>
        <w:pStyle w:val="162"/>
        <w:spacing w:line="360" w:lineRule="auto"/>
        <w:rPr>
          <w:rFonts w:ascii="黑体" w:hAnsi="黑体" w:eastAsia="黑体"/>
          <w:sz w:val="24"/>
          <w:szCs w:val="24"/>
        </w:rPr>
      </w:pPr>
      <w:r>
        <w:rPr>
          <w:rFonts w:hint="eastAsia" w:ascii="黑体" w:hAnsi="黑体" w:eastAsia="黑体"/>
          <w:sz w:val="24"/>
          <w:szCs w:val="24"/>
        </w:rPr>
        <w:t>4、进度管理；</w:t>
      </w:r>
    </w:p>
    <w:p>
      <w:pPr>
        <w:pStyle w:val="162"/>
        <w:spacing w:line="360" w:lineRule="auto"/>
        <w:rPr>
          <w:rFonts w:ascii="黑体" w:hAnsi="黑体" w:eastAsia="黑体"/>
          <w:sz w:val="24"/>
          <w:szCs w:val="24"/>
        </w:rPr>
      </w:pPr>
      <w:r>
        <w:rPr>
          <w:rFonts w:hint="eastAsia" w:ascii="黑体" w:hAnsi="黑体" w:eastAsia="黑体"/>
          <w:sz w:val="24"/>
          <w:szCs w:val="24"/>
        </w:rPr>
        <w:t>5、项目组织及项目协调。</w:t>
      </w:r>
    </w:p>
    <w:p>
      <w:pPr>
        <w:pStyle w:val="162"/>
        <w:rPr>
          <w:rFonts w:ascii="黑体" w:hAnsi="黑体" w:eastAsia="黑体"/>
          <w:sz w:val="24"/>
          <w:szCs w:val="24"/>
        </w:rPr>
        <w:sectPr>
          <w:pgSz w:w="11907" w:h="16840"/>
          <w:pgMar w:top="1418" w:right="1134" w:bottom="1361" w:left="1134" w:header="794" w:footer="794" w:gutter="0"/>
          <w:cols w:space="720" w:num="1"/>
          <w:docGrid w:linePitch="285" w:charSpace="0"/>
        </w:sectPr>
      </w:pPr>
    </w:p>
    <w:p>
      <w:pPr>
        <w:pStyle w:val="162"/>
        <w:rPr>
          <w:rFonts w:ascii="黑体" w:hAnsi="黑体" w:eastAsia="黑体"/>
          <w:sz w:val="24"/>
          <w:szCs w:val="24"/>
        </w:rPr>
      </w:pPr>
    </w:p>
    <w:p>
      <w:pPr>
        <w:numPr>
          <w:ilvl w:val="0"/>
          <w:numId w:val="8"/>
        </w:numPr>
        <w:tabs>
          <w:tab w:val="left" w:pos="4680"/>
        </w:tabs>
        <w:snapToGrid w:val="0"/>
        <w:spacing w:line="360" w:lineRule="auto"/>
        <w:ind w:firstLine="723" w:firstLineChars="200"/>
        <w:jc w:val="center"/>
        <w:outlineLvl w:val="0"/>
        <w:rPr>
          <w:rFonts w:ascii="宋体" w:hAnsi="宋体" w:cs="宋体"/>
          <w:b/>
          <w:bCs/>
          <w:sz w:val="36"/>
          <w:szCs w:val="36"/>
        </w:rPr>
      </w:pPr>
      <w:r>
        <w:rPr>
          <w:rFonts w:hint="eastAsia" w:ascii="宋体" w:hAnsi="宋体" w:cs="宋体"/>
          <w:b/>
          <w:bCs/>
          <w:sz w:val="36"/>
          <w:szCs w:val="36"/>
        </w:rPr>
        <w:t>分评标办法</w:t>
      </w:r>
      <w:bookmarkEnd w:id="146"/>
      <w:bookmarkEnd w:id="147"/>
      <w:bookmarkEnd w:id="148"/>
      <w:bookmarkEnd w:id="149"/>
    </w:p>
    <w:p>
      <w:pPr>
        <w:pStyle w:val="2"/>
        <w:numPr>
          <w:ilvl w:val="1"/>
          <w:numId w:val="0"/>
        </w:numPr>
        <w:ind w:left="227"/>
      </w:pPr>
    </w:p>
    <w:p>
      <w:pPr>
        <w:tabs>
          <w:tab w:val="left" w:pos="4680"/>
        </w:tabs>
        <w:snapToGrid w:val="0"/>
        <w:spacing w:line="360" w:lineRule="auto"/>
        <w:ind w:firstLine="562" w:firstLineChars="200"/>
        <w:jc w:val="center"/>
        <w:outlineLvl w:val="0"/>
        <w:rPr>
          <w:rFonts w:ascii="宋体" w:cs="Times New Roman"/>
          <w:b/>
          <w:bCs/>
          <w:sz w:val="28"/>
          <w:szCs w:val="28"/>
        </w:rPr>
      </w:pPr>
      <w:bookmarkStart w:id="203" w:name="_Toc6353"/>
      <w:bookmarkStart w:id="204" w:name="_Toc500150958"/>
      <w:r>
        <w:rPr>
          <w:rFonts w:hint="eastAsia" w:ascii="宋体" w:hAnsi="宋体" w:cs="宋体"/>
          <w:b/>
          <w:bCs/>
          <w:sz w:val="28"/>
          <w:szCs w:val="28"/>
        </w:rPr>
        <w:t>（一）初步审查表</w:t>
      </w:r>
      <w:bookmarkEnd w:id="203"/>
      <w:bookmarkEnd w:id="204"/>
    </w:p>
    <w:tbl>
      <w:tblPr>
        <w:tblStyle w:val="59"/>
        <w:tblW w:w="9108"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648"/>
        <w:gridCol w:w="1922"/>
        <w:gridCol w:w="3298"/>
        <w:gridCol w:w="1080"/>
        <w:gridCol w:w="1080"/>
        <w:gridCol w:w="108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75" w:hRule="atLeast"/>
          <w:jc w:val="center"/>
        </w:trPr>
        <w:tc>
          <w:tcPr>
            <w:tcW w:w="648" w:type="dxa"/>
            <w:tcBorders>
              <w:top w:val="single" w:color="auto" w:sz="4" w:space="0"/>
              <w:bottom w:val="single" w:color="auto" w:sz="4" w:space="0"/>
              <w:right w:val="single" w:color="auto" w:sz="4" w:space="0"/>
            </w:tcBorders>
            <w:vAlign w:val="center"/>
          </w:tcPr>
          <w:p>
            <w:pPr>
              <w:shd w:val="clear" w:color="auto" w:fill="FFFFFF"/>
              <w:spacing w:line="480" w:lineRule="exact"/>
              <w:jc w:val="center"/>
              <w:rPr>
                <w:rFonts w:ascii="宋体" w:cs="Times New Roman"/>
                <w:b/>
                <w:bCs/>
              </w:rPr>
            </w:pPr>
            <w:r>
              <w:rPr>
                <w:rFonts w:hint="eastAsia" w:ascii="宋体" w:hAnsi="宋体" w:cs="宋体"/>
                <w:b/>
                <w:bCs/>
              </w:rPr>
              <w:t>序号</w:t>
            </w:r>
          </w:p>
        </w:tc>
        <w:tc>
          <w:tcPr>
            <w:tcW w:w="1922" w:type="dxa"/>
            <w:tcBorders>
              <w:top w:val="single" w:color="auto" w:sz="4" w:space="0"/>
              <w:left w:val="single" w:color="auto" w:sz="4" w:space="0"/>
              <w:bottom w:val="single" w:color="auto" w:sz="4" w:space="0"/>
              <w:right w:val="single" w:color="auto" w:sz="4" w:space="0"/>
            </w:tcBorders>
            <w:vAlign w:val="center"/>
          </w:tcPr>
          <w:p>
            <w:pPr>
              <w:shd w:val="clear" w:color="auto" w:fill="FFFFFF"/>
              <w:spacing w:line="480" w:lineRule="exact"/>
              <w:jc w:val="center"/>
              <w:rPr>
                <w:rFonts w:ascii="宋体" w:cs="Times New Roman"/>
                <w:b/>
                <w:bCs/>
              </w:rPr>
            </w:pPr>
            <w:r>
              <w:rPr>
                <w:rFonts w:hint="eastAsia" w:ascii="宋体" w:hAnsi="宋体" w:cs="宋体"/>
                <w:b/>
                <w:bCs/>
              </w:rPr>
              <w:t>审查项目</w:t>
            </w:r>
          </w:p>
        </w:tc>
        <w:tc>
          <w:tcPr>
            <w:tcW w:w="3298" w:type="dxa"/>
            <w:tcBorders>
              <w:top w:val="single" w:color="auto" w:sz="4" w:space="0"/>
              <w:left w:val="single" w:color="auto" w:sz="4" w:space="0"/>
              <w:bottom w:val="single" w:color="auto" w:sz="4" w:space="0"/>
              <w:right w:val="single" w:color="auto" w:sz="4" w:space="0"/>
            </w:tcBorders>
            <w:vAlign w:val="center"/>
          </w:tcPr>
          <w:p>
            <w:pPr>
              <w:shd w:val="clear" w:color="auto" w:fill="FFFFFF"/>
              <w:spacing w:line="480" w:lineRule="exact"/>
              <w:jc w:val="center"/>
              <w:rPr>
                <w:rFonts w:ascii="宋体" w:cs="Times New Roman"/>
                <w:b/>
                <w:bCs/>
              </w:rPr>
            </w:pPr>
            <w:r>
              <w:rPr>
                <w:rFonts w:hint="eastAsia" w:ascii="宋体" w:hAnsi="宋体" w:cs="宋体"/>
                <w:b/>
                <w:bCs/>
              </w:rPr>
              <w:t>评议内容</w:t>
            </w:r>
          </w:p>
        </w:tc>
        <w:tc>
          <w:tcPr>
            <w:tcW w:w="1080" w:type="dxa"/>
            <w:tcBorders>
              <w:top w:val="single" w:color="auto" w:sz="4" w:space="0"/>
              <w:left w:val="single" w:color="auto" w:sz="4" w:space="0"/>
              <w:bottom w:val="single" w:color="auto" w:sz="4" w:space="0"/>
              <w:right w:val="single" w:color="auto" w:sz="4" w:space="0"/>
            </w:tcBorders>
            <w:vAlign w:val="center"/>
          </w:tcPr>
          <w:p>
            <w:pPr>
              <w:shd w:val="clear" w:color="auto" w:fill="FFFFFF"/>
              <w:snapToGrid w:val="0"/>
              <w:spacing w:line="360" w:lineRule="auto"/>
              <w:jc w:val="center"/>
              <w:rPr>
                <w:rFonts w:ascii="宋体" w:cs="Times New Roman"/>
                <w:b/>
                <w:bCs/>
              </w:rPr>
            </w:pPr>
            <w:r>
              <w:rPr>
                <w:rFonts w:hint="eastAsia" w:ascii="宋体" w:hAnsi="宋体" w:cs="宋体"/>
                <w:b/>
                <w:bCs/>
              </w:rPr>
              <w:t>投标人</w:t>
            </w:r>
            <w:r>
              <w:rPr>
                <w:rFonts w:ascii="宋体" w:hAnsi="宋体" w:cs="宋体"/>
                <w:b/>
                <w:bCs/>
              </w:rPr>
              <w:t>1</w:t>
            </w:r>
          </w:p>
        </w:tc>
        <w:tc>
          <w:tcPr>
            <w:tcW w:w="1080" w:type="dxa"/>
            <w:tcBorders>
              <w:top w:val="single" w:color="auto" w:sz="4" w:space="0"/>
              <w:left w:val="single" w:color="auto" w:sz="4" w:space="0"/>
              <w:bottom w:val="single" w:color="auto" w:sz="4" w:space="0"/>
              <w:right w:val="single" w:color="auto" w:sz="4" w:space="0"/>
            </w:tcBorders>
            <w:vAlign w:val="center"/>
          </w:tcPr>
          <w:p>
            <w:pPr>
              <w:shd w:val="clear" w:color="auto" w:fill="FFFFFF"/>
              <w:snapToGrid w:val="0"/>
              <w:spacing w:line="360" w:lineRule="auto"/>
              <w:jc w:val="center"/>
              <w:rPr>
                <w:rFonts w:ascii="宋体" w:cs="Times New Roman"/>
                <w:b/>
                <w:bCs/>
              </w:rPr>
            </w:pPr>
            <w:r>
              <w:rPr>
                <w:rFonts w:hint="eastAsia" w:ascii="宋体" w:hAnsi="宋体" w:cs="宋体"/>
                <w:b/>
                <w:bCs/>
              </w:rPr>
              <w:t>投标人</w:t>
            </w:r>
            <w:r>
              <w:rPr>
                <w:rFonts w:ascii="宋体" w:hAnsi="宋体" w:cs="宋体"/>
                <w:b/>
                <w:bCs/>
              </w:rPr>
              <w:t>2</w:t>
            </w:r>
          </w:p>
        </w:tc>
        <w:tc>
          <w:tcPr>
            <w:tcW w:w="1080" w:type="dxa"/>
            <w:tcBorders>
              <w:top w:val="single" w:color="auto" w:sz="4" w:space="0"/>
              <w:left w:val="single" w:color="auto" w:sz="4" w:space="0"/>
              <w:bottom w:val="single" w:color="auto" w:sz="4" w:space="0"/>
            </w:tcBorders>
            <w:vAlign w:val="center"/>
          </w:tcPr>
          <w:p>
            <w:pPr>
              <w:shd w:val="clear" w:color="auto" w:fill="FFFFFF"/>
              <w:snapToGrid w:val="0"/>
              <w:spacing w:line="360" w:lineRule="auto"/>
              <w:jc w:val="center"/>
              <w:rPr>
                <w:rFonts w:ascii="宋体" w:cs="Times New Roman"/>
                <w:b/>
                <w:bCs/>
              </w:rPr>
            </w:pPr>
            <w:r>
              <w:rPr>
                <w:rFonts w:hint="eastAsia" w:ascii="宋体" w:hAnsi="宋体" w:cs="宋体"/>
                <w:b/>
                <w:bCs/>
              </w:rPr>
              <w:t>投标人</w:t>
            </w:r>
            <w:r>
              <w:rPr>
                <w:rFonts w:ascii="宋体" w:hAnsi="宋体" w:cs="宋体"/>
                <w:b/>
                <w:bCs/>
              </w:rPr>
              <w:t>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80" w:hRule="exact"/>
          <w:jc w:val="center"/>
        </w:trPr>
        <w:tc>
          <w:tcPr>
            <w:tcW w:w="648" w:type="dxa"/>
            <w:tcBorders>
              <w:top w:val="single" w:color="auto" w:sz="4" w:space="0"/>
              <w:bottom w:val="single" w:color="auto" w:sz="4" w:space="0"/>
              <w:right w:val="single" w:color="auto" w:sz="4" w:space="0"/>
            </w:tcBorders>
            <w:vAlign w:val="center"/>
          </w:tcPr>
          <w:p>
            <w:pPr>
              <w:shd w:val="clear" w:color="auto" w:fill="FFFFFF"/>
              <w:spacing w:line="480" w:lineRule="exact"/>
              <w:jc w:val="center"/>
              <w:rPr>
                <w:rFonts w:ascii="宋体" w:cs="Times New Roman"/>
              </w:rPr>
            </w:pPr>
            <w:r>
              <w:rPr>
                <w:rFonts w:hint="eastAsia" w:ascii="宋体" w:hAnsi="宋体" w:cs="宋体"/>
              </w:rPr>
              <w:t>2</w:t>
            </w:r>
          </w:p>
        </w:tc>
        <w:tc>
          <w:tcPr>
            <w:tcW w:w="1922" w:type="dxa"/>
            <w:tcBorders>
              <w:top w:val="single" w:color="auto" w:sz="4" w:space="0"/>
              <w:left w:val="single" w:color="auto" w:sz="4" w:space="0"/>
              <w:bottom w:val="single" w:color="auto" w:sz="4" w:space="0"/>
              <w:right w:val="single" w:color="auto" w:sz="4" w:space="0"/>
            </w:tcBorders>
            <w:vAlign w:val="center"/>
          </w:tcPr>
          <w:p>
            <w:pPr>
              <w:shd w:val="clear" w:color="auto" w:fill="FFFFFF"/>
              <w:spacing w:line="480" w:lineRule="exact"/>
              <w:jc w:val="center"/>
              <w:rPr>
                <w:rFonts w:ascii="宋体" w:cs="Times New Roman"/>
              </w:rPr>
            </w:pPr>
            <w:r>
              <w:rPr>
                <w:rFonts w:hint="eastAsia" w:ascii="宋体" w:hAnsi="宋体" w:cs="宋体"/>
              </w:rPr>
              <w:t>保证金</w:t>
            </w:r>
          </w:p>
        </w:tc>
        <w:tc>
          <w:tcPr>
            <w:tcW w:w="3298" w:type="dxa"/>
            <w:tcBorders>
              <w:top w:val="single" w:color="auto" w:sz="4" w:space="0"/>
              <w:left w:val="single" w:color="auto" w:sz="4" w:space="0"/>
              <w:bottom w:val="single" w:color="auto" w:sz="4" w:space="0"/>
              <w:right w:val="single" w:color="auto" w:sz="4" w:space="0"/>
            </w:tcBorders>
            <w:vAlign w:val="center"/>
          </w:tcPr>
          <w:p>
            <w:pPr>
              <w:shd w:val="clear" w:color="auto" w:fill="FFFFFF"/>
              <w:spacing w:line="480" w:lineRule="exact"/>
              <w:rPr>
                <w:rFonts w:ascii="宋体" w:cs="Times New Roman"/>
              </w:rPr>
            </w:pPr>
            <w:r>
              <w:rPr>
                <w:rFonts w:hint="eastAsia" w:ascii="宋体" w:hAnsi="宋体" w:cs="宋体"/>
              </w:rPr>
              <w:t>是否提交保证金的</w:t>
            </w:r>
          </w:p>
        </w:tc>
        <w:tc>
          <w:tcPr>
            <w:tcW w:w="1080" w:type="dxa"/>
            <w:tcBorders>
              <w:top w:val="single" w:color="auto" w:sz="4" w:space="0"/>
              <w:left w:val="single" w:color="auto" w:sz="4" w:space="0"/>
              <w:bottom w:val="single" w:color="auto" w:sz="4" w:space="0"/>
              <w:right w:val="single" w:color="auto" w:sz="4" w:space="0"/>
            </w:tcBorders>
            <w:vAlign w:val="center"/>
          </w:tcPr>
          <w:p>
            <w:pPr>
              <w:shd w:val="clear" w:color="auto" w:fill="FFFFFF"/>
              <w:spacing w:line="480" w:lineRule="exact"/>
              <w:jc w:val="center"/>
              <w:rPr>
                <w:rFonts w:ascii="宋体" w:cs="Times New Roman"/>
                <w:b/>
                <w:bCs/>
              </w:rPr>
            </w:pPr>
            <w:r>
              <w:rPr>
                <w:rFonts w:ascii="宋体" w:cs="Times New Roman"/>
                <w:b/>
                <w:bCs/>
              </w:rPr>
              <w:t> </w:t>
            </w:r>
          </w:p>
        </w:tc>
        <w:tc>
          <w:tcPr>
            <w:tcW w:w="1080" w:type="dxa"/>
            <w:tcBorders>
              <w:top w:val="single" w:color="auto" w:sz="4" w:space="0"/>
              <w:left w:val="single" w:color="auto" w:sz="4" w:space="0"/>
              <w:bottom w:val="single" w:color="auto" w:sz="4" w:space="0"/>
              <w:right w:val="single" w:color="auto" w:sz="4" w:space="0"/>
            </w:tcBorders>
            <w:vAlign w:val="center"/>
          </w:tcPr>
          <w:p>
            <w:pPr>
              <w:shd w:val="clear" w:color="auto" w:fill="FFFFFF"/>
              <w:spacing w:line="480" w:lineRule="exact"/>
              <w:jc w:val="center"/>
              <w:rPr>
                <w:rFonts w:ascii="宋体" w:cs="Times New Roman"/>
                <w:b/>
                <w:bCs/>
              </w:rPr>
            </w:pPr>
            <w:r>
              <w:rPr>
                <w:rFonts w:ascii="宋体" w:cs="Times New Roman"/>
                <w:b/>
                <w:bCs/>
              </w:rPr>
              <w:t> </w:t>
            </w:r>
          </w:p>
        </w:tc>
        <w:tc>
          <w:tcPr>
            <w:tcW w:w="1080" w:type="dxa"/>
            <w:tcBorders>
              <w:top w:val="single" w:color="auto" w:sz="4" w:space="0"/>
              <w:left w:val="single" w:color="auto" w:sz="4" w:space="0"/>
              <w:bottom w:val="single" w:color="auto" w:sz="4" w:space="0"/>
            </w:tcBorders>
            <w:vAlign w:val="center"/>
          </w:tcPr>
          <w:p>
            <w:pPr>
              <w:shd w:val="clear" w:color="auto" w:fill="FFFFFF"/>
              <w:spacing w:line="480" w:lineRule="exact"/>
              <w:jc w:val="center"/>
              <w:rPr>
                <w:rFonts w:ascii="宋体" w:cs="Times New Roman"/>
                <w:b/>
                <w:bCs/>
              </w:rPr>
            </w:pPr>
            <w:r>
              <w:rPr>
                <w:rFonts w:ascii="宋体" w:cs="Times New Roman"/>
                <w:b/>
                <w:bCs/>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80" w:hRule="exact"/>
          <w:jc w:val="center"/>
        </w:trPr>
        <w:tc>
          <w:tcPr>
            <w:tcW w:w="648" w:type="dxa"/>
            <w:tcBorders>
              <w:top w:val="single" w:color="auto" w:sz="4" w:space="0"/>
              <w:bottom w:val="single" w:color="auto" w:sz="4" w:space="0"/>
              <w:right w:val="single" w:color="auto" w:sz="4" w:space="0"/>
            </w:tcBorders>
            <w:vAlign w:val="center"/>
          </w:tcPr>
          <w:p>
            <w:pPr>
              <w:shd w:val="clear" w:color="auto" w:fill="FFFFFF"/>
              <w:spacing w:line="480" w:lineRule="exact"/>
              <w:jc w:val="center"/>
              <w:rPr>
                <w:rFonts w:ascii="宋体" w:cs="Times New Roman"/>
              </w:rPr>
            </w:pPr>
            <w:r>
              <w:rPr>
                <w:rFonts w:hint="eastAsia" w:ascii="宋体" w:hAnsi="宋体" w:cs="宋体"/>
              </w:rPr>
              <w:t>3</w:t>
            </w:r>
          </w:p>
        </w:tc>
        <w:tc>
          <w:tcPr>
            <w:tcW w:w="1922" w:type="dxa"/>
            <w:tcBorders>
              <w:top w:val="single" w:color="auto" w:sz="4" w:space="0"/>
              <w:left w:val="single" w:color="auto" w:sz="4" w:space="0"/>
              <w:bottom w:val="single" w:color="auto" w:sz="4" w:space="0"/>
              <w:right w:val="single" w:color="auto" w:sz="4" w:space="0"/>
            </w:tcBorders>
            <w:vAlign w:val="center"/>
          </w:tcPr>
          <w:p>
            <w:pPr>
              <w:shd w:val="clear" w:color="auto" w:fill="FFFFFF"/>
              <w:spacing w:line="480" w:lineRule="exact"/>
              <w:jc w:val="center"/>
              <w:rPr>
                <w:rFonts w:ascii="宋体" w:hAnsi="宋体" w:cs="宋体"/>
              </w:rPr>
            </w:pPr>
            <w:r>
              <w:rPr>
                <w:rFonts w:hint="eastAsia" w:ascii="宋体" w:hAnsi="宋体" w:cs="宋体"/>
              </w:rPr>
              <w:t>投标有效期</w:t>
            </w:r>
          </w:p>
        </w:tc>
        <w:tc>
          <w:tcPr>
            <w:tcW w:w="3298" w:type="dxa"/>
            <w:tcBorders>
              <w:top w:val="single" w:color="auto" w:sz="4" w:space="0"/>
              <w:left w:val="single" w:color="auto" w:sz="4" w:space="0"/>
              <w:bottom w:val="single" w:color="auto" w:sz="4" w:space="0"/>
              <w:right w:val="single" w:color="auto" w:sz="4" w:space="0"/>
            </w:tcBorders>
            <w:vAlign w:val="center"/>
          </w:tcPr>
          <w:p>
            <w:pPr>
              <w:shd w:val="clear" w:color="auto" w:fill="FFFFFF"/>
              <w:spacing w:line="480" w:lineRule="exact"/>
              <w:rPr>
                <w:rFonts w:ascii="宋体" w:hAnsi="宋体" w:cs="宋体"/>
              </w:rPr>
            </w:pPr>
            <w:r>
              <w:rPr>
                <w:rFonts w:hint="eastAsia" w:ascii="宋体" w:hAnsi="宋体" w:cs="宋体"/>
              </w:rPr>
              <w:t>是否满足招标文件要求</w:t>
            </w:r>
          </w:p>
        </w:tc>
        <w:tc>
          <w:tcPr>
            <w:tcW w:w="1080" w:type="dxa"/>
            <w:tcBorders>
              <w:top w:val="single" w:color="auto" w:sz="4" w:space="0"/>
              <w:left w:val="single" w:color="auto" w:sz="4" w:space="0"/>
              <w:bottom w:val="single" w:color="auto" w:sz="4" w:space="0"/>
              <w:right w:val="single" w:color="auto" w:sz="4" w:space="0"/>
            </w:tcBorders>
            <w:vAlign w:val="center"/>
          </w:tcPr>
          <w:p>
            <w:pPr>
              <w:shd w:val="clear" w:color="auto" w:fill="FFFFFF"/>
              <w:spacing w:line="480" w:lineRule="exact"/>
              <w:jc w:val="center"/>
              <w:rPr>
                <w:rFonts w:ascii="宋体" w:cs="Times New Roman"/>
                <w:b/>
                <w:bCs/>
              </w:rPr>
            </w:pPr>
            <w:r>
              <w:rPr>
                <w:rFonts w:ascii="宋体" w:cs="Times New Roman"/>
                <w:b/>
                <w:bCs/>
              </w:rPr>
              <w:t> </w:t>
            </w:r>
          </w:p>
        </w:tc>
        <w:tc>
          <w:tcPr>
            <w:tcW w:w="1080" w:type="dxa"/>
            <w:tcBorders>
              <w:top w:val="single" w:color="auto" w:sz="4" w:space="0"/>
              <w:left w:val="single" w:color="auto" w:sz="4" w:space="0"/>
              <w:bottom w:val="single" w:color="auto" w:sz="4" w:space="0"/>
              <w:right w:val="single" w:color="auto" w:sz="4" w:space="0"/>
            </w:tcBorders>
            <w:vAlign w:val="center"/>
          </w:tcPr>
          <w:p>
            <w:pPr>
              <w:shd w:val="clear" w:color="auto" w:fill="FFFFFF"/>
              <w:spacing w:line="480" w:lineRule="exact"/>
              <w:jc w:val="center"/>
              <w:rPr>
                <w:rFonts w:ascii="宋体" w:cs="Times New Roman"/>
                <w:b/>
                <w:bCs/>
              </w:rPr>
            </w:pPr>
            <w:r>
              <w:rPr>
                <w:rFonts w:ascii="宋体" w:cs="Times New Roman"/>
                <w:b/>
                <w:bCs/>
              </w:rPr>
              <w:t> </w:t>
            </w:r>
          </w:p>
        </w:tc>
        <w:tc>
          <w:tcPr>
            <w:tcW w:w="1080" w:type="dxa"/>
            <w:tcBorders>
              <w:top w:val="single" w:color="auto" w:sz="4" w:space="0"/>
              <w:left w:val="single" w:color="auto" w:sz="4" w:space="0"/>
              <w:bottom w:val="single" w:color="auto" w:sz="4" w:space="0"/>
            </w:tcBorders>
            <w:vAlign w:val="center"/>
          </w:tcPr>
          <w:p>
            <w:pPr>
              <w:shd w:val="clear" w:color="auto" w:fill="FFFFFF"/>
              <w:spacing w:line="480" w:lineRule="exact"/>
              <w:jc w:val="center"/>
              <w:rPr>
                <w:rFonts w:ascii="宋体" w:cs="Times New Roman"/>
                <w:b/>
                <w:bCs/>
              </w:rPr>
            </w:pPr>
            <w:r>
              <w:rPr>
                <w:rFonts w:ascii="宋体" w:cs="Times New Roman"/>
                <w:b/>
                <w:bCs/>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80" w:hRule="exact"/>
          <w:jc w:val="center"/>
        </w:trPr>
        <w:tc>
          <w:tcPr>
            <w:tcW w:w="648" w:type="dxa"/>
            <w:tcBorders>
              <w:top w:val="single" w:color="auto" w:sz="4" w:space="0"/>
              <w:bottom w:val="single" w:color="auto" w:sz="4" w:space="0"/>
              <w:right w:val="single" w:color="auto" w:sz="4" w:space="0"/>
            </w:tcBorders>
            <w:vAlign w:val="center"/>
          </w:tcPr>
          <w:p>
            <w:pPr>
              <w:shd w:val="clear" w:color="auto" w:fill="FFFFFF"/>
              <w:spacing w:line="480" w:lineRule="exact"/>
              <w:jc w:val="center"/>
              <w:rPr>
                <w:rFonts w:ascii="宋体" w:cs="Times New Roman"/>
              </w:rPr>
            </w:pPr>
            <w:r>
              <w:rPr>
                <w:rFonts w:hint="eastAsia" w:ascii="宋体" w:hAnsi="宋体" w:cs="宋体"/>
              </w:rPr>
              <w:t>4</w:t>
            </w:r>
          </w:p>
        </w:tc>
        <w:tc>
          <w:tcPr>
            <w:tcW w:w="1922" w:type="dxa"/>
            <w:tcBorders>
              <w:top w:val="single" w:color="auto" w:sz="4" w:space="0"/>
              <w:left w:val="single" w:color="auto" w:sz="4" w:space="0"/>
              <w:bottom w:val="single" w:color="auto" w:sz="4" w:space="0"/>
              <w:right w:val="single" w:color="auto" w:sz="4" w:space="0"/>
            </w:tcBorders>
            <w:vAlign w:val="center"/>
          </w:tcPr>
          <w:p>
            <w:pPr>
              <w:shd w:val="clear" w:color="auto" w:fill="FFFFFF"/>
              <w:spacing w:line="480" w:lineRule="exact"/>
              <w:jc w:val="center"/>
              <w:rPr>
                <w:rFonts w:ascii="宋体" w:hAnsi="宋体" w:cs="宋体"/>
              </w:rPr>
            </w:pPr>
            <w:r>
              <w:rPr>
                <w:rFonts w:hint="eastAsia" w:ascii="宋体" w:hAnsi="宋体" w:cs="宋体"/>
              </w:rPr>
              <w:t>服务周期</w:t>
            </w:r>
          </w:p>
        </w:tc>
        <w:tc>
          <w:tcPr>
            <w:tcW w:w="3298" w:type="dxa"/>
            <w:tcBorders>
              <w:top w:val="single" w:color="auto" w:sz="4" w:space="0"/>
              <w:left w:val="single" w:color="auto" w:sz="4" w:space="0"/>
              <w:bottom w:val="single" w:color="auto" w:sz="4" w:space="0"/>
              <w:right w:val="single" w:color="auto" w:sz="4" w:space="0"/>
            </w:tcBorders>
            <w:vAlign w:val="center"/>
          </w:tcPr>
          <w:p>
            <w:pPr>
              <w:shd w:val="clear" w:color="auto" w:fill="FFFFFF"/>
              <w:spacing w:line="480" w:lineRule="exact"/>
              <w:rPr>
                <w:rFonts w:ascii="宋体" w:hAnsi="宋体" w:cs="宋体"/>
              </w:rPr>
            </w:pPr>
            <w:r>
              <w:rPr>
                <w:rFonts w:hint="eastAsia" w:ascii="宋体" w:hAnsi="宋体" w:cs="宋体"/>
              </w:rPr>
              <w:t>是否满足招标文件要求</w:t>
            </w:r>
          </w:p>
        </w:tc>
        <w:tc>
          <w:tcPr>
            <w:tcW w:w="1080" w:type="dxa"/>
            <w:tcBorders>
              <w:top w:val="single" w:color="auto" w:sz="4" w:space="0"/>
              <w:left w:val="single" w:color="auto" w:sz="4" w:space="0"/>
              <w:bottom w:val="single" w:color="auto" w:sz="4" w:space="0"/>
              <w:right w:val="single" w:color="auto" w:sz="4" w:space="0"/>
            </w:tcBorders>
            <w:vAlign w:val="center"/>
          </w:tcPr>
          <w:p>
            <w:pPr>
              <w:shd w:val="clear" w:color="auto" w:fill="FFFFFF"/>
              <w:spacing w:line="480" w:lineRule="exact"/>
              <w:jc w:val="center"/>
              <w:rPr>
                <w:rFonts w:ascii="宋体" w:cs="Times New Roman"/>
                <w:b/>
                <w:bCs/>
              </w:rPr>
            </w:pPr>
            <w:r>
              <w:rPr>
                <w:rFonts w:ascii="宋体" w:cs="Times New Roman"/>
                <w:b/>
                <w:bCs/>
              </w:rPr>
              <w:t> </w:t>
            </w:r>
          </w:p>
        </w:tc>
        <w:tc>
          <w:tcPr>
            <w:tcW w:w="1080" w:type="dxa"/>
            <w:tcBorders>
              <w:top w:val="single" w:color="auto" w:sz="4" w:space="0"/>
              <w:left w:val="single" w:color="auto" w:sz="4" w:space="0"/>
              <w:bottom w:val="single" w:color="auto" w:sz="4" w:space="0"/>
              <w:right w:val="single" w:color="auto" w:sz="4" w:space="0"/>
            </w:tcBorders>
            <w:vAlign w:val="center"/>
          </w:tcPr>
          <w:p>
            <w:pPr>
              <w:shd w:val="clear" w:color="auto" w:fill="FFFFFF"/>
              <w:spacing w:line="480" w:lineRule="exact"/>
              <w:jc w:val="center"/>
              <w:rPr>
                <w:rFonts w:ascii="宋体" w:cs="Times New Roman"/>
                <w:b/>
                <w:bCs/>
              </w:rPr>
            </w:pPr>
            <w:r>
              <w:rPr>
                <w:rFonts w:ascii="宋体" w:cs="Times New Roman"/>
                <w:b/>
                <w:bCs/>
              </w:rPr>
              <w:t> </w:t>
            </w:r>
          </w:p>
        </w:tc>
        <w:tc>
          <w:tcPr>
            <w:tcW w:w="1080" w:type="dxa"/>
            <w:tcBorders>
              <w:top w:val="single" w:color="auto" w:sz="4" w:space="0"/>
              <w:left w:val="single" w:color="auto" w:sz="4" w:space="0"/>
              <w:bottom w:val="single" w:color="auto" w:sz="4" w:space="0"/>
            </w:tcBorders>
            <w:vAlign w:val="center"/>
          </w:tcPr>
          <w:p>
            <w:pPr>
              <w:shd w:val="clear" w:color="auto" w:fill="FFFFFF"/>
              <w:spacing w:line="480" w:lineRule="exact"/>
              <w:jc w:val="center"/>
              <w:rPr>
                <w:rFonts w:ascii="宋体" w:cs="Times New Roman"/>
                <w:b/>
                <w:bCs/>
              </w:rPr>
            </w:pPr>
            <w:r>
              <w:rPr>
                <w:rFonts w:ascii="宋体" w:cs="Times New Roman"/>
                <w:b/>
                <w:bCs/>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80" w:hRule="exact"/>
          <w:jc w:val="center"/>
        </w:trPr>
        <w:tc>
          <w:tcPr>
            <w:tcW w:w="5868" w:type="dxa"/>
            <w:gridSpan w:val="3"/>
            <w:tcBorders>
              <w:top w:val="single" w:color="auto" w:sz="4" w:space="0"/>
              <w:bottom w:val="single" w:color="auto" w:sz="4" w:space="0"/>
              <w:right w:val="single" w:color="auto" w:sz="4" w:space="0"/>
            </w:tcBorders>
            <w:vAlign w:val="center"/>
          </w:tcPr>
          <w:p>
            <w:pPr>
              <w:shd w:val="clear" w:color="auto" w:fill="FFFFFF"/>
              <w:spacing w:line="480" w:lineRule="exact"/>
              <w:jc w:val="center"/>
              <w:rPr>
                <w:rFonts w:ascii="宋体" w:cs="Times New Roman"/>
              </w:rPr>
            </w:pPr>
            <w:r>
              <w:rPr>
                <w:rFonts w:hint="eastAsia" w:ascii="宋体" w:hAnsi="宋体" w:cs="宋体"/>
                <w:b/>
                <w:bCs/>
              </w:rPr>
              <w:t>结论</w:t>
            </w:r>
          </w:p>
        </w:tc>
        <w:tc>
          <w:tcPr>
            <w:tcW w:w="1080" w:type="dxa"/>
            <w:tcBorders>
              <w:top w:val="single" w:color="auto" w:sz="4" w:space="0"/>
              <w:left w:val="single" w:color="auto" w:sz="4" w:space="0"/>
              <w:bottom w:val="single" w:color="auto" w:sz="4" w:space="0"/>
              <w:right w:val="single" w:color="auto" w:sz="4" w:space="0"/>
            </w:tcBorders>
            <w:vAlign w:val="center"/>
          </w:tcPr>
          <w:p>
            <w:pPr>
              <w:shd w:val="clear" w:color="auto" w:fill="FFFFFF"/>
              <w:spacing w:line="480" w:lineRule="exact"/>
              <w:jc w:val="center"/>
              <w:rPr>
                <w:rFonts w:ascii="宋体" w:cs="Times New Roman"/>
                <w:b/>
                <w:bCs/>
              </w:rPr>
            </w:pPr>
            <w:r>
              <w:rPr>
                <w:rFonts w:ascii="宋体" w:cs="Times New Roman"/>
                <w:b/>
                <w:bCs/>
              </w:rPr>
              <w:t> </w:t>
            </w:r>
          </w:p>
        </w:tc>
        <w:tc>
          <w:tcPr>
            <w:tcW w:w="1080" w:type="dxa"/>
            <w:tcBorders>
              <w:top w:val="single" w:color="auto" w:sz="4" w:space="0"/>
              <w:left w:val="single" w:color="auto" w:sz="4" w:space="0"/>
              <w:bottom w:val="single" w:color="auto" w:sz="4" w:space="0"/>
              <w:right w:val="single" w:color="auto" w:sz="4" w:space="0"/>
            </w:tcBorders>
            <w:vAlign w:val="center"/>
          </w:tcPr>
          <w:p>
            <w:pPr>
              <w:shd w:val="clear" w:color="auto" w:fill="FFFFFF"/>
              <w:spacing w:line="480" w:lineRule="exact"/>
              <w:jc w:val="center"/>
              <w:rPr>
                <w:rFonts w:ascii="宋体" w:cs="Times New Roman"/>
                <w:b/>
                <w:bCs/>
              </w:rPr>
            </w:pPr>
            <w:r>
              <w:rPr>
                <w:rFonts w:ascii="宋体" w:cs="Times New Roman"/>
                <w:b/>
                <w:bCs/>
              </w:rPr>
              <w:t> </w:t>
            </w:r>
          </w:p>
        </w:tc>
        <w:tc>
          <w:tcPr>
            <w:tcW w:w="1080" w:type="dxa"/>
            <w:tcBorders>
              <w:top w:val="single" w:color="auto" w:sz="4" w:space="0"/>
              <w:left w:val="single" w:color="auto" w:sz="4" w:space="0"/>
              <w:bottom w:val="single" w:color="auto" w:sz="4" w:space="0"/>
            </w:tcBorders>
            <w:vAlign w:val="center"/>
          </w:tcPr>
          <w:p>
            <w:pPr>
              <w:shd w:val="clear" w:color="auto" w:fill="FFFFFF"/>
              <w:spacing w:line="480" w:lineRule="exact"/>
              <w:jc w:val="center"/>
              <w:rPr>
                <w:rFonts w:ascii="宋体" w:cs="Times New Roman"/>
                <w:b/>
                <w:bCs/>
              </w:rPr>
            </w:pPr>
            <w:r>
              <w:rPr>
                <w:rFonts w:ascii="宋体" w:cs="Times New Roman"/>
                <w:b/>
                <w:bCs/>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80" w:hRule="exact"/>
          <w:jc w:val="center"/>
        </w:trPr>
        <w:tc>
          <w:tcPr>
            <w:tcW w:w="9108" w:type="dxa"/>
            <w:gridSpan w:val="6"/>
            <w:tcBorders>
              <w:top w:val="single" w:color="auto" w:sz="4" w:space="0"/>
              <w:bottom w:val="single" w:color="auto" w:sz="4" w:space="0"/>
            </w:tcBorders>
            <w:vAlign w:val="center"/>
          </w:tcPr>
          <w:p>
            <w:pPr>
              <w:shd w:val="clear" w:color="auto" w:fill="FFFFFF"/>
              <w:spacing w:line="480" w:lineRule="exact"/>
              <w:jc w:val="center"/>
              <w:rPr>
                <w:rFonts w:ascii="宋体" w:cs="Times New Roman"/>
                <w:b/>
                <w:bCs/>
              </w:rPr>
            </w:pPr>
            <w:r>
              <w:rPr>
                <w:rFonts w:hint="eastAsia" w:ascii="宋体" w:hAnsi="宋体" w:cs="宋体"/>
                <w:b/>
                <w:sz w:val="24"/>
              </w:rPr>
              <w:t>备注：经初步审查，投标人数量须不少于三家，否则项目招标失败。</w:t>
            </w:r>
          </w:p>
        </w:tc>
      </w:tr>
    </w:tbl>
    <w:p>
      <w:pPr>
        <w:shd w:val="clear" w:color="auto" w:fill="FFFFFF"/>
        <w:spacing w:line="360" w:lineRule="auto"/>
        <w:rPr>
          <w:rFonts w:ascii="宋体" w:cs="Times New Roman"/>
          <w:sz w:val="24"/>
          <w:szCs w:val="24"/>
        </w:rPr>
      </w:pPr>
    </w:p>
    <w:p>
      <w:pPr>
        <w:pStyle w:val="2"/>
        <w:numPr>
          <w:ilvl w:val="1"/>
          <w:numId w:val="0"/>
        </w:numPr>
      </w:pPr>
      <w:bookmarkStart w:id="205" w:name="_Toc500150959"/>
      <w:r>
        <w:rPr>
          <w:rFonts w:hint="eastAsia" w:ascii="宋体" w:cs="Times New Roman"/>
          <w:sz w:val="24"/>
          <w:szCs w:val="24"/>
        </w:rPr>
        <w:t>招标人：                                    招标代理机构：</w:t>
      </w:r>
      <w:bookmarkEnd w:id="205"/>
    </w:p>
    <w:p>
      <w:pPr>
        <w:spacing w:line="480" w:lineRule="exact"/>
        <w:ind w:firstLine="480" w:firstLineChars="200"/>
        <w:rPr>
          <w:rFonts w:ascii="宋体" w:cs="Times New Roman"/>
          <w:sz w:val="24"/>
          <w:szCs w:val="24"/>
        </w:rPr>
      </w:pPr>
      <w:r>
        <w:rPr>
          <w:rFonts w:ascii="宋体" w:hAnsi="宋体" w:cs="宋体"/>
          <w:sz w:val="24"/>
          <w:szCs w:val="24"/>
        </w:rPr>
        <w:t>1</w:t>
      </w:r>
      <w:r>
        <w:rPr>
          <w:rFonts w:hint="eastAsia" w:ascii="宋体" w:hAnsi="宋体" w:cs="宋体"/>
          <w:sz w:val="24"/>
          <w:szCs w:val="24"/>
        </w:rPr>
        <w:t>、在表中的各项只需填写“√</w:t>
      </w:r>
      <w:r>
        <w:rPr>
          <w:rFonts w:ascii="宋体" w:hAnsi="宋体" w:cs="宋体"/>
          <w:sz w:val="24"/>
          <w:szCs w:val="24"/>
        </w:rPr>
        <w:t>/</w:t>
      </w:r>
      <w:r>
        <w:rPr>
          <w:rFonts w:hint="eastAsia" w:ascii="宋体" w:hAnsi="宋体" w:cs="宋体"/>
          <w:sz w:val="24"/>
          <w:szCs w:val="24"/>
        </w:rPr>
        <w:t>通过”或“×</w:t>
      </w:r>
      <w:r>
        <w:rPr>
          <w:rFonts w:ascii="宋体" w:hAnsi="宋体" w:cs="宋体"/>
          <w:sz w:val="24"/>
          <w:szCs w:val="24"/>
        </w:rPr>
        <w:t>/</w:t>
      </w:r>
      <w:r>
        <w:rPr>
          <w:rFonts w:hint="eastAsia" w:ascii="宋体" w:hAnsi="宋体" w:cs="宋体"/>
          <w:sz w:val="24"/>
          <w:szCs w:val="24"/>
        </w:rPr>
        <w:t>不通过”。</w:t>
      </w:r>
    </w:p>
    <w:p>
      <w:pPr>
        <w:spacing w:line="480" w:lineRule="exact"/>
        <w:ind w:firstLine="480" w:firstLineChars="200"/>
        <w:rPr>
          <w:rFonts w:ascii="宋体" w:cs="Times New Roman"/>
          <w:sz w:val="24"/>
          <w:szCs w:val="24"/>
        </w:rPr>
      </w:pPr>
      <w:r>
        <w:rPr>
          <w:rFonts w:ascii="宋体" w:hAnsi="宋体" w:cs="宋体"/>
          <w:sz w:val="24"/>
          <w:szCs w:val="24"/>
        </w:rPr>
        <w:t>2</w:t>
      </w:r>
      <w:r>
        <w:rPr>
          <w:rFonts w:hint="eastAsia" w:ascii="宋体" w:hAnsi="宋体" w:cs="宋体"/>
          <w:sz w:val="24"/>
          <w:szCs w:val="24"/>
        </w:rPr>
        <w:t>、在结论中按“一项否决”的原则，只有全部是√</w:t>
      </w:r>
      <w:r>
        <w:rPr>
          <w:rFonts w:ascii="宋体" w:hAnsi="宋体" w:cs="宋体"/>
          <w:sz w:val="24"/>
          <w:szCs w:val="24"/>
        </w:rPr>
        <w:t>/</w:t>
      </w:r>
      <w:r>
        <w:rPr>
          <w:rFonts w:hint="eastAsia" w:ascii="宋体" w:hAnsi="宋体" w:cs="宋体"/>
          <w:sz w:val="24"/>
          <w:szCs w:val="24"/>
        </w:rPr>
        <w:t>通过的，填写“合格”；只要其中有一项是×</w:t>
      </w:r>
      <w:r>
        <w:rPr>
          <w:rFonts w:ascii="宋体" w:hAnsi="宋体" w:cs="宋体"/>
          <w:sz w:val="24"/>
          <w:szCs w:val="24"/>
        </w:rPr>
        <w:t>/</w:t>
      </w:r>
      <w:r>
        <w:rPr>
          <w:rFonts w:hint="eastAsia" w:ascii="宋体" w:hAnsi="宋体" w:cs="宋体"/>
          <w:sz w:val="24"/>
          <w:szCs w:val="24"/>
        </w:rPr>
        <w:t>不通过的，填写“不合格”。</w:t>
      </w:r>
    </w:p>
    <w:p>
      <w:pPr>
        <w:tabs>
          <w:tab w:val="left" w:pos="1030"/>
        </w:tabs>
        <w:spacing w:line="380" w:lineRule="exact"/>
        <w:ind w:firstLine="480" w:firstLineChars="200"/>
        <w:rPr>
          <w:rFonts w:ascii="宋体" w:cs="Times New Roman"/>
          <w:sz w:val="24"/>
          <w:szCs w:val="24"/>
        </w:rPr>
        <w:sectPr>
          <w:pgSz w:w="11907" w:h="16840"/>
          <w:pgMar w:top="1418" w:right="1134" w:bottom="1361" w:left="1134" w:header="794" w:footer="794" w:gutter="0"/>
          <w:cols w:space="720" w:num="1"/>
          <w:docGrid w:linePitch="285" w:charSpace="0"/>
        </w:sectPr>
      </w:pPr>
      <w:r>
        <w:rPr>
          <w:rFonts w:ascii="宋体" w:hAnsi="宋体" w:cs="宋体"/>
          <w:sz w:val="24"/>
          <w:szCs w:val="24"/>
        </w:rPr>
        <w:t>3</w:t>
      </w:r>
      <w:r>
        <w:rPr>
          <w:rFonts w:hint="eastAsia" w:ascii="宋体" w:hAnsi="宋体" w:cs="宋体"/>
          <w:sz w:val="24"/>
          <w:szCs w:val="24"/>
        </w:rPr>
        <w:t>、结论是合格的，才能进入下一轮；不合格的被淘汰。</w:t>
      </w:r>
    </w:p>
    <w:p>
      <w:pPr>
        <w:tabs>
          <w:tab w:val="left" w:pos="4680"/>
        </w:tabs>
        <w:snapToGrid w:val="0"/>
        <w:spacing w:line="360" w:lineRule="auto"/>
        <w:ind w:firstLine="562" w:firstLineChars="200"/>
        <w:jc w:val="center"/>
        <w:outlineLvl w:val="0"/>
        <w:rPr>
          <w:rFonts w:ascii="宋体" w:cs="Times New Roman"/>
          <w:b/>
          <w:bCs/>
          <w:sz w:val="28"/>
          <w:szCs w:val="28"/>
        </w:rPr>
      </w:pPr>
      <w:bookmarkStart w:id="206" w:name="_Toc500150960"/>
      <w:bookmarkStart w:id="207" w:name="_Toc14546"/>
      <w:r>
        <w:rPr>
          <w:rFonts w:hint="eastAsia" w:ascii="宋体" w:hAnsi="宋体" w:cs="宋体"/>
          <w:b/>
          <w:bCs/>
          <w:sz w:val="28"/>
          <w:szCs w:val="28"/>
        </w:rPr>
        <w:t>（二）符合性审查表</w:t>
      </w:r>
      <w:bookmarkEnd w:id="206"/>
    </w:p>
    <w:tbl>
      <w:tblPr>
        <w:tblStyle w:val="59"/>
        <w:tblW w:w="9108"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648"/>
        <w:gridCol w:w="1922"/>
        <w:gridCol w:w="3298"/>
        <w:gridCol w:w="1080"/>
        <w:gridCol w:w="1080"/>
        <w:gridCol w:w="108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75" w:hRule="atLeast"/>
          <w:jc w:val="center"/>
        </w:trPr>
        <w:tc>
          <w:tcPr>
            <w:tcW w:w="648" w:type="dxa"/>
            <w:tcBorders>
              <w:top w:val="single" w:color="auto" w:sz="4" w:space="0"/>
              <w:bottom w:val="single" w:color="auto" w:sz="4" w:space="0"/>
              <w:right w:val="single" w:color="auto" w:sz="4" w:space="0"/>
            </w:tcBorders>
            <w:vAlign w:val="center"/>
          </w:tcPr>
          <w:p>
            <w:pPr>
              <w:shd w:val="clear" w:color="auto" w:fill="FFFFFF"/>
              <w:spacing w:line="480" w:lineRule="exact"/>
              <w:jc w:val="center"/>
              <w:rPr>
                <w:rFonts w:ascii="宋体" w:cs="Times New Roman"/>
                <w:b/>
                <w:bCs/>
              </w:rPr>
            </w:pPr>
            <w:r>
              <w:rPr>
                <w:rFonts w:hint="eastAsia" w:ascii="宋体" w:hAnsi="宋体" w:cs="宋体"/>
                <w:b/>
                <w:bCs/>
              </w:rPr>
              <w:t>序号</w:t>
            </w:r>
          </w:p>
        </w:tc>
        <w:tc>
          <w:tcPr>
            <w:tcW w:w="1922" w:type="dxa"/>
            <w:tcBorders>
              <w:top w:val="single" w:color="auto" w:sz="4" w:space="0"/>
              <w:left w:val="single" w:color="auto" w:sz="4" w:space="0"/>
              <w:bottom w:val="single" w:color="auto" w:sz="4" w:space="0"/>
              <w:right w:val="single" w:color="auto" w:sz="4" w:space="0"/>
            </w:tcBorders>
            <w:vAlign w:val="center"/>
          </w:tcPr>
          <w:p>
            <w:pPr>
              <w:shd w:val="clear" w:color="auto" w:fill="FFFFFF"/>
              <w:spacing w:line="480" w:lineRule="exact"/>
              <w:jc w:val="center"/>
              <w:rPr>
                <w:rFonts w:ascii="宋体" w:cs="Times New Roman"/>
                <w:b/>
                <w:bCs/>
              </w:rPr>
            </w:pPr>
            <w:r>
              <w:rPr>
                <w:rFonts w:hint="eastAsia" w:ascii="宋体" w:hAnsi="宋体" w:cs="宋体"/>
                <w:b/>
                <w:bCs/>
              </w:rPr>
              <w:t>审查项目</w:t>
            </w:r>
          </w:p>
        </w:tc>
        <w:tc>
          <w:tcPr>
            <w:tcW w:w="3298" w:type="dxa"/>
            <w:tcBorders>
              <w:top w:val="single" w:color="auto" w:sz="4" w:space="0"/>
              <w:left w:val="single" w:color="auto" w:sz="4" w:space="0"/>
              <w:bottom w:val="single" w:color="auto" w:sz="4" w:space="0"/>
              <w:right w:val="single" w:color="auto" w:sz="4" w:space="0"/>
            </w:tcBorders>
            <w:vAlign w:val="center"/>
          </w:tcPr>
          <w:p>
            <w:pPr>
              <w:shd w:val="clear" w:color="auto" w:fill="FFFFFF"/>
              <w:spacing w:line="480" w:lineRule="exact"/>
              <w:jc w:val="center"/>
              <w:rPr>
                <w:rFonts w:ascii="宋体" w:cs="Times New Roman"/>
                <w:b/>
                <w:bCs/>
              </w:rPr>
            </w:pPr>
            <w:r>
              <w:rPr>
                <w:rFonts w:hint="eastAsia" w:ascii="宋体" w:hAnsi="宋体" w:cs="宋体"/>
                <w:b/>
                <w:bCs/>
              </w:rPr>
              <w:t>评议内容</w:t>
            </w:r>
          </w:p>
        </w:tc>
        <w:tc>
          <w:tcPr>
            <w:tcW w:w="1080" w:type="dxa"/>
            <w:tcBorders>
              <w:top w:val="single" w:color="auto" w:sz="4" w:space="0"/>
              <w:left w:val="single" w:color="auto" w:sz="4" w:space="0"/>
              <w:bottom w:val="single" w:color="auto" w:sz="4" w:space="0"/>
              <w:right w:val="single" w:color="auto" w:sz="4" w:space="0"/>
            </w:tcBorders>
            <w:vAlign w:val="center"/>
          </w:tcPr>
          <w:p>
            <w:pPr>
              <w:shd w:val="clear" w:color="auto" w:fill="FFFFFF"/>
              <w:snapToGrid w:val="0"/>
              <w:spacing w:line="360" w:lineRule="auto"/>
              <w:jc w:val="center"/>
              <w:rPr>
                <w:rFonts w:ascii="宋体" w:cs="Times New Roman"/>
                <w:b/>
                <w:bCs/>
              </w:rPr>
            </w:pPr>
            <w:r>
              <w:rPr>
                <w:rFonts w:hint="eastAsia" w:ascii="宋体" w:hAnsi="宋体" w:cs="宋体"/>
                <w:b/>
                <w:bCs/>
              </w:rPr>
              <w:t>投标人</w:t>
            </w:r>
            <w:r>
              <w:rPr>
                <w:rFonts w:ascii="宋体" w:hAnsi="宋体" w:cs="宋体"/>
                <w:b/>
                <w:bCs/>
              </w:rPr>
              <w:t>1</w:t>
            </w:r>
          </w:p>
        </w:tc>
        <w:tc>
          <w:tcPr>
            <w:tcW w:w="1080" w:type="dxa"/>
            <w:tcBorders>
              <w:top w:val="single" w:color="auto" w:sz="4" w:space="0"/>
              <w:left w:val="single" w:color="auto" w:sz="4" w:space="0"/>
              <w:bottom w:val="single" w:color="auto" w:sz="4" w:space="0"/>
              <w:right w:val="single" w:color="auto" w:sz="4" w:space="0"/>
            </w:tcBorders>
            <w:vAlign w:val="center"/>
          </w:tcPr>
          <w:p>
            <w:pPr>
              <w:shd w:val="clear" w:color="auto" w:fill="FFFFFF"/>
              <w:snapToGrid w:val="0"/>
              <w:spacing w:line="360" w:lineRule="auto"/>
              <w:jc w:val="center"/>
              <w:rPr>
                <w:rFonts w:ascii="宋体" w:cs="Times New Roman"/>
                <w:b/>
                <w:bCs/>
              </w:rPr>
            </w:pPr>
            <w:r>
              <w:rPr>
                <w:rFonts w:hint="eastAsia" w:ascii="宋体" w:hAnsi="宋体" w:cs="宋体"/>
                <w:b/>
                <w:bCs/>
              </w:rPr>
              <w:t>投标人</w:t>
            </w:r>
            <w:r>
              <w:rPr>
                <w:rFonts w:ascii="宋体" w:hAnsi="宋体" w:cs="宋体"/>
                <w:b/>
                <w:bCs/>
              </w:rPr>
              <w:t>2</w:t>
            </w:r>
          </w:p>
        </w:tc>
        <w:tc>
          <w:tcPr>
            <w:tcW w:w="1080" w:type="dxa"/>
            <w:tcBorders>
              <w:top w:val="single" w:color="auto" w:sz="4" w:space="0"/>
              <w:left w:val="single" w:color="auto" w:sz="4" w:space="0"/>
              <w:bottom w:val="single" w:color="auto" w:sz="4" w:space="0"/>
            </w:tcBorders>
            <w:vAlign w:val="center"/>
          </w:tcPr>
          <w:p>
            <w:pPr>
              <w:shd w:val="clear" w:color="auto" w:fill="FFFFFF"/>
              <w:snapToGrid w:val="0"/>
              <w:spacing w:line="360" w:lineRule="auto"/>
              <w:jc w:val="center"/>
              <w:rPr>
                <w:rFonts w:ascii="宋体" w:cs="Times New Roman"/>
                <w:b/>
                <w:bCs/>
              </w:rPr>
            </w:pPr>
            <w:r>
              <w:rPr>
                <w:rFonts w:hint="eastAsia" w:ascii="宋体" w:hAnsi="宋体" w:cs="宋体"/>
                <w:b/>
                <w:bCs/>
              </w:rPr>
              <w:t>投标人</w:t>
            </w:r>
            <w:r>
              <w:rPr>
                <w:rFonts w:ascii="宋体" w:hAnsi="宋体" w:cs="宋体"/>
                <w:b/>
                <w:bCs/>
              </w:rPr>
              <w:t>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857" w:hRule="exact"/>
          <w:jc w:val="center"/>
        </w:trPr>
        <w:tc>
          <w:tcPr>
            <w:tcW w:w="648" w:type="dxa"/>
            <w:tcBorders>
              <w:top w:val="single" w:color="auto" w:sz="4" w:space="0"/>
              <w:bottom w:val="single" w:color="auto" w:sz="4" w:space="0"/>
              <w:right w:val="single" w:color="auto" w:sz="4" w:space="0"/>
            </w:tcBorders>
            <w:vAlign w:val="center"/>
          </w:tcPr>
          <w:p>
            <w:pPr>
              <w:shd w:val="clear" w:color="auto" w:fill="FFFFFF"/>
              <w:spacing w:line="480" w:lineRule="exact"/>
              <w:jc w:val="center"/>
              <w:rPr>
                <w:rFonts w:ascii="宋体" w:hAnsi="宋体" w:cs="宋体"/>
              </w:rPr>
            </w:pPr>
            <w:r>
              <w:rPr>
                <w:rFonts w:ascii="宋体" w:hAnsi="宋体" w:cs="宋体"/>
              </w:rPr>
              <w:t>1</w:t>
            </w:r>
          </w:p>
        </w:tc>
        <w:tc>
          <w:tcPr>
            <w:tcW w:w="1922" w:type="dxa"/>
            <w:tcBorders>
              <w:top w:val="single" w:color="auto" w:sz="4" w:space="0"/>
              <w:left w:val="single" w:color="auto" w:sz="4" w:space="0"/>
              <w:bottom w:val="single" w:color="auto" w:sz="4" w:space="0"/>
              <w:right w:val="single" w:color="auto" w:sz="4" w:space="0"/>
            </w:tcBorders>
            <w:vAlign w:val="center"/>
          </w:tcPr>
          <w:p>
            <w:pPr>
              <w:shd w:val="clear" w:color="auto" w:fill="FFFFFF"/>
              <w:spacing w:line="480" w:lineRule="exact"/>
              <w:jc w:val="center"/>
              <w:rPr>
                <w:rFonts w:ascii="Tahoma" w:hAnsi="Tahoma" w:cs="宋体"/>
              </w:rPr>
            </w:pPr>
            <w:r>
              <w:rPr>
                <w:rFonts w:hint="eastAsia" w:ascii="Tahoma" w:hAnsi="Tahoma" w:cs="宋体"/>
              </w:rPr>
              <w:t>投标人</w:t>
            </w:r>
            <w:r>
              <w:rPr>
                <w:rFonts w:hint="eastAsia" w:ascii="宋体" w:hAnsi="宋体" w:cs="宋体"/>
              </w:rPr>
              <w:t>的资格</w:t>
            </w:r>
          </w:p>
        </w:tc>
        <w:tc>
          <w:tcPr>
            <w:tcW w:w="3298" w:type="dxa"/>
            <w:tcBorders>
              <w:top w:val="single" w:color="auto" w:sz="4" w:space="0"/>
              <w:left w:val="single" w:color="auto" w:sz="4" w:space="0"/>
              <w:bottom w:val="single" w:color="auto" w:sz="4" w:space="0"/>
              <w:right w:val="single" w:color="auto" w:sz="4" w:space="0"/>
            </w:tcBorders>
            <w:vAlign w:val="center"/>
          </w:tcPr>
          <w:p>
            <w:pPr>
              <w:shd w:val="clear" w:color="auto" w:fill="FFFFFF"/>
              <w:spacing w:line="480" w:lineRule="exact"/>
              <w:rPr>
                <w:rFonts w:ascii="Tahoma" w:hAnsi="Tahoma" w:cs="宋体"/>
              </w:rPr>
            </w:pPr>
            <w:r>
              <w:rPr>
                <w:rFonts w:hint="eastAsia" w:ascii="宋体" w:hAnsi="宋体" w:cs="宋体"/>
              </w:rPr>
              <w:t>是否符合投标</w:t>
            </w:r>
            <w:r>
              <w:rPr>
                <w:rFonts w:hint="eastAsia" w:ascii="Tahoma" w:hAnsi="Tahoma" w:cs="宋体"/>
              </w:rPr>
              <w:t>人</w:t>
            </w:r>
            <w:r>
              <w:rPr>
                <w:rFonts w:hint="eastAsia" w:ascii="宋体" w:hAnsi="宋体" w:cs="宋体"/>
              </w:rPr>
              <w:t>资格要求</w:t>
            </w:r>
          </w:p>
        </w:tc>
        <w:tc>
          <w:tcPr>
            <w:tcW w:w="1080" w:type="dxa"/>
            <w:tcBorders>
              <w:top w:val="single" w:color="auto" w:sz="4" w:space="0"/>
              <w:left w:val="single" w:color="auto" w:sz="4" w:space="0"/>
              <w:bottom w:val="single" w:color="auto" w:sz="4" w:space="0"/>
              <w:right w:val="single" w:color="auto" w:sz="4" w:space="0"/>
            </w:tcBorders>
            <w:vAlign w:val="center"/>
          </w:tcPr>
          <w:p>
            <w:pPr>
              <w:shd w:val="clear" w:color="auto" w:fill="FFFFFF"/>
              <w:spacing w:line="480" w:lineRule="exact"/>
              <w:jc w:val="center"/>
              <w:rPr>
                <w:rFonts w:ascii="宋体" w:cs="Times New Roman"/>
                <w:b/>
                <w:bCs/>
              </w:rPr>
            </w:pPr>
          </w:p>
        </w:tc>
        <w:tc>
          <w:tcPr>
            <w:tcW w:w="1080" w:type="dxa"/>
            <w:tcBorders>
              <w:top w:val="single" w:color="auto" w:sz="4" w:space="0"/>
              <w:left w:val="single" w:color="auto" w:sz="4" w:space="0"/>
              <w:bottom w:val="single" w:color="auto" w:sz="4" w:space="0"/>
              <w:right w:val="single" w:color="auto" w:sz="4" w:space="0"/>
            </w:tcBorders>
            <w:vAlign w:val="center"/>
          </w:tcPr>
          <w:p>
            <w:pPr>
              <w:shd w:val="clear" w:color="auto" w:fill="FFFFFF"/>
              <w:spacing w:line="480" w:lineRule="exact"/>
              <w:jc w:val="center"/>
              <w:rPr>
                <w:rFonts w:ascii="宋体" w:cs="Times New Roman"/>
                <w:b/>
                <w:bCs/>
              </w:rPr>
            </w:pPr>
          </w:p>
        </w:tc>
        <w:tc>
          <w:tcPr>
            <w:tcW w:w="1080" w:type="dxa"/>
            <w:tcBorders>
              <w:top w:val="single" w:color="auto" w:sz="4" w:space="0"/>
              <w:left w:val="single" w:color="auto" w:sz="4" w:space="0"/>
              <w:bottom w:val="single" w:color="auto" w:sz="4" w:space="0"/>
            </w:tcBorders>
            <w:vAlign w:val="center"/>
          </w:tcPr>
          <w:p>
            <w:pPr>
              <w:shd w:val="clear" w:color="auto" w:fill="FFFFFF"/>
              <w:spacing w:line="480" w:lineRule="exact"/>
              <w:jc w:val="center"/>
              <w:rPr>
                <w:rFonts w:ascii="宋体" w:cs="Times New Roman"/>
                <w:b/>
                <w:bCs/>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857" w:hRule="exact"/>
          <w:jc w:val="center"/>
        </w:trPr>
        <w:tc>
          <w:tcPr>
            <w:tcW w:w="648" w:type="dxa"/>
            <w:tcBorders>
              <w:top w:val="single" w:color="auto" w:sz="4" w:space="0"/>
              <w:bottom w:val="single" w:color="auto" w:sz="4" w:space="0"/>
              <w:right w:val="single" w:color="auto" w:sz="4" w:space="0"/>
            </w:tcBorders>
            <w:vAlign w:val="center"/>
          </w:tcPr>
          <w:p>
            <w:pPr>
              <w:shd w:val="clear" w:color="auto" w:fill="FFFFFF"/>
              <w:spacing w:line="480" w:lineRule="exact"/>
              <w:jc w:val="center"/>
              <w:rPr>
                <w:rFonts w:ascii="宋体" w:hAnsi="宋体" w:cs="宋体"/>
              </w:rPr>
            </w:pPr>
            <w:r>
              <w:rPr>
                <w:rFonts w:hint="eastAsia" w:ascii="宋体" w:hAnsi="宋体" w:cs="宋体"/>
              </w:rPr>
              <w:t>2</w:t>
            </w:r>
          </w:p>
        </w:tc>
        <w:tc>
          <w:tcPr>
            <w:tcW w:w="1922"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Tahoma" w:hAnsi="Tahoma" w:cs="宋体"/>
              </w:rPr>
            </w:pPr>
            <w:r>
              <w:rPr>
                <w:rFonts w:hint="eastAsia" w:ascii="Tahoma" w:hAnsi="Tahoma" w:cs="宋体"/>
              </w:rPr>
              <w:t>投标文件的有效性、完整性</w:t>
            </w:r>
          </w:p>
        </w:tc>
        <w:tc>
          <w:tcPr>
            <w:tcW w:w="3298" w:type="dxa"/>
            <w:tcBorders>
              <w:top w:val="single" w:color="auto" w:sz="4" w:space="0"/>
              <w:left w:val="single" w:color="auto" w:sz="4" w:space="0"/>
              <w:bottom w:val="single" w:color="auto" w:sz="4" w:space="0"/>
              <w:right w:val="single" w:color="auto" w:sz="4" w:space="0"/>
            </w:tcBorders>
            <w:vAlign w:val="center"/>
          </w:tcPr>
          <w:p>
            <w:pPr>
              <w:spacing w:line="276" w:lineRule="auto"/>
              <w:jc w:val="left"/>
              <w:rPr>
                <w:rFonts w:ascii="Tahoma" w:hAnsi="Tahoma" w:cs="宋体"/>
              </w:rPr>
            </w:pPr>
            <w:r>
              <w:rPr>
                <w:rFonts w:hint="eastAsia" w:ascii="Tahoma" w:hAnsi="Tahoma" w:cs="宋体"/>
              </w:rPr>
              <w:t>是否符合招标文件的式样和签署要求且内容完整无缺漏</w:t>
            </w:r>
          </w:p>
        </w:tc>
        <w:tc>
          <w:tcPr>
            <w:tcW w:w="1080" w:type="dxa"/>
            <w:tcBorders>
              <w:top w:val="single" w:color="auto" w:sz="4" w:space="0"/>
              <w:left w:val="single" w:color="auto" w:sz="4" w:space="0"/>
              <w:bottom w:val="single" w:color="auto" w:sz="4" w:space="0"/>
              <w:right w:val="single" w:color="auto" w:sz="4" w:space="0"/>
            </w:tcBorders>
            <w:vAlign w:val="center"/>
          </w:tcPr>
          <w:p>
            <w:pPr>
              <w:shd w:val="clear" w:color="auto" w:fill="FFFFFF"/>
              <w:spacing w:line="480" w:lineRule="exact"/>
              <w:jc w:val="center"/>
              <w:rPr>
                <w:rFonts w:ascii="宋体" w:cs="Times New Roman"/>
                <w:b/>
                <w:bCs/>
              </w:rPr>
            </w:pPr>
          </w:p>
        </w:tc>
        <w:tc>
          <w:tcPr>
            <w:tcW w:w="1080" w:type="dxa"/>
            <w:tcBorders>
              <w:top w:val="single" w:color="auto" w:sz="4" w:space="0"/>
              <w:left w:val="single" w:color="auto" w:sz="4" w:space="0"/>
              <w:bottom w:val="single" w:color="auto" w:sz="4" w:space="0"/>
              <w:right w:val="single" w:color="auto" w:sz="4" w:space="0"/>
            </w:tcBorders>
            <w:vAlign w:val="center"/>
          </w:tcPr>
          <w:p>
            <w:pPr>
              <w:shd w:val="clear" w:color="auto" w:fill="FFFFFF"/>
              <w:spacing w:line="480" w:lineRule="exact"/>
              <w:jc w:val="center"/>
              <w:rPr>
                <w:rFonts w:ascii="宋体" w:cs="Times New Roman"/>
                <w:b/>
                <w:bCs/>
              </w:rPr>
            </w:pPr>
          </w:p>
        </w:tc>
        <w:tc>
          <w:tcPr>
            <w:tcW w:w="1080" w:type="dxa"/>
            <w:tcBorders>
              <w:top w:val="single" w:color="auto" w:sz="4" w:space="0"/>
              <w:left w:val="single" w:color="auto" w:sz="4" w:space="0"/>
              <w:bottom w:val="single" w:color="auto" w:sz="4" w:space="0"/>
            </w:tcBorders>
            <w:vAlign w:val="center"/>
          </w:tcPr>
          <w:p>
            <w:pPr>
              <w:shd w:val="clear" w:color="auto" w:fill="FFFFFF"/>
              <w:spacing w:line="480" w:lineRule="exact"/>
              <w:jc w:val="center"/>
              <w:rPr>
                <w:rFonts w:ascii="宋体" w:cs="Times New Roman"/>
                <w:b/>
                <w:bCs/>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855" w:hRule="exact"/>
          <w:jc w:val="center"/>
        </w:trPr>
        <w:tc>
          <w:tcPr>
            <w:tcW w:w="648" w:type="dxa"/>
            <w:tcBorders>
              <w:top w:val="single" w:color="auto" w:sz="4" w:space="0"/>
              <w:bottom w:val="single" w:color="auto" w:sz="4" w:space="0"/>
              <w:right w:val="single" w:color="auto" w:sz="4" w:space="0"/>
            </w:tcBorders>
            <w:vAlign w:val="center"/>
          </w:tcPr>
          <w:p>
            <w:pPr>
              <w:shd w:val="clear" w:color="auto" w:fill="FFFFFF"/>
              <w:spacing w:line="480" w:lineRule="exact"/>
              <w:jc w:val="center"/>
              <w:rPr>
                <w:rFonts w:ascii="宋体" w:cs="Times New Roman"/>
              </w:rPr>
            </w:pPr>
            <w:r>
              <w:rPr>
                <w:rFonts w:hint="eastAsia" w:ascii="宋体" w:hAnsi="宋体" w:cs="宋体"/>
              </w:rPr>
              <w:t>3</w:t>
            </w:r>
          </w:p>
        </w:tc>
        <w:tc>
          <w:tcPr>
            <w:tcW w:w="1922"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Tahoma" w:hAnsi="Tahoma" w:cs="Tahoma"/>
              </w:rPr>
            </w:pPr>
            <w:r>
              <w:rPr>
                <w:rFonts w:hint="eastAsia" w:ascii="Tahoma" w:hAnsi="Tahoma" w:cs="宋体"/>
              </w:rPr>
              <w:t>报价项目完整性</w:t>
            </w:r>
          </w:p>
        </w:tc>
        <w:tc>
          <w:tcPr>
            <w:tcW w:w="3298" w:type="dxa"/>
            <w:tcBorders>
              <w:top w:val="single" w:color="auto" w:sz="4" w:space="0"/>
              <w:left w:val="single" w:color="auto" w:sz="4" w:space="0"/>
              <w:bottom w:val="single" w:color="auto" w:sz="4" w:space="0"/>
              <w:right w:val="single" w:color="auto" w:sz="4" w:space="0"/>
            </w:tcBorders>
            <w:vAlign w:val="center"/>
          </w:tcPr>
          <w:p>
            <w:pPr>
              <w:spacing w:line="276" w:lineRule="auto"/>
              <w:jc w:val="left"/>
              <w:rPr>
                <w:rFonts w:ascii="Tahoma" w:hAnsi="Tahoma" w:cs="Tahoma"/>
              </w:rPr>
            </w:pPr>
            <w:r>
              <w:rPr>
                <w:rFonts w:hint="eastAsia" w:ascii="Tahoma" w:hAnsi="Tahoma" w:cs="宋体"/>
              </w:rPr>
              <w:t>是否对本项目内所有的内容进行投标，漏报其投标将被拒绝</w:t>
            </w:r>
          </w:p>
        </w:tc>
        <w:tc>
          <w:tcPr>
            <w:tcW w:w="1080" w:type="dxa"/>
            <w:tcBorders>
              <w:top w:val="single" w:color="auto" w:sz="4" w:space="0"/>
              <w:left w:val="single" w:color="auto" w:sz="4" w:space="0"/>
              <w:bottom w:val="single" w:color="auto" w:sz="4" w:space="0"/>
              <w:right w:val="single" w:color="auto" w:sz="4" w:space="0"/>
            </w:tcBorders>
            <w:vAlign w:val="center"/>
          </w:tcPr>
          <w:p>
            <w:pPr>
              <w:shd w:val="clear" w:color="auto" w:fill="FFFFFF"/>
              <w:spacing w:line="480" w:lineRule="exact"/>
              <w:jc w:val="center"/>
              <w:rPr>
                <w:rFonts w:ascii="宋体" w:cs="Times New Roman"/>
                <w:b/>
                <w:bCs/>
              </w:rPr>
            </w:pPr>
          </w:p>
        </w:tc>
        <w:tc>
          <w:tcPr>
            <w:tcW w:w="1080" w:type="dxa"/>
            <w:tcBorders>
              <w:top w:val="single" w:color="auto" w:sz="4" w:space="0"/>
              <w:left w:val="single" w:color="auto" w:sz="4" w:space="0"/>
              <w:bottom w:val="single" w:color="auto" w:sz="4" w:space="0"/>
              <w:right w:val="single" w:color="auto" w:sz="4" w:space="0"/>
            </w:tcBorders>
            <w:vAlign w:val="center"/>
          </w:tcPr>
          <w:p>
            <w:pPr>
              <w:shd w:val="clear" w:color="auto" w:fill="FFFFFF"/>
              <w:spacing w:line="480" w:lineRule="exact"/>
              <w:jc w:val="center"/>
              <w:rPr>
                <w:rFonts w:ascii="宋体" w:cs="Times New Roman"/>
                <w:b/>
                <w:bCs/>
              </w:rPr>
            </w:pPr>
          </w:p>
        </w:tc>
        <w:tc>
          <w:tcPr>
            <w:tcW w:w="1080" w:type="dxa"/>
            <w:tcBorders>
              <w:top w:val="single" w:color="auto" w:sz="4" w:space="0"/>
              <w:left w:val="single" w:color="auto" w:sz="4" w:space="0"/>
              <w:bottom w:val="single" w:color="auto" w:sz="4" w:space="0"/>
            </w:tcBorders>
            <w:vAlign w:val="center"/>
          </w:tcPr>
          <w:p>
            <w:pPr>
              <w:shd w:val="clear" w:color="auto" w:fill="FFFFFF"/>
              <w:spacing w:line="480" w:lineRule="exact"/>
              <w:jc w:val="center"/>
              <w:rPr>
                <w:rFonts w:ascii="宋体" w:cs="Times New Roman"/>
                <w:b/>
                <w:bCs/>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80" w:hRule="exact"/>
          <w:jc w:val="center"/>
        </w:trPr>
        <w:tc>
          <w:tcPr>
            <w:tcW w:w="5868" w:type="dxa"/>
            <w:gridSpan w:val="3"/>
            <w:tcBorders>
              <w:top w:val="single" w:color="auto" w:sz="4" w:space="0"/>
              <w:bottom w:val="single" w:color="auto" w:sz="4" w:space="0"/>
              <w:right w:val="single" w:color="auto" w:sz="4" w:space="0"/>
            </w:tcBorders>
            <w:vAlign w:val="center"/>
          </w:tcPr>
          <w:p>
            <w:pPr>
              <w:shd w:val="clear" w:color="auto" w:fill="FFFFFF"/>
              <w:spacing w:line="480" w:lineRule="exact"/>
              <w:jc w:val="center"/>
              <w:rPr>
                <w:rFonts w:ascii="宋体" w:cs="Times New Roman"/>
              </w:rPr>
            </w:pPr>
            <w:bookmarkStart w:id="239" w:name="_GoBack"/>
            <w:bookmarkEnd w:id="239"/>
            <w:r>
              <w:rPr>
                <w:rFonts w:hint="eastAsia" w:ascii="宋体" w:hAnsi="宋体" w:cs="宋体"/>
                <w:b/>
                <w:bCs/>
              </w:rPr>
              <w:t>结论</w:t>
            </w:r>
          </w:p>
        </w:tc>
        <w:tc>
          <w:tcPr>
            <w:tcW w:w="1080" w:type="dxa"/>
            <w:tcBorders>
              <w:top w:val="single" w:color="auto" w:sz="4" w:space="0"/>
              <w:left w:val="single" w:color="auto" w:sz="4" w:space="0"/>
              <w:bottom w:val="single" w:color="auto" w:sz="4" w:space="0"/>
              <w:right w:val="single" w:color="auto" w:sz="4" w:space="0"/>
            </w:tcBorders>
            <w:vAlign w:val="center"/>
          </w:tcPr>
          <w:p>
            <w:pPr>
              <w:shd w:val="clear" w:color="auto" w:fill="FFFFFF"/>
              <w:spacing w:line="480" w:lineRule="exact"/>
              <w:jc w:val="center"/>
              <w:rPr>
                <w:rFonts w:ascii="宋体" w:cs="Times New Roman"/>
                <w:b/>
                <w:bCs/>
              </w:rPr>
            </w:pPr>
            <w:r>
              <w:rPr>
                <w:rFonts w:ascii="宋体" w:cs="Times New Roman"/>
                <w:b/>
                <w:bCs/>
              </w:rPr>
              <w:t> </w:t>
            </w:r>
          </w:p>
        </w:tc>
        <w:tc>
          <w:tcPr>
            <w:tcW w:w="1080" w:type="dxa"/>
            <w:tcBorders>
              <w:top w:val="single" w:color="auto" w:sz="4" w:space="0"/>
              <w:left w:val="single" w:color="auto" w:sz="4" w:space="0"/>
              <w:bottom w:val="single" w:color="auto" w:sz="4" w:space="0"/>
              <w:right w:val="single" w:color="auto" w:sz="4" w:space="0"/>
            </w:tcBorders>
            <w:vAlign w:val="center"/>
          </w:tcPr>
          <w:p>
            <w:pPr>
              <w:shd w:val="clear" w:color="auto" w:fill="FFFFFF"/>
              <w:spacing w:line="480" w:lineRule="exact"/>
              <w:jc w:val="center"/>
              <w:rPr>
                <w:rFonts w:ascii="宋体" w:cs="Times New Roman"/>
                <w:b/>
                <w:bCs/>
              </w:rPr>
            </w:pPr>
            <w:r>
              <w:rPr>
                <w:rFonts w:ascii="宋体" w:cs="Times New Roman"/>
                <w:b/>
                <w:bCs/>
              </w:rPr>
              <w:t> </w:t>
            </w:r>
          </w:p>
        </w:tc>
        <w:tc>
          <w:tcPr>
            <w:tcW w:w="1080" w:type="dxa"/>
            <w:tcBorders>
              <w:top w:val="single" w:color="auto" w:sz="4" w:space="0"/>
              <w:left w:val="single" w:color="auto" w:sz="4" w:space="0"/>
              <w:bottom w:val="single" w:color="auto" w:sz="4" w:space="0"/>
            </w:tcBorders>
            <w:vAlign w:val="center"/>
          </w:tcPr>
          <w:p>
            <w:pPr>
              <w:shd w:val="clear" w:color="auto" w:fill="FFFFFF"/>
              <w:spacing w:line="480" w:lineRule="exact"/>
              <w:jc w:val="center"/>
              <w:rPr>
                <w:rFonts w:ascii="宋体" w:cs="Times New Roman"/>
                <w:b/>
                <w:bCs/>
              </w:rPr>
            </w:pPr>
            <w:r>
              <w:rPr>
                <w:rFonts w:ascii="宋体" w:cs="Times New Roman"/>
                <w:b/>
                <w:bCs/>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80" w:hRule="exact"/>
          <w:jc w:val="center"/>
        </w:trPr>
        <w:tc>
          <w:tcPr>
            <w:tcW w:w="9108" w:type="dxa"/>
            <w:gridSpan w:val="6"/>
            <w:tcBorders>
              <w:top w:val="single" w:color="auto" w:sz="4" w:space="0"/>
              <w:bottom w:val="single" w:color="auto" w:sz="4" w:space="0"/>
            </w:tcBorders>
            <w:vAlign w:val="center"/>
          </w:tcPr>
          <w:p>
            <w:pPr>
              <w:shd w:val="clear" w:color="auto" w:fill="FFFFFF"/>
              <w:spacing w:line="480" w:lineRule="exact"/>
              <w:jc w:val="center"/>
              <w:rPr>
                <w:rFonts w:ascii="宋体" w:cs="Times New Roman"/>
                <w:b/>
                <w:bCs/>
              </w:rPr>
            </w:pPr>
            <w:r>
              <w:rPr>
                <w:rFonts w:hint="eastAsia" w:ascii="宋体" w:hAnsi="宋体" w:cs="宋体"/>
                <w:b/>
                <w:sz w:val="24"/>
              </w:rPr>
              <w:t>备注：经符合性审查，投标人数量须不少于三家，否则项目招标失败。</w:t>
            </w:r>
          </w:p>
        </w:tc>
      </w:tr>
    </w:tbl>
    <w:p>
      <w:pPr>
        <w:shd w:val="clear" w:color="auto" w:fill="FFFFFF"/>
        <w:spacing w:line="360" w:lineRule="auto"/>
        <w:rPr>
          <w:rFonts w:ascii="宋体" w:cs="Times New Roman"/>
          <w:sz w:val="24"/>
          <w:szCs w:val="24"/>
        </w:rPr>
      </w:pPr>
    </w:p>
    <w:p>
      <w:pPr>
        <w:pStyle w:val="2"/>
        <w:numPr>
          <w:ilvl w:val="1"/>
          <w:numId w:val="0"/>
        </w:numPr>
      </w:pPr>
      <w:bookmarkStart w:id="208" w:name="_Toc500150961"/>
      <w:r>
        <w:rPr>
          <w:rFonts w:hint="eastAsia" w:ascii="宋体" w:cs="Times New Roman"/>
          <w:sz w:val="24"/>
          <w:szCs w:val="24"/>
        </w:rPr>
        <w:t>评委签字：</w:t>
      </w:r>
      <w:bookmarkEnd w:id="208"/>
    </w:p>
    <w:p>
      <w:pPr>
        <w:spacing w:line="480" w:lineRule="exact"/>
        <w:ind w:firstLine="480" w:firstLineChars="200"/>
        <w:rPr>
          <w:rFonts w:ascii="宋体" w:cs="Times New Roman"/>
          <w:sz w:val="24"/>
          <w:szCs w:val="24"/>
        </w:rPr>
      </w:pPr>
      <w:r>
        <w:rPr>
          <w:rFonts w:ascii="宋体" w:hAnsi="宋体" w:cs="宋体"/>
          <w:sz w:val="24"/>
          <w:szCs w:val="24"/>
        </w:rPr>
        <w:t>1</w:t>
      </w:r>
      <w:r>
        <w:rPr>
          <w:rFonts w:hint="eastAsia" w:ascii="宋体" w:hAnsi="宋体" w:cs="宋体"/>
          <w:sz w:val="24"/>
          <w:szCs w:val="24"/>
        </w:rPr>
        <w:t>、在表中的各项只需填写“√</w:t>
      </w:r>
      <w:r>
        <w:rPr>
          <w:rFonts w:ascii="宋体" w:hAnsi="宋体" w:cs="宋体"/>
          <w:sz w:val="24"/>
          <w:szCs w:val="24"/>
        </w:rPr>
        <w:t>/</w:t>
      </w:r>
      <w:r>
        <w:rPr>
          <w:rFonts w:hint="eastAsia" w:ascii="宋体" w:hAnsi="宋体" w:cs="宋体"/>
          <w:sz w:val="24"/>
          <w:szCs w:val="24"/>
        </w:rPr>
        <w:t>通过”或“×</w:t>
      </w:r>
      <w:r>
        <w:rPr>
          <w:rFonts w:ascii="宋体" w:hAnsi="宋体" w:cs="宋体"/>
          <w:sz w:val="24"/>
          <w:szCs w:val="24"/>
        </w:rPr>
        <w:t>/</w:t>
      </w:r>
      <w:r>
        <w:rPr>
          <w:rFonts w:hint="eastAsia" w:ascii="宋体" w:hAnsi="宋体" w:cs="宋体"/>
          <w:sz w:val="24"/>
          <w:szCs w:val="24"/>
        </w:rPr>
        <w:t>不通过”。</w:t>
      </w:r>
    </w:p>
    <w:p>
      <w:pPr>
        <w:spacing w:line="480" w:lineRule="exact"/>
        <w:ind w:firstLine="480" w:firstLineChars="200"/>
        <w:rPr>
          <w:rFonts w:ascii="宋体" w:cs="Times New Roman"/>
          <w:sz w:val="24"/>
          <w:szCs w:val="24"/>
        </w:rPr>
      </w:pPr>
      <w:r>
        <w:rPr>
          <w:rFonts w:ascii="宋体" w:hAnsi="宋体" w:cs="宋体"/>
          <w:sz w:val="24"/>
          <w:szCs w:val="24"/>
        </w:rPr>
        <w:t>2</w:t>
      </w:r>
      <w:r>
        <w:rPr>
          <w:rFonts w:hint="eastAsia" w:ascii="宋体" w:hAnsi="宋体" w:cs="宋体"/>
          <w:sz w:val="24"/>
          <w:szCs w:val="24"/>
        </w:rPr>
        <w:t>、在结论中按“一项否决”的原则，只有全部是√</w:t>
      </w:r>
      <w:r>
        <w:rPr>
          <w:rFonts w:ascii="宋体" w:hAnsi="宋体" w:cs="宋体"/>
          <w:sz w:val="24"/>
          <w:szCs w:val="24"/>
        </w:rPr>
        <w:t>/</w:t>
      </w:r>
      <w:r>
        <w:rPr>
          <w:rFonts w:hint="eastAsia" w:ascii="宋体" w:hAnsi="宋体" w:cs="宋体"/>
          <w:sz w:val="24"/>
          <w:szCs w:val="24"/>
        </w:rPr>
        <w:t>通过的，填写“合格”；只要其中有一项是×</w:t>
      </w:r>
      <w:r>
        <w:rPr>
          <w:rFonts w:ascii="宋体" w:hAnsi="宋体" w:cs="宋体"/>
          <w:sz w:val="24"/>
          <w:szCs w:val="24"/>
        </w:rPr>
        <w:t>/</w:t>
      </w:r>
      <w:r>
        <w:rPr>
          <w:rFonts w:hint="eastAsia" w:ascii="宋体" w:hAnsi="宋体" w:cs="宋体"/>
          <w:sz w:val="24"/>
          <w:szCs w:val="24"/>
        </w:rPr>
        <w:t>不通过的，填写“不合格”。</w:t>
      </w:r>
    </w:p>
    <w:p>
      <w:pPr>
        <w:tabs>
          <w:tab w:val="left" w:pos="1030"/>
        </w:tabs>
        <w:spacing w:line="380" w:lineRule="exact"/>
        <w:ind w:firstLine="480" w:firstLineChars="200"/>
        <w:rPr>
          <w:rFonts w:ascii="宋体" w:cs="Times New Roman"/>
          <w:sz w:val="24"/>
          <w:szCs w:val="24"/>
        </w:rPr>
        <w:sectPr>
          <w:pgSz w:w="11907" w:h="16840"/>
          <w:pgMar w:top="1418" w:right="1134" w:bottom="1361" w:left="1134" w:header="794" w:footer="794" w:gutter="0"/>
          <w:cols w:space="720" w:num="1"/>
          <w:docGrid w:linePitch="285" w:charSpace="0"/>
        </w:sectPr>
      </w:pPr>
      <w:r>
        <w:rPr>
          <w:rFonts w:ascii="宋体" w:hAnsi="宋体" w:cs="宋体"/>
          <w:sz w:val="24"/>
          <w:szCs w:val="24"/>
        </w:rPr>
        <w:t>3</w:t>
      </w:r>
      <w:r>
        <w:rPr>
          <w:rFonts w:hint="eastAsia" w:ascii="宋体" w:hAnsi="宋体" w:cs="宋体"/>
          <w:sz w:val="24"/>
          <w:szCs w:val="24"/>
        </w:rPr>
        <w:t>、结论是合格的，才能进入下一轮；不合格的被淘汰。</w:t>
      </w:r>
    </w:p>
    <w:p>
      <w:pPr>
        <w:jc w:val="center"/>
        <w:rPr>
          <w:rFonts w:ascii="宋体" w:hAnsi="宋体" w:cs="宋体"/>
          <w:b/>
          <w:sz w:val="36"/>
          <w:szCs w:val="36"/>
        </w:rPr>
      </w:pPr>
      <w:r>
        <w:rPr>
          <w:rFonts w:hint="eastAsia" w:ascii="宋体" w:hAnsi="宋体" w:cs="宋体"/>
          <w:b/>
          <w:sz w:val="36"/>
          <w:szCs w:val="36"/>
        </w:rPr>
        <w:t>（三）评分标准</w:t>
      </w:r>
    </w:p>
    <w:p>
      <w:pPr>
        <w:spacing w:line="480" w:lineRule="exact"/>
        <w:ind w:firstLine="484" w:firstLineChars="202"/>
        <w:rPr>
          <w:rFonts w:ascii="宋体" w:hAnsi="宋体" w:cs="宋体"/>
          <w:sz w:val="24"/>
        </w:rPr>
      </w:pPr>
      <w:r>
        <w:rPr>
          <w:rFonts w:hint="eastAsia" w:ascii="宋体" w:hAnsi="宋体" w:cs="宋体"/>
          <w:sz w:val="24"/>
        </w:rPr>
        <w:t>本招标项目的评标办法采用综合评分法。满分为100分，其中：价格分30分，商务分35分，技术分35分。综合得分最高者为第一中标候选人。</w:t>
      </w:r>
    </w:p>
    <w:p>
      <w:pPr>
        <w:spacing w:line="480" w:lineRule="exact"/>
        <w:ind w:firstLine="482" w:firstLineChars="200"/>
        <w:outlineLvl w:val="1"/>
        <w:rPr>
          <w:rFonts w:ascii="宋体" w:hAnsi="宋体" w:cs="宋体"/>
          <w:b/>
          <w:bCs/>
          <w:sz w:val="24"/>
        </w:rPr>
      </w:pPr>
      <w:bookmarkStart w:id="209" w:name="_Toc500150962"/>
      <w:r>
        <w:rPr>
          <w:rFonts w:hint="eastAsia" w:ascii="宋体" w:hAnsi="宋体" w:cs="宋体"/>
          <w:b/>
          <w:bCs/>
          <w:sz w:val="24"/>
        </w:rPr>
        <w:t>一、价格优惠资格说明</w:t>
      </w:r>
      <w:bookmarkEnd w:id="209"/>
    </w:p>
    <w:p>
      <w:pPr>
        <w:spacing w:line="480" w:lineRule="exact"/>
        <w:ind w:firstLine="480" w:firstLineChars="200"/>
        <w:outlineLvl w:val="1"/>
        <w:rPr>
          <w:rFonts w:ascii="宋体" w:hAnsi="宋体"/>
          <w:sz w:val="24"/>
        </w:rPr>
      </w:pPr>
      <w:r>
        <w:rPr>
          <w:rFonts w:hint="eastAsia" w:ascii="宋体" w:hAnsi="宋体"/>
          <w:sz w:val="24"/>
        </w:rPr>
        <w:t xml:space="preserve">1、所投分包(如不分包则指本项目)的所有投标产品进入当期节能清单的，按2%的优惠折算后计算投标报价得分。投标人所投产品满足此规定的，必须与《唱标表》一并提供声明函及相关证明文件。 </w:t>
      </w:r>
    </w:p>
    <w:p>
      <w:pPr>
        <w:spacing w:line="480" w:lineRule="exact"/>
        <w:ind w:firstLine="480" w:firstLineChars="200"/>
        <w:outlineLvl w:val="1"/>
        <w:rPr>
          <w:rFonts w:ascii="宋体" w:hAnsi="宋体"/>
          <w:sz w:val="24"/>
        </w:rPr>
      </w:pPr>
      <w:r>
        <w:rPr>
          <w:rFonts w:hint="eastAsia" w:ascii="宋体" w:hAnsi="宋体"/>
          <w:sz w:val="24"/>
        </w:rPr>
        <w:t xml:space="preserve">2、所投分包(如不分包则指本项目)的所有投标产品进入当期环保清单的，按1%的优惠折算后计算投标报价得分。投标人所投产品满足此规定的，必须与《唱标表》一并提供声明函及相关证明文件。 </w:t>
      </w:r>
    </w:p>
    <w:p>
      <w:pPr>
        <w:spacing w:line="480" w:lineRule="exact"/>
        <w:ind w:firstLine="480" w:firstLineChars="200"/>
        <w:outlineLvl w:val="1"/>
        <w:rPr>
          <w:rFonts w:ascii="宋体" w:hAnsi="宋体"/>
          <w:sz w:val="24"/>
        </w:rPr>
      </w:pPr>
      <w:bookmarkStart w:id="210" w:name="_Toc500150963"/>
      <w:r>
        <w:rPr>
          <w:rFonts w:hint="eastAsia" w:ascii="宋体" w:hAnsi="宋体"/>
          <w:sz w:val="24"/>
        </w:rPr>
        <w:t>3、投标人为小型和微型企业，按6%的优惠折算后计算投标报价得分。投标人所投产品满足此规定的，必须提供与《唱标表》一并提供“中小企业声明函”。</w:t>
      </w:r>
      <w:bookmarkEnd w:id="210"/>
    </w:p>
    <w:p>
      <w:pPr>
        <w:spacing w:line="480" w:lineRule="exact"/>
        <w:ind w:firstLine="480" w:firstLineChars="200"/>
        <w:outlineLvl w:val="1"/>
        <w:rPr>
          <w:rFonts w:ascii="宋体" w:hAnsi="宋体"/>
          <w:sz w:val="24"/>
        </w:rPr>
      </w:pPr>
      <w:bookmarkStart w:id="211" w:name="_Toc500150964"/>
      <w:r>
        <w:rPr>
          <w:rFonts w:hint="eastAsia" w:ascii="宋体" w:hAnsi="宋体"/>
          <w:sz w:val="24"/>
        </w:rPr>
        <w:t>4、投标人同时满足一项及以上优惠资格者，其价格优惠折扣可累加。</w:t>
      </w:r>
      <w:bookmarkEnd w:id="211"/>
    </w:p>
    <w:p>
      <w:pPr>
        <w:spacing w:line="480" w:lineRule="exact"/>
        <w:ind w:firstLine="482" w:firstLineChars="200"/>
        <w:outlineLvl w:val="1"/>
        <w:rPr>
          <w:rFonts w:ascii="宋体" w:cs="Times New Roman"/>
          <w:b/>
          <w:bCs/>
          <w:sz w:val="24"/>
          <w:szCs w:val="24"/>
        </w:rPr>
      </w:pPr>
      <w:bookmarkStart w:id="212" w:name="_Toc500150965"/>
      <w:r>
        <w:rPr>
          <w:rFonts w:hint="eastAsia" w:ascii="宋体" w:hAnsi="宋体" w:cs="宋体"/>
          <w:b/>
          <w:bCs/>
          <w:sz w:val="24"/>
        </w:rPr>
        <w:t>二、技术、商务评分表</w:t>
      </w:r>
      <w:bookmarkEnd w:id="207"/>
      <w:bookmarkEnd w:id="212"/>
    </w:p>
    <w:tbl>
      <w:tblPr>
        <w:tblStyle w:val="59"/>
        <w:tblW w:w="9278" w:type="dxa"/>
        <w:jc w:val="center"/>
        <w:tblInd w:w="0" w:type="dxa"/>
        <w:tblLayout w:type="fixed"/>
        <w:tblCellMar>
          <w:top w:w="0" w:type="dxa"/>
          <w:left w:w="108" w:type="dxa"/>
          <w:bottom w:w="0" w:type="dxa"/>
          <w:right w:w="108" w:type="dxa"/>
        </w:tblCellMar>
      </w:tblPr>
      <w:tblGrid>
        <w:gridCol w:w="706"/>
        <w:gridCol w:w="1638"/>
        <w:gridCol w:w="6934"/>
      </w:tblGrid>
      <w:tr>
        <w:tblPrEx>
          <w:tblLayout w:type="fixed"/>
          <w:tblCellMar>
            <w:top w:w="0" w:type="dxa"/>
            <w:left w:w="108" w:type="dxa"/>
            <w:bottom w:w="0" w:type="dxa"/>
            <w:right w:w="108" w:type="dxa"/>
          </w:tblCellMar>
        </w:tblPrEx>
        <w:trPr>
          <w:trHeight w:val="567" w:hRule="atLeast"/>
          <w:jc w:val="center"/>
        </w:trPr>
        <w:tc>
          <w:tcPr>
            <w:tcW w:w="706" w:type="dxa"/>
            <w:tcBorders>
              <w:top w:val="single" w:color="000000" w:sz="4" w:space="0"/>
              <w:left w:val="single" w:color="000000" w:sz="4" w:space="0"/>
              <w:bottom w:val="single" w:color="000000" w:sz="4" w:space="0"/>
              <w:right w:val="single" w:color="000000" w:sz="4" w:space="0"/>
            </w:tcBorders>
            <w:vAlign w:val="center"/>
          </w:tcPr>
          <w:p>
            <w:pPr>
              <w:widowControl/>
              <w:jc w:val="center"/>
              <w:rPr>
                <w:b/>
                <w:kern w:val="0"/>
              </w:rPr>
            </w:pPr>
            <w:r>
              <w:rPr>
                <w:rFonts w:hint="eastAsia"/>
                <w:b/>
                <w:kern w:val="0"/>
              </w:rPr>
              <w:t>序号</w:t>
            </w:r>
          </w:p>
        </w:tc>
        <w:tc>
          <w:tcPr>
            <w:tcW w:w="1638" w:type="dxa"/>
            <w:tcBorders>
              <w:top w:val="single" w:color="000000" w:sz="4" w:space="0"/>
              <w:left w:val="nil"/>
              <w:bottom w:val="single" w:color="000000" w:sz="4" w:space="0"/>
              <w:right w:val="single" w:color="000000" w:sz="4" w:space="0"/>
            </w:tcBorders>
            <w:vAlign w:val="center"/>
          </w:tcPr>
          <w:p>
            <w:pPr>
              <w:widowControl/>
              <w:jc w:val="center"/>
              <w:rPr>
                <w:b/>
                <w:kern w:val="0"/>
              </w:rPr>
            </w:pPr>
            <w:r>
              <w:rPr>
                <w:rFonts w:hint="eastAsia"/>
                <w:b/>
                <w:kern w:val="0"/>
              </w:rPr>
              <w:t>评审内容</w:t>
            </w:r>
          </w:p>
        </w:tc>
        <w:tc>
          <w:tcPr>
            <w:tcW w:w="6934" w:type="dxa"/>
            <w:tcBorders>
              <w:top w:val="single" w:color="000000" w:sz="4" w:space="0"/>
              <w:left w:val="nil"/>
              <w:bottom w:val="single" w:color="000000" w:sz="4" w:space="0"/>
              <w:right w:val="single" w:color="000000" w:sz="4" w:space="0"/>
            </w:tcBorders>
            <w:vAlign w:val="center"/>
          </w:tcPr>
          <w:p>
            <w:pPr>
              <w:widowControl/>
              <w:jc w:val="center"/>
              <w:rPr>
                <w:b/>
                <w:kern w:val="0"/>
              </w:rPr>
            </w:pPr>
            <w:r>
              <w:rPr>
                <w:rFonts w:hint="eastAsia"/>
                <w:b/>
                <w:kern w:val="0"/>
              </w:rPr>
              <w:t>评分标准</w:t>
            </w:r>
          </w:p>
        </w:tc>
      </w:tr>
      <w:tr>
        <w:tblPrEx>
          <w:tblLayout w:type="fixed"/>
          <w:tblCellMar>
            <w:top w:w="0" w:type="dxa"/>
            <w:left w:w="108" w:type="dxa"/>
            <w:bottom w:w="0" w:type="dxa"/>
            <w:right w:w="108" w:type="dxa"/>
          </w:tblCellMar>
        </w:tblPrEx>
        <w:trPr>
          <w:trHeight w:val="567" w:hRule="atLeast"/>
          <w:jc w:val="center"/>
        </w:trPr>
        <w:tc>
          <w:tcPr>
            <w:tcW w:w="9278"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rPr>
                <w:b/>
                <w:kern w:val="0"/>
              </w:rPr>
            </w:pPr>
            <w:r>
              <w:rPr>
                <w:rFonts w:hint="eastAsia"/>
                <w:b/>
                <w:kern w:val="0"/>
              </w:rPr>
              <w:t>价格部分（30分）</w:t>
            </w:r>
          </w:p>
        </w:tc>
      </w:tr>
      <w:tr>
        <w:tblPrEx>
          <w:tblLayout w:type="fixed"/>
          <w:tblCellMar>
            <w:top w:w="0" w:type="dxa"/>
            <w:left w:w="108" w:type="dxa"/>
            <w:bottom w:w="0" w:type="dxa"/>
            <w:right w:w="108" w:type="dxa"/>
          </w:tblCellMar>
        </w:tblPrEx>
        <w:trPr>
          <w:trHeight w:val="2167" w:hRule="atLeast"/>
          <w:jc w:val="center"/>
        </w:trPr>
        <w:tc>
          <w:tcPr>
            <w:tcW w:w="706" w:type="dxa"/>
            <w:tcBorders>
              <w:top w:val="single" w:color="000000" w:sz="4" w:space="0"/>
              <w:left w:val="single" w:color="000000" w:sz="4" w:space="0"/>
              <w:bottom w:val="single" w:color="000000" w:sz="4" w:space="0"/>
              <w:right w:val="single" w:color="000000" w:sz="4" w:space="0"/>
            </w:tcBorders>
            <w:vAlign w:val="center"/>
          </w:tcPr>
          <w:p>
            <w:pPr>
              <w:tabs>
                <w:tab w:val="left" w:pos="0"/>
                <w:tab w:val="left" w:pos="360"/>
              </w:tabs>
              <w:spacing w:line="276" w:lineRule="auto"/>
              <w:jc w:val="center"/>
            </w:pPr>
            <w:r>
              <w:rPr>
                <w:rFonts w:hint="eastAsia"/>
              </w:rPr>
              <w:t>1</w:t>
            </w:r>
          </w:p>
        </w:tc>
        <w:tc>
          <w:tcPr>
            <w:tcW w:w="1638" w:type="dxa"/>
            <w:tcBorders>
              <w:top w:val="single" w:color="000000" w:sz="4" w:space="0"/>
              <w:left w:val="single" w:color="000000" w:sz="4" w:space="0"/>
              <w:bottom w:val="single" w:color="000000" w:sz="4" w:space="0"/>
              <w:right w:val="single" w:color="000000" w:sz="4" w:space="0"/>
            </w:tcBorders>
            <w:vAlign w:val="center"/>
          </w:tcPr>
          <w:p>
            <w:pPr>
              <w:tabs>
                <w:tab w:val="left" w:pos="0"/>
                <w:tab w:val="left" w:pos="360"/>
              </w:tabs>
              <w:spacing w:line="276" w:lineRule="auto"/>
              <w:jc w:val="center"/>
            </w:pPr>
            <w:r>
              <w:rPr>
                <w:rFonts w:hint="eastAsia"/>
              </w:rPr>
              <w:t>投标报价</w:t>
            </w:r>
          </w:p>
          <w:p>
            <w:pPr>
              <w:tabs>
                <w:tab w:val="left" w:pos="0"/>
                <w:tab w:val="left" w:pos="360"/>
              </w:tabs>
              <w:spacing w:line="276" w:lineRule="auto"/>
              <w:jc w:val="center"/>
            </w:pPr>
            <w:r>
              <w:rPr>
                <w:rFonts w:hint="eastAsia"/>
              </w:rPr>
              <w:t>（30分）</w:t>
            </w:r>
          </w:p>
        </w:tc>
        <w:tc>
          <w:tcPr>
            <w:tcW w:w="6934" w:type="dxa"/>
            <w:tcBorders>
              <w:top w:val="single" w:color="000000" w:sz="4" w:space="0"/>
              <w:left w:val="single" w:color="000000" w:sz="4" w:space="0"/>
              <w:bottom w:val="single" w:color="000000" w:sz="4" w:space="0"/>
              <w:right w:val="single" w:color="000000" w:sz="4" w:space="0"/>
            </w:tcBorders>
            <w:vAlign w:val="center"/>
          </w:tcPr>
          <w:p>
            <w:pPr>
              <w:tabs>
                <w:tab w:val="left" w:pos="0"/>
                <w:tab w:val="left" w:pos="360"/>
              </w:tabs>
              <w:spacing w:line="276" w:lineRule="auto"/>
              <w:rPr>
                <w:rFonts w:ascii="宋体" w:hAnsi="宋体" w:cs="宋体"/>
              </w:rPr>
            </w:pPr>
            <w:r>
              <w:rPr>
                <w:rFonts w:hint="eastAsia" w:ascii="宋体" w:hAnsi="宋体" w:cs="宋体"/>
              </w:rPr>
              <w:t>综合评分法中的价格分统一采用低价优先法计算，即满足招标文件要求且最后报价最低的供应商的价格为评标基准价，其价格分为满分。其他供应商的价格分统一按照下列公式计算：</w:t>
            </w:r>
          </w:p>
          <w:p>
            <w:pPr>
              <w:tabs>
                <w:tab w:val="left" w:pos="0"/>
                <w:tab w:val="left" w:pos="360"/>
              </w:tabs>
              <w:spacing w:line="276" w:lineRule="auto"/>
              <w:rPr>
                <w:rFonts w:ascii="宋体" w:hAnsi="宋体" w:cs="宋体"/>
              </w:rPr>
            </w:pPr>
            <w:r>
              <w:rPr>
                <w:rFonts w:hint="eastAsia" w:ascii="宋体" w:hAnsi="宋体" w:cs="宋体"/>
              </w:rPr>
              <w:t xml:space="preserve">   投标报价得分=（评价基准价/投标人报价）×30%×100</w:t>
            </w:r>
          </w:p>
          <w:p>
            <w:pPr>
              <w:tabs>
                <w:tab w:val="left" w:pos="0"/>
                <w:tab w:val="left" w:pos="360"/>
              </w:tabs>
              <w:spacing w:line="276" w:lineRule="auto"/>
              <w:rPr>
                <w:rFonts w:ascii="宋体" w:hAnsi="宋体" w:cs="宋体"/>
              </w:rPr>
            </w:pPr>
            <w:r>
              <w:rPr>
                <w:rFonts w:hint="eastAsia" w:ascii="宋体" w:hAnsi="宋体" w:cs="宋体"/>
              </w:rPr>
              <w:t>评标委员会若认为供应商的投标报价明显低于其他通过符合性审查供应商的报价，有可能影响产品质量或者不能诚信履约的，应当要求其在评审现场合理的时间内提供书面说明，必要时提交相关证明材料；供应商不能证明其报价合理性的，评标委员会应当将其作为无效投标处理。</w:t>
            </w:r>
          </w:p>
        </w:tc>
      </w:tr>
      <w:tr>
        <w:tblPrEx>
          <w:tblLayout w:type="fixed"/>
          <w:tblCellMar>
            <w:top w:w="0" w:type="dxa"/>
            <w:left w:w="108" w:type="dxa"/>
            <w:bottom w:w="0" w:type="dxa"/>
            <w:right w:w="108" w:type="dxa"/>
          </w:tblCellMar>
        </w:tblPrEx>
        <w:trPr>
          <w:trHeight w:val="507" w:hRule="atLeast"/>
          <w:jc w:val="center"/>
        </w:trPr>
        <w:tc>
          <w:tcPr>
            <w:tcW w:w="9278"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300" w:lineRule="auto"/>
              <w:jc w:val="center"/>
              <w:rPr>
                <w:b/>
                <w:kern w:val="0"/>
              </w:rPr>
            </w:pPr>
            <w:r>
              <w:rPr>
                <w:rFonts w:hint="eastAsia"/>
                <w:b/>
                <w:kern w:val="0"/>
              </w:rPr>
              <w:t>商务部分（35分）</w:t>
            </w:r>
          </w:p>
        </w:tc>
      </w:tr>
      <w:tr>
        <w:tblPrEx>
          <w:tblLayout w:type="fixed"/>
          <w:tblCellMar>
            <w:top w:w="0" w:type="dxa"/>
            <w:left w:w="108" w:type="dxa"/>
            <w:bottom w:w="0" w:type="dxa"/>
            <w:right w:w="108" w:type="dxa"/>
          </w:tblCellMar>
        </w:tblPrEx>
        <w:trPr>
          <w:trHeight w:val="821" w:hRule="atLeast"/>
          <w:jc w:val="center"/>
        </w:trPr>
        <w:tc>
          <w:tcPr>
            <w:tcW w:w="706" w:type="dxa"/>
            <w:tcBorders>
              <w:left w:val="single" w:color="000000" w:sz="4" w:space="0"/>
              <w:bottom w:val="single" w:color="auto" w:sz="4" w:space="0"/>
              <w:right w:val="single" w:color="000000" w:sz="4" w:space="0"/>
            </w:tcBorders>
            <w:vAlign w:val="center"/>
          </w:tcPr>
          <w:p>
            <w:pPr>
              <w:widowControl/>
              <w:jc w:val="center"/>
              <w:rPr>
                <w:kern w:val="0"/>
              </w:rPr>
            </w:pPr>
            <w:r>
              <w:rPr>
                <w:rFonts w:hint="eastAsia"/>
                <w:kern w:val="0"/>
              </w:rPr>
              <w:t>2</w:t>
            </w:r>
          </w:p>
        </w:tc>
        <w:tc>
          <w:tcPr>
            <w:tcW w:w="1638" w:type="dxa"/>
            <w:tcBorders>
              <w:top w:val="single" w:color="auto" w:sz="4" w:space="0"/>
              <w:left w:val="nil"/>
              <w:bottom w:val="single" w:color="auto" w:sz="4" w:space="0"/>
              <w:right w:val="single" w:color="000000" w:sz="4" w:space="0"/>
            </w:tcBorders>
            <w:vAlign w:val="center"/>
          </w:tcPr>
          <w:p>
            <w:pPr>
              <w:widowControl/>
              <w:jc w:val="center"/>
              <w:rPr>
                <w:rFonts w:ascii="宋体" w:hAnsi="宋体"/>
                <w:szCs w:val="20"/>
              </w:rPr>
            </w:pPr>
            <w:r>
              <w:rPr>
                <w:rFonts w:hint="eastAsia" w:ascii="宋体" w:hAnsi="宋体"/>
                <w:szCs w:val="20"/>
              </w:rPr>
              <w:t>资质</w:t>
            </w:r>
          </w:p>
          <w:p>
            <w:pPr>
              <w:widowControl/>
              <w:jc w:val="center"/>
              <w:rPr>
                <w:rFonts w:ascii="宋体" w:hAnsi="宋体"/>
              </w:rPr>
            </w:pPr>
            <w:r>
              <w:rPr>
                <w:rFonts w:hint="eastAsia" w:ascii="宋体" w:hAnsi="宋体"/>
              </w:rPr>
              <w:t>（5分）</w:t>
            </w:r>
          </w:p>
        </w:tc>
        <w:tc>
          <w:tcPr>
            <w:tcW w:w="6934" w:type="dxa"/>
            <w:tcBorders>
              <w:top w:val="single" w:color="000000" w:sz="4" w:space="0"/>
              <w:left w:val="nil"/>
              <w:bottom w:val="single" w:color="000000" w:sz="4" w:space="0"/>
              <w:right w:val="single" w:color="000000" w:sz="4" w:space="0"/>
            </w:tcBorders>
            <w:vAlign w:val="center"/>
          </w:tcPr>
          <w:p>
            <w:pPr>
              <w:tabs>
                <w:tab w:val="left" w:pos="0"/>
                <w:tab w:val="left" w:pos="360"/>
              </w:tabs>
              <w:spacing w:line="276" w:lineRule="auto"/>
              <w:rPr>
                <w:rFonts w:ascii="宋体" w:hAnsi="宋体" w:cs="宋体"/>
              </w:rPr>
            </w:pPr>
            <w:r>
              <w:rPr>
                <w:rFonts w:hint="eastAsia" w:ascii="宋体" w:hAnsi="宋体" w:cs="宋体"/>
              </w:rPr>
              <w:t>投标人具有国家环保部颁发的</w:t>
            </w:r>
            <w:r>
              <w:rPr>
                <w:rFonts w:hint="eastAsia" w:hAnsi="宋体"/>
              </w:rPr>
              <w:t>具备建设项目环境影响评价（交通运输）甲级资质</w:t>
            </w:r>
            <w:r>
              <w:rPr>
                <w:rFonts w:hint="eastAsia" w:ascii="宋体" w:hAnsi="宋体" w:cs="宋体"/>
              </w:rPr>
              <w:t>，得5分。（须提供资质证书原件核查</w:t>
            </w:r>
            <w:r>
              <w:rPr>
                <w:rFonts w:hint="eastAsia" w:ascii="宋体" w:hAnsi="宋体"/>
              </w:rPr>
              <w:t>或复印件盖章</w:t>
            </w:r>
            <w:r>
              <w:rPr>
                <w:rFonts w:hint="eastAsia" w:ascii="宋体" w:hAnsi="宋体" w:cs="宋体"/>
              </w:rPr>
              <w:t>）</w:t>
            </w:r>
          </w:p>
        </w:tc>
      </w:tr>
      <w:tr>
        <w:tblPrEx>
          <w:tblLayout w:type="fixed"/>
          <w:tblCellMar>
            <w:top w:w="0" w:type="dxa"/>
            <w:left w:w="108" w:type="dxa"/>
            <w:bottom w:w="0" w:type="dxa"/>
            <w:right w:w="108" w:type="dxa"/>
          </w:tblCellMar>
        </w:tblPrEx>
        <w:trPr>
          <w:trHeight w:val="810" w:hRule="atLeast"/>
          <w:jc w:val="center"/>
        </w:trPr>
        <w:tc>
          <w:tcPr>
            <w:tcW w:w="706" w:type="dxa"/>
            <w:tcBorders>
              <w:top w:val="single" w:color="auto" w:sz="4" w:space="0"/>
              <w:left w:val="single" w:color="auto" w:sz="4" w:space="0"/>
              <w:bottom w:val="single" w:color="auto" w:sz="4" w:space="0"/>
              <w:right w:val="single" w:color="auto" w:sz="4" w:space="0"/>
            </w:tcBorders>
            <w:vAlign w:val="center"/>
          </w:tcPr>
          <w:p>
            <w:pPr>
              <w:jc w:val="center"/>
              <w:rPr>
                <w:kern w:val="0"/>
              </w:rPr>
            </w:pPr>
            <w:r>
              <w:rPr>
                <w:rFonts w:hint="eastAsia"/>
                <w:kern w:val="0"/>
              </w:rPr>
              <w:t>3</w:t>
            </w:r>
          </w:p>
        </w:tc>
        <w:tc>
          <w:tcPr>
            <w:tcW w:w="163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rPr>
            </w:pPr>
            <w:r>
              <w:rPr>
                <w:rFonts w:hint="eastAsia" w:ascii="宋体" w:hAnsi="宋体"/>
              </w:rPr>
              <w:t>业绩</w:t>
            </w:r>
          </w:p>
          <w:p>
            <w:pPr>
              <w:jc w:val="center"/>
              <w:rPr>
                <w:rFonts w:ascii="宋体" w:hAnsi="宋体"/>
              </w:rPr>
            </w:pPr>
            <w:r>
              <w:rPr>
                <w:rFonts w:hint="eastAsia" w:ascii="宋体" w:hAnsi="宋体"/>
              </w:rPr>
              <w:t>（10分）</w:t>
            </w:r>
          </w:p>
        </w:tc>
        <w:tc>
          <w:tcPr>
            <w:tcW w:w="6934" w:type="dxa"/>
            <w:tcBorders>
              <w:top w:val="single" w:color="000000" w:sz="4" w:space="0"/>
              <w:left w:val="single" w:color="auto" w:sz="4" w:space="0"/>
              <w:bottom w:val="single" w:color="auto" w:sz="4" w:space="0"/>
              <w:right w:val="single" w:color="000000" w:sz="4" w:space="0"/>
            </w:tcBorders>
            <w:vAlign w:val="center"/>
          </w:tcPr>
          <w:p>
            <w:pPr>
              <w:spacing w:line="276" w:lineRule="auto"/>
              <w:ind w:left="8" w:leftChars="4"/>
              <w:jc w:val="left"/>
            </w:pPr>
            <w:r>
              <w:rPr>
                <w:rFonts w:hint="eastAsia" w:ascii="宋体" w:hAnsi="宋体" w:cs="宋体"/>
              </w:rPr>
              <w:t>近年</w:t>
            </w:r>
            <w:r>
              <w:rPr>
                <w:rFonts w:ascii="宋体" w:hAnsi="宋体" w:cs="宋体"/>
              </w:rPr>
              <w:t>(2012</w:t>
            </w:r>
            <w:r>
              <w:rPr>
                <w:rFonts w:hint="eastAsia" w:ascii="宋体" w:hAnsi="宋体" w:cs="宋体"/>
              </w:rPr>
              <w:t>年1月1日至今</w:t>
            </w:r>
            <w:r>
              <w:rPr>
                <w:rFonts w:ascii="宋体" w:hAnsi="宋体" w:cs="宋体"/>
              </w:rPr>
              <w:t>)</w:t>
            </w:r>
            <w:r>
              <w:rPr>
                <w:rFonts w:hint="eastAsia" w:ascii="宋体" w:hAnsi="宋体" w:cs="宋体"/>
              </w:rPr>
              <w:t>承担过国家环保部审批的项目每个得</w:t>
            </w:r>
            <w:r>
              <w:rPr>
                <w:rFonts w:ascii="宋体" w:hAnsi="宋体" w:cs="宋体"/>
              </w:rPr>
              <w:t>4</w:t>
            </w:r>
            <w:r>
              <w:rPr>
                <w:rFonts w:hint="eastAsia" w:ascii="宋体" w:hAnsi="宋体" w:cs="宋体"/>
              </w:rPr>
              <w:t>分，省级环保厅审批的项目每个得</w:t>
            </w:r>
            <w:r>
              <w:rPr>
                <w:rFonts w:ascii="宋体" w:hAnsi="宋体" w:cs="宋体"/>
              </w:rPr>
              <w:t>2</w:t>
            </w:r>
            <w:r>
              <w:rPr>
                <w:rFonts w:hint="eastAsia" w:ascii="宋体" w:hAnsi="宋体" w:cs="宋体"/>
              </w:rPr>
              <w:t>分。本项最高得</w:t>
            </w:r>
            <w:r>
              <w:rPr>
                <w:rFonts w:ascii="宋体" w:hAnsi="宋体" w:cs="宋体"/>
              </w:rPr>
              <w:t>10</w:t>
            </w:r>
            <w:r>
              <w:rPr>
                <w:rFonts w:hint="eastAsia" w:ascii="宋体" w:hAnsi="宋体" w:cs="宋体"/>
              </w:rPr>
              <w:t>分。（不重复累计得分）。（须提供合同复印件）</w:t>
            </w:r>
          </w:p>
        </w:tc>
      </w:tr>
      <w:tr>
        <w:tblPrEx>
          <w:tblLayout w:type="fixed"/>
          <w:tblCellMar>
            <w:top w:w="0" w:type="dxa"/>
            <w:left w:w="108" w:type="dxa"/>
            <w:bottom w:w="0" w:type="dxa"/>
            <w:right w:w="108" w:type="dxa"/>
          </w:tblCellMar>
        </w:tblPrEx>
        <w:trPr>
          <w:trHeight w:val="90" w:hRule="atLeast"/>
          <w:jc w:val="center"/>
        </w:trPr>
        <w:tc>
          <w:tcPr>
            <w:tcW w:w="706" w:type="dxa"/>
            <w:tcBorders>
              <w:top w:val="single" w:color="auto" w:sz="4" w:space="0"/>
              <w:left w:val="single" w:color="auto" w:sz="4" w:space="0"/>
              <w:bottom w:val="single" w:color="auto" w:sz="4" w:space="0"/>
              <w:right w:val="single" w:color="000000" w:sz="4" w:space="0"/>
            </w:tcBorders>
            <w:vAlign w:val="center"/>
          </w:tcPr>
          <w:p>
            <w:pPr>
              <w:widowControl/>
              <w:jc w:val="center"/>
              <w:rPr>
                <w:kern w:val="0"/>
              </w:rPr>
            </w:pPr>
            <w:r>
              <w:rPr>
                <w:rFonts w:hint="eastAsia"/>
                <w:kern w:val="0"/>
              </w:rPr>
              <w:t>4</w:t>
            </w:r>
          </w:p>
        </w:tc>
        <w:tc>
          <w:tcPr>
            <w:tcW w:w="1638" w:type="dxa"/>
            <w:tcBorders>
              <w:top w:val="single" w:color="auto" w:sz="4" w:space="0"/>
              <w:left w:val="single" w:color="000000" w:sz="4" w:space="0"/>
              <w:bottom w:val="single" w:color="auto" w:sz="4" w:space="0"/>
              <w:right w:val="single" w:color="auto" w:sz="4" w:space="0"/>
            </w:tcBorders>
            <w:vAlign w:val="center"/>
          </w:tcPr>
          <w:p>
            <w:pPr>
              <w:widowControl/>
              <w:jc w:val="center"/>
            </w:pPr>
            <w:r>
              <w:rPr>
                <w:rFonts w:hint="eastAsia"/>
              </w:rPr>
              <w:t>获奖情况、信誉（8分）</w:t>
            </w:r>
          </w:p>
        </w:tc>
        <w:tc>
          <w:tcPr>
            <w:tcW w:w="6934" w:type="dxa"/>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rPr>
            </w:pPr>
            <w:r>
              <w:rPr>
                <w:rFonts w:hint="eastAsia" w:ascii="宋体" w:hAnsi="宋体"/>
              </w:rPr>
              <w:t>投标人获得省级以上海洋相关奖项的得8分；获得市级相关奖项的得4分；本项满分8分。（须提供获奖证书原件核查或复印件盖章）</w:t>
            </w:r>
          </w:p>
        </w:tc>
      </w:tr>
      <w:tr>
        <w:tblPrEx>
          <w:tblLayout w:type="fixed"/>
          <w:tblCellMar>
            <w:top w:w="0" w:type="dxa"/>
            <w:left w:w="108" w:type="dxa"/>
            <w:bottom w:w="0" w:type="dxa"/>
            <w:right w:w="108" w:type="dxa"/>
          </w:tblCellMar>
        </w:tblPrEx>
        <w:trPr>
          <w:trHeight w:val="90" w:hRule="atLeast"/>
          <w:jc w:val="center"/>
        </w:trPr>
        <w:tc>
          <w:tcPr>
            <w:tcW w:w="706" w:type="dxa"/>
            <w:tcBorders>
              <w:top w:val="single" w:color="auto" w:sz="4" w:space="0"/>
              <w:left w:val="single" w:color="auto" w:sz="4" w:space="0"/>
              <w:bottom w:val="single" w:color="auto" w:sz="4" w:space="0"/>
              <w:right w:val="single" w:color="000000" w:sz="4" w:space="0"/>
            </w:tcBorders>
            <w:vAlign w:val="center"/>
          </w:tcPr>
          <w:p>
            <w:pPr>
              <w:widowControl/>
              <w:jc w:val="center"/>
              <w:rPr>
                <w:kern w:val="0"/>
              </w:rPr>
            </w:pPr>
            <w:r>
              <w:rPr>
                <w:rFonts w:hint="eastAsia"/>
                <w:kern w:val="0"/>
              </w:rPr>
              <w:t>5</w:t>
            </w:r>
          </w:p>
        </w:tc>
        <w:tc>
          <w:tcPr>
            <w:tcW w:w="1638" w:type="dxa"/>
            <w:tcBorders>
              <w:top w:val="single" w:color="auto" w:sz="4" w:space="0"/>
              <w:left w:val="single" w:color="000000" w:sz="4" w:space="0"/>
              <w:bottom w:val="single" w:color="auto" w:sz="4" w:space="0"/>
              <w:right w:val="single" w:color="auto" w:sz="4" w:space="0"/>
            </w:tcBorders>
            <w:vAlign w:val="center"/>
          </w:tcPr>
          <w:p>
            <w:pPr>
              <w:widowControl/>
              <w:jc w:val="center"/>
              <w:rPr>
                <w:rFonts w:ascii="宋体" w:hAnsi="宋体"/>
              </w:rPr>
            </w:pPr>
            <w:r>
              <w:rPr>
                <w:rFonts w:hint="eastAsia" w:ascii="宋体" w:hAnsi="宋体"/>
              </w:rPr>
              <w:t>项目负责人</w:t>
            </w:r>
          </w:p>
          <w:p>
            <w:pPr>
              <w:widowControl/>
              <w:jc w:val="center"/>
              <w:rPr>
                <w:rFonts w:ascii="宋体" w:hAnsi="宋体"/>
              </w:rPr>
            </w:pPr>
            <w:r>
              <w:rPr>
                <w:rFonts w:hint="eastAsia" w:ascii="宋体" w:hAnsi="宋体"/>
              </w:rPr>
              <w:t>（8分）</w:t>
            </w:r>
          </w:p>
        </w:tc>
        <w:tc>
          <w:tcPr>
            <w:tcW w:w="6934" w:type="dxa"/>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rPr>
            </w:pPr>
            <w:r>
              <w:rPr>
                <w:rFonts w:hint="eastAsia" w:ascii="宋体" w:hAnsi="宋体"/>
              </w:rPr>
              <w:t>拟派往该项目的项目负责人2013年以来具有一项类似业绩（以合同签订日期为准）的得3分，具有两项以上（含两项）的加2分；具有本专业高级技术职称的加3分；本项满分8分。（须提供合同、职称证复印件）</w:t>
            </w:r>
          </w:p>
        </w:tc>
      </w:tr>
      <w:tr>
        <w:tblPrEx>
          <w:tblLayout w:type="fixed"/>
          <w:tblCellMar>
            <w:top w:w="0" w:type="dxa"/>
            <w:left w:w="108" w:type="dxa"/>
            <w:bottom w:w="0" w:type="dxa"/>
            <w:right w:w="108" w:type="dxa"/>
          </w:tblCellMar>
        </w:tblPrEx>
        <w:trPr>
          <w:trHeight w:val="90" w:hRule="atLeast"/>
          <w:jc w:val="center"/>
        </w:trPr>
        <w:tc>
          <w:tcPr>
            <w:tcW w:w="706" w:type="dxa"/>
            <w:tcBorders>
              <w:top w:val="single" w:color="auto" w:sz="4" w:space="0"/>
              <w:left w:val="single" w:color="auto" w:sz="4" w:space="0"/>
              <w:bottom w:val="single" w:color="auto" w:sz="4" w:space="0"/>
              <w:right w:val="single" w:color="000000" w:sz="4" w:space="0"/>
            </w:tcBorders>
            <w:vAlign w:val="center"/>
          </w:tcPr>
          <w:p>
            <w:pPr>
              <w:widowControl/>
              <w:jc w:val="center"/>
              <w:rPr>
                <w:kern w:val="0"/>
              </w:rPr>
            </w:pPr>
            <w:r>
              <w:rPr>
                <w:rFonts w:hint="eastAsia"/>
                <w:kern w:val="0"/>
              </w:rPr>
              <w:t>6</w:t>
            </w:r>
          </w:p>
        </w:tc>
        <w:tc>
          <w:tcPr>
            <w:tcW w:w="1638" w:type="dxa"/>
            <w:tcBorders>
              <w:top w:val="single" w:color="auto" w:sz="4" w:space="0"/>
              <w:left w:val="single" w:color="000000" w:sz="4" w:space="0"/>
              <w:bottom w:val="single" w:color="auto" w:sz="4" w:space="0"/>
              <w:right w:val="single" w:color="auto" w:sz="4" w:space="0"/>
            </w:tcBorders>
            <w:vAlign w:val="center"/>
          </w:tcPr>
          <w:p>
            <w:pPr>
              <w:widowControl/>
              <w:jc w:val="center"/>
              <w:rPr>
                <w:rFonts w:ascii="宋体" w:hAnsi="宋体"/>
              </w:rPr>
            </w:pPr>
            <w:r>
              <w:rPr>
                <w:rFonts w:hint="eastAsia" w:ascii="宋体" w:hAnsi="宋体"/>
              </w:rPr>
              <w:t>其他技术人员</w:t>
            </w:r>
          </w:p>
        </w:tc>
        <w:tc>
          <w:tcPr>
            <w:tcW w:w="6934" w:type="dxa"/>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rPr>
            </w:pPr>
            <w:r>
              <w:rPr>
                <w:rFonts w:hint="eastAsia" w:ascii="宋体" w:hAnsi="宋体"/>
              </w:rPr>
              <w:t>其他技术人员具有本专业高级技术职称的每人得2分；具有工程师职称的每人得1分。本项满分4分。（须提供职称证书复印件）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6" w:hRule="atLeast"/>
          <w:jc w:val="center"/>
        </w:trPr>
        <w:tc>
          <w:tcPr>
            <w:tcW w:w="9278" w:type="dxa"/>
            <w:gridSpan w:val="3"/>
            <w:vAlign w:val="center"/>
          </w:tcPr>
          <w:p>
            <w:pPr>
              <w:spacing w:line="300" w:lineRule="exact"/>
              <w:jc w:val="center"/>
              <w:rPr>
                <w:b/>
                <w:kern w:val="0"/>
              </w:rPr>
            </w:pPr>
            <w:r>
              <w:rPr>
                <w:rFonts w:hint="eastAsia"/>
                <w:b/>
                <w:kern w:val="0"/>
              </w:rPr>
              <w:t>技术部分（35分）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5" w:hRule="atLeast"/>
          <w:jc w:val="center"/>
        </w:trPr>
        <w:tc>
          <w:tcPr>
            <w:tcW w:w="706" w:type="dxa"/>
            <w:vMerge w:val="restart"/>
            <w:vAlign w:val="center"/>
          </w:tcPr>
          <w:p>
            <w:pPr>
              <w:widowControl/>
              <w:jc w:val="center"/>
              <w:rPr>
                <w:kern w:val="0"/>
              </w:rPr>
            </w:pPr>
            <w:r>
              <w:rPr>
                <w:rFonts w:hint="eastAsia"/>
                <w:kern w:val="0"/>
              </w:rPr>
              <w:t>7</w:t>
            </w:r>
          </w:p>
        </w:tc>
        <w:tc>
          <w:tcPr>
            <w:tcW w:w="1638" w:type="dxa"/>
            <w:vMerge w:val="restart"/>
            <w:vAlign w:val="center"/>
          </w:tcPr>
          <w:p>
            <w:pPr>
              <w:autoSpaceDE w:val="0"/>
              <w:autoSpaceDN w:val="0"/>
              <w:adjustRightInd w:val="0"/>
              <w:spacing w:line="380" w:lineRule="exact"/>
              <w:jc w:val="center"/>
              <w:rPr>
                <w:rFonts w:ascii="宋体" w:hAnsi="宋体" w:cs="宋体"/>
                <w:kern w:val="0"/>
              </w:rPr>
            </w:pPr>
            <w:r>
              <w:rPr>
                <w:rFonts w:hint="eastAsia" w:ascii="宋体" w:hAnsi="宋体" w:cs="宋体"/>
                <w:kern w:val="0"/>
              </w:rPr>
              <w:t>对采购项目的理解和总体开展思路</w:t>
            </w:r>
          </w:p>
          <w:p>
            <w:pPr>
              <w:autoSpaceDE w:val="0"/>
              <w:autoSpaceDN w:val="0"/>
              <w:adjustRightInd w:val="0"/>
              <w:spacing w:line="380" w:lineRule="exact"/>
              <w:jc w:val="center"/>
              <w:rPr>
                <w:rFonts w:ascii="宋体" w:hAnsi="宋体" w:cs="宋体"/>
                <w:kern w:val="0"/>
              </w:rPr>
            </w:pPr>
            <w:r>
              <w:rPr>
                <w:rFonts w:hint="eastAsia" w:ascii="宋体" w:hAnsi="宋体" w:cs="宋体"/>
                <w:kern w:val="0"/>
              </w:rPr>
              <w:t>（7分）</w:t>
            </w:r>
          </w:p>
        </w:tc>
        <w:tc>
          <w:tcPr>
            <w:tcW w:w="6934" w:type="dxa"/>
            <w:vAlign w:val="center"/>
          </w:tcPr>
          <w:p>
            <w:pPr>
              <w:spacing w:line="300" w:lineRule="auto"/>
              <w:rPr>
                <w:rFonts w:ascii="宋体" w:hAnsi="宋体"/>
              </w:rPr>
            </w:pPr>
            <w:r>
              <w:rPr>
                <w:rFonts w:hint="eastAsia" w:ascii="宋体" w:hAnsi="宋体"/>
              </w:rPr>
              <w:t>对招标项目的理解：</w:t>
            </w:r>
          </w:p>
          <w:p>
            <w:pPr>
              <w:spacing w:line="300" w:lineRule="auto"/>
              <w:rPr>
                <w:rFonts w:ascii="宋体" w:hAnsi="宋体"/>
              </w:rPr>
            </w:pPr>
            <w:r>
              <w:rPr>
                <w:rFonts w:hint="eastAsia" w:ascii="宋体" w:hAnsi="宋体"/>
              </w:rPr>
              <w:t>项目的地理位置、项目的功能与作用的理解深刻、到位。0～3分。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5" w:hRule="atLeast"/>
          <w:jc w:val="center"/>
        </w:trPr>
        <w:tc>
          <w:tcPr>
            <w:tcW w:w="706" w:type="dxa"/>
            <w:vMerge w:val="continue"/>
            <w:vAlign w:val="center"/>
          </w:tcPr>
          <w:p>
            <w:pPr>
              <w:autoSpaceDE w:val="0"/>
              <w:autoSpaceDN w:val="0"/>
              <w:adjustRightInd w:val="0"/>
              <w:spacing w:line="380" w:lineRule="exact"/>
              <w:jc w:val="center"/>
            </w:pPr>
          </w:p>
        </w:tc>
        <w:tc>
          <w:tcPr>
            <w:tcW w:w="1638" w:type="dxa"/>
            <w:vMerge w:val="continue"/>
            <w:vAlign w:val="center"/>
          </w:tcPr>
          <w:p>
            <w:pPr>
              <w:autoSpaceDE w:val="0"/>
              <w:autoSpaceDN w:val="0"/>
              <w:adjustRightInd w:val="0"/>
              <w:spacing w:line="380" w:lineRule="exact"/>
            </w:pPr>
          </w:p>
        </w:tc>
        <w:tc>
          <w:tcPr>
            <w:tcW w:w="6934" w:type="dxa"/>
            <w:vAlign w:val="center"/>
          </w:tcPr>
          <w:p>
            <w:pPr>
              <w:spacing w:line="300" w:lineRule="auto"/>
              <w:rPr>
                <w:rFonts w:ascii="宋体" w:hAnsi="宋体"/>
              </w:rPr>
            </w:pPr>
            <w:r>
              <w:rPr>
                <w:rFonts w:hint="eastAsia" w:ascii="宋体" w:hAnsi="宋体"/>
              </w:rPr>
              <w:t>对项目所在地规划发展与建设条件认识：</w:t>
            </w:r>
          </w:p>
          <w:p>
            <w:pPr>
              <w:spacing w:line="300" w:lineRule="auto"/>
            </w:pPr>
            <w:r>
              <w:rPr>
                <w:rFonts w:hint="eastAsia" w:ascii="宋体" w:hAnsi="宋体"/>
              </w:rPr>
              <w:t>对项目周边自然条件、现状基本情况、规划概况、空间环境等方面人士的程度。0～4分。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45" w:hRule="atLeast"/>
          <w:jc w:val="center"/>
        </w:trPr>
        <w:tc>
          <w:tcPr>
            <w:tcW w:w="706" w:type="dxa"/>
            <w:vMerge w:val="restart"/>
            <w:vAlign w:val="center"/>
          </w:tcPr>
          <w:p>
            <w:pPr>
              <w:widowControl/>
              <w:jc w:val="center"/>
              <w:rPr>
                <w:rFonts w:ascii="宋体" w:hAnsi="宋体" w:cs="宋体"/>
                <w:kern w:val="0"/>
                <w:sz w:val="24"/>
              </w:rPr>
            </w:pPr>
            <w:r>
              <w:rPr>
                <w:rFonts w:hint="eastAsia" w:ascii="宋体" w:hAnsi="宋体" w:cs="宋体"/>
                <w:kern w:val="0"/>
                <w:sz w:val="24"/>
              </w:rPr>
              <w:t>8</w:t>
            </w:r>
          </w:p>
        </w:tc>
        <w:tc>
          <w:tcPr>
            <w:tcW w:w="1638" w:type="dxa"/>
            <w:vMerge w:val="restart"/>
            <w:vAlign w:val="center"/>
          </w:tcPr>
          <w:p>
            <w:pPr>
              <w:autoSpaceDE w:val="0"/>
              <w:autoSpaceDN w:val="0"/>
              <w:adjustRightInd w:val="0"/>
              <w:spacing w:line="380" w:lineRule="exact"/>
              <w:jc w:val="center"/>
              <w:rPr>
                <w:rFonts w:ascii="宋体" w:hAnsi="宋体" w:cs="宋体"/>
                <w:kern w:val="0"/>
              </w:rPr>
            </w:pPr>
            <w:r>
              <w:rPr>
                <w:rFonts w:hint="eastAsia" w:ascii="宋体" w:hAnsi="宋体" w:cs="宋体"/>
                <w:kern w:val="0"/>
              </w:rPr>
              <w:t>采购项目的特点、关键技术问题的分析及其对策措施</w:t>
            </w:r>
          </w:p>
          <w:p>
            <w:pPr>
              <w:autoSpaceDE w:val="0"/>
              <w:autoSpaceDN w:val="0"/>
              <w:adjustRightInd w:val="0"/>
              <w:spacing w:line="380" w:lineRule="exact"/>
              <w:jc w:val="center"/>
              <w:rPr>
                <w:rFonts w:ascii="宋体" w:hAnsi="宋体" w:cs="宋体"/>
                <w:kern w:val="0"/>
                <w:sz w:val="24"/>
              </w:rPr>
            </w:pPr>
            <w:r>
              <w:rPr>
                <w:rFonts w:hint="eastAsia" w:ascii="宋体" w:hAnsi="宋体" w:cs="宋体"/>
                <w:kern w:val="0"/>
              </w:rPr>
              <w:t>（4分）</w:t>
            </w:r>
          </w:p>
        </w:tc>
        <w:tc>
          <w:tcPr>
            <w:tcW w:w="6934" w:type="dxa"/>
            <w:vAlign w:val="center"/>
          </w:tcPr>
          <w:p>
            <w:pPr>
              <w:spacing w:line="300" w:lineRule="auto"/>
              <w:rPr>
                <w:rFonts w:ascii="宋体" w:hAnsi="宋体"/>
              </w:rPr>
            </w:pPr>
            <w:r>
              <w:rPr>
                <w:rFonts w:hint="eastAsia" w:ascii="宋体" w:hAnsi="宋体"/>
              </w:rPr>
              <w:t>对项目特点描述准确、到位。0～2分。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45" w:hRule="atLeast"/>
          <w:jc w:val="center"/>
        </w:trPr>
        <w:tc>
          <w:tcPr>
            <w:tcW w:w="706" w:type="dxa"/>
            <w:vMerge w:val="continue"/>
            <w:vAlign w:val="center"/>
          </w:tcPr>
          <w:p>
            <w:pPr>
              <w:spacing w:line="300" w:lineRule="auto"/>
            </w:pPr>
          </w:p>
        </w:tc>
        <w:tc>
          <w:tcPr>
            <w:tcW w:w="1638" w:type="dxa"/>
            <w:vMerge w:val="continue"/>
            <w:vAlign w:val="center"/>
          </w:tcPr>
          <w:p>
            <w:pPr>
              <w:spacing w:line="300" w:lineRule="auto"/>
            </w:pPr>
          </w:p>
        </w:tc>
        <w:tc>
          <w:tcPr>
            <w:tcW w:w="6934" w:type="dxa"/>
            <w:vAlign w:val="center"/>
          </w:tcPr>
          <w:p>
            <w:pPr>
              <w:spacing w:line="300" w:lineRule="auto"/>
              <w:rPr>
                <w:rFonts w:ascii="宋体" w:hAnsi="宋体"/>
              </w:rPr>
            </w:pPr>
            <w:r>
              <w:rPr>
                <w:rFonts w:hint="eastAsia" w:ascii="宋体" w:hAnsi="宋体"/>
              </w:rPr>
              <w:t>对关键技术问题有深入的表述，解决方案完整、经济、安全、切实可行，措施得力。0～2分。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0" w:hRule="atLeast"/>
          <w:jc w:val="center"/>
        </w:trPr>
        <w:tc>
          <w:tcPr>
            <w:tcW w:w="706" w:type="dxa"/>
            <w:vMerge w:val="restart"/>
            <w:vAlign w:val="center"/>
          </w:tcPr>
          <w:p>
            <w:pPr>
              <w:widowControl/>
              <w:jc w:val="center"/>
              <w:rPr>
                <w:rFonts w:ascii="宋体" w:hAnsi="宋体" w:cs="宋体"/>
                <w:kern w:val="0"/>
                <w:sz w:val="24"/>
              </w:rPr>
            </w:pPr>
            <w:r>
              <w:rPr>
                <w:rFonts w:hint="eastAsia" w:ascii="宋体" w:hAnsi="宋体" w:cs="宋体"/>
                <w:kern w:val="0"/>
                <w:sz w:val="24"/>
              </w:rPr>
              <w:t>9</w:t>
            </w:r>
          </w:p>
        </w:tc>
        <w:tc>
          <w:tcPr>
            <w:tcW w:w="1638" w:type="dxa"/>
            <w:vMerge w:val="restart"/>
            <w:vAlign w:val="center"/>
          </w:tcPr>
          <w:p>
            <w:pPr>
              <w:autoSpaceDE w:val="0"/>
              <w:autoSpaceDN w:val="0"/>
              <w:adjustRightInd w:val="0"/>
              <w:spacing w:line="380" w:lineRule="exact"/>
              <w:jc w:val="center"/>
              <w:rPr>
                <w:rFonts w:ascii="宋体" w:hAnsi="宋体" w:cs="宋体"/>
                <w:kern w:val="0"/>
              </w:rPr>
            </w:pPr>
            <w:r>
              <w:rPr>
                <w:rFonts w:hint="eastAsia" w:ascii="宋体" w:hAnsi="宋体" w:cs="宋体"/>
                <w:kern w:val="0"/>
              </w:rPr>
              <w:t>项目开展方案及计划安排</w:t>
            </w:r>
          </w:p>
          <w:p>
            <w:pPr>
              <w:autoSpaceDE w:val="0"/>
              <w:autoSpaceDN w:val="0"/>
              <w:adjustRightInd w:val="0"/>
              <w:spacing w:line="380" w:lineRule="exact"/>
              <w:jc w:val="center"/>
              <w:rPr>
                <w:rFonts w:ascii="宋体" w:hAnsi="宋体" w:cs="宋体"/>
                <w:kern w:val="0"/>
              </w:rPr>
            </w:pPr>
            <w:r>
              <w:rPr>
                <w:rFonts w:hint="eastAsia" w:ascii="宋体" w:hAnsi="宋体" w:cs="宋体"/>
                <w:kern w:val="0"/>
              </w:rPr>
              <w:t>（9分）</w:t>
            </w:r>
          </w:p>
        </w:tc>
        <w:tc>
          <w:tcPr>
            <w:tcW w:w="6934" w:type="dxa"/>
            <w:vAlign w:val="center"/>
          </w:tcPr>
          <w:p>
            <w:pPr>
              <w:spacing w:line="300" w:lineRule="auto"/>
              <w:rPr>
                <w:rFonts w:ascii="宋体" w:hAnsi="宋体"/>
              </w:rPr>
            </w:pPr>
            <w:r>
              <w:rPr>
                <w:rFonts w:hint="eastAsia" w:ascii="宋体" w:hAnsi="宋体"/>
              </w:rPr>
              <w:t>技术标准符合国家颁布的有关技术标准要求。0～2分。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45" w:hRule="atLeast"/>
          <w:jc w:val="center"/>
        </w:trPr>
        <w:tc>
          <w:tcPr>
            <w:tcW w:w="706" w:type="dxa"/>
            <w:vMerge w:val="continue"/>
            <w:vAlign w:val="center"/>
          </w:tcPr>
          <w:p>
            <w:pPr>
              <w:spacing w:line="300" w:lineRule="auto"/>
            </w:pPr>
          </w:p>
        </w:tc>
        <w:tc>
          <w:tcPr>
            <w:tcW w:w="1638" w:type="dxa"/>
            <w:vMerge w:val="continue"/>
            <w:vAlign w:val="center"/>
          </w:tcPr>
          <w:p>
            <w:pPr>
              <w:autoSpaceDE w:val="0"/>
              <w:autoSpaceDN w:val="0"/>
              <w:adjustRightInd w:val="0"/>
              <w:spacing w:line="380" w:lineRule="exact"/>
              <w:jc w:val="center"/>
              <w:rPr>
                <w:rFonts w:ascii="宋体" w:hAnsi="宋体" w:cs="宋体"/>
                <w:kern w:val="0"/>
              </w:rPr>
            </w:pPr>
          </w:p>
        </w:tc>
        <w:tc>
          <w:tcPr>
            <w:tcW w:w="6934" w:type="dxa"/>
            <w:vAlign w:val="center"/>
          </w:tcPr>
          <w:p>
            <w:pPr>
              <w:spacing w:line="300" w:lineRule="auto"/>
              <w:rPr>
                <w:rFonts w:ascii="宋体" w:hAnsi="宋体"/>
              </w:rPr>
            </w:pPr>
            <w:r>
              <w:rPr>
                <w:rFonts w:hint="eastAsia" w:ascii="宋体" w:hAnsi="宋体"/>
              </w:rPr>
              <w:t>1、对海洋监测、调查、水文调查全面了解得2分，一般得1分，较差不得分。</w:t>
            </w:r>
          </w:p>
          <w:p>
            <w:pPr>
              <w:spacing w:line="300" w:lineRule="auto"/>
              <w:rPr>
                <w:rFonts w:ascii="宋体" w:hAnsi="宋体"/>
              </w:rPr>
            </w:pPr>
            <w:r>
              <w:rPr>
                <w:rFonts w:hint="eastAsia" w:ascii="宋体" w:hAnsi="宋体"/>
              </w:rPr>
              <w:t>2、工作时间计划合理、可靠得2分，一般得1分，较差不得分。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0" w:hRule="atLeast"/>
          <w:jc w:val="center"/>
        </w:trPr>
        <w:tc>
          <w:tcPr>
            <w:tcW w:w="706" w:type="dxa"/>
            <w:vMerge w:val="continue"/>
            <w:vAlign w:val="center"/>
          </w:tcPr>
          <w:p>
            <w:pPr>
              <w:spacing w:line="300" w:lineRule="auto"/>
              <w:rPr>
                <w:rFonts w:ascii="宋体" w:hAnsi="宋体"/>
              </w:rPr>
            </w:pPr>
          </w:p>
        </w:tc>
        <w:tc>
          <w:tcPr>
            <w:tcW w:w="1638" w:type="dxa"/>
            <w:vMerge w:val="continue"/>
            <w:vAlign w:val="center"/>
          </w:tcPr>
          <w:p>
            <w:pPr>
              <w:autoSpaceDE w:val="0"/>
              <w:autoSpaceDN w:val="0"/>
              <w:adjustRightInd w:val="0"/>
              <w:spacing w:line="380" w:lineRule="exact"/>
              <w:jc w:val="center"/>
              <w:rPr>
                <w:rFonts w:ascii="宋体" w:hAnsi="宋体" w:cs="宋体"/>
                <w:kern w:val="0"/>
              </w:rPr>
            </w:pPr>
          </w:p>
        </w:tc>
        <w:tc>
          <w:tcPr>
            <w:tcW w:w="6934" w:type="dxa"/>
            <w:vAlign w:val="center"/>
          </w:tcPr>
          <w:p>
            <w:pPr>
              <w:spacing w:line="300" w:lineRule="auto"/>
              <w:rPr>
                <w:rFonts w:ascii="宋体" w:hAnsi="宋体"/>
              </w:rPr>
            </w:pPr>
            <w:r>
              <w:rPr>
                <w:rFonts w:hint="eastAsia" w:ascii="宋体" w:hAnsi="宋体"/>
              </w:rPr>
              <w:t>计划编制合理、可行；科学、合理布置各阶段的工作任务。0～3分。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5" w:hRule="atLeast"/>
          <w:jc w:val="center"/>
        </w:trPr>
        <w:tc>
          <w:tcPr>
            <w:tcW w:w="706" w:type="dxa"/>
            <w:vMerge w:val="restart"/>
            <w:vAlign w:val="center"/>
          </w:tcPr>
          <w:p>
            <w:pPr>
              <w:widowControl/>
              <w:jc w:val="center"/>
              <w:rPr>
                <w:rFonts w:ascii="宋体" w:hAnsi="宋体" w:cs="宋体"/>
                <w:kern w:val="0"/>
                <w:sz w:val="24"/>
              </w:rPr>
            </w:pPr>
            <w:r>
              <w:rPr>
                <w:rFonts w:hint="eastAsia" w:ascii="宋体" w:hAnsi="宋体" w:cs="宋体"/>
                <w:kern w:val="0"/>
                <w:sz w:val="24"/>
              </w:rPr>
              <w:t>10</w:t>
            </w:r>
          </w:p>
        </w:tc>
        <w:tc>
          <w:tcPr>
            <w:tcW w:w="1638" w:type="dxa"/>
            <w:vMerge w:val="restart"/>
            <w:vAlign w:val="center"/>
          </w:tcPr>
          <w:p>
            <w:pPr>
              <w:autoSpaceDE w:val="0"/>
              <w:autoSpaceDN w:val="0"/>
              <w:adjustRightInd w:val="0"/>
              <w:spacing w:line="380" w:lineRule="exact"/>
              <w:jc w:val="center"/>
              <w:rPr>
                <w:rFonts w:ascii="宋体" w:hAnsi="宋体" w:cs="宋体"/>
                <w:kern w:val="0"/>
              </w:rPr>
            </w:pPr>
            <w:r>
              <w:rPr>
                <w:rFonts w:hint="eastAsia" w:ascii="宋体" w:hAnsi="宋体" w:cs="宋体"/>
                <w:kern w:val="0"/>
              </w:rPr>
              <w:t>招标项目的质量保证措施、进度保证措施</w:t>
            </w:r>
          </w:p>
          <w:p>
            <w:pPr>
              <w:autoSpaceDE w:val="0"/>
              <w:autoSpaceDN w:val="0"/>
              <w:adjustRightInd w:val="0"/>
              <w:spacing w:line="380" w:lineRule="exact"/>
              <w:jc w:val="center"/>
              <w:rPr>
                <w:rFonts w:ascii="宋体" w:hAnsi="宋体" w:cs="宋体"/>
                <w:kern w:val="0"/>
              </w:rPr>
            </w:pPr>
            <w:r>
              <w:rPr>
                <w:rFonts w:hint="eastAsia" w:ascii="宋体" w:hAnsi="宋体" w:cs="宋体"/>
                <w:kern w:val="0"/>
              </w:rPr>
              <w:t>（9分）</w:t>
            </w:r>
          </w:p>
        </w:tc>
        <w:tc>
          <w:tcPr>
            <w:tcW w:w="6934" w:type="dxa"/>
            <w:vAlign w:val="center"/>
          </w:tcPr>
          <w:p>
            <w:pPr>
              <w:spacing w:line="300" w:lineRule="auto"/>
              <w:rPr>
                <w:rFonts w:ascii="宋体" w:hAnsi="宋体"/>
              </w:rPr>
            </w:pPr>
            <w:r>
              <w:rPr>
                <w:rFonts w:hint="eastAsia" w:ascii="宋体" w:hAnsi="宋体"/>
              </w:rPr>
              <w:t>质量保证措施：质量标准符合招标文件要求，明确质量目标，项目整体及分项工程有完整的质量保证体系；对可能出现的质量偏差有应对措施等。0～4分。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5" w:hRule="atLeast"/>
          <w:jc w:val="center"/>
        </w:trPr>
        <w:tc>
          <w:tcPr>
            <w:tcW w:w="706" w:type="dxa"/>
            <w:vMerge w:val="continue"/>
            <w:vAlign w:val="center"/>
          </w:tcPr>
          <w:p>
            <w:pPr>
              <w:spacing w:line="300" w:lineRule="auto"/>
            </w:pPr>
          </w:p>
        </w:tc>
        <w:tc>
          <w:tcPr>
            <w:tcW w:w="1638" w:type="dxa"/>
            <w:vMerge w:val="continue"/>
            <w:vAlign w:val="center"/>
          </w:tcPr>
          <w:p>
            <w:pPr>
              <w:spacing w:line="300" w:lineRule="auto"/>
            </w:pPr>
          </w:p>
        </w:tc>
        <w:tc>
          <w:tcPr>
            <w:tcW w:w="6934" w:type="dxa"/>
            <w:vAlign w:val="center"/>
          </w:tcPr>
          <w:p>
            <w:pPr>
              <w:spacing w:line="300" w:lineRule="auto"/>
              <w:rPr>
                <w:rFonts w:ascii="宋体" w:hAnsi="宋体"/>
              </w:rPr>
            </w:pPr>
            <w:r>
              <w:rPr>
                <w:rFonts w:hint="eastAsia" w:ascii="宋体" w:hAnsi="宋体"/>
              </w:rPr>
              <w:t>进度保证措施：承诺的工期满足招标文件要求；总体进度计划和各阶段进度计划是否合理可行、保障措施是否可靠。0～5分。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4" w:hRule="atLeast"/>
          <w:jc w:val="center"/>
        </w:trPr>
        <w:tc>
          <w:tcPr>
            <w:tcW w:w="706" w:type="dxa"/>
            <w:vAlign w:val="center"/>
          </w:tcPr>
          <w:p>
            <w:pPr>
              <w:widowControl/>
              <w:jc w:val="center"/>
              <w:rPr>
                <w:rFonts w:ascii="宋体" w:hAnsi="宋体" w:cs="宋体"/>
                <w:kern w:val="0"/>
                <w:sz w:val="24"/>
              </w:rPr>
            </w:pPr>
            <w:r>
              <w:rPr>
                <w:rFonts w:hint="eastAsia" w:ascii="宋体" w:hAnsi="宋体" w:cs="宋体"/>
                <w:kern w:val="0"/>
                <w:sz w:val="24"/>
              </w:rPr>
              <w:t>11</w:t>
            </w:r>
          </w:p>
        </w:tc>
        <w:tc>
          <w:tcPr>
            <w:tcW w:w="1638" w:type="dxa"/>
            <w:vAlign w:val="center"/>
          </w:tcPr>
          <w:p>
            <w:pPr>
              <w:autoSpaceDE w:val="0"/>
              <w:autoSpaceDN w:val="0"/>
              <w:adjustRightInd w:val="0"/>
              <w:spacing w:line="380" w:lineRule="exact"/>
              <w:jc w:val="center"/>
              <w:rPr>
                <w:rFonts w:ascii="宋体" w:hAnsi="宋体" w:cs="宋体"/>
                <w:kern w:val="0"/>
              </w:rPr>
            </w:pPr>
            <w:r>
              <w:rPr>
                <w:rFonts w:hint="eastAsia" w:ascii="宋体" w:hAnsi="宋体" w:cs="宋体"/>
                <w:kern w:val="0"/>
              </w:rPr>
              <w:t>拟投入设备</w:t>
            </w:r>
          </w:p>
          <w:p>
            <w:pPr>
              <w:autoSpaceDE w:val="0"/>
              <w:autoSpaceDN w:val="0"/>
              <w:adjustRightInd w:val="0"/>
              <w:spacing w:line="380" w:lineRule="exact"/>
              <w:jc w:val="center"/>
              <w:rPr>
                <w:rFonts w:ascii="宋体" w:hAnsi="宋体" w:cs="宋体"/>
                <w:kern w:val="0"/>
              </w:rPr>
            </w:pPr>
            <w:r>
              <w:rPr>
                <w:rFonts w:hint="eastAsia" w:ascii="宋体" w:hAnsi="宋体" w:cs="宋体"/>
                <w:kern w:val="0"/>
              </w:rPr>
              <w:t>（6分）</w:t>
            </w:r>
          </w:p>
        </w:tc>
        <w:tc>
          <w:tcPr>
            <w:tcW w:w="6934" w:type="dxa"/>
            <w:vAlign w:val="center"/>
          </w:tcPr>
          <w:p>
            <w:pPr>
              <w:spacing w:line="300" w:lineRule="auto"/>
              <w:rPr>
                <w:rFonts w:ascii="宋体" w:hAnsi="宋体"/>
              </w:rPr>
            </w:pPr>
            <w:r>
              <w:rPr>
                <w:rFonts w:hint="eastAsia" w:ascii="宋体" w:hAnsi="宋体"/>
              </w:rPr>
              <w:t>拟投入设备全面、合理得6分，一般得3分，较差不得分。</w:t>
            </w:r>
          </w:p>
        </w:tc>
      </w:tr>
    </w:tbl>
    <w:p>
      <w:pPr>
        <w:tabs>
          <w:tab w:val="left" w:pos="1050"/>
        </w:tabs>
        <w:spacing w:line="360" w:lineRule="auto"/>
        <w:outlineLvl w:val="1"/>
        <w:rPr>
          <w:b/>
          <w:sz w:val="24"/>
        </w:rPr>
      </w:pPr>
      <w:r>
        <w:rPr>
          <w:rFonts w:hint="eastAsia"/>
          <w:b/>
          <w:sz w:val="24"/>
        </w:rPr>
        <w:t>备注：投标人提供的相关材料必须是真实有效的，如一旦经核查发现投标人弄虚作假，将取消投标人的中标资格，并没收投标保证金，报行政主管部门网上通报.</w:t>
      </w:r>
    </w:p>
    <w:p>
      <w:pPr>
        <w:tabs>
          <w:tab w:val="left" w:pos="1050"/>
        </w:tabs>
        <w:spacing w:line="360" w:lineRule="auto"/>
        <w:outlineLvl w:val="1"/>
        <w:rPr>
          <w:b/>
          <w:sz w:val="24"/>
        </w:rPr>
      </w:pPr>
    </w:p>
    <w:p>
      <w:pPr>
        <w:numPr>
          <w:ilvl w:val="0"/>
          <w:numId w:val="9"/>
        </w:numPr>
        <w:tabs>
          <w:tab w:val="left" w:pos="1050"/>
          <w:tab w:val="clear" w:pos="960"/>
        </w:tabs>
        <w:spacing w:line="360" w:lineRule="auto"/>
        <w:ind w:left="964" w:hanging="482"/>
        <w:outlineLvl w:val="1"/>
        <w:rPr>
          <w:b/>
          <w:sz w:val="24"/>
        </w:rPr>
      </w:pPr>
      <w:bookmarkStart w:id="213" w:name="_Toc317237623"/>
      <w:bookmarkStart w:id="214" w:name="_Toc389164182"/>
      <w:bookmarkStart w:id="215" w:name="_Toc392583297"/>
      <w:bookmarkStart w:id="216" w:name="_Toc14813"/>
      <w:bookmarkStart w:id="217" w:name="_Toc27910"/>
      <w:bookmarkStart w:id="218" w:name="_Toc1449"/>
      <w:bookmarkStart w:id="219" w:name="_Toc6730"/>
      <w:bookmarkStart w:id="220" w:name="_Toc22471"/>
      <w:bookmarkStart w:id="221" w:name="_Toc30436"/>
      <w:bookmarkStart w:id="222" w:name="_Toc19746"/>
      <w:bookmarkStart w:id="223" w:name="_Toc14645"/>
      <w:bookmarkStart w:id="224" w:name="_Toc15452"/>
      <w:bookmarkStart w:id="225" w:name="_Toc26494"/>
      <w:r>
        <w:rPr>
          <w:rFonts w:hint="eastAsia"/>
          <w:b/>
          <w:sz w:val="24"/>
        </w:rPr>
        <w:t>总则</w:t>
      </w:r>
      <w:bookmarkEnd w:id="213"/>
      <w:bookmarkEnd w:id="214"/>
      <w:bookmarkEnd w:id="215"/>
      <w:bookmarkEnd w:id="216"/>
      <w:bookmarkEnd w:id="217"/>
      <w:bookmarkEnd w:id="218"/>
      <w:bookmarkEnd w:id="219"/>
      <w:bookmarkEnd w:id="220"/>
      <w:bookmarkEnd w:id="221"/>
      <w:bookmarkEnd w:id="222"/>
      <w:bookmarkEnd w:id="223"/>
      <w:bookmarkEnd w:id="224"/>
      <w:bookmarkEnd w:id="225"/>
    </w:p>
    <w:p>
      <w:pPr>
        <w:tabs>
          <w:tab w:val="left" w:pos="1050"/>
        </w:tabs>
        <w:spacing w:line="360" w:lineRule="auto"/>
        <w:outlineLvl w:val="1"/>
        <w:rPr>
          <w:b/>
          <w:sz w:val="24"/>
        </w:rPr>
      </w:pPr>
    </w:p>
    <w:p>
      <w:pPr>
        <w:spacing w:line="360" w:lineRule="auto"/>
        <w:ind w:firstLine="480" w:firstLineChars="200"/>
        <w:rPr>
          <w:sz w:val="24"/>
        </w:rPr>
      </w:pPr>
      <w:r>
        <w:rPr>
          <w:rFonts w:hint="eastAsia"/>
          <w:sz w:val="24"/>
        </w:rPr>
        <w:t>1.1 评标工作由招标采购单位负责组织，具体评标事务由招标采购单位依法组建的评审委员会负责。评审委员会由招标人代表和有关技术、经济等方面的专家组成。</w:t>
      </w:r>
    </w:p>
    <w:p>
      <w:pPr>
        <w:spacing w:line="360" w:lineRule="auto"/>
        <w:ind w:firstLine="480" w:firstLineChars="200"/>
        <w:rPr>
          <w:sz w:val="24"/>
        </w:rPr>
      </w:pPr>
      <w:r>
        <w:rPr>
          <w:rFonts w:hint="eastAsia"/>
          <w:sz w:val="24"/>
        </w:rPr>
        <w:t>1.2遵循公平、公正、科学、择优的原则，以相同的评审程序和标准对待所有的投标人。</w:t>
      </w:r>
    </w:p>
    <w:p>
      <w:pPr>
        <w:spacing w:line="360" w:lineRule="auto"/>
        <w:ind w:firstLine="480" w:firstLineChars="200"/>
        <w:rPr>
          <w:sz w:val="24"/>
        </w:rPr>
      </w:pPr>
      <w:r>
        <w:rPr>
          <w:rFonts w:hint="eastAsia"/>
          <w:sz w:val="24"/>
        </w:rPr>
        <w:t>1.3反对不正当竞争，反对恶意压低投标价格。</w:t>
      </w:r>
    </w:p>
    <w:p>
      <w:pPr>
        <w:spacing w:line="360" w:lineRule="auto"/>
        <w:ind w:firstLine="480" w:firstLineChars="200"/>
        <w:rPr>
          <w:sz w:val="24"/>
        </w:rPr>
      </w:pPr>
      <w:r>
        <w:rPr>
          <w:rFonts w:hint="eastAsia"/>
          <w:sz w:val="24"/>
        </w:rPr>
        <w:t>1.4评审委员会按照招标文件规定的评标方法和标准进行评标，并独立履行下列职责：</w:t>
      </w:r>
    </w:p>
    <w:p>
      <w:pPr>
        <w:spacing w:line="360" w:lineRule="auto"/>
        <w:ind w:firstLine="480" w:firstLineChars="200"/>
        <w:rPr>
          <w:sz w:val="24"/>
        </w:rPr>
      </w:pPr>
      <w:r>
        <w:rPr>
          <w:rFonts w:hint="eastAsia"/>
          <w:sz w:val="24"/>
        </w:rPr>
        <w:t>（1）审查投标文件是否符合招标文件要求，并作出评价；</w:t>
      </w:r>
    </w:p>
    <w:p>
      <w:pPr>
        <w:spacing w:line="360" w:lineRule="auto"/>
        <w:ind w:firstLine="480" w:firstLineChars="200"/>
        <w:rPr>
          <w:sz w:val="24"/>
        </w:rPr>
      </w:pPr>
      <w:r>
        <w:rPr>
          <w:rFonts w:hint="eastAsia"/>
          <w:sz w:val="24"/>
        </w:rPr>
        <w:t>（2）要求投标供应商对投标文件有关事项作出解释或者澄清；</w:t>
      </w:r>
    </w:p>
    <w:p>
      <w:pPr>
        <w:spacing w:line="360" w:lineRule="auto"/>
        <w:ind w:firstLine="480" w:firstLineChars="200"/>
        <w:rPr>
          <w:sz w:val="24"/>
        </w:rPr>
      </w:pPr>
      <w:r>
        <w:rPr>
          <w:rFonts w:hint="eastAsia"/>
          <w:sz w:val="24"/>
        </w:rPr>
        <w:t>（3）推荐中标候选供应商名单，或者受招标人委托按照事先确定的办法直接确定中标供应商；</w:t>
      </w:r>
    </w:p>
    <w:p>
      <w:pPr>
        <w:spacing w:line="360" w:lineRule="auto"/>
        <w:ind w:firstLine="480" w:firstLineChars="200"/>
        <w:rPr>
          <w:sz w:val="24"/>
        </w:rPr>
      </w:pPr>
      <w:r>
        <w:rPr>
          <w:rFonts w:hint="eastAsia"/>
          <w:sz w:val="24"/>
        </w:rPr>
        <w:t>（4）向招标采购单位或者有关部门报告非法干预评审工作的行为。</w:t>
      </w:r>
    </w:p>
    <w:p>
      <w:pPr>
        <w:spacing w:line="360" w:lineRule="auto"/>
        <w:ind w:firstLine="480" w:firstLineChars="200"/>
        <w:rPr>
          <w:sz w:val="24"/>
        </w:rPr>
      </w:pPr>
      <w:r>
        <w:rPr>
          <w:rFonts w:hint="eastAsia"/>
          <w:sz w:val="24"/>
        </w:rPr>
        <w:t>1.5评标过程严格保密。投标人对评审委员会的评标过程或合同授予决定施加影响的任何行为都可能导致其投标被拒绝。</w:t>
      </w:r>
    </w:p>
    <w:p>
      <w:pPr>
        <w:spacing w:line="360" w:lineRule="auto"/>
        <w:ind w:firstLine="480" w:firstLineChars="200"/>
        <w:rPr>
          <w:sz w:val="24"/>
        </w:rPr>
      </w:pPr>
      <w:r>
        <w:rPr>
          <w:rFonts w:hint="eastAsia"/>
          <w:sz w:val="24"/>
        </w:rPr>
        <w:t>1.6评审委员会决定投标文件的响应性依据投标文件本身的内容，而不寻求外部的证据。</w:t>
      </w:r>
    </w:p>
    <w:p>
      <w:pPr>
        <w:spacing w:line="360" w:lineRule="auto"/>
        <w:ind w:firstLine="480" w:firstLineChars="200"/>
        <w:rPr>
          <w:sz w:val="24"/>
        </w:rPr>
      </w:pPr>
      <w:r>
        <w:rPr>
          <w:rFonts w:hint="eastAsia"/>
          <w:sz w:val="24"/>
        </w:rPr>
        <w:t>1.7评审委员会发现招标文件表述不明确或需要说明的事项，可提请招标采购单位书面解释说明。</w:t>
      </w:r>
    </w:p>
    <w:p>
      <w:pPr>
        <w:numPr>
          <w:ilvl w:val="0"/>
          <w:numId w:val="9"/>
        </w:numPr>
        <w:tabs>
          <w:tab w:val="left" w:pos="1050"/>
          <w:tab w:val="clear" w:pos="960"/>
        </w:tabs>
        <w:spacing w:line="360" w:lineRule="auto"/>
        <w:ind w:left="964" w:hanging="482"/>
        <w:outlineLvl w:val="1"/>
        <w:rPr>
          <w:b/>
          <w:sz w:val="24"/>
        </w:rPr>
      </w:pPr>
      <w:bookmarkStart w:id="226" w:name="_Toc317237624"/>
      <w:bookmarkStart w:id="227" w:name="_Toc21483"/>
      <w:bookmarkStart w:id="228" w:name="_Toc2009"/>
      <w:bookmarkStart w:id="229" w:name="_Toc392583298"/>
      <w:bookmarkStart w:id="230" w:name="_Toc15627"/>
      <w:bookmarkStart w:id="231" w:name="_Toc27403"/>
      <w:bookmarkStart w:id="232" w:name="_Toc389164183"/>
      <w:bookmarkStart w:id="233" w:name="_Toc10725"/>
      <w:bookmarkStart w:id="234" w:name="_Toc10887"/>
      <w:bookmarkStart w:id="235" w:name="_Toc11078"/>
      <w:bookmarkStart w:id="236" w:name="_Toc17693"/>
      <w:bookmarkStart w:id="237" w:name="_Toc22293"/>
      <w:bookmarkStart w:id="238" w:name="_Toc26180"/>
      <w:r>
        <w:rPr>
          <w:rFonts w:hint="eastAsia"/>
          <w:b/>
          <w:sz w:val="24"/>
        </w:rPr>
        <w:t>评标方法</w:t>
      </w:r>
      <w:bookmarkEnd w:id="226"/>
      <w:bookmarkEnd w:id="227"/>
      <w:bookmarkEnd w:id="228"/>
      <w:bookmarkEnd w:id="229"/>
      <w:bookmarkEnd w:id="230"/>
      <w:bookmarkEnd w:id="231"/>
      <w:bookmarkEnd w:id="232"/>
      <w:bookmarkEnd w:id="233"/>
      <w:bookmarkEnd w:id="234"/>
      <w:bookmarkEnd w:id="235"/>
      <w:bookmarkEnd w:id="236"/>
      <w:bookmarkEnd w:id="237"/>
      <w:bookmarkEnd w:id="238"/>
    </w:p>
    <w:p>
      <w:pPr>
        <w:spacing w:line="360" w:lineRule="auto"/>
        <w:ind w:firstLine="482" w:firstLineChars="200"/>
        <w:rPr>
          <w:b/>
          <w:sz w:val="24"/>
        </w:rPr>
      </w:pPr>
      <w:r>
        <w:rPr>
          <w:rFonts w:hint="eastAsia"/>
          <w:b/>
          <w:sz w:val="24"/>
        </w:rPr>
        <w:t>（一）评审规则</w:t>
      </w:r>
    </w:p>
    <w:p>
      <w:pPr>
        <w:spacing w:line="360" w:lineRule="auto"/>
        <w:ind w:firstLine="480" w:firstLineChars="200"/>
        <w:rPr>
          <w:sz w:val="24"/>
        </w:rPr>
      </w:pPr>
      <w:r>
        <w:rPr>
          <w:rFonts w:hint="eastAsia"/>
          <w:sz w:val="24"/>
        </w:rPr>
        <w:t>2.1.1、本招标项目的评审办法采用综合评分法，满分为100分。</w:t>
      </w:r>
    </w:p>
    <w:p>
      <w:pPr>
        <w:spacing w:line="360" w:lineRule="auto"/>
        <w:ind w:firstLine="480" w:firstLineChars="200"/>
        <w:rPr>
          <w:sz w:val="24"/>
        </w:rPr>
      </w:pPr>
      <w:r>
        <w:rPr>
          <w:rFonts w:hint="eastAsia"/>
          <w:sz w:val="24"/>
        </w:rPr>
        <w:t>2.1.2、综合评分的因素包括以下内容：价格、业绩、人员配备、方案等。</w:t>
      </w:r>
    </w:p>
    <w:p>
      <w:pPr>
        <w:spacing w:line="360" w:lineRule="auto"/>
        <w:ind w:firstLine="480" w:firstLineChars="200"/>
        <w:rPr>
          <w:sz w:val="24"/>
        </w:rPr>
      </w:pPr>
      <w:r>
        <w:rPr>
          <w:rFonts w:hint="eastAsia"/>
          <w:sz w:val="24"/>
        </w:rPr>
        <w:t>2.1.3、评审</w:t>
      </w:r>
      <w:r>
        <w:rPr>
          <w:sz w:val="24"/>
        </w:rPr>
        <w:t>程序</w:t>
      </w:r>
      <w:r>
        <w:rPr>
          <w:rFonts w:hint="eastAsia"/>
          <w:sz w:val="24"/>
        </w:rPr>
        <w:t>：</w:t>
      </w:r>
    </w:p>
    <w:p>
      <w:pPr>
        <w:spacing w:line="360" w:lineRule="auto"/>
        <w:ind w:firstLine="480" w:firstLineChars="200"/>
        <w:rPr>
          <w:sz w:val="24"/>
        </w:rPr>
      </w:pPr>
      <w:r>
        <w:rPr>
          <w:rFonts w:hint="eastAsia"/>
          <w:sz w:val="24"/>
        </w:rPr>
        <w:t>评审步骤：先进行初步评审，再进行详细评审。初步评审包括资格评审和形式评审，详细评审是对技术、商务及价格因素的评审。只有通过初步初审的投标人才能进入详细评审。</w:t>
      </w:r>
    </w:p>
    <w:p>
      <w:pPr>
        <w:spacing w:line="360" w:lineRule="auto"/>
        <w:ind w:firstLine="480" w:firstLineChars="200"/>
        <w:rPr>
          <w:sz w:val="24"/>
        </w:rPr>
      </w:pPr>
      <w:r>
        <w:rPr>
          <w:rFonts w:hint="eastAsia"/>
          <w:sz w:val="24"/>
        </w:rPr>
        <w:t>2.1.4、综合评分及其统计：按照评审程序、评分标准以及权重分配的规定，评审委员会成员分别就各个投标人的承销方案、商务情况、对招标文件要求的响应情况等进行评议和比较，赋予技术方案分和商务分。各评委赋分的算术平均值，即为该投标人的方案得分或商务得分。按综合评分法的报价计算方法计算各投标人的价格得分。将技术得分、商务得分和价格得分相加得出每个投标人的综合得分。</w:t>
      </w:r>
    </w:p>
    <w:p>
      <w:pPr>
        <w:spacing w:line="360" w:lineRule="auto"/>
        <w:ind w:firstLine="480" w:firstLineChars="200"/>
        <w:rPr>
          <w:sz w:val="24"/>
        </w:rPr>
      </w:pPr>
      <w:r>
        <w:rPr>
          <w:rFonts w:hint="eastAsia"/>
          <w:sz w:val="24"/>
        </w:rPr>
        <w:t>2.1.5、综合得分按由高到低顺序排列。综合得分相同的，按投标报价由低到高顺序排列。综合得分和投标报价均相同的，按技术指标由优至劣顺序排列。</w:t>
      </w:r>
    </w:p>
    <w:p>
      <w:pPr>
        <w:spacing w:line="360" w:lineRule="auto"/>
        <w:ind w:firstLine="480" w:firstLineChars="200"/>
        <w:rPr>
          <w:sz w:val="24"/>
        </w:rPr>
      </w:pPr>
      <w:r>
        <w:rPr>
          <w:rFonts w:hint="eastAsia"/>
          <w:sz w:val="24"/>
        </w:rPr>
        <w:t>2.1.6、综合得分最高的投标人为第一中标候选人，综合得分次高的投标人为第二中标候选人，依次类推。</w:t>
      </w:r>
    </w:p>
    <w:p>
      <w:pPr>
        <w:spacing w:line="360" w:lineRule="auto"/>
        <w:ind w:firstLine="482" w:firstLineChars="200"/>
        <w:rPr>
          <w:b/>
          <w:sz w:val="24"/>
        </w:rPr>
      </w:pPr>
      <w:r>
        <w:rPr>
          <w:rFonts w:hint="eastAsia"/>
          <w:b/>
          <w:sz w:val="24"/>
        </w:rPr>
        <w:t>（二）初步评审</w:t>
      </w:r>
    </w:p>
    <w:p>
      <w:pPr>
        <w:spacing w:line="360" w:lineRule="auto"/>
        <w:ind w:firstLine="480" w:firstLineChars="200"/>
        <w:rPr>
          <w:sz w:val="24"/>
        </w:rPr>
      </w:pPr>
      <w:r>
        <w:rPr>
          <w:rFonts w:hint="eastAsia"/>
          <w:sz w:val="24"/>
        </w:rPr>
        <w:t>1、评审委员会根据招标文件要求，对投标人的资格和投标文件的符合性进行评审。</w:t>
      </w:r>
    </w:p>
    <w:p>
      <w:pPr>
        <w:spacing w:line="360" w:lineRule="auto"/>
        <w:ind w:firstLine="480" w:firstLineChars="200"/>
        <w:rPr>
          <w:sz w:val="24"/>
        </w:rPr>
      </w:pPr>
      <w:r>
        <w:rPr>
          <w:rFonts w:hint="eastAsia"/>
          <w:sz w:val="24"/>
        </w:rPr>
        <w:t>2、评审委员会将审查投标文件是否完整、有关资料证明文件是否真实有效、是否提交投标保证金、投标有效期是否满足要求、投标文件的总体编排是否基本有序等。</w:t>
      </w:r>
    </w:p>
    <w:p>
      <w:pPr>
        <w:spacing w:line="360" w:lineRule="auto"/>
        <w:ind w:firstLine="480" w:firstLineChars="200"/>
        <w:rPr>
          <w:sz w:val="24"/>
        </w:rPr>
      </w:pPr>
      <w:r>
        <w:rPr>
          <w:rFonts w:hint="eastAsia"/>
          <w:sz w:val="24"/>
        </w:rPr>
        <w:t>3、无效投标的认定</w:t>
      </w:r>
    </w:p>
    <w:p>
      <w:pPr>
        <w:spacing w:line="360" w:lineRule="auto"/>
        <w:ind w:left="480"/>
        <w:rPr>
          <w:sz w:val="24"/>
        </w:rPr>
      </w:pPr>
      <w:r>
        <w:rPr>
          <w:rFonts w:hint="eastAsia"/>
          <w:sz w:val="24"/>
        </w:rPr>
        <w:t>评审过程中，投标文件出现（但不限于）下列情况的，将被认定为无效投标：</w:t>
      </w:r>
    </w:p>
    <w:p>
      <w:pPr>
        <w:numPr>
          <w:ilvl w:val="0"/>
          <w:numId w:val="10"/>
        </w:numPr>
        <w:spacing w:line="360" w:lineRule="auto"/>
        <w:rPr>
          <w:sz w:val="24"/>
        </w:rPr>
      </w:pPr>
      <w:r>
        <w:rPr>
          <w:rFonts w:hint="eastAsia"/>
          <w:sz w:val="24"/>
        </w:rPr>
        <w:t>投标人未提交投标保证金或投标保证金金额不足的；</w:t>
      </w:r>
    </w:p>
    <w:p>
      <w:pPr>
        <w:numPr>
          <w:ilvl w:val="0"/>
          <w:numId w:val="10"/>
        </w:numPr>
        <w:spacing w:line="360" w:lineRule="auto"/>
        <w:rPr>
          <w:sz w:val="24"/>
        </w:rPr>
      </w:pPr>
      <w:r>
        <w:rPr>
          <w:rFonts w:hint="eastAsia"/>
          <w:sz w:val="24"/>
        </w:rPr>
        <w:t>投标报价超过了报价控制范围的；</w:t>
      </w:r>
    </w:p>
    <w:p>
      <w:pPr>
        <w:spacing w:line="360" w:lineRule="auto"/>
        <w:ind w:firstLine="482" w:firstLineChars="200"/>
        <w:rPr>
          <w:b/>
          <w:sz w:val="24"/>
        </w:rPr>
      </w:pPr>
      <w:r>
        <w:rPr>
          <w:rFonts w:hint="eastAsia"/>
          <w:b/>
          <w:sz w:val="24"/>
        </w:rPr>
        <w:t>（三）详细评审</w:t>
      </w:r>
    </w:p>
    <w:p>
      <w:pPr>
        <w:spacing w:line="360" w:lineRule="auto"/>
        <w:ind w:firstLine="480" w:firstLineChars="200"/>
        <w:rPr>
          <w:sz w:val="24"/>
        </w:rPr>
      </w:pPr>
      <w:r>
        <w:rPr>
          <w:rFonts w:hint="eastAsia"/>
          <w:sz w:val="24"/>
        </w:rPr>
        <w:t>详细评审是对通过初步评审的投标进行技术、商务和价格的评审。</w:t>
      </w:r>
    </w:p>
    <w:p>
      <w:pPr>
        <w:numPr>
          <w:ilvl w:val="0"/>
          <w:numId w:val="11"/>
        </w:numPr>
        <w:tabs>
          <w:tab w:val="left" w:pos="945"/>
          <w:tab w:val="clear" w:pos="840"/>
        </w:tabs>
        <w:spacing w:line="360" w:lineRule="auto"/>
        <w:ind w:left="0" w:firstLine="482" w:firstLineChars="200"/>
        <w:rPr>
          <w:b/>
          <w:sz w:val="24"/>
        </w:rPr>
      </w:pPr>
      <w:r>
        <w:rPr>
          <w:rFonts w:hint="eastAsia"/>
          <w:b/>
          <w:sz w:val="24"/>
        </w:rPr>
        <w:t>价格评审</w:t>
      </w:r>
    </w:p>
    <w:p>
      <w:pPr>
        <w:tabs>
          <w:tab w:val="left" w:pos="945"/>
        </w:tabs>
        <w:spacing w:line="360" w:lineRule="auto"/>
        <w:ind w:firstLine="480" w:firstLineChars="200"/>
        <w:rPr>
          <w:sz w:val="24"/>
        </w:rPr>
      </w:pPr>
      <w:r>
        <w:rPr>
          <w:rFonts w:hint="eastAsia"/>
          <w:sz w:val="24"/>
        </w:rPr>
        <w:t>详见评标前附表。</w:t>
      </w:r>
    </w:p>
    <w:p>
      <w:pPr>
        <w:numPr>
          <w:ilvl w:val="0"/>
          <w:numId w:val="11"/>
        </w:numPr>
        <w:tabs>
          <w:tab w:val="left" w:pos="945"/>
          <w:tab w:val="clear" w:pos="840"/>
        </w:tabs>
        <w:spacing w:line="360" w:lineRule="auto"/>
        <w:ind w:left="0" w:firstLine="482" w:firstLineChars="200"/>
        <w:rPr>
          <w:b/>
          <w:sz w:val="24"/>
        </w:rPr>
      </w:pPr>
      <w:r>
        <w:rPr>
          <w:rFonts w:hint="eastAsia"/>
          <w:b/>
          <w:sz w:val="24"/>
        </w:rPr>
        <w:t>商务评审</w:t>
      </w:r>
    </w:p>
    <w:p>
      <w:pPr>
        <w:tabs>
          <w:tab w:val="left" w:pos="945"/>
        </w:tabs>
        <w:spacing w:line="360" w:lineRule="auto"/>
        <w:ind w:firstLine="480" w:firstLineChars="200"/>
        <w:rPr>
          <w:b/>
          <w:sz w:val="24"/>
        </w:rPr>
      </w:pPr>
      <w:r>
        <w:rPr>
          <w:rFonts w:hint="eastAsia"/>
          <w:sz w:val="24"/>
        </w:rPr>
        <w:t>评审委员会对投标人的资格、信誉和业绩合同等情况进行比较和评价。</w:t>
      </w:r>
    </w:p>
    <w:p>
      <w:pPr>
        <w:numPr>
          <w:ilvl w:val="0"/>
          <w:numId w:val="11"/>
        </w:numPr>
        <w:tabs>
          <w:tab w:val="left" w:pos="945"/>
          <w:tab w:val="clear" w:pos="840"/>
        </w:tabs>
        <w:spacing w:line="360" w:lineRule="auto"/>
        <w:ind w:left="0" w:firstLine="482" w:firstLineChars="200"/>
        <w:rPr>
          <w:b/>
          <w:sz w:val="24"/>
        </w:rPr>
      </w:pPr>
      <w:r>
        <w:rPr>
          <w:rFonts w:hint="eastAsia"/>
          <w:b/>
          <w:sz w:val="24"/>
        </w:rPr>
        <w:t>技术方案评审</w:t>
      </w:r>
    </w:p>
    <w:p>
      <w:pPr>
        <w:spacing w:line="360" w:lineRule="auto"/>
        <w:ind w:firstLine="480" w:firstLineChars="200"/>
        <w:rPr>
          <w:sz w:val="24"/>
        </w:rPr>
      </w:pPr>
      <w:r>
        <w:rPr>
          <w:rFonts w:hint="eastAsia"/>
          <w:sz w:val="24"/>
        </w:rPr>
        <w:t>评审委员会将根据投标人所提供的实施方案进行综合评价。</w:t>
      </w:r>
    </w:p>
    <w:p>
      <w:pPr>
        <w:spacing w:line="360" w:lineRule="auto"/>
        <w:ind w:firstLine="480" w:firstLineChars="200"/>
        <w:rPr>
          <w:sz w:val="24"/>
        </w:rPr>
      </w:pPr>
      <w:r>
        <w:rPr>
          <w:rFonts w:hint="eastAsia"/>
          <w:sz w:val="24"/>
        </w:rPr>
        <w:t>注：商务评标因素和实施方案评标因素的分值取小数点后2位，小数点后第三位四舍五入。</w:t>
      </w:r>
    </w:p>
    <w:p>
      <w:pPr>
        <w:numPr>
          <w:ilvl w:val="0"/>
          <w:numId w:val="11"/>
        </w:numPr>
        <w:tabs>
          <w:tab w:val="left" w:pos="945"/>
          <w:tab w:val="clear" w:pos="840"/>
        </w:tabs>
        <w:spacing w:line="360" w:lineRule="auto"/>
        <w:ind w:left="0" w:firstLine="482" w:firstLineChars="200"/>
        <w:rPr>
          <w:b/>
          <w:sz w:val="24"/>
        </w:rPr>
      </w:pPr>
      <w:r>
        <w:rPr>
          <w:rFonts w:hint="eastAsia"/>
          <w:b/>
          <w:sz w:val="24"/>
        </w:rPr>
        <w:t>编写评审报告</w:t>
      </w:r>
    </w:p>
    <w:p>
      <w:pPr>
        <w:spacing w:line="360" w:lineRule="auto"/>
        <w:ind w:firstLine="480" w:firstLineChars="200"/>
        <w:rPr>
          <w:sz w:val="24"/>
        </w:rPr>
      </w:pPr>
      <w:r>
        <w:rPr>
          <w:rFonts w:hint="eastAsia"/>
          <w:sz w:val="24"/>
        </w:rPr>
        <w:t>评审报告是评审委员会根据全体评标成员签字的原始评标记录和评标结果编写的报告，其主要内容包括：</w:t>
      </w:r>
    </w:p>
    <w:p>
      <w:pPr>
        <w:spacing w:line="360" w:lineRule="auto"/>
        <w:ind w:firstLine="480" w:firstLineChars="200"/>
        <w:rPr>
          <w:sz w:val="24"/>
        </w:rPr>
      </w:pPr>
      <w:r>
        <w:rPr>
          <w:rFonts w:hint="eastAsia"/>
          <w:sz w:val="24"/>
        </w:rPr>
        <w:t>（1）招标公告刊登的媒体名称、开标日期和地点；</w:t>
      </w:r>
    </w:p>
    <w:p>
      <w:pPr>
        <w:spacing w:line="360" w:lineRule="auto"/>
        <w:ind w:firstLine="480" w:firstLineChars="200"/>
        <w:rPr>
          <w:sz w:val="24"/>
        </w:rPr>
      </w:pPr>
      <w:r>
        <w:rPr>
          <w:rFonts w:hint="eastAsia"/>
          <w:sz w:val="24"/>
        </w:rPr>
        <w:t>（2）获取招标文件的投标人名单和评审委员会成员名单；</w:t>
      </w:r>
    </w:p>
    <w:p>
      <w:pPr>
        <w:spacing w:line="360" w:lineRule="auto"/>
        <w:ind w:firstLine="480" w:firstLineChars="200"/>
        <w:rPr>
          <w:sz w:val="24"/>
        </w:rPr>
      </w:pPr>
      <w:r>
        <w:rPr>
          <w:rFonts w:hint="eastAsia"/>
          <w:sz w:val="24"/>
        </w:rPr>
        <w:t>（3）评标方法和标准；</w:t>
      </w:r>
    </w:p>
    <w:p>
      <w:pPr>
        <w:spacing w:line="360" w:lineRule="auto"/>
        <w:ind w:firstLine="480" w:firstLineChars="200"/>
        <w:rPr>
          <w:sz w:val="24"/>
        </w:rPr>
      </w:pPr>
      <w:r>
        <w:rPr>
          <w:rFonts w:hint="eastAsia"/>
          <w:sz w:val="24"/>
        </w:rPr>
        <w:t>（4）开标记录和评标情况及说明，包括投标无效投标人名单及原因；</w:t>
      </w:r>
    </w:p>
    <w:p>
      <w:pPr>
        <w:spacing w:line="360" w:lineRule="auto"/>
        <w:ind w:firstLine="480" w:firstLineChars="200"/>
        <w:rPr>
          <w:sz w:val="24"/>
        </w:rPr>
      </w:pPr>
      <w:r>
        <w:rPr>
          <w:rFonts w:hint="eastAsia"/>
          <w:sz w:val="24"/>
        </w:rPr>
        <w:t>（5）评审结果和中标候选供应商排序表；</w:t>
      </w:r>
    </w:p>
    <w:p>
      <w:pPr>
        <w:spacing w:line="360" w:lineRule="auto"/>
        <w:ind w:firstLine="480" w:firstLineChars="200"/>
        <w:rPr>
          <w:sz w:val="24"/>
        </w:rPr>
      </w:pPr>
      <w:r>
        <w:rPr>
          <w:rFonts w:hint="eastAsia"/>
          <w:sz w:val="24"/>
        </w:rPr>
        <w:t>（6）评审委员会的授标建议。</w:t>
      </w:r>
    </w:p>
    <w:p>
      <w:pPr>
        <w:numPr>
          <w:ilvl w:val="0"/>
          <w:numId w:val="11"/>
        </w:numPr>
        <w:tabs>
          <w:tab w:val="left" w:pos="945"/>
          <w:tab w:val="clear" w:pos="840"/>
        </w:tabs>
        <w:spacing w:line="360" w:lineRule="auto"/>
        <w:ind w:left="0" w:firstLine="482" w:firstLineChars="200"/>
        <w:rPr>
          <w:b/>
          <w:sz w:val="24"/>
        </w:rPr>
      </w:pPr>
      <w:r>
        <w:rPr>
          <w:rFonts w:hint="eastAsia"/>
          <w:b/>
          <w:sz w:val="24"/>
        </w:rPr>
        <w:t>废标</w:t>
      </w:r>
    </w:p>
    <w:p>
      <w:pPr>
        <w:spacing w:line="360" w:lineRule="auto"/>
        <w:ind w:firstLine="480" w:firstLineChars="200"/>
        <w:rPr>
          <w:sz w:val="24"/>
        </w:rPr>
      </w:pPr>
      <w:r>
        <w:rPr>
          <w:sz w:val="24"/>
        </w:rPr>
        <w:t>投标文件出现以下情况的将被宣布为废标或不合格：</w:t>
      </w:r>
    </w:p>
    <w:p>
      <w:pPr>
        <w:spacing w:line="360" w:lineRule="auto"/>
        <w:ind w:firstLine="480" w:firstLineChars="200"/>
        <w:rPr>
          <w:sz w:val="24"/>
        </w:rPr>
      </w:pPr>
      <w:r>
        <w:rPr>
          <w:sz w:val="24"/>
        </w:rPr>
        <w:t>（1）投标人的资格、条件不符合招标文件要求的；</w:t>
      </w:r>
    </w:p>
    <w:p>
      <w:pPr>
        <w:spacing w:line="360" w:lineRule="auto"/>
        <w:ind w:firstLine="480" w:firstLineChars="200"/>
        <w:rPr>
          <w:sz w:val="24"/>
        </w:rPr>
      </w:pPr>
      <w:r>
        <w:rPr>
          <w:sz w:val="24"/>
        </w:rPr>
        <w:t>（</w:t>
      </w:r>
      <w:r>
        <w:rPr>
          <w:rFonts w:hint="eastAsia"/>
          <w:sz w:val="24"/>
        </w:rPr>
        <w:t>2</w:t>
      </w:r>
      <w:r>
        <w:rPr>
          <w:sz w:val="24"/>
        </w:rPr>
        <w:t>）以联合体形式投标的；</w:t>
      </w:r>
    </w:p>
    <w:p>
      <w:pPr>
        <w:spacing w:line="360" w:lineRule="auto"/>
        <w:ind w:firstLine="480" w:firstLineChars="200"/>
        <w:rPr>
          <w:sz w:val="24"/>
        </w:rPr>
      </w:pPr>
      <w:r>
        <w:rPr>
          <w:sz w:val="24"/>
        </w:rPr>
        <w:t>（</w:t>
      </w:r>
      <w:r>
        <w:rPr>
          <w:rFonts w:hint="eastAsia"/>
          <w:sz w:val="24"/>
        </w:rPr>
        <w:t>3</w:t>
      </w:r>
      <w:r>
        <w:rPr>
          <w:sz w:val="24"/>
        </w:rPr>
        <w:t>）投标文件报价不在有效报价范围的；</w:t>
      </w:r>
    </w:p>
    <w:p>
      <w:pPr>
        <w:numPr>
          <w:ilvl w:val="0"/>
          <w:numId w:val="11"/>
        </w:numPr>
        <w:tabs>
          <w:tab w:val="left" w:pos="945"/>
          <w:tab w:val="clear" w:pos="840"/>
        </w:tabs>
        <w:spacing w:line="360" w:lineRule="auto"/>
        <w:ind w:left="0" w:firstLine="482" w:firstLineChars="200"/>
        <w:rPr>
          <w:b/>
          <w:sz w:val="24"/>
        </w:rPr>
      </w:pPr>
      <w:r>
        <w:rPr>
          <w:rFonts w:hint="eastAsia"/>
          <w:b/>
          <w:sz w:val="24"/>
        </w:rPr>
        <w:t>定标</w:t>
      </w:r>
    </w:p>
    <w:p>
      <w:pPr>
        <w:spacing w:line="360" w:lineRule="auto"/>
        <w:ind w:firstLine="480" w:firstLineChars="200"/>
        <w:rPr>
          <w:sz w:val="24"/>
        </w:rPr>
      </w:pPr>
      <w:r>
        <w:rPr>
          <w:rFonts w:hint="eastAsia"/>
          <w:sz w:val="24"/>
        </w:rPr>
        <w:t>6.1. 定标原则：评审委员会依据评审结论推荐3名中标候选人。</w:t>
      </w:r>
    </w:p>
    <w:p>
      <w:pPr>
        <w:spacing w:line="360" w:lineRule="auto"/>
        <w:ind w:firstLine="480" w:firstLineChars="200"/>
        <w:rPr>
          <w:sz w:val="24"/>
        </w:rPr>
      </w:pPr>
      <w:r>
        <w:rPr>
          <w:rFonts w:hint="eastAsia"/>
          <w:sz w:val="24"/>
        </w:rPr>
        <w:t>6.2. 定标程序</w:t>
      </w:r>
    </w:p>
    <w:p>
      <w:pPr>
        <w:spacing w:line="360" w:lineRule="auto"/>
        <w:ind w:firstLine="480" w:firstLineChars="200"/>
        <w:rPr>
          <w:sz w:val="24"/>
        </w:rPr>
      </w:pPr>
      <w:r>
        <w:rPr>
          <w:rFonts w:hint="eastAsia"/>
          <w:sz w:val="24"/>
        </w:rPr>
        <w:t>6.2.1 评审委员会将评审情况写出书面报告，推荐中标候选人，并按照综合得分高低标明排列顺序。综合得分相同的，按投标报价由低到高顺序排列。得分且投标报价相同的，按技术指标优劣顺序排列。</w:t>
      </w:r>
    </w:p>
    <w:p>
      <w:pPr>
        <w:spacing w:line="360" w:lineRule="auto"/>
        <w:ind w:firstLine="480" w:firstLineChars="200"/>
        <w:rPr>
          <w:sz w:val="24"/>
        </w:rPr>
      </w:pPr>
      <w:r>
        <w:rPr>
          <w:rFonts w:hint="eastAsia"/>
          <w:sz w:val="24"/>
        </w:rPr>
        <w:t>6.2.2 招标代理机构在评标结束后五个工作日内将评审报告送招标人。</w:t>
      </w:r>
    </w:p>
    <w:p>
      <w:pPr>
        <w:spacing w:line="360" w:lineRule="auto"/>
        <w:ind w:firstLine="480" w:firstLineChars="200"/>
        <w:rPr>
          <w:sz w:val="24"/>
        </w:rPr>
      </w:pPr>
      <w:r>
        <w:rPr>
          <w:rFonts w:hint="eastAsia"/>
          <w:sz w:val="24"/>
        </w:rPr>
        <w:t>6.2.3 招标人在收到评审报告后，按照财政部87号令的规定确定中标人。</w:t>
      </w:r>
    </w:p>
    <w:p>
      <w:pPr>
        <w:spacing w:line="360" w:lineRule="auto"/>
        <w:ind w:firstLine="480" w:firstLineChars="200"/>
        <w:rPr>
          <w:sz w:val="24"/>
        </w:rPr>
      </w:pPr>
      <w:r>
        <w:rPr>
          <w:rFonts w:hint="eastAsia"/>
          <w:sz w:val="24"/>
        </w:rPr>
        <w:t>6.2.4 根据招标人确定的中标人，招标代理机构在网上发布中标公示，同时向中标人发出中标通知书。</w:t>
      </w:r>
    </w:p>
    <w:p>
      <w:pPr>
        <w:spacing w:line="360" w:lineRule="auto"/>
        <w:ind w:firstLine="480" w:firstLineChars="200"/>
        <w:rPr>
          <w:sz w:val="24"/>
        </w:rPr>
      </w:pPr>
      <w:r>
        <w:rPr>
          <w:rFonts w:hint="eastAsia"/>
          <w:sz w:val="24"/>
        </w:rPr>
        <w:t>6.2.5 招标采购单位不解释中标或落标原因，不退回投标文件和其他投标资料。</w:t>
      </w:r>
    </w:p>
    <w:p>
      <w:pPr>
        <w:numPr>
          <w:ilvl w:val="0"/>
          <w:numId w:val="11"/>
        </w:numPr>
        <w:tabs>
          <w:tab w:val="left" w:pos="945"/>
          <w:tab w:val="clear" w:pos="840"/>
        </w:tabs>
        <w:spacing w:line="360" w:lineRule="auto"/>
        <w:ind w:left="0" w:firstLine="482" w:firstLineChars="200"/>
        <w:rPr>
          <w:b/>
          <w:sz w:val="24"/>
        </w:rPr>
      </w:pPr>
      <w:r>
        <w:rPr>
          <w:rFonts w:hint="eastAsia"/>
          <w:b/>
          <w:sz w:val="24"/>
        </w:rPr>
        <w:t>评审委员承担以下义务：</w:t>
      </w:r>
    </w:p>
    <w:p>
      <w:pPr>
        <w:spacing w:line="360" w:lineRule="auto"/>
        <w:ind w:firstLine="480" w:firstLineChars="200"/>
        <w:rPr>
          <w:sz w:val="24"/>
        </w:rPr>
      </w:pPr>
      <w:r>
        <w:rPr>
          <w:rFonts w:hint="eastAsia"/>
          <w:sz w:val="24"/>
        </w:rPr>
        <w:t>7.1 遵纪守法，客观、公正、廉洁地履行职责。</w:t>
      </w:r>
    </w:p>
    <w:p>
      <w:pPr>
        <w:spacing w:line="360" w:lineRule="auto"/>
        <w:ind w:firstLine="480" w:firstLineChars="200"/>
        <w:rPr>
          <w:sz w:val="24"/>
        </w:rPr>
      </w:pPr>
      <w:r>
        <w:rPr>
          <w:rFonts w:hint="eastAsia"/>
          <w:sz w:val="24"/>
        </w:rPr>
        <w:t>7.2 按照政府采购法律法规和采购文件的规定要求对供应商的资格条件和供应商提供的产品价格、技术、服务等方面严格进行评判，提供科学合理、公平公正的评审意见，参与起草评审报告，并签字确认。</w:t>
      </w:r>
    </w:p>
    <w:p>
      <w:pPr>
        <w:spacing w:line="360" w:lineRule="auto"/>
        <w:ind w:firstLine="480" w:firstLineChars="200"/>
        <w:rPr>
          <w:sz w:val="24"/>
        </w:rPr>
      </w:pPr>
      <w:r>
        <w:rPr>
          <w:rFonts w:hint="eastAsia"/>
          <w:sz w:val="24"/>
        </w:rPr>
        <w:t>7.3 保守秘密。不得透露采购文件咨询情况，不得泄漏供应商的投标文件及知悉的商业秘密，不得向供应商透露评审情况。</w:t>
      </w:r>
    </w:p>
    <w:p>
      <w:pPr>
        <w:spacing w:line="360" w:lineRule="auto"/>
        <w:ind w:firstLine="480" w:firstLineChars="200"/>
        <w:rPr>
          <w:sz w:val="24"/>
        </w:rPr>
      </w:pPr>
      <w:r>
        <w:rPr>
          <w:rFonts w:hint="eastAsia"/>
          <w:sz w:val="24"/>
        </w:rPr>
        <w:t>7.4 发现供应商在政府采购活动中有不正当竞争或恶意串通等违规行为，及时向政府采购评审工作的组织者或财政部门报告并加以制止。</w:t>
      </w:r>
    </w:p>
    <w:p>
      <w:pPr>
        <w:spacing w:line="360" w:lineRule="auto"/>
        <w:ind w:firstLine="480" w:firstLineChars="200"/>
        <w:rPr>
          <w:sz w:val="24"/>
        </w:rPr>
      </w:pPr>
      <w:r>
        <w:rPr>
          <w:rFonts w:hint="eastAsia"/>
          <w:sz w:val="24"/>
        </w:rPr>
        <w:t>发现招标人、政府招标代理机构及其工作人员在政府采购活动中有干预评审、发表倾向性和歧视性言论、受贿或者接受供应商的其他好处及其他违法违规行为，及时向财政部门报告。</w:t>
      </w:r>
    </w:p>
    <w:p>
      <w:pPr>
        <w:spacing w:line="360" w:lineRule="auto"/>
        <w:ind w:firstLine="480" w:firstLineChars="200"/>
        <w:rPr>
          <w:sz w:val="24"/>
        </w:rPr>
      </w:pPr>
      <w:r>
        <w:rPr>
          <w:rFonts w:hint="eastAsia"/>
          <w:sz w:val="24"/>
        </w:rPr>
        <w:t>7.5 解答有关方面对政府采购评审工作中有关问题的询问，配合招标人或者政府招标代理机构答复供应商质疑，配合投诉处理工作等事宜。</w:t>
      </w:r>
    </w:p>
    <w:p>
      <w:pPr>
        <w:spacing w:line="360" w:lineRule="auto"/>
        <w:ind w:firstLine="480" w:firstLineChars="200"/>
        <w:rPr>
          <w:sz w:val="24"/>
        </w:rPr>
      </w:pPr>
      <w:r>
        <w:rPr>
          <w:rFonts w:hint="eastAsia"/>
          <w:sz w:val="24"/>
        </w:rPr>
        <w:t>7.6 法律、法规和规章规定的其他义务。</w:t>
      </w:r>
    </w:p>
    <w:p>
      <w:pPr>
        <w:numPr>
          <w:ilvl w:val="0"/>
          <w:numId w:val="11"/>
        </w:numPr>
        <w:tabs>
          <w:tab w:val="left" w:pos="945"/>
          <w:tab w:val="clear" w:pos="840"/>
        </w:tabs>
        <w:spacing w:line="360" w:lineRule="auto"/>
        <w:ind w:left="0" w:firstLine="482" w:firstLineChars="200"/>
        <w:rPr>
          <w:b/>
          <w:sz w:val="24"/>
        </w:rPr>
      </w:pPr>
      <w:r>
        <w:rPr>
          <w:rFonts w:hint="eastAsia"/>
          <w:b/>
          <w:sz w:val="24"/>
        </w:rPr>
        <w:t>评审委员应当遵守以下工作纪律：</w:t>
      </w:r>
    </w:p>
    <w:p>
      <w:pPr>
        <w:spacing w:line="360" w:lineRule="auto"/>
        <w:ind w:firstLine="480" w:firstLineChars="200"/>
        <w:rPr>
          <w:sz w:val="24"/>
        </w:rPr>
      </w:pPr>
      <w:r>
        <w:rPr>
          <w:rFonts w:hint="eastAsia"/>
          <w:sz w:val="24"/>
        </w:rPr>
        <w:t>8.1 应邀按时参加评审和咨询活动。遇特殊情况不能出席或途中遇阻不能按时参加评审或咨询的，应及时告知财政部门或者招标人或者招标代理机构，不得私自转托他人。</w:t>
      </w:r>
    </w:p>
    <w:p>
      <w:pPr>
        <w:spacing w:line="360" w:lineRule="auto"/>
        <w:ind w:firstLine="480" w:firstLineChars="200"/>
        <w:rPr>
          <w:sz w:val="24"/>
        </w:rPr>
      </w:pPr>
      <w:r>
        <w:rPr>
          <w:rFonts w:hint="eastAsia"/>
          <w:sz w:val="24"/>
        </w:rPr>
        <w:t>8.2 不得参加与自己有利害关系的政府采购项目的评审活动。对与自己有利害关系的评审项目，如受到邀请，应主动提出回避。财政部门、招标人或招标代理机构也可要求该评审专家回避。</w:t>
      </w:r>
    </w:p>
    <w:p>
      <w:pPr>
        <w:spacing w:line="360" w:lineRule="auto"/>
        <w:ind w:firstLine="480" w:firstLineChars="200"/>
        <w:rPr>
          <w:sz w:val="24"/>
        </w:rPr>
      </w:pPr>
      <w:r>
        <w:rPr>
          <w:rFonts w:hint="eastAsia"/>
          <w:sz w:val="24"/>
        </w:rPr>
        <w:t>有利害关系是指三年内曾在参加该采购项目的供应商处任职(包括一般工作)或担任顾问，配偶或直系亲属在参加该采购项目的供应商中任职或担任顾问，与参加该采购项目供应商发生过法律纠纷，以及其他可能影响公正评审的情况。</w:t>
      </w:r>
    </w:p>
    <w:p>
      <w:pPr>
        <w:spacing w:line="360" w:lineRule="auto"/>
        <w:ind w:firstLine="480" w:firstLineChars="200"/>
        <w:rPr>
          <w:sz w:val="24"/>
        </w:rPr>
      </w:pPr>
      <w:r>
        <w:rPr>
          <w:rFonts w:hint="eastAsia"/>
          <w:sz w:val="24"/>
        </w:rPr>
        <w:t>8.3 评审或咨询过程中关闭通讯设备，不得与外界联系。因发生不可预见情况，确实需要与外界联系的，应当在现场工作人员陪同下联系。</w:t>
      </w:r>
    </w:p>
    <w:p>
      <w:pPr>
        <w:spacing w:line="360" w:lineRule="auto"/>
        <w:ind w:firstLine="480" w:firstLineChars="200"/>
        <w:rPr>
          <w:sz w:val="24"/>
        </w:rPr>
      </w:pPr>
      <w:r>
        <w:rPr>
          <w:rFonts w:hint="eastAsia"/>
          <w:sz w:val="24"/>
        </w:rPr>
        <w:t>8.4 评审过程中，不得发表影响评审公正的倾向性、歧视性言论；不得征询或者接受招标人的倾向性意见；不得以任何明示或暗示的方式要求参加该采购项目的供应商以澄清、说明或补正为借口，表达与其原投标文件原意不同的新意见；不得以采购文件没有规定的方法和标准作为评审的依据；不得违反规定的评审格式评分和撰写评审意见；不得拒绝对自己的评审意见签字确认。</w:t>
      </w:r>
    </w:p>
    <w:p>
      <w:pPr>
        <w:spacing w:line="360" w:lineRule="auto"/>
        <w:ind w:firstLine="480" w:firstLineChars="200"/>
        <w:rPr>
          <w:sz w:val="24"/>
        </w:rPr>
      </w:pPr>
      <w:r>
        <w:rPr>
          <w:rFonts w:hint="eastAsia"/>
          <w:sz w:val="24"/>
        </w:rPr>
        <w:t>8.5 有关部门规定的其他评审工作纪律。</w:t>
      </w:r>
    </w:p>
    <w:p>
      <w:pPr>
        <w:rPr>
          <w:rFonts w:cs="Times New Roman"/>
        </w:rPr>
      </w:pPr>
    </w:p>
    <w:sectPr>
      <w:pgSz w:w="11907" w:h="16840"/>
      <w:pgMar w:top="2098" w:right="1474" w:bottom="1985" w:left="1588" w:header="794" w:footer="794" w:gutter="0"/>
      <w:cols w:space="720" w:num="1"/>
      <w:docGrid w:linePitch="28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华文彩云">
    <w:panose1 w:val="02010800040101010101"/>
    <w:charset w:val="86"/>
    <w:family w:val="auto"/>
    <w:pitch w:val="default"/>
    <w:sig w:usb0="00000001" w:usb1="080F0000" w:usb2="00000000" w:usb3="00000000" w:csb0="00040000" w:csb1="00000000"/>
  </w:font>
  <w:font w:name="Century Gothic">
    <w:panose1 w:val="020B0502020202020204"/>
    <w:charset w:val="00"/>
    <w:family w:val="swiss"/>
    <w:pitch w:val="default"/>
    <w:sig w:usb0="00000287" w:usb1="00000000" w:usb2="00000000" w:usb3="00000000" w:csb0="2000009F" w:csb1="DFD70000"/>
  </w:font>
  <w:font w:name="幼圆">
    <w:panose1 w:val="02010509060101010101"/>
    <w:charset w:val="86"/>
    <w:family w:val="modern"/>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Cambria">
    <w:panose1 w:val="02040503050406030204"/>
    <w:charset w:val="00"/>
    <w:family w:val="roman"/>
    <w:pitch w:val="default"/>
    <w:sig w:usb0="A00002EF" w:usb1="4000004B" w:usb2="00000000" w:usb3="00000000" w:csb0="2000009F" w:csb1="00000000"/>
  </w:font>
  <w:font w:name="Arial Black">
    <w:panose1 w:val="020B0A04020102020204"/>
    <w:charset w:val="00"/>
    <w:family w:val="swiss"/>
    <w:pitch w:val="default"/>
    <w:sig w:usb0="00000287" w:usb1="00000000" w:usb2="00000000" w:usb3="00000000" w:csb0="2000009F" w:csb1="DFD70000"/>
  </w:font>
  <w:font w:name="楷体">
    <w:panose1 w:val="02010609060101010101"/>
    <w:charset w:val="86"/>
    <w:family w:val="modern"/>
    <w:pitch w:val="default"/>
    <w:sig w:usb0="800002BF" w:usb1="38CF7CFA" w:usb2="00000016" w:usb3="00000000" w:csb0="00040001" w:csb1="00000000"/>
  </w:font>
  <w:font w:name="Verdana">
    <w:panose1 w:val="020B0604030504040204"/>
    <w:charset w:val="00"/>
    <w:family w:val="swiss"/>
    <w:pitch w:val="default"/>
    <w:sig w:usb0="A1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方正书宋简体">
    <w:altName w:val="宋体"/>
    <w:panose1 w:val="00000000000000000000"/>
    <w:charset w:val="86"/>
    <w:family w:val="auto"/>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方正仿宋简体">
    <w:altName w:val="微软雅黑"/>
    <w:panose1 w:val="00000000000000000000"/>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jc w:val="center"/>
      <w:rPr>
        <w:rFonts w:cs="Times New Roman"/>
      </w:rPr>
    </w:pPr>
  </w:p>
  <w:p>
    <w:pPr>
      <w:pStyle w:val="28"/>
      <w:rPr>
        <w:rFonts w:cs="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framePr w:wrap="around" w:vAnchor="text" w:hAnchor="margin" w:xAlign="center" w:y="1"/>
      <w:rPr>
        <w:rStyle w:val="46"/>
        <w:rFonts w:cs="Times New Roman"/>
      </w:rPr>
    </w:pPr>
    <w:r>
      <w:rPr>
        <w:rStyle w:val="46"/>
      </w:rPr>
      <w:fldChar w:fldCharType="begin"/>
    </w:r>
    <w:r>
      <w:rPr>
        <w:rStyle w:val="46"/>
      </w:rPr>
      <w:instrText xml:space="preserve">PAGE  </w:instrText>
    </w:r>
    <w:r>
      <w:rPr>
        <w:rStyle w:val="46"/>
      </w:rPr>
      <w:fldChar w:fldCharType="separate"/>
    </w:r>
    <w:r>
      <w:rPr>
        <w:rStyle w:val="46"/>
      </w:rPr>
      <w:t>3</w:t>
    </w:r>
    <w:r>
      <w:rPr>
        <w:rStyle w:val="46"/>
      </w:rPr>
      <w:fldChar w:fldCharType="end"/>
    </w:r>
  </w:p>
  <w:p>
    <w:pPr>
      <w:pStyle w:val="28"/>
      <w:jc w:val="center"/>
      <w:rPr>
        <w:rFonts w:cs="Times New Roma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framePr w:wrap="around" w:vAnchor="text" w:hAnchor="margin" w:xAlign="center" w:y="1"/>
      <w:rPr>
        <w:rStyle w:val="46"/>
      </w:rPr>
    </w:pPr>
    <w:r>
      <w:fldChar w:fldCharType="begin"/>
    </w:r>
    <w:r>
      <w:rPr>
        <w:rStyle w:val="46"/>
      </w:rPr>
      <w:instrText xml:space="preserve">PAGE  </w:instrText>
    </w:r>
    <w:r>
      <w:fldChar w:fldCharType="separate"/>
    </w:r>
    <w:r>
      <w:rPr>
        <w:rStyle w:val="46"/>
      </w:rPr>
      <w:t>5</w:t>
    </w:r>
    <w:r>
      <w:fldChar w:fldCharType="end"/>
    </w:r>
  </w:p>
  <w:p>
    <w:pPr>
      <w:pStyle w:val="2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framePr w:wrap="around" w:vAnchor="text" w:hAnchor="margin" w:xAlign="center" w:y="1"/>
      <w:rPr>
        <w:rStyle w:val="46"/>
      </w:rPr>
    </w:pPr>
    <w:r>
      <w:fldChar w:fldCharType="begin"/>
    </w:r>
    <w:r>
      <w:rPr>
        <w:rStyle w:val="46"/>
      </w:rPr>
      <w:instrText xml:space="preserve">PAGE  </w:instrText>
    </w:r>
    <w:r>
      <w:fldChar w:fldCharType="separate"/>
    </w:r>
    <w:r>
      <w:rPr>
        <w:rStyle w:val="46"/>
      </w:rPr>
      <w:t>39</w:t>
    </w:r>
    <w:r>
      <w:fldChar w:fldCharType="end"/>
    </w:r>
  </w:p>
  <w:p>
    <w:pPr>
      <w:pStyle w:val="2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pBdr>
        <w:bottom w:val="none" w:color="auto" w:sz="0" w:space="0"/>
      </w:pBdr>
      <w:rPr>
        <w:rFonts w:cs="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360" w:lineRule="auto"/>
      <w:ind w:left="-359" w:leftChars="-171" w:right="-328" w:rightChars="-156" w:firstLine="525" w:firstLineChars="250"/>
      <w:rPr>
        <w:rFonts w:ascii="宋体" w:cs="Times New Roman"/>
        <w:color w:val="000000"/>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6"/>
    <w:lvl w:ilvl="0" w:tentative="0">
      <w:start w:val="1"/>
      <w:numFmt w:val="decimal"/>
      <w:lvlText w:val="%1"/>
      <w:lvlJc w:val="left"/>
      <w:pPr>
        <w:tabs>
          <w:tab w:val="left" w:pos="425"/>
        </w:tabs>
        <w:ind w:left="425" w:hanging="425"/>
      </w:pPr>
      <w:rPr>
        <w:rFonts w:hint="eastAsia"/>
      </w:rPr>
    </w:lvl>
    <w:lvl w:ilvl="1" w:tentative="0">
      <w:start w:val="1"/>
      <w:numFmt w:val="decimal"/>
      <w:lvlText w:val="%1.%2"/>
      <w:lvlJc w:val="left"/>
      <w:pPr>
        <w:tabs>
          <w:tab w:val="left" w:pos="993"/>
        </w:tabs>
        <w:ind w:left="993" w:hanging="567"/>
      </w:pPr>
      <w:rPr>
        <w:rFonts w:hint="default" w:ascii="Times New Roman" w:hAnsi="Times New Roman" w:cs="Times New Roman"/>
      </w:rPr>
    </w:lvl>
    <w:lvl w:ilvl="2" w:tentative="0">
      <w:start w:val="1"/>
      <w:numFmt w:val="decimal"/>
      <w:lvlText w:val="%1.%2.%3"/>
      <w:lvlJc w:val="left"/>
      <w:pPr>
        <w:tabs>
          <w:tab w:val="left" w:pos="1134"/>
        </w:tabs>
        <w:ind w:left="1134" w:hanging="567"/>
      </w:pPr>
      <w:rPr>
        <w:rFonts w:hint="eastAsia"/>
      </w:rPr>
    </w:lvl>
    <w:lvl w:ilvl="3" w:tentative="0">
      <w:start w:val="1"/>
      <w:numFmt w:val="decimal"/>
      <w:lvlText w:val="%1.%2.%3.%4"/>
      <w:lvlJc w:val="left"/>
      <w:pPr>
        <w:tabs>
          <w:tab w:val="left" w:pos="2356"/>
        </w:tabs>
        <w:ind w:left="1984" w:hanging="708"/>
      </w:pPr>
      <w:rPr>
        <w:rFonts w:hint="eastAsia"/>
      </w:rPr>
    </w:lvl>
    <w:lvl w:ilvl="4" w:tentative="0">
      <w:start w:val="1"/>
      <w:numFmt w:val="decimal"/>
      <w:lvlText w:val="%1.%2.%3.%4.%5"/>
      <w:lvlJc w:val="left"/>
      <w:pPr>
        <w:tabs>
          <w:tab w:val="left" w:pos="2781"/>
        </w:tabs>
        <w:ind w:left="2551" w:hanging="850"/>
      </w:pPr>
      <w:rPr>
        <w:rFonts w:hint="eastAsia"/>
      </w:rPr>
    </w:lvl>
    <w:lvl w:ilvl="5" w:tentative="0">
      <w:start w:val="1"/>
      <w:numFmt w:val="decimal"/>
      <w:lvlText w:val="%1.%2.%3.%4.%5.%6"/>
      <w:lvlJc w:val="left"/>
      <w:pPr>
        <w:tabs>
          <w:tab w:val="left" w:pos="3566"/>
        </w:tabs>
        <w:ind w:left="3260" w:hanging="1134"/>
      </w:pPr>
      <w:rPr>
        <w:rFonts w:hint="eastAsia"/>
      </w:rPr>
    </w:lvl>
    <w:lvl w:ilvl="6" w:tentative="0">
      <w:start w:val="1"/>
      <w:numFmt w:val="decimal"/>
      <w:lvlText w:val="%1.%2.%3.%4.%5.%6.%7"/>
      <w:lvlJc w:val="left"/>
      <w:pPr>
        <w:tabs>
          <w:tab w:val="left" w:pos="3991"/>
        </w:tabs>
        <w:ind w:left="3827" w:hanging="1276"/>
      </w:pPr>
      <w:rPr>
        <w:rFonts w:hint="eastAsia"/>
      </w:rPr>
    </w:lvl>
    <w:lvl w:ilvl="7" w:tentative="0">
      <w:start w:val="1"/>
      <w:numFmt w:val="decimal"/>
      <w:lvlText w:val="%1.%2.%3.%4.%5.%6.%7.%8"/>
      <w:lvlJc w:val="left"/>
      <w:pPr>
        <w:tabs>
          <w:tab w:val="left" w:pos="4776"/>
        </w:tabs>
        <w:ind w:left="4394" w:hanging="1418"/>
      </w:pPr>
      <w:rPr>
        <w:rFonts w:hint="eastAsia"/>
      </w:rPr>
    </w:lvl>
    <w:lvl w:ilvl="8" w:tentative="0">
      <w:start w:val="1"/>
      <w:numFmt w:val="decimal"/>
      <w:lvlText w:val="%1.%2.%3.%4.%5.%6.%7.%8.%9"/>
      <w:lvlJc w:val="left"/>
      <w:pPr>
        <w:tabs>
          <w:tab w:val="left" w:pos="5562"/>
        </w:tabs>
        <w:ind w:left="5102" w:hanging="1700"/>
      </w:pPr>
      <w:rPr>
        <w:rFonts w:hint="eastAsia"/>
      </w:rPr>
    </w:lvl>
  </w:abstractNum>
  <w:abstractNum w:abstractNumId="1">
    <w:nsid w:val="00000009"/>
    <w:multiLevelType w:val="multilevel"/>
    <w:tmpl w:val="00000009"/>
    <w:lvl w:ilvl="0" w:tentative="0">
      <w:start w:val="1"/>
      <w:numFmt w:val="japaneseCounting"/>
      <w:lvlText w:val="%1、"/>
      <w:lvlJc w:val="left"/>
      <w:pPr>
        <w:tabs>
          <w:tab w:val="left" w:pos="960"/>
        </w:tabs>
        <w:ind w:left="960" w:hanging="480"/>
      </w:pPr>
      <w:rPr>
        <w:rFonts w:hint="default"/>
      </w:rPr>
    </w:lvl>
    <w:lvl w:ilvl="1" w:tentative="0">
      <w:start w:val="1"/>
      <w:numFmt w:val="lowerLetter"/>
      <w:lvlText w:val="%2)"/>
      <w:lvlJc w:val="left"/>
      <w:pPr>
        <w:tabs>
          <w:tab w:val="left" w:pos="1320"/>
        </w:tabs>
        <w:ind w:left="1320" w:hanging="420"/>
      </w:pPr>
    </w:lvl>
    <w:lvl w:ilvl="2" w:tentative="0">
      <w:start w:val="1"/>
      <w:numFmt w:val="lowerRoman"/>
      <w:lvlText w:val="%3."/>
      <w:lvlJc w:val="right"/>
      <w:pPr>
        <w:tabs>
          <w:tab w:val="left" w:pos="1740"/>
        </w:tabs>
        <w:ind w:left="1740" w:hanging="420"/>
      </w:p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abstractNum w:abstractNumId="2">
    <w:nsid w:val="0000000E"/>
    <w:multiLevelType w:val="multilevel"/>
    <w:tmpl w:val="0000000E"/>
    <w:lvl w:ilvl="0" w:tentative="0">
      <w:start w:val="1"/>
      <w:numFmt w:val="decimal"/>
      <w:pStyle w:val="217"/>
      <w:suff w:val="nothing"/>
      <w:lvlText w:val="附　表　%1"/>
      <w:lvlJc w:val="left"/>
      <w:rPr>
        <w:rFonts w:hint="eastAsia" w:ascii="黑体" w:hAnsi="Times New Roman" w:eastAsia="黑体"/>
        <w:b w:val="0"/>
        <w:bCs w:val="0"/>
        <w:i w:val="0"/>
        <w:iCs w:val="0"/>
        <w:sz w:val="21"/>
        <w:szCs w:val="21"/>
      </w:rPr>
    </w:lvl>
    <w:lvl w:ilvl="1" w:tentative="0">
      <w:start w:val="1"/>
      <w:numFmt w:val="decimal"/>
      <w:suff w:val="nothing"/>
      <w:lvlText w:val="%1.%2　"/>
      <w:lvlJc w:val="left"/>
      <w:rPr>
        <w:rFonts w:hint="eastAsia" w:ascii="黑体" w:hAnsi="Times New Roman" w:eastAsia="黑体"/>
        <w:b w:val="0"/>
        <w:bCs w:val="0"/>
        <w:i w:val="0"/>
        <w:iCs w:val="0"/>
        <w:snapToGrid/>
        <w:spacing w:val="0"/>
        <w:w w:val="100"/>
        <w:kern w:val="21"/>
        <w:sz w:val="21"/>
        <w:szCs w:val="21"/>
      </w:rPr>
    </w:lvl>
    <w:lvl w:ilvl="2" w:tentative="0">
      <w:start w:val="1"/>
      <w:numFmt w:val="decimal"/>
      <w:suff w:val="nothing"/>
      <w:lvlText w:val="%1.%2.%3　"/>
      <w:lvlJc w:val="left"/>
      <w:rPr>
        <w:rFonts w:hint="eastAsia" w:ascii="黑体" w:hAnsi="Times New Roman" w:eastAsia="黑体"/>
        <w:b w:val="0"/>
        <w:bCs w:val="0"/>
        <w:i w:val="0"/>
        <w:iCs w:val="0"/>
        <w:sz w:val="21"/>
        <w:szCs w:val="21"/>
      </w:rPr>
    </w:lvl>
    <w:lvl w:ilvl="3" w:tentative="0">
      <w:start w:val="1"/>
      <w:numFmt w:val="decimal"/>
      <w:suff w:val="nothing"/>
      <w:lvlText w:val="%1.%2.%3.%4　"/>
      <w:lvlJc w:val="left"/>
      <w:rPr>
        <w:rFonts w:hint="eastAsia" w:ascii="黑体" w:hAnsi="Times New Roman" w:eastAsia="黑体"/>
        <w:b w:val="0"/>
        <w:bCs w:val="0"/>
        <w:i w:val="0"/>
        <w:iCs w:val="0"/>
        <w:sz w:val="21"/>
        <w:szCs w:val="21"/>
      </w:rPr>
    </w:lvl>
    <w:lvl w:ilvl="4" w:tentative="0">
      <w:start w:val="1"/>
      <w:numFmt w:val="decimal"/>
      <w:suff w:val="nothing"/>
      <w:lvlText w:val="%1.%2.%3.%4.%5　"/>
      <w:lvlJc w:val="left"/>
      <w:rPr>
        <w:rFonts w:hint="eastAsia" w:ascii="黑体" w:hAnsi="Times New Roman" w:eastAsia="黑体"/>
        <w:b w:val="0"/>
        <w:bCs w:val="0"/>
        <w:i w:val="0"/>
        <w:iCs w:val="0"/>
        <w:sz w:val="21"/>
        <w:szCs w:val="21"/>
      </w:rPr>
    </w:lvl>
    <w:lvl w:ilvl="5" w:tentative="0">
      <w:start w:val="1"/>
      <w:numFmt w:val="decimal"/>
      <w:suff w:val="nothing"/>
      <w:lvlText w:val="%1.%2.%3.%4.%5.%6　"/>
      <w:lvlJc w:val="left"/>
      <w:rPr>
        <w:rFonts w:hint="eastAsia" w:ascii="黑体" w:hAnsi="Times New Roman" w:eastAsia="黑体"/>
        <w:b w:val="0"/>
        <w:bCs w:val="0"/>
        <w:i w:val="0"/>
        <w:iCs w:val="0"/>
        <w:sz w:val="21"/>
        <w:szCs w:val="21"/>
      </w:rPr>
    </w:lvl>
    <w:lvl w:ilvl="6" w:tentative="0">
      <w:start w:val="1"/>
      <w:numFmt w:val="decimal"/>
      <w:suff w:val="nothing"/>
      <w:lvlText w:val="%1.%2.%3.%4.%5.%6.%7　"/>
      <w:lvlJc w:val="left"/>
      <w:rPr>
        <w:rFonts w:hint="eastAsia" w:ascii="黑体" w:hAnsi="Times New Roman" w:eastAsia="黑体"/>
        <w:b w:val="0"/>
        <w:bCs w:val="0"/>
        <w:i w:val="0"/>
        <w:iCs w:val="0"/>
        <w:sz w:val="21"/>
        <w:szCs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3">
    <w:nsid w:val="0000000F"/>
    <w:multiLevelType w:val="multilevel"/>
    <w:tmpl w:val="0000000F"/>
    <w:lvl w:ilvl="0" w:tentative="0">
      <w:start w:val="1"/>
      <w:numFmt w:val="decimal"/>
      <w:lvlText w:val="%1、"/>
      <w:lvlJc w:val="left"/>
      <w:pPr>
        <w:tabs>
          <w:tab w:val="left" w:pos="840"/>
        </w:tabs>
        <w:ind w:left="840" w:hanging="360"/>
      </w:pPr>
      <w:rPr>
        <w:rFonts w:hint="default"/>
      </w:rPr>
    </w:lvl>
    <w:lvl w:ilvl="1" w:tentative="0">
      <w:start w:val="1"/>
      <w:numFmt w:val="lowerLetter"/>
      <w:lvlText w:val="%2)"/>
      <w:lvlJc w:val="left"/>
      <w:pPr>
        <w:tabs>
          <w:tab w:val="left" w:pos="1320"/>
        </w:tabs>
        <w:ind w:left="1320" w:hanging="420"/>
      </w:pPr>
    </w:lvl>
    <w:lvl w:ilvl="2" w:tentative="0">
      <w:start w:val="1"/>
      <w:numFmt w:val="lowerRoman"/>
      <w:lvlText w:val="%3."/>
      <w:lvlJc w:val="right"/>
      <w:pPr>
        <w:tabs>
          <w:tab w:val="left" w:pos="1740"/>
        </w:tabs>
        <w:ind w:left="1740" w:hanging="420"/>
      </w:p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abstractNum w:abstractNumId="4">
    <w:nsid w:val="00000013"/>
    <w:multiLevelType w:val="multilevel"/>
    <w:tmpl w:val="00000013"/>
    <w:lvl w:ilvl="0" w:tentative="0">
      <w:start w:val="1"/>
      <w:numFmt w:val="upperLetter"/>
      <w:lvlText w:val="%1."/>
      <w:lvlJc w:val="left"/>
      <w:pPr>
        <w:tabs>
          <w:tab w:val="left" w:pos="960"/>
        </w:tabs>
        <w:ind w:left="960" w:hanging="420"/>
      </w:pPr>
    </w:lvl>
    <w:lvl w:ilvl="1" w:tentative="0">
      <w:start w:val="1"/>
      <w:numFmt w:val="lowerLetter"/>
      <w:lvlText w:val="%2)"/>
      <w:lvlJc w:val="left"/>
      <w:pPr>
        <w:tabs>
          <w:tab w:val="left" w:pos="1380"/>
        </w:tabs>
        <w:ind w:left="1380" w:hanging="420"/>
      </w:pPr>
    </w:lvl>
    <w:lvl w:ilvl="2" w:tentative="0">
      <w:start w:val="1"/>
      <w:numFmt w:val="lowerRoman"/>
      <w:lvlText w:val="%3."/>
      <w:lvlJc w:val="right"/>
      <w:pPr>
        <w:tabs>
          <w:tab w:val="left" w:pos="1800"/>
        </w:tabs>
        <w:ind w:left="1800" w:hanging="420"/>
      </w:pPr>
    </w:lvl>
    <w:lvl w:ilvl="3" w:tentative="0">
      <w:start w:val="1"/>
      <w:numFmt w:val="decimal"/>
      <w:lvlText w:val="%4."/>
      <w:lvlJc w:val="left"/>
      <w:pPr>
        <w:tabs>
          <w:tab w:val="left" w:pos="2220"/>
        </w:tabs>
        <w:ind w:left="2220" w:hanging="420"/>
      </w:pPr>
    </w:lvl>
    <w:lvl w:ilvl="4" w:tentative="0">
      <w:start w:val="1"/>
      <w:numFmt w:val="lowerLetter"/>
      <w:lvlText w:val="%5)"/>
      <w:lvlJc w:val="left"/>
      <w:pPr>
        <w:tabs>
          <w:tab w:val="left" w:pos="2640"/>
        </w:tabs>
        <w:ind w:left="2640" w:hanging="420"/>
      </w:pPr>
    </w:lvl>
    <w:lvl w:ilvl="5" w:tentative="0">
      <w:start w:val="1"/>
      <w:numFmt w:val="lowerRoman"/>
      <w:lvlText w:val="%6."/>
      <w:lvlJc w:val="right"/>
      <w:pPr>
        <w:tabs>
          <w:tab w:val="left" w:pos="3060"/>
        </w:tabs>
        <w:ind w:left="3060" w:hanging="420"/>
      </w:pPr>
    </w:lvl>
    <w:lvl w:ilvl="6" w:tentative="0">
      <w:start w:val="1"/>
      <w:numFmt w:val="decimal"/>
      <w:lvlText w:val="%7."/>
      <w:lvlJc w:val="left"/>
      <w:pPr>
        <w:tabs>
          <w:tab w:val="left" w:pos="3480"/>
        </w:tabs>
        <w:ind w:left="3480" w:hanging="420"/>
      </w:pPr>
    </w:lvl>
    <w:lvl w:ilvl="7" w:tentative="0">
      <w:start w:val="1"/>
      <w:numFmt w:val="lowerLetter"/>
      <w:lvlText w:val="%8)"/>
      <w:lvlJc w:val="left"/>
      <w:pPr>
        <w:tabs>
          <w:tab w:val="left" w:pos="3900"/>
        </w:tabs>
        <w:ind w:left="3900" w:hanging="420"/>
      </w:pPr>
    </w:lvl>
    <w:lvl w:ilvl="8" w:tentative="0">
      <w:start w:val="1"/>
      <w:numFmt w:val="lowerRoman"/>
      <w:lvlText w:val="%9."/>
      <w:lvlJc w:val="right"/>
      <w:pPr>
        <w:tabs>
          <w:tab w:val="left" w:pos="4320"/>
        </w:tabs>
        <w:ind w:left="4320" w:hanging="420"/>
      </w:pPr>
    </w:lvl>
  </w:abstractNum>
  <w:abstractNum w:abstractNumId="5">
    <w:nsid w:val="00000014"/>
    <w:multiLevelType w:val="multilevel"/>
    <w:tmpl w:val="00000014"/>
    <w:lvl w:ilvl="0" w:tentative="0">
      <w:start w:val="1"/>
      <w:numFmt w:val="decimal"/>
      <w:lvlText w:val="%1)"/>
      <w:lvlJc w:val="left"/>
      <w:pPr>
        <w:tabs>
          <w:tab w:val="left" w:pos="900"/>
        </w:tabs>
        <w:ind w:left="900" w:hanging="420"/>
      </w:pPr>
    </w:lvl>
    <w:lvl w:ilvl="1" w:tentative="0">
      <w:start w:val="1"/>
      <w:numFmt w:val="lowerLetter"/>
      <w:lvlText w:val="%2)"/>
      <w:lvlJc w:val="left"/>
      <w:pPr>
        <w:tabs>
          <w:tab w:val="left" w:pos="1320"/>
        </w:tabs>
        <w:ind w:left="1320" w:hanging="420"/>
      </w:pPr>
    </w:lvl>
    <w:lvl w:ilvl="2" w:tentative="0">
      <w:start w:val="1"/>
      <w:numFmt w:val="lowerRoman"/>
      <w:lvlText w:val="%3."/>
      <w:lvlJc w:val="right"/>
      <w:pPr>
        <w:tabs>
          <w:tab w:val="left" w:pos="1740"/>
        </w:tabs>
        <w:ind w:left="1740" w:hanging="420"/>
      </w:p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abstractNum w:abstractNumId="6">
    <w:nsid w:val="43054E09"/>
    <w:multiLevelType w:val="multilevel"/>
    <w:tmpl w:val="43054E09"/>
    <w:lvl w:ilvl="0" w:tentative="0">
      <w:start w:val="1"/>
      <w:numFmt w:val="decimalEnclosedCircle"/>
      <w:lvlText w:val="%1"/>
      <w:lvlJc w:val="left"/>
      <w:pPr>
        <w:ind w:left="840" w:hanging="36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7">
    <w:nsid w:val="49CB248F"/>
    <w:multiLevelType w:val="multilevel"/>
    <w:tmpl w:val="49CB248F"/>
    <w:lvl w:ilvl="0" w:tentative="0">
      <w:start w:val="1"/>
      <w:numFmt w:val="chineseCountingThousand"/>
      <w:suff w:val="nothing"/>
      <w:lvlText w:val="第%1部分"/>
      <w:lvlJc w:val="left"/>
      <w:pPr>
        <w:ind w:left="425" w:hanging="425"/>
      </w:pPr>
      <w:rPr>
        <w:rFonts w:hint="eastAsia"/>
      </w:rPr>
    </w:lvl>
    <w:lvl w:ilvl="1" w:tentative="0">
      <w:start w:val="1"/>
      <w:numFmt w:val="chineseCountingThousand"/>
      <w:pStyle w:val="2"/>
      <w:suff w:val="nothing"/>
      <w:lvlText w:val="%2、"/>
      <w:lvlJc w:val="left"/>
      <w:pPr>
        <w:ind w:left="4112" w:hanging="567"/>
      </w:pPr>
      <w:rPr>
        <w:rFonts w:hint="eastAsia"/>
      </w:rPr>
    </w:lvl>
    <w:lvl w:ilvl="2" w:tentative="0">
      <w:start w:val="1"/>
      <w:numFmt w:val="decimal"/>
      <w:lvlText w:val="%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8">
    <w:nsid w:val="4FA404B4"/>
    <w:multiLevelType w:val="multilevel"/>
    <w:tmpl w:val="4FA404B4"/>
    <w:lvl w:ilvl="0" w:tentative="0">
      <w:start w:val="1"/>
      <w:numFmt w:val="chineseCountingThousand"/>
      <w:lvlText w:val="第%1部分"/>
      <w:lvlJc w:val="left"/>
      <w:pPr>
        <w:ind w:left="425" w:hanging="425"/>
      </w:pPr>
      <w:rPr>
        <w:rFonts w:hint="eastAsia"/>
      </w:rPr>
    </w:lvl>
    <w:lvl w:ilvl="1" w:tentative="0">
      <w:start w:val="1"/>
      <w:numFmt w:val="chineseCountingThousand"/>
      <w:lvlText w:val="%2、"/>
      <w:lvlJc w:val="left"/>
      <w:pPr>
        <w:ind w:left="992" w:hanging="567"/>
      </w:pPr>
      <w:rPr>
        <w:rFonts w:hint="eastAsia"/>
      </w:rPr>
    </w:lvl>
    <w:lvl w:ilvl="2" w:tentative="0">
      <w:start w:val="1"/>
      <w:numFmt w:val="decimal"/>
      <w:pStyle w:val="3"/>
      <w:suff w:val="nothing"/>
      <w:lvlText w:val="%3、"/>
      <w:lvlJc w:val="left"/>
      <w:pPr>
        <w:ind w:left="851" w:hanging="397"/>
      </w:pPr>
      <w:rPr>
        <w:rFonts w:hint="eastAsia"/>
      </w:rPr>
    </w:lvl>
    <w:lvl w:ilvl="3" w:tentative="0">
      <w:start w:val="1"/>
      <w:numFmt w:val="decimal"/>
      <w:pStyle w:val="5"/>
      <w:suff w:val="nothing"/>
      <w:lvlText w:val="%3.%4"/>
      <w:lvlJc w:val="left"/>
      <w:pPr>
        <w:ind w:left="1418" w:hanging="709"/>
      </w:pPr>
      <w:rPr>
        <w:rFonts w:hint="eastAsia"/>
      </w:rPr>
    </w:lvl>
    <w:lvl w:ilvl="4" w:tentative="0">
      <w:start w:val="1"/>
      <w:numFmt w:val="decimal"/>
      <w:lvlRestart w:val="0"/>
      <w:pStyle w:val="6"/>
      <w:suff w:val="nothing"/>
      <w:lvlText w:val="%3.%4.%5"/>
      <w:lvlJc w:val="left"/>
      <w:pPr>
        <w:ind w:left="1418" w:hanging="567"/>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9">
    <w:nsid w:val="59F30436"/>
    <w:multiLevelType w:val="singleLevel"/>
    <w:tmpl w:val="59F30436"/>
    <w:lvl w:ilvl="0" w:tentative="0">
      <w:start w:val="6"/>
      <w:numFmt w:val="chineseCounting"/>
      <w:suff w:val="nothing"/>
      <w:lvlText w:val="第%1部"/>
      <w:lvlJc w:val="left"/>
    </w:lvl>
  </w:abstractNum>
  <w:abstractNum w:abstractNumId="10">
    <w:nsid w:val="6B060A6C"/>
    <w:multiLevelType w:val="multilevel"/>
    <w:tmpl w:val="6B060A6C"/>
    <w:lvl w:ilvl="0" w:tentative="0">
      <w:start w:val="1"/>
      <w:numFmt w:val="chineseCountingThousand"/>
      <w:pStyle w:val="4"/>
      <w:lvlText w:val="第%1部分"/>
      <w:lvlJc w:val="left"/>
      <w:pPr>
        <w:ind w:left="425" w:hanging="425"/>
      </w:pPr>
      <w:rPr>
        <w:rFonts w:hint="eastAsia"/>
      </w:rPr>
    </w:lvl>
    <w:lvl w:ilvl="1" w:tentative="0">
      <w:start w:val="1"/>
      <w:numFmt w:val="chineseCountingThousand"/>
      <w:lvlText w:val="%2、"/>
      <w:lvlJc w:val="left"/>
      <w:pPr>
        <w:ind w:left="992" w:hanging="567"/>
      </w:pPr>
      <w:rPr>
        <w:rFonts w:hint="eastAsia"/>
      </w:rPr>
    </w:lvl>
    <w:lvl w:ilvl="2" w:tentative="0">
      <w:start w:val="1"/>
      <w:numFmt w:val="decimal"/>
      <w:suff w:val="nothing"/>
      <w:lvlText w:val="%3、"/>
      <w:lvlJc w:val="left"/>
      <w:pPr>
        <w:ind w:left="965" w:hanging="39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num w:numId="1">
    <w:abstractNumId w:val="10"/>
  </w:num>
  <w:num w:numId="2">
    <w:abstractNumId w:val="7"/>
  </w:num>
  <w:num w:numId="3">
    <w:abstractNumId w:val="8"/>
  </w:num>
  <w:num w:numId="4">
    <w:abstractNumId w:val="2"/>
  </w:num>
  <w:num w:numId="5">
    <w:abstractNumId w:val="4"/>
  </w:num>
  <w:num w:numId="6">
    <w:abstractNumId w:val="0"/>
  </w:num>
  <w:num w:numId="7">
    <w:abstractNumId w:val="6"/>
  </w:num>
  <w:num w:numId="8">
    <w:abstractNumId w:val="9"/>
  </w:num>
  <w:num w:numId="9">
    <w:abstractNumId w:val="1"/>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NotTrackMoves/>
  <w:documentProtection w:enforcement="0"/>
  <w:defaultTabStop w:val="420"/>
  <w:doNotHyphenateCaps/>
  <w:drawingGridVerticalSpacing w:val="156"/>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2"/>
  </w:compat>
  <w:rsids>
    <w:rsidRoot w:val="0006084A"/>
    <w:rsid w:val="000022CD"/>
    <w:rsid w:val="00002506"/>
    <w:rsid w:val="00022604"/>
    <w:rsid w:val="000229E3"/>
    <w:rsid w:val="000424A4"/>
    <w:rsid w:val="000448A4"/>
    <w:rsid w:val="00052955"/>
    <w:rsid w:val="000565B4"/>
    <w:rsid w:val="000567CD"/>
    <w:rsid w:val="00057D68"/>
    <w:rsid w:val="0006084A"/>
    <w:rsid w:val="00060CDF"/>
    <w:rsid w:val="00071488"/>
    <w:rsid w:val="000815AC"/>
    <w:rsid w:val="0008167C"/>
    <w:rsid w:val="0009038C"/>
    <w:rsid w:val="00094DE4"/>
    <w:rsid w:val="00094FE4"/>
    <w:rsid w:val="000A31C1"/>
    <w:rsid w:val="000A3A67"/>
    <w:rsid w:val="000A4C16"/>
    <w:rsid w:val="000B0ABC"/>
    <w:rsid w:val="000C137D"/>
    <w:rsid w:val="000C1D16"/>
    <w:rsid w:val="000C2FD7"/>
    <w:rsid w:val="000C6D98"/>
    <w:rsid w:val="000E35CE"/>
    <w:rsid w:val="000F07A7"/>
    <w:rsid w:val="000F13C3"/>
    <w:rsid w:val="000F1DE2"/>
    <w:rsid w:val="000F4910"/>
    <w:rsid w:val="000F7C2F"/>
    <w:rsid w:val="00115A1C"/>
    <w:rsid w:val="00136D41"/>
    <w:rsid w:val="0014600C"/>
    <w:rsid w:val="0014631D"/>
    <w:rsid w:val="001710FE"/>
    <w:rsid w:val="0018060E"/>
    <w:rsid w:val="00185E00"/>
    <w:rsid w:val="00187C2E"/>
    <w:rsid w:val="001D2531"/>
    <w:rsid w:val="001D3FFC"/>
    <w:rsid w:val="001E1363"/>
    <w:rsid w:val="001E3EE3"/>
    <w:rsid w:val="001E4E3E"/>
    <w:rsid w:val="001F3C1A"/>
    <w:rsid w:val="001F7543"/>
    <w:rsid w:val="00201A63"/>
    <w:rsid w:val="00205390"/>
    <w:rsid w:val="00212064"/>
    <w:rsid w:val="002135B4"/>
    <w:rsid w:val="0022193B"/>
    <w:rsid w:val="00223C6F"/>
    <w:rsid w:val="00227954"/>
    <w:rsid w:val="00242862"/>
    <w:rsid w:val="00246C2B"/>
    <w:rsid w:val="00257472"/>
    <w:rsid w:val="00263CC6"/>
    <w:rsid w:val="00270412"/>
    <w:rsid w:val="00281E38"/>
    <w:rsid w:val="00282273"/>
    <w:rsid w:val="0028428E"/>
    <w:rsid w:val="00284907"/>
    <w:rsid w:val="00286521"/>
    <w:rsid w:val="00291A79"/>
    <w:rsid w:val="002A2BE7"/>
    <w:rsid w:val="002A57F5"/>
    <w:rsid w:val="002A761A"/>
    <w:rsid w:val="002B678B"/>
    <w:rsid w:val="002B7AD9"/>
    <w:rsid w:val="002C2E7E"/>
    <w:rsid w:val="002C4BF0"/>
    <w:rsid w:val="002D6A1E"/>
    <w:rsid w:val="002E2721"/>
    <w:rsid w:val="002F7CB4"/>
    <w:rsid w:val="0030402C"/>
    <w:rsid w:val="00310CDF"/>
    <w:rsid w:val="003136AF"/>
    <w:rsid w:val="00314B5B"/>
    <w:rsid w:val="00315889"/>
    <w:rsid w:val="003256BD"/>
    <w:rsid w:val="0033670B"/>
    <w:rsid w:val="00343DFC"/>
    <w:rsid w:val="0034539B"/>
    <w:rsid w:val="00352911"/>
    <w:rsid w:val="00365BE0"/>
    <w:rsid w:val="00367A13"/>
    <w:rsid w:val="00370747"/>
    <w:rsid w:val="00372B45"/>
    <w:rsid w:val="00380EA4"/>
    <w:rsid w:val="00381F97"/>
    <w:rsid w:val="00397760"/>
    <w:rsid w:val="003B00E1"/>
    <w:rsid w:val="003B5775"/>
    <w:rsid w:val="003C1F07"/>
    <w:rsid w:val="003C6680"/>
    <w:rsid w:val="003D01BE"/>
    <w:rsid w:val="003D144D"/>
    <w:rsid w:val="003D3840"/>
    <w:rsid w:val="003D431E"/>
    <w:rsid w:val="003D691D"/>
    <w:rsid w:val="003E5735"/>
    <w:rsid w:val="003E5818"/>
    <w:rsid w:val="003F2384"/>
    <w:rsid w:val="003F273C"/>
    <w:rsid w:val="003F323F"/>
    <w:rsid w:val="003F56F6"/>
    <w:rsid w:val="00415A1E"/>
    <w:rsid w:val="00421F67"/>
    <w:rsid w:val="004228AD"/>
    <w:rsid w:val="00423AAA"/>
    <w:rsid w:val="004332B7"/>
    <w:rsid w:val="00437E13"/>
    <w:rsid w:val="004436EE"/>
    <w:rsid w:val="004574EF"/>
    <w:rsid w:val="004611BE"/>
    <w:rsid w:val="00475CFA"/>
    <w:rsid w:val="00486120"/>
    <w:rsid w:val="00490D9A"/>
    <w:rsid w:val="004C7173"/>
    <w:rsid w:val="004D1B12"/>
    <w:rsid w:val="004D2998"/>
    <w:rsid w:val="004E3D95"/>
    <w:rsid w:val="004E6B6A"/>
    <w:rsid w:val="004F0BB1"/>
    <w:rsid w:val="00516068"/>
    <w:rsid w:val="005236C4"/>
    <w:rsid w:val="00527135"/>
    <w:rsid w:val="00527C21"/>
    <w:rsid w:val="0054014E"/>
    <w:rsid w:val="0054158E"/>
    <w:rsid w:val="00542DA2"/>
    <w:rsid w:val="00546B09"/>
    <w:rsid w:val="00552912"/>
    <w:rsid w:val="00553C95"/>
    <w:rsid w:val="00553D76"/>
    <w:rsid w:val="005552C0"/>
    <w:rsid w:val="00556899"/>
    <w:rsid w:val="00572854"/>
    <w:rsid w:val="00573F35"/>
    <w:rsid w:val="0057435B"/>
    <w:rsid w:val="00585D75"/>
    <w:rsid w:val="005B1136"/>
    <w:rsid w:val="005B281B"/>
    <w:rsid w:val="005C299D"/>
    <w:rsid w:val="005C4A99"/>
    <w:rsid w:val="005C7B89"/>
    <w:rsid w:val="005D26FA"/>
    <w:rsid w:val="005D74AF"/>
    <w:rsid w:val="005D7994"/>
    <w:rsid w:val="005F0C72"/>
    <w:rsid w:val="005F3618"/>
    <w:rsid w:val="00603419"/>
    <w:rsid w:val="00605EB8"/>
    <w:rsid w:val="00617041"/>
    <w:rsid w:val="00622767"/>
    <w:rsid w:val="00624C4D"/>
    <w:rsid w:val="00632344"/>
    <w:rsid w:val="0064068F"/>
    <w:rsid w:val="00642006"/>
    <w:rsid w:val="00643C63"/>
    <w:rsid w:val="00644DB2"/>
    <w:rsid w:val="00646867"/>
    <w:rsid w:val="00657CA3"/>
    <w:rsid w:val="0066017D"/>
    <w:rsid w:val="00670C58"/>
    <w:rsid w:val="00691E20"/>
    <w:rsid w:val="006A39CB"/>
    <w:rsid w:val="006A53F8"/>
    <w:rsid w:val="006A5459"/>
    <w:rsid w:val="006B626E"/>
    <w:rsid w:val="006C01A6"/>
    <w:rsid w:val="006C2A50"/>
    <w:rsid w:val="006C2D08"/>
    <w:rsid w:val="006C7C5E"/>
    <w:rsid w:val="006D3C7D"/>
    <w:rsid w:val="006F214B"/>
    <w:rsid w:val="006F4394"/>
    <w:rsid w:val="006F6446"/>
    <w:rsid w:val="006F6657"/>
    <w:rsid w:val="007042FD"/>
    <w:rsid w:val="00706D70"/>
    <w:rsid w:val="007119EC"/>
    <w:rsid w:val="00715DEC"/>
    <w:rsid w:val="00720E49"/>
    <w:rsid w:val="0072375F"/>
    <w:rsid w:val="00736148"/>
    <w:rsid w:val="0074178A"/>
    <w:rsid w:val="00754E61"/>
    <w:rsid w:val="00790009"/>
    <w:rsid w:val="007909A9"/>
    <w:rsid w:val="007939C0"/>
    <w:rsid w:val="007A7931"/>
    <w:rsid w:val="007B2204"/>
    <w:rsid w:val="007B7B0A"/>
    <w:rsid w:val="007C091D"/>
    <w:rsid w:val="007D20CC"/>
    <w:rsid w:val="007D4261"/>
    <w:rsid w:val="007E1CD8"/>
    <w:rsid w:val="007E60A2"/>
    <w:rsid w:val="007E7F34"/>
    <w:rsid w:val="007F2C8E"/>
    <w:rsid w:val="007F5E71"/>
    <w:rsid w:val="00803A1F"/>
    <w:rsid w:val="00807B2A"/>
    <w:rsid w:val="0081322A"/>
    <w:rsid w:val="0081412B"/>
    <w:rsid w:val="0081432A"/>
    <w:rsid w:val="00821EE5"/>
    <w:rsid w:val="0082251E"/>
    <w:rsid w:val="0082776F"/>
    <w:rsid w:val="00830CE1"/>
    <w:rsid w:val="00850C4D"/>
    <w:rsid w:val="00852709"/>
    <w:rsid w:val="008604A9"/>
    <w:rsid w:val="00872CA8"/>
    <w:rsid w:val="00873D19"/>
    <w:rsid w:val="008B0986"/>
    <w:rsid w:val="008B6596"/>
    <w:rsid w:val="008C0995"/>
    <w:rsid w:val="008C3017"/>
    <w:rsid w:val="008C51F8"/>
    <w:rsid w:val="008C5420"/>
    <w:rsid w:val="008C5D08"/>
    <w:rsid w:val="008E6AB9"/>
    <w:rsid w:val="008F6616"/>
    <w:rsid w:val="009211CC"/>
    <w:rsid w:val="009220F4"/>
    <w:rsid w:val="00925D33"/>
    <w:rsid w:val="00930FE9"/>
    <w:rsid w:val="00931250"/>
    <w:rsid w:val="00934E44"/>
    <w:rsid w:val="009444DC"/>
    <w:rsid w:val="00956B7C"/>
    <w:rsid w:val="009621C6"/>
    <w:rsid w:val="00962AD9"/>
    <w:rsid w:val="00964BDC"/>
    <w:rsid w:val="00972AF8"/>
    <w:rsid w:val="009743DA"/>
    <w:rsid w:val="009754B9"/>
    <w:rsid w:val="00975AD2"/>
    <w:rsid w:val="00986A10"/>
    <w:rsid w:val="00992AA5"/>
    <w:rsid w:val="009976B3"/>
    <w:rsid w:val="009A2404"/>
    <w:rsid w:val="009A2450"/>
    <w:rsid w:val="009B08D4"/>
    <w:rsid w:val="009B324A"/>
    <w:rsid w:val="009B3F8B"/>
    <w:rsid w:val="009C7B32"/>
    <w:rsid w:val="009E197D"/>
    <w:rsid w:val="009E429C"/>
    <w:rsid w:val="009E6CEB"/>
    <w:rsid w:val="009E7422"/>
    <w:rsid w:val="009F00EF"/>
    <w:rsid w:val="009F2CDA"/>
    <w:rsid w:val="00A01586"/>
    <w:rsid w:val="00A10B3B"/>
    <w:rsid w:val="00A31757"/>
    <w:rsid w:val="00A319D3"/>
    <w:rsid w:val="00A352A1"/>
    <w:rsid w:val="00A3748E"/>
    <w:rsid w:val="00A44133"/>
    <w:rsid w:val="00A45082"/>
    <w:rsid w:val="00A50383"/>
    <w:rsid w:val="00A53290"/>
    <w:rsid w:val="00A565E5"/>
    <w:rsid w:val="00A62E31"/>
    <w:rsid w:val="00A646FF"/>
    <w:rsid w:val="00A71C22"/>
    <w:rsid w:val="00A8199F"/>
    <w:rsid w:val="00A81B63"/>
    <w:rsid w:val="00A84BE1"/>
    <w:rsid w:val="00A90F79"/>
    <w:rsid w:val="00A94A36"/>
    <w:rsid w:val="00AA6BB6"/>
    <w:rsid w:val="00AA6DC8"/>
    <w:rsid w:val="00AB35B8"/>
    <w:rsid w:val="00AB39C1"/>
    <w:rsid w:val="00AC5180"/>
    <w:rsid w:val="00AD337A"/>
    <w:rsid w:val="00AF272F"/>
    <w:rsid w:val="00AF28F1"/>
    <w:rsid w:val="00AF6DE5"/>
    <w:rsid w:val="00B05CD4"/>
    <w:rsid w:val="00B20623"/>
    <w:rsid w:val="00B24D88"/>
    <w:rsid w:val="00B41F9B"/>
    <w:rsid w:val="00B42527"/>
    <w:rsid w:val="00B507F1"/>
    <w:rsid w:val="00B55BDB"/>
    <w:rsid w:val="00B64EA4"/>
    <w:rsid w:val="00B702C6"/>
    <w:rsid w:val="00B70928"/>
    <w:rsid w:val="00B742FD"/>
    <w:rsid w:val="00B74F47"/>
    <w:rsid w:val="00B82586"/>
    <w:rsid w:val="00B85991"/>
    <w:rsid w:val="00B92235"/>
    <w:rsid w:val="00BA3F62"/>
    <w:rsid w:val="00BB084E"/>
    <w:rsid w:val="00BB39F2"/>
    <w:rsid w:val="00BB5092"/>
    <w:rsid w:val="00BC211F"/>
    <w:rsid w:val="00BC40C5"/>
    <w:rsid w:val="00BC71F8"/>
    <w:rsid w:val="00BE6BFE"/>
    <w:rsid w:val="00BF1720"/>
    <w:rsid w:val="00C036C2"/>
    <w:rsid w:val="00C0387D"/>
    <w:rsid w:val="00C0490A"/>
    <w:rsid w:val="00C16BAB"/>
    <w:rsid w:val="00C17E27"/>
    <w:rsid w:val="00C22DB2"/>
    <w:rsid w:val="00C3067F"/>
    <w:rsid w:val="00C35397"/>
    <w:rsid w:val="00C356C5"/>
    <w:rsid w:val="00C36504"/>
    <w:rsid w:val="00C3761B"/>
    <w:rsid w:val="00C425D8"/>
    <w:rsid w:val="00C43119"/>
    <w:rsid w:val="00C51116"/>
    <w:rsid w:val="00C531F0"/>
    <w:rsid w:val="00C535B5"/>
    <w:rsid w:val="00C554D4"/>
    <w:rsid w:val="00C6318A"/>
    <w:rsid w:val="00C71701"/>
    <w:rsid w:val="00C720E8"/>
    <w:rsid w:val="00C8279E"/>
    <w:rsid w:val="00C830C1"/>
    <w:rsid w:val="00C85B6E"/>
    <w:rsid w:val="00C9536A"/>
    <w:rsid w:val="00C958B4"/>
    <w:rsid w:val="00CB0599"/>
    <w:rsid w:val="00CB1C44"/>
    <w:rsid w:val="00CB2CF4"/>
    <w:rsid w:val="00CB365A"/>
    <w:rsid w:val="00CB6249"/>
    <w:rsid w:val="00CD13CE"/>
    <w:rsid w:val="00CD2C51"/>
    <w:rsid w:val="00CE14B1"/>
    <w:rsid w:val="00CE1CF0"/>
    <w:rsid w:val="00CE269A"/>
    <w:rsid w:val="00CE31CE"/>
    <w:rsid w:val="00CE5431"/>
    <w:rsid w:val="00D02006"/>
    <w:rsid w:val="00D11E0F"/>
    <w:rsid w:val="00D13E4F"/>
    <w:rsid w:val="00D152D9"/>
    <w:rsid w:val="00D20595"/>
    <w:rsid w:val="00D20A5F"/>
    <w:rsid w:val="00D25A6E"/>
    <w:rsid w:val="00D26391"/>
    <w:rsid w:val="00D268C9"/>
    <w:rsid w:val="00D425D1"/>
    <w:rsid w:val="00D45203"/>
    <w:rsid w:val="00D47706"/>
    <w:rsid w:val="00D52171"/>
    <w:rsid w:val="00D52B70"/>
    <w:rsid w:val="00D535A3"/>
    <w:rsid w:val="00D62771"/>
    <w:rsid w:val="00D70E25"/>
    <w:rsid w:val="00D73326"/>
    <w:rsid w:val="00D74517"/>
    <w:rsid w:val="00D931FA"/>
    <w:rsid w:val="00D949D4"/>
    <w:rsid w:val="00D962DD"/>
    <w:rsid w:val="00DB4E7C"/>
    <w:rsid w:val="00DD3244"/>
    <w:rsid w:val="00DD3FB2"/>
    <w:rsid w:val="00DD423F"/>
    <w:rsid w:val="00DF5E94"/>
    <w:rsid w:val="00DF6427"/>
    <w:rsid w:val="00E0077F"/>
    <w:rsid w:val="00E05D30"/>
    <w:rsid w:val="00E069C1"/>
    <w:rsid w:val="00E11DCC"/>
    <w:rsid w:val="00E326C9"/>
    <w:rsid w:val="00E33D1B"/>
    <w:rsid w:val="00E62FA5"/>
    <w:rsid w:val="00E64C49"/>
    <w:rsid w:val="00E6766E"/>
    <w:rsid w:val="00E70490"/>
    <w:rsid w:val="00E74A87"/>
    <w:rsid w:val="00E77860"/>
    <w:rsid w:val="00E81636"/>
    <w:rsid w:val="00E84825"/>
    <w:rsid w:val="00E86B7F"/>
    <w:rsid w:val="00EA04BB"/>
    <w:rsid w:val="00EA08FE"/>
    <w:rsid w:val="00EA2AC9"/>
    <w:rsid w:val="00EA522B"/>
    <w:rsid w:val="00EB2136"/>
    <w:rsid w:val="00EC569C"/>
    <w:rsid w:val="00EC7C52"/>
    <w:rsid w:val="00ED641D"/>
    <w:rsid w:val="00ED67B5"/>
    <w:rsid w:val="00ED7F8C"/>
    <w:rsid w:val="00EF4922"/>
    <w:rsid w:val="00F0176F"/>
    <w:rsid w:val="00F01CCA"/>
    <w:rsid w:val="00F03154"/>
    <w:rsid w:val="00F039D8"/>
    <w:rsid w:val="00F112E5"/>
    <w:rsid w:val="00F133F6"/>
    <w:rsid w:val="00F13DE7"/>
    <w:rsid w:val="00F21727"/>
    <w:rsid w:val="00F30993"/>
    <w:rsid w:val="00F31B40"/>
    <w:rsid w:val="00F34796"/>
    <w:rsid w:val="00F46F8C"/>
    <w:rsid w:val="00F55653"/>
    <w:rsid w:val="00F57A96"/>
    <w:rsid w:val="00F638B3"/>
    <w:rsid w:val="00F71F55"/>
    <w:rsid w:val="00F747D0"/>
    <w:rsid w:val="00F9024D"/>
    <w:rsid w:val="00FA698C"/>
    <w:rsid w:val="00FB05F3"/>
    <w:rsid w:val="00FC1CA5"/>
    <w:rsid w:val="00FD1CE4"/>
    <w:rsid w:val="00FE15ED"/>
    <w:rsid w:val="00FE31D1"/>
    <w:rsid w:val="00FF3501"/>
    <w:rsid w:val="01434DAE"/>
    <w:rsid w:val="03C851C1"/>
    <w:rsid w:val="064462F9"/>
    <w:rsid w:val="06CE13D4"/>
    <w:rsid w:val="077B0002"/>
    <w:rsid w:val="07A02055"/>
    <w:rsid w:val="08223EF5"/>
    <w:rsid w:val="082830E9"/>
    <w:rsid w:val="0A373DDC"/>
    <w:rsid w:val="0A4F1BCA"/>
    <w:rsid w:val="0C235A99"/>
    <w:rsid w:val="0E650162"/>
    <w:rsid w:val="10863C65"/>
    <w:rsid w:val="111C3700"/>
    <w:rsid w:val="126E64B4"/>
    <w:rsid w:val="138762CF"/>
    <w:rsid w:val="13E54FE4"/>
    <w:rsid w:val="140E6CBB"/>
    <w:rsid w:val="19405BE2"/>
    <w:rsid w:val="1A900654"/>
    <w:rsid w:val="1B003644"/>
    <w:rsid w:val="1C193EE1"/>
    <w:rsid w:val="1C21024C"/>
    <w:rsid w:val="1CAB6232"/>
    <w:rsid w:val="235777BC"/>
    <w:rsid w:val="24CB6AA1"/>
    <w:rsid w:val="25F61046"/>
    <w:rsid w:val="276D02F9"/>
    <w:rsid w:val="28211F99"/>
    <w:rsid w:val="28343213"/>
    <w:rsid w:val="2869057D"/>
    <w:rsid w:val="298B49FC"/>
    <w:rsid w:val="2AEB6C5B"/>
    <w:rsid w:val="2BC559E4"/>
    <w:rsid w:val="2DCE0013"/>
    <w:rsid w:val="2E0057AE"/>
    <w:rsid w:val="2E9717D3"/>
    <w:rsid w:val="2F982C89"/>
    <w:rsid w:val="335524DE"/>
    <w:rsid w:val="34B138D3"/>
    <w:rsid w:val="358D5122"/>
    <w:rsid w:val="36937374"/>
    <w:rsid w:val="37275EF2"/>
    <w:rsid w:val="37D54EBE"/>
    <w:rsid w:val="3806612D"/>
    <w:rsid w:val="38B61A1D"/>
    <w:rsid w:val="38F0761D"/>
    <w:rsid w:val="38F978DA"/>
    <w:rsid w:val="395B6416"/>
    <w:rsid w:val="398A3502"/>
    <w:rsid w:val="3A92095B"/>
    <w:rsid w:val="3E097C11"/>
    <w:rsid w:val="401812CF"/>
    <w:rsid w:val="41C02839"/>
    <w:rsid w:val="422B27DB"/>
    <w:rsid w:val="424235BD"/>
    <w:rsid w:val="42BF1349"/>
    <w:rsid w:val="45AE7D67"/>
    <w:rsid w:val="48124783"/>
    <w:rsid w:val="482E45FA"/>
    <w:rsid w:val="4A846BED"/>
    <w:rsid w:val="4C736634"/>
    <w:rsid w:val="4E5E1448"/>
    <w:rsid w:val="4F522C23"/>
    <w:rsid w:val="4FEC7954"/>
    <w:rsid w:val="514B6FDA"/>
    <w:rsid w:val="5206660A"/>
    <w:rsid w:val="524B54ED"/>
    <w:rsid w:val="52FE29BE"/>
    <w:rsid w:val="543E3EEC"/>
    <w:rsid w:val="55785AE5"/>
    <w:rsid w:val="56390A80"/>
    <w:rsid w:val="57110114"/>
    <w:rsid w:val="57D0709E"/>
    <w:rsid w:val="599359C8"/>
    <w:rsid w:val="5A0F5A55"/>
    <w:rsid w:val="5AC93516"/>
    <w:rsid w:val="5CF46A66"/>
    <w:rsid w:val="5E313D4D"/>
    <w:rsid w:val="5E513694"/>
    <w:rsid w:val="5F1C59FD"/>
    <w:rsid w:val="5F8D35D9"/>
    <w:rsid w:val="5F9202CA"/>
    <w:rsid w:val="61306DA0"/>
    <w:rsid w:val="6156148C"/>
    <w:rsid w:val="622731D0"/>
    <w:rsid w:val="63306543"/>
    <w:rsid w:val="63C51C73"/>
    <w:rsid w:val="644E3D06"/>
    <w:rsid w:val="663F0DC2"/>
    <w:rsid w:val="69ED4C9C"/>
    <w:rsid w:val="69F263A9"/>
    <w:rsid w:val="6B6E0155"/>
    <w:rsid w:val="6D856A81"/>
    <w:rsid w:val="6DF23787"/>
    <w:rsid w:val="6E5627E9"/>
    <w:rsid w:val="6F8C43EB"/>
    <w:rsid w:val="6FC056C4"/>
    <w:rsid w:val="7011255A"/>
    <w:rsid w:val="70145347"/>
    <w:rsid w:val="70F74A15"/>
    <w:rsid w:val="713A674D"/>
    <w:rsid w:val="71C23F15"/>
    <w:rsid w:val="721815F8"/>
    <w:rsid w:val="742C403F"/>
    <w:rsid w:val="75C70755"/>
    <w:rsid w:val="77E71139"/>
    <w:rsid w:val="787B6715"/>
    <w:rsid w:val="79644059"/>
    <w:rsid w:val="7B00773A"/>
    <w:rsid w:val="7F500068"/>
    <w:rsid w:val="7FAF7661"/>
    <w:rsid w:val="7FEC3282"/>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99" w:semiHidden="0" w:name="Normal Indent"/>
    <w:lsdException w:uiPriority="99" w:name="footnote text" w:locked="1"/>
    <w:lsdException w:qFormat="1" w:unhideWhenUsed="0" w:uiPriority="99" w:name="annotation text"/>
    <w:lsdException w:qFormat="1" w:unhideWhenUsed="0" w:uiPriority="99" w:semiHidden="0" w:name="header"/>
    <w:lsdException w:qFormat="1" w:unhideWhenUsed="0" w:uiPriority="0" w:semiHidden="0" w:name="footer"/>
    <w:lsdException w:uiPriority="99" w:name="index heading" w:locked="1"/>
    <w:lsdException w:qFormat="1" w:unhideWhenUsed="0" w:uiPriority="99" w:semiHidden="0" w:name="caption"/>
    <w:lsdException w:uiPriority="99" w:name="table of figures" w:locked="1"/>
    <w:lsdException w:uiPriority="99" w:name="envelope address" w:locked="1"/>
    <w:lsdException w:uiPriority="99" w:name="envelope return" w:locked="1"/>
    <w:lsdException w:uiPriority="99" w:name="footnote reference" w:locked="1"/>
    <w:lsdException w:qFormat="1" w:unhideWhenUsed="0" w:uiPriority="99" w:name="annotation reference"/>
    <w:lsdException w:uiPriority="99" w:name="line number" w:locked="1"/>
    <w:lsdException w:qFormat="1" w:unhideWhenUsed="0" w:uiPriority="0"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qFormat="1" w:unhideWhenUsed="0" w:uiPriority="99" w:semiHidden="0"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99" w:semiHidden="0" w:name="Title"/>
    <w:lsdException w:uiPriority="99" w:name="Closing" w:locked="1"/>
    <w:lsdException w:qFormat="1" w:unhideWhenUsed="0" w:uiPriority="99" w:semiHidden="0" w:name="Signature"/>
    <w:lsdException w:uiPriority="1" w:name="Default Paragraph Font"/>
    <w:lsdException w:qFormat="1" w:unhideWhenUsed="0" w:uiPriority="99" w:semiHidden="0" w:name="Body Text"/>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qFormat="1" w:unhideWhenUsed="0" w:uiPriority="99" w:semiHidden="0" w:name="Message Header"/>
    <w:lsdException w:qFormat="1" w:unhideWhenUsed="0" w:uiPriority="99" w:semiHidden="0" w:name="Subtitle"/>
    <w:lsdException w:uiPriority="99" w:name="Salutation" w:locked="1"/>
    <w:lsdException w:qFormat="1" w:unhideWhenUsed="0" w:uiPriority="99" w:semiHidden="0" w:name="Date"/>
    <w:lsdException w:qFormat="1" w:unhideWhenUsed="0" w:uiPriority="99" w:semiHidden="0" w:name="Body Text First Indent"/>
    <w:lsdException w:uiPriority="99" w:name="Body Text First Indent 2" w:locked="1"/>
    <w:lsdException w:uiPriority="99" w:name="Note Heading" w:locked="1"/>
    <w:lsdException w:qFormat="1" w:unhideWhenUsed="0" w:uiPriority="99" w:semiHidden="0" w:name="Body Text 2"/>
    <w:lsdException w:uiPriority="99" w:name="Body Text 3" w:locked="1"/>
    <w:lsdException w:qFormat="1" w:unhideWhenUsed="0" w:uiPriority="99" w:semiHidden="0" w:name="Body Text Indent 2"/>
    <w:lsdException w:qFormat="1" w:unhideWhenUsed="0" w:uiPriority="99" w:semiHidden="0" w:name="Body Text Indent 3"/>
    <w:lsdException w:uiPriority="99" w:name="Block Text" w:locked="1"/>
    <w:lsdException w:qFormat="1" w:unhideWhenUsed="0" w:uiPriority="99" w:semiHidden="0" w:name="Hyperlink"/>
    <w:lsdException w:qFormat="1" w:unhideWhenUsed="0" w:uiPriority="99" w:semiHidden="0" w:name="FollowedHyperlink"/>
    <w:lsdException w:qFormat="1" w:unhideWhenUsed="0" w:uiPriority="99" w:semiHidden="0" w:name="Strong"/>
    <w:lsdException w:qFormat="1" w:unhideWhenUsed="0" w:uiPriority="20" w:semiHidden="0" w:name="Emphasis" w:locked="1"/>
    <w:lsdException w:qFormat="1" w:unhideWhenUsed="0" w:uiPriority="99" w:name="Document Map"/>
    <w:lsdException w:qFormat="1" w:unhideWhenUsed="0" w:uiPriority="99" w:semiHidden="0" w:name="Plain Text"/>
    <w:lsdException w:uiPriority="99" w:name="E-mail Signature" w:locked="1"/>
    <w:lsdException w:qFormat="1" w:unhideWhenUsed="0" w:uiPriority="99" w:semiHidden="0" w:name="Normal (Web)"/>
    <w:lsdException w:qFormat="1" w:uiPriority="99" w:semiHidden="0" w:name="HTML Acronym" w:locked="1"/>
    <w:lsdException w:qFormat="1" w:unhideWhenUsed="0" w:uiPriority="99" w:semiHidden="0" w:name="HTML Address" w:locked="1"/>
    <w:lsdException w:qFormat="1" w:uiPriority="99" w:semiHidden="0" w:name="HTML Cite" w:locked="1"/>
    <w:lsdException w:qFormat="1" w:uiPriority="99" w:semiHidden="0" w:name="HTML Code" w:locked="1"/>
    <w:lsdException w:qFormat="1" w:uiPriority="99" w:semiHidden="0" w:name="HTML Definition" w:locked="1"/>
    <w:lsdException w:qFormat="1" w:uiPriority="99" w:semiHidden="0" w:name="HTML Keyboard" w:locked="1"/>
    <w:lsdException w:qFormat="1" w:unhideWhenUsed="0" w:uiPriority="99" w:semiHidden="0" w:name="HTML Preformatted" w:locked="1"/>
    <w:lsdException w:qFormat="1" w:uiPriority="99" w:semiHidden="0" w:name="HTML Sample" w:locked="1"/>
    <w:lsdException w:qFormat="1" w:uiPriority="99" w:semiHidden="0" w:name="HTML Typewriter" w:locked="1"/>
    <w:lsdException w:qFormat="1" w:uiPriority="99" w:semiHidden="0" w:name="HTML Variable" w:locked="1"/>
    <w:lsdException w:qFormat="1" w:uiPriority="99" w:name="Normal Table"/>
    <w:lsdException w:qFormat="1" w:unhideWhenUsed="0" w:uiPriority="99"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nhideWhenUsed="0" w:uiPriority="99" w:semiHidden="0" w:name="Table Web 3" w:locked="1"/>
    <w:lsdException w:qFormat="1" w:unhideWhenUsed="0" w:uiPriority="99" w:name="Balloon Text"/>
    <w:lsdException w:qFormat="1" w:unhideWhenUsed="0" w:uiPriority="99" w:semiHidden="0" w:name="Table Grid" w:locked="1"/>
    <w:lsdException w:unhideWhenUsed="0" w:uiPriority="99" w:semiHidden="0"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Calibri"/>
      <w:kern w:val="2"/>
      <w:sz w:val="21"/>
      <w:szCs w:val="21"/>
      <w:lang w:val="en-US" w:eastAsia="zh-CN" w:bidi="ar-SA"/>
    </w:rPr>
  </w:style>
  <w:style w:type="paragraph" w:styleId="4">
    <w:name w:val="heading 1"/>
    <w:basedOn w:val="1"/>
    <w:next w:val="1"/>
    <w:link w:val="61"/>
    <w:qFormat/>
    <w:uiPriority w:val="99"/>
    <w:pPr>
      <w:keepNext/>
      <w:keepLines/>
      <w:numPr>
        <w:ilvl w:val="0"/>
        <w:numId w:val="1"/>
      </w:numPr>
      <w:spacing w:before="340" w:after="330" w:line="576" w:lineRule="auto"/>
      <w:jc w:val="center"/>
      <w:outlineLvl w:val="0"/>
    </w:pPr>
    <w:rPr>
      <w:rFonts w:ascii="Times New Roman" w:hAnsi="Times New Roman" w:cs="Times New Roman"/>
      <w:b/>
      <w:bCs/>
      <w:kern w:val="44"/>
      <w:sz w:val="36"/>
      <w:szCs w:val="36"/>
    </w:rPr>
  </w:style>
  <w:style w:type="paragraph" w:styleId="2">
    <w:name w:val="heading 2"/>
    <w:basedOn w:val="1"/>
    <w:next w:val="3"/>
    <w:link w:val="98"/>
    <w:qFormat/>
    <w:uiPriority w:val="99"/>
    <w:pPr>
      <w:keepNext/>
      <w:keepLines/>
      <w:numPr>
        <w:ilvl w:val="1"/>
        <w:numId w:val="2"/>
      </w:numPr>
      <w:spacing w:line="360" w:lineRule="auto"/>
      <w:ind w:left="3261"/>
      <w:outlineLvl w:val="1"/>
    </w:pPr>
    <w:rPr>
      <w:rFonts w:ascii="Arial" w:hAnsi="Arial" w:cs="Arial"/>
      <w:b/>
      <w:bCs/>
      <w:sz w:val="28"/>
      <w:szCs w:val="28"/>
    </w:rPr>
  </w:style>
  <w:style w:type="paragraph" w:styleId="3">
    <w:name w:val="heading 3"/>
    <w:basedOn w:val="1"/>
    <w:next w:val="1"/>
    <w:link w:val="99"/>
    <w:qFormat/>
    <w:uiPriority w:val="99"/>
    <w:pPr>
      <w:keepNext/>
      <w:keepLines/>
      <w:numPr>
        <w:ilvl w:val="2"/>
        <w:numId w:val="3"/>
      </w:numPr>
      <w:spacing w:afterLines="50" w:line="380" w:lineRule="exact"/>
      <w:outlineLvl w:val="2"/>
    </w:pPr>
    <w:rPr>
      <w:rFonts w:ascii="Times New Roman" w:hAnsi="Times New Roman" w:cs="Times New Roman"/>
      <w:b/>
      <w:bCs/>
      <w:sz w:val="24"/>
      <w:szCs w:val="24"/>
    </w:rPr>
  </w:style>
  <w:style w:type="paragraph" w:styleId="5">
    <w:name w:val="heading 4"/>
    <w:basedOn w:val="1"/>
    <w:next w:val="1"/>
    <w:link w:val="100"/>
    <w:qFormat/>
    <w:uiPriority w:val="99"/>
    <w:pPr>
      <w:keepNext/>
      <w:keepLines/>
      <w:numPr>
        <w:ilvl w:val="3"/>
        <w:numId w:val="3"/>
      </w:numPr>
      <w:spacing w:before="160" w:after="160" w:line="360" w:lineRule="auto"/>
      <w:outlineLvl w:val="3"/>
    </w:pPr>
    <w:rPr>
      <w:rFonts w:ascii="Arial" w:hAnsi="Arial" w:cs="Arial"/>
      <w:b/>
      <w:bCs/>
      <w:sz w:val="24"/>
      <w:szCs w:val="24"/>
    </w:rPr>
  </w:style>
  <w:style w:type="paragraph" w:styleId="6">
    <w:name w:val="heading 5"/>
    <w:basedOn w:val="1"/>
    <w:next w:val="1"/>
    <w:link w:val="65"/>
    <w:qFormat/>
    <w:uiPriority w:val="99"/>
    <w:pPr>
      <w:keepNext/>
      <w:keepLines/>
      <w:numPr>
        <w:ilvl w:val="4"/>
        <w:numId w:val="3"/>
      </w:numPr>
      <w:tabs>
        <w:tab w:val="left" w:pos="2520"/>
      </w:tabs>
      <w:spacing w:before="120" w:line="360" w:lineRule="auto"/>
      <w:outlineLvl w:val="4"/>
    </w:pPr>
    <w:rPr>
      <w:rFonts w:ascii="Times New Roman" w:hAnsi="Times New Roman" w:cs="Times New Roman"/>
    </w:rPr>
  </w:style>
  <w:style w:type="paragraph" w:styleId="7">
    <w:name w:val="heading 6"/>
    <w:basedOn w:val="1"/>
    <w:next w:val="1"/>
    <w:link w:val="66"/>
    <w:qFormat/>
    <w:uiPriority w:val="99"/>
    <w:pPr>
      <w:keepNext/>
      <w:keepLines/>
      <w:tabs>
        <w:tab w:val="left" w:pos="2940"/>
      </w:tabs>
      <w:spacing w:before="120" w:line="360" w:lineRule="auto"/>
      <w:ind w:left="2940" w:hanging="420"/>
      <w:outlineLvl w:val="5"/>
    </w:pPr>
    <w:rPr>
      <w:rFonts w:ascii="Arial" w:hAnsi="Arial" w:cs="Arial"/>
    </w:rPr>
  </w:style>
  <w:style w:type="paragraph" w:styleId="8">
    <w:name w:val="heading 7"/>
    <w:basedOn w:val="1"/>
    <w:next w:val="1"/>
    <w:link w:val="67"/>
    <w:qFormat/>
    <w:uiPriority w:val="99"/>
    <w:pPr>
      <w:keepNext/>
      <w:keepLines/>
      <w:tabs>
        <w:tab w:val="left" w:pos="3360"/>
      </w:tabs>
      <w:spacing w:before="120" w:line="360" w:lineRule="auto"/>
      <w:ind w:left="3360" w:hanging="420"/>
      <w:outlineLvl w:val="6"/>
    </w:pPr>
    <w:rPr>
      <w:rFonts w:ascii="Times New Roman" w:hAnsi="Times New Roman" w:cs="Times New Roman"/>
    </w:rPr>
  </w:style>
  <w:style w:type="paragraph" w:styleId="9">
    <w:name w:val="heading 8"/>
    <w:basedOn w:val="1"/>
    <w:next w:val="1"/>
    <w:link w:val="68"/>
    <w:qFormat/>
    <w:uiPriority w:val="99"/>
    <w:pPr>
      <w:keepNext/>
      <w:keepLines/>
      <w:tabs>
        <w:tab w:val="left" w:pos="420"/>
      </w:tabs>
      <w:spacing w:before="240" w:after="64" w:line="317" w:lineRule="auto"/>
      <w:ind w:left="420" w:hanging="420"/>
      <w:outlineLvl w:val="7"/>
    </w:pPr>
    <w:rPr>
      <w:rFonts w:ascii="Times New Roman" w:hAnsi="Times New Roman" w:cs="Times New Roman"/>
      <w:sz w:val="24"/>
      <w:szCs w:val="24"/>
    </w:rPr>
  </w:style>
  <w:style w:type="paragraph" w:styleId="10">
    <w:name w:val="heading 9"/>
    <w:basedOn w:val="1"/>
    <w:next w:val="1"/>
    <w:link w:val="69"/>
    <w:qFormat/>
    <w:uiPriority w:val="99"/>
    <w:pPr>
      <w:keepNext/>
      <w:keepLines/>
      <w:tabs>
        <w:tab w:val="left" w:pos="4200"/>
      </w:tabs>
      <w:spacing w:before="120" w:line="360" w:lineRule="auto"/>
      <w:ind w:left="4200" w:hanging="420"/>
      <w:outlineLvl w:val="8"/>
    </w:pPr>
    <w:rPr>
      <w:rFonts w:ascii="Arial" w:hAnsi="Arial" w:cs="Arial"/>
    </w:rPr>
  </w:style>
  <w:style w:type="character" w:default="1" w:styleId="44">
    <w:name w:val="Default Paragraph Font"/>
    <w:semiHidden/>
    <w:unhideWhenUsed/>
    <w:uiPriority w:val="1"/>
  </w:style>
  <w:style w:type="table" w:default="1" w:styleId="59">
    <w:name w:val="Normal Table"/>
    <w:semiHidden/>
    <w:unhideWhenUsed/>
    <w:qFormat/>
    <w:uiPriority w:val="99"/>
    <w:tblPr>
      <w:tblLayout w:type="fixed"/>
      <w:tblCellMar>
        <w:top w:w="0" w:type="dxa"/>
        <w:left w:w="108" w:type="dxa"/>
        <w:bottom w:w="0" w:type="dxa"/>
        <w:right w:w="108" w:type="dxa"/>
      </w:tblCellMar>
    </w:tblPr>
  </w:style>
  <w:style w:type="paragraph" w:styleId="11">
    <w:name w:val="annotation subject"/>
    <w:basedOn w:val="12"/>
    <w:next w:val="12"/>
    <w:link w:val="125"/>
    <w:semiHidden/>
    <w:qFormat/>
    <w:uiPriority w:val="99"/>
    <w:rPr>
      <w:b/>
      <w:bCs/>
    </w:rPr>
  </w:style>
  <w:style w:type="paragraph" w:styleId="12">
    <w:name w:val="annotation text"/>
    <w:basedOn w:val="1"/>
    <w:link w:val="72"/>
    <w:semiHidden/>
    <w:qFormat/>
    <w:uiPriority w:val="99"/>
    <w:pPr>
      <w:spacing w:line="360" w:lineRule="auto"/>
      <w:ind w:firstLine="200" w:firstLineChars="200"/>
      <w:jc w:val="left"/>
    </w:pPr>
    <w:rPr>
      <w:rFonts w:eastAsia="仿宋"/>
      <w:sz w:val="32"/>
      <w:szCs w:val="32"/>
    </w:rPr>
  </w:style>
  <w:style w:type="paragraph" w:styleId="13">
    <w:name w:val="toc 7"/>
    <w:basedOn w:val="1"/>
    <w:next w:val="1"/>
    <w:qFormat/>
    <w:uiPriority w:val="39"/>
    <w:pPr>
      <w:widowControl/>
      <w:ind w:left="1260"/>
      <w:jc w:val="left"/>
    </w:pPr>
    <w:rPr>
      <w:kern w:val="0"/>
      <w:sz w:val="18"/>
      <w:szCs w:val="18"/>
    </w:rPr>
  </w:style>
  <w:style w:type="paragraph" w:styleId="14">
    <w:name w:val="Body Text First Indent"/>
    <w:basedOn w:val="1"/>
    <w:link w:val="74"/>
    <w:qFormat/>
    <w:uiPriority w:val="99"/>
    <w:pPr>
      <w:adjustRightInd w:val="0"/>
      <w:snapToGrid w:val="0"/>
      <w:spacing w:after="120" w:line="400" w:lineRule="exact"/>
      <w:ind w:firstLine="510"/>
    </w:pPr>
    <w:rPr>
      <w:rFonts w:ascii="Times New Roman" w:hAnsi="Times New Roman" w:cs="Times New Roman"/>
      <w:sz w:val="24"/>
      <w:szCs w:val="24"/>
    </w:rPr>
  </w:style>
  <w:style w:type="paragraph" w:styleId="15">
    <w:name w:val="Normal Indent"/>
    <w:basedOn w:val="1"/>
    <w:link w:val="111"/>
    <w:qFormat/>
    <w:uiPriority w:val="99"/>
    <w:pPr>
      <w:widowControl/>
      <w:spacing w:line="360" w:lineRule="auto"/>
      <w:ind w:firstLine="420"/>
      <w:jc w:val="left"/>
    </w:pPr>
    <w:rPr>
      <w:rFonts w:ascii="宋体" w:cs="宋体"/>
    </w:rPr>
  </w:style>
  <w:style w:type="paragraph" w:styleId="16">
    <w:name w:val="caption"/>
    <w:basedOn w:val="1"/>
    <w:next w:val="1"/>
    <w:link w:val="171"/>
    <w:qFormat/>
    <w:uiPriority w:val="99"/>
    <w:pPr>
      <w:jc w:val="center"/>
    </w:pPr>
    <w:rPr>
      <w:rFonts w:ascii="华文彩云" w:hAnsi="Century Gothic" w:cs="Times New Roman"/>
      <w:b/>
      <w:bCs/>
      <w:kern w:val="0"/>
      <w:sz w:val="72"/>
      <w:szCs w:val="72"/>
    </w:rPr>
  </w:style>
  <w:style w:type="paragraph" w:styleId="17">
    <w:name w:val="Document Map"/>
    <w:basedOn w:val="1"/>
    <w:link w:val="92"/>
    <w:semiHidden/>
    <w:qFormat/>
    <w:uiPriority w:val="99"/>
    <w:pPr>
      <w:widowControl/>
      <w:shd w:val="clear" w:color="auto" w:fill="000080"/>
      <w:jc w:val="left"/>
    </w:pPr>
  </w:style>
  <w:style w:type="paragraph" w:styleId="18">
    <w:name w:val="Body Text"/>
    <w:basedOn w:val="1"/>
    <w:link w:val="75"/>
    <w:qFormat/>
    <w:uiPriority w:val="99"/>
    <w:pPr>
      <w:widowControl/>
      <w:spacing w:after="120"/>
      <w:jc w:val="left"/>
    </w:pPr>
  </w:style>
  <w:style w:type="paragraph" w:styleId="19">
    <w:name w:val="Body Text Indent"/>
    <w:basedOn w:val="1"/>
    <w:link w:val="93"/>
    <w:qFormat/>
    <w:uiPriority w:val="99"/>
    <w:pPr>
      <w:widowControl/>
      <w:spacing w:after="120"/>
      <w:ind w:left="420" w:leftChars="200"/>
      <w:jc w:val="left"/>
    </w:pPr>
  </w:style>
  <w:style w:type="paragraph" w:styleId="20">
    <w:name w:val="HTML Address"/>
    <w:basedOn w:val="1"/>
    <w:link w:val="78"/>
    <w:qFormat/>
    <w:locked/>
    <w:uiPriority w:val="99"/>
    <w:rPr>
      <w:i/>
      <w:iCs/>
      <w:kern w:val="0"/>
      <w:sz w:val="20"/>
      <w:szCs w:val="20"/>
    </w:rPr>
  </w:style>
  <w:style w:type="paragraph" w:styleId="21">
    <w:name w:val="toc 5"/>
    <w:basedOn w:val="1"/>
    <w:next w:val="1"/>
    <w:qFormat/>
    <w:uiPriority w:val="39"/>
    <w:pPr>
      <w:widowControl/>
      <w:ind w:left="840"/>
      <w:jc w:val="left"/>
    </w:pPr>
    <w:rPr>
      <w:kern w:val="0"/>
      <w:sz w:val="18"/>
      <w:szCs w:val="18"/>
    </w:rPr>
  </w:style>
  <w:style w:type="paragraph" w:styleId="22">
    <w:name w:val="toc 3"/>
    <w:basedOn w:val="1"/>
    <w:next w:val="1"/>
    <w:qFormat/>
    <w:uiPriority w:val="39"/>
    <w:pPr>
      <w:widowControl/>
      <w:ind w:left="420"/>
      <w:jc w:val="left"/>
    </w:pPr>
    <w:rPr>
      <w:i/>
      <w:iCs/>
      <w:kern w:val="0"/>
      <w:sz w:val="20"/>
      <w:szCs w:val="20"/>
    </w:rPr>
  </w:style>
  <w:style w:type="paragraph" w:styleId="23">
    <w:name w:val="Plain Text"/>
    <w:basedOn w:val="1"/>
    <w:link w:val="79"/>
    <w:qFormat/>
    <w:uiPriority w:val="99"/>
    <w:rPr>
      <w:rFonts w:ascii="宋体" w:hAnsi="Courier New" w:cs="宋体"/>
    </w:rPr>
  </w:style>
  <w:style w:type="paragraph" w:styleId="24">
    <w:name w:val="toc 8"/>
    <w:basedOn w:val="1"/>
    <w:next w:val="1"/>
    <w:qFormat/>
    <w:uiPriority w:val="39"/>
    <w:pPr>
      <w:widowControl/>
      <w:ind w:left="1470"/>
      <w:jc w:val="left"/>
    </w:pPr>
    <w:rPr>
      <w:kern w:val="0"/>
      <w:sz w:val="18"/>
      <w:szCs w:val="18"/>
    </w:rPr>
  </w:style>
  <w:style w:type="paragraph" w:styleId="25">
    <w:name w:val="Date"/>
    <w:basedOn w:val="1"/>
    <w:next w:val="1"/>
    <w:link w:val="80"/>
    <w:qFormat/>
    <w:uiPriority w:val="99"/>
    <w:pPr>
      <w:widowControl/>
      <w:ind w:left="100" w:leftChars="2500"/>
      <w:jc w:val="left"/>
    </w:pPr>
    <w:rPr>
      <w:rFonts w:ascii="Times New Roman" w:hAnsi="Times New Roman" w:cs="Times New Roman"/>
      <w:kern w:val="0"/>
    </w:rPr>
  </w:style>
  <w:style w:type="paragraph" w:styleId="26">
    <w:name w:val="Body Text Indent 2"/>
    <w:basedOn w:val="1"/>
    <w:link w:val="81"/>
    <w:qFormat/>
    <w:uiPriority w:val="99"/>
    <w:pPr>
      <w:spacing w:line="360" w:lineRule="auto"/>
      <w:ind w:firstLine="360"/>
    </w:pPr>
    <w:rPr>
      <w:rFonts w:ascii="宋体" w:hAnsi="Times New Roman" w:cs="宋体"/>
      <w:sz w:val="24"/>
      <w:szCs w:val="24"/>
    </w:rPr>
  </w:style>
  <w:style w:type="paragraph" w:styleId="27">
    <w:name w:val="Balloon Text"/>
    <w:basedOn w:val="1"/>
    <w:link w:val="94"/>
    <w:semiHidden/>
    <w:qFormat/>
    <w:uiPriority w:val="99"/>
    <w:pPr>
      <w:ind w:firstLine="200" w:firstLineChars="200"/>
      <w:jc w:val="left"/>
    </w:pPr>
    <w:rPr>
      <w:rFonts w:eastAsia="仿宋"/>
      <w:sz w:val="18"/>
      <w:szCs w:val="18"/>
    </w:rPr>
  </w:style>
  <w:style w:type="paragraph" w:styleId="28">
    <w:name w:val="footer"/>
    <w:basedOn w:val="1"/>
    <w:link w:val="83"/>
    <w:qFormat/>
    <w:uiPriority w:val="0"/>
    <w:pPr>
      <w:tabs>
        <w:tab w:val="center" w:pos="4153"/>
        <w:tab w:val="right" w:pos="8306"/>
      </w:tabs>
      <w:snapToGrid w:val="0"/>
      <w:jc w:val="left"/>
    </w:pPr>
    <w:rPr>
      <w:sz w:val="18"/>
      <w:szCs w:val="18"/>
    </w:rPr>
  </w:style>
  <w:style w:type="paragraph" w:styleId="29">
    <w:name w:val="header"/>
    <w:basedOn w:val="1"/>
    <w:link w:val="84"/>
    <w:qFormat/>
    <w:uiPriority w:val="99"/>
    <w:pPr>
      <w:pBdr>
        <w:bottom w:val="single" w:color="auto" w:sz="6" w:space="1"/>
      </w:pBdr>
      <w:tabs>
        <w:tab w:val="center" w:pos="4153"/>
        <w:tab w:val="right" w:pos="8306"/>
      </w:tabs>
      <w:snapToGrid w:val="0"/>
      <w:jc w:val="center"/>
    </w:pPr>
    <w:rPr>
      <w:sz w:val="18"/>
      <w:szCs w:val="18"/>
    </w:rPr>
  </w:style>
  <w:style w:type="paragraph" w:styleId="30">
    <w:name w:val="Signature"/>
    <w:basedOn w:val="1"/>
    <w:link w:val="95"/>
    <w:qFormat/>
    <w:uiPriority w:val="99"/>
    <w:pPr>
      <w:widowControl/>
      <w:jc w:val="right"/>
    </w:pPr>
  </w:style>
  <w:style w:type="paragraph" w:styleId="31">
    <w:name w:val="toc 1"/>
    <w:basedOn w:val="1"/>
    <w:next w:val="1"/>
    <w:qFormat/>
    <w:uiPriority w:val="39"/>
    <w:pPr>
      <w:widowControl/>
      <w:spacing w:before="120" w:after="120"/>
      <w:jc w:val="left"/>
    </w:pPr>
    <w:rPr>
      <w:b/>
      <w:bCs/>
      <w:caps/>
      <w:kern w:val="0"/>
      <w:sz w:val="20"/>
      <w:szCs w:val="20"/>
    </w:rPr>
  </w:style>
  <w:style w:type="paragraph" w:styleId="32">
    <w:name w:val="toc 4"/>
    <w:basedOn w:val="1"/>
    <w:next w:val="1"/>
    <w:qFormat/>
    <w:uiPriority w:val="39"/>
    <w:pPr>
      <w:widowControl/>
      <w:ind w:left="630"/>
      <w:jc w:val="left"/>
    </w:pPr>
    <w:rPr>
      <w:kern w:val="0"/>
      <w:sz w:val="18"/>
      <w:szCs w:val="18"/>
    </w:rPr>
  </w:style>
  <w:style w:type="paragraph" w:styleId="33">
    <w:name w:val="Subtitle"/>
    <w:basedOn w:val="1"/>
    <w:next w:val="1"/>
    <w:link w:val="96"/>
    <w:qFormat/>
    <w:uiPriority w:val="99"/>
    <w:pPr>
      <w:widowControl/>
      <w:spacing w:before="40" w:after="40"/>
      <w:jc w:val="center"/>
    </w:pPr>
    <w:rPr>
      <w:rFonts w:eastAsia="幼圆"/>
      <w:b/>
      <w:bCs/>
      <w:sz w:val="28"/>
      <w:szCs w:val="28"/>
    </w:rPr>
  </w:style>
  <w:style w:type="paragraph" w:styleId="34">
    <w:name w:val="toc 6"/>
    <w:basedOn w:val="1"/>
    <w:next w:val="1"/>
    <w:qFormat/>
    <w:uiPriority w:val="39"/>
    <w:pPr>
      <w:widowControl/>
      <w:ind w:left="1050"/>
      <w:jc w:val="left"/>
    </w:pPr>
    <w:rPr>
      <w:kern w:val="0"/>
      <w:sz w:val="18"/>
      <w:szCs w:val="18"/>
    </w:rPr>
  </w:style>
  <w:style w:type="paragraph" w:styleId="35">
    <w:name w:val="Body Text Indent 3"/>
    <w:basedOn w:val="1"/>
    <w:link w:val="87"/>
    <w:qFormat/>
    <w:uiPriority w:val="99"/>
    <w:pPr>
      <w:spacing w:line="360" w:lineRule="exact"/>
      <w:ind w:firstLine="420" w:firstLineChars="200"/>
    </w:pPr>
    <w:rPr>
      <w:rFonts w:ascii="Times New Roman" w:hAnsi="Times New Roman" w:cs="Times New Roman"/>
    </w:rPr>
  </w:style>
  <w:style w:type="paragraph" w:styleId="36">
    <w:name w:val="toc 2"/>
    <w:basedOn w:val="1"/>
    <w:next w:val="1"/>
    <w:qFormat/>
    <w:uiPriority w:val="39"/>
    <w:pPr>
      <w:widowControl/>
      <w:ind w:left="210"/>
      <w:jc w:val="left"/>
    </w:pPr>
    <w:rPr>
      <w:smallCaps/>
      <w:kern w:val="0"/>
      <w:sz w:val="20"/>
      <w:szCs w:val="20"/>
    </w:rPr>
  </w:style>
  <w:style w:type="paragraph" w:styleId="37">
    <w:name w:val="toc 9"/>
    <w:basedOn w:val="1"/>
    <w:next w:val="1"/>
    <w:qFormat/>
    <w:uiPriority w:val="39"/>
    <w:pPr>
      <w:widowControl/>
      <w:ind w:left="1680"/>
      <w:jc w:val="left"/>
    </w:pPr>
    <w:rPr>
      <w:kern w:val="0"/>
      <w:sz w:val="18"/>
      <w:szCs w:val="18"/>
    </w:rPr>
  </w:style>
  <w:style w:type="paragraph" w:styleId="38">
    <w:name w:val="Body Text 2"/>
    <w:basedOn w:val="1"/>
    <w:link w:val="88"/>
    <w:qFormat/>
    <w:uiPriority w:val="99"/>
    <w:pPr>
      <w:spacing w:line="280" w:lineRule="exact"/>
    </w:pPr>
    <w:rPr>
      <w:rFonts w:ascii="仿宋_GB2312" w:hAnsi="Times New Roman" w:eastAsia="仿宋_GB2312" w:cs="仿宋_GB2312"/>
      <w:sz w:val="24"/>
      <w:szCs w:val="24"/>
    </w:rPr>
  </w:style>
  <w:style w:type="paragraph" w:styleId="39">
    <w:name w:val="List 4"/>
    <w:basedOn w:val="1"/>
    <w:qFormat/>
    <w:locked/>
    <w:uiPriority w:val="99"/>
    <w:pPr>
      <w:ind w:left="100" w:leftChars="600" w:hanging="200" w:hangingChars="200"/>
    </w:pPr>
    <w:rPr>
      <w:rFonts w:ascii="Times New Roman" w:hAnsi="Times New Roman" w:cs="Times New Roman"/>
    </w:rPr>
  </w:style>
  <w:style w:type="paragraph" w:styleId="40">
    <w:name w:val="Message Header"/>
    <w:basedOn w:val="18"/>
    <w:link w:val="89"/>
    <w:qFormat/>
    <w:uiPriority w:val="99"/>
    <w:pPr>
      <w:keepLines/>
      <w:pBdr>
        <w:bottom w:val="single" w:color="auto" w:sz="6" w:space="2"/>
        <w:between w:val="single" w:color="auto" w:sz="6" w:space="2"/>
      </w:pBdr>
      <w:tabs>
        <w:tab w:val="left" w:pos="720"/>
        <w:tab w:val="left" w:pos="4320"/>
        <w:tab w:val="left" w:pos="5040"/>
        <w:tab w:val="right" w:pos="8640"/>
      </w:tabs>
      <w:overflowPunct w:val="0"/>
      <w:autoSpaceDE w:val="0"/>
      <w:autoSpaceDN w:val="0"/>
      <w:adjustRightInd w:val="0"/>
      <w:spacing w:after="0" w:line="440" w:lineRule="atLeast"/>
      <w:ind w:left="720" w:hanging="720"/>
      <w:textAlignment w:val="baseline"/>
    </w:pPr>
    <w:rPr>
      <w:rFonts w:ascii="Arial" w:hAnsi="Arial" w:cs="Arial"/>
      <w:spacing w:val="-5"/>
      <w:sz w:val="20"/>
      <w:szCs w:val="20"/>
    </w:rPr>
  </w:style>
  <w:style w:type="paragraph" w:styleId="41">
    <w:name w:val="HTML Preformatted"/>
    <w:basedOn w:val="1"/>
    <w:link w:val="90"/>
    <w:qFormat/>
    <w:locked/>
    <w:uiPriority w:val="99"/>
    <w:rPr>
      <w:rFonts w:ascii="Courier New" w:hAnsi="Courier New" w:cs="Courier New"/>
      <w:kern w:val="0"/>
      <w:sz w:val="20"/>
      <w:szCs w:val="20"/>
    </w:rPr>
  </w:style>
  <w:style w:type="paragraph" w:styleId="42">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paragraph" w:styleId="43">
    <w:name w:val="Title"/>
    <w:basedOn w:val="1"/>
    <w:link w:val="97"/>
    <w:qFormat/>
    <w:uiPriority w:val="99"/>
    <w:pPr>
      <w:widowControl/>
      <w:spacing w:before="240" w:after="60"/>
      <w:jc w:val="left"/>
      <w:outlineLvl w:val="0"/>
    </w:pPr>
    <w:rPr>
      <w:rFonts w:eastAsia="仿宋"/>
      <w:b/>
      <w:bCs/>
      <w:sz w:val="32"/>
      <w:szCs w:val="32"/>
    </w:rPr>
  </w:style>
  <w:style w:type="character" w:styleId="45">
    <w:name w:val="Strong"/>
    <w:basedOn w:val="44"/>
    <w:qFormat/>
    <w:uiPriority w:val="99"/>
    <w:rPr>
      <w:b/>
      <w:bCs/>
    </w:rPr>
  </w:style>
  <w:style w:type="character" w:styleId="46">
    <w:name w:val="page number"/>
    <w:basedOn w:val="44"/>
    <w:qFormat/>
    <w:uiPriority w:val="0"/>
  </w:style>
  <w:style w:type="character" w:styleId="47">
    <w:name w:val="FollowedHyperlink"/>
    <w:basedOn w:val="44"/>
    <w:qFormat/>
    <w:uiPriority w:val="99"/>
    <w:rPr>
      <w:color w:val="000000"/>
      <w:u w:val="none"/>
    </w:rPr>
  </w:style>
  <w:style w:type="character" w:styleId="48">
    <w:name w:val="Emphasis"/>
    <w:basedOn w:val="44"/>
    <w:qFormat/>
    <w:locked/>
    <w:uiPriority w:val="20"/>
  </w:style>
  <w:style w:type="character" w:styleId="49">
    <w:name w:val="HTML Definition"/>
    <w:basedOn w:val="44"/>
    <w:unhideWhenUsed/>
    <w:qFormat/>
    <w:locked/>
    <w:uiPriority w:val="99"/>
  </w:style>
  <w:style w:type="character" w:styleId="50">
    <w:name w:val="HTML Typewriter"/>
    <w:basedOn w:val="44"/>
    <w:unhideWhenUsed/>
    <w:qFormat/>
    <w:locked/>
    <w:uiPriority w:val="99"/>
    <w:rPr>
      <w:rFonts w:ascii="Courier New" w:hAnsi="Courier New"/>
      <w:sz w:val="24"/>
      <w:szCs w:val="24"/>
    </w:rPr>
  </w:style>
  <w:style w:type="character" w:styleId="51">
    <w:name w:val="HTML Acronym"/>
    <w:basedOn w:val="44"/>
    <w:unhideWhenUsed/>
    <w:qFormat/>
    <w:locked/>
    <w:uiPriority w:val="99"/>
  </w:style>
  <w:style w:type="character" w:styleId="52">
    <w:name w:val="HTML Variable"/>
    <w:basedOn w:val="44"/>
    <w:unhideWhenUsed/>
    <w:qFormat/>
    <w:locked/>
    <w:uiPriority w:val="99"/>
  </w:style>
  <w:style w:type="character" w:styleId="53">
    <w:name w:val="Hyperlink"/>
    <w:basedOn w:val="44"/>
    <w:qFormat/>
    <w:uiPriority w:val="99"/>
    <w:rPr>
      <w:color w:val="000000"/>
      <w:u w:val="none"/>
    </w:rPr>
  </w:style>
  <w:style w:type="character" w:styleId="54">
    <w:name w:val="HTML Code"/>
    <w:basedOn w:val="44"/>
    <w:unhideWhenUsed/>
    <w:qFormat/>
    <w:locked/>
    <w:uiPriority w:val="99"/>
    <w:rPr>
      <w:rFonts w:hint="eastAsia" w:ascii="Arial" w:hAnsi="Arial" w:cs="Arial"/>
      <w:sz w:val="24"/>
      <w:szCs w:val="24"/>
    </w:rPr>
  </w:style>
  <w:style w:type="character" w:styleId="55">
    <w:name w:val="annotation reference"/>
    <w:basedOn w:val="44"/>
    <w:semiHidden/>
    <w:qFormat/>
    <w:uiPriority w:val="99"/>
    <w:rPr>
      <w:sz w:val="21"/>
      <w:szCs w:val="21"/>
    </w:rPr>
  </w:style>
  <w:style w:type="character" w:styleId="56">
    <w:name w:val="HTML Cite"/>
    <w:basedOn w:val="44"/>
    <w:unhideWhenUsed/>
    <w:qFormat/>
    <w:locked/>
    <w:uiPriority w:val="99"/>
  </w:style>
  <w:style w:type="character" w:styleId="57">
    <w:name w:val="HTML Keyboard"/>
    <w:basedOn w:val="44"/>
    <w:unhideWhenUsed/>
    <w:qFormat/>
    <w:locked/>
    <w:uiPriority w:val="99"/>
    <w:rPr>
      <w:rFonts w:ascii="Courier New" w:hAnsi="Courier New"/>
      <w:sz w:val="24"/>
      <w:szCs w:val="24"/>
    </w:rPr>
  </w:style>
  <w:style w:type="character" w:styleId="58">
    <w:name w:val="HTML Sample"/>
    <w:basedOn w:val="44"/>
    <w:unhideWhenUsed/>
    <w:qFormat/>
    <w:locked/>
    <w:uiPriority w:val="99"/>
    <w:rPr>
      <w:rFonts w:ascii="Courier New" w:hAnsi="Courier New"/>
      <w:sz w:val="24"/>
      <w:szCs w:val="24"/>
    </w:rPr>
  </w:style>
  <w:style w:type="table" w:styleId="60">
    <w:name w:val="Table Grid"/>
    <w:basedOn w:val="59"/>
    <w:qFormat/>
    <w:locked/>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61">
    <w:name w:val="标题 1 Char"/>
    <w:basedOn w:val="44"/>
    <w:link w:val="4"/>
    <w:qFormat/>
    <w:locked/>
    <w:uiPriority w:val="99"/>
    <w:rPr>
      <w:rFonts w:ascii="Times New Roman" w:hAnsi="Times New Roman" w:eastAsia="宋体" w:cs="Times New Roman"/>
      <w:b/>
      <w:bCs/>
      <w:kern w:val="44"/>
      <w:sz w:val="44"/>
      <w:szCs w:val="44"/>
    </w:rPr>
  </w:style>
  <w:style w:type="character" w:customStyle="1" w:styleId="62">
    <w:name w:val="Heading 2 Char"/>
    <w:basedOn w:val="44"/>
    <w:qFormat/>
    <w:locked/>
    <w:uiPriority w:val="99"/>
    <w:rPr>
      <w:rFonts w:eastAsia="仿宋"/>
      <w:b/>
      <w:bCs/>
      <w:kern w:val="44"/>
      <w:sz w:val="32"/>
      <w:szCs w:val="32"/>
      <w:lang w:val="en-US" w:eastAsia="zh-CN"/>
    </w:rPr>
  </w:style>
  <w:style w:type="character" w:customStyle="1" w:styleId="63">
    <w:name w:val="Heading 3 Char"/>
    <w:basedOn w:val="44"/>
    <w:qFormat/>
    <w:locked/>
    <w:uiPriority w:val="99"/>
    <w:rPr>
      <w:rFonts w:eastAsia="仿宋"/>
      <w:b/>
      <w:bCs/>
      <w:kern w:val="44"/>
      <w:sz w:val="32"/>
      <w:szCs w:val="32"/>
      <w:lang w:val="en-US" w:eastAsia="zh-CN"/>
    </w:rPr>
  </w:style>
  <w:style w:type="character" w:customStyle="1" w:styleId="64">
    <w:name w:val="Heading 4 Char"/>
    <w:basedOn w:val="44"/>
    <w:qFormat/>
    <w:locked/>
    <w:uiPriority w:val="99"/>
    <w:rPr>
      <w:rFonts w:eastAsia="仿宋"/>
      <w:b/>
      <w:bCs/>
      <w:kern w:val="44"/>
      <w:sz w:val="32"/>
      <w:szCs w:val="32"/>
      <w:lang w:val="en-US" w:eastAsia="zh-CN"/>
    </w:rPr>
  </w:style>
  <w:style w:type="character" w:customStyle="1" w:styleId="65">
    <w:name w:val="标题 5 Char"/>
    <w:basedOn w:val="44"/>
    <w:link w:val="6"/>
    <w:qFormat/>
    <w:locked/>
    <w:uiPriority w:val="99"/>
    <w:rPr>
      <w:rFonts w:ascii="Times New Roman" w:hAnsi="Times New Roman" w:eastAsia="宋体" w:cs="Times New Roman"/>
      <w:sz w:val="44"/>
      <w:szCs w:val="44"/>
    </w:rPr>
  </w:style>
  <w:style w:type="character" w:customStyle="1" w:styleId="66">
    <w:name w:val="标题 6 Char"/>
    <w:basedOn w:val="44"/>
    <w:link w:val="7"/>
    <w:qFormat/>
    <w:locked/>
    <w:uiPriority w:val="99"/>
    <w:rPr>
      <w:rFonts w:ascii="Arial" w:hAnsi="Arial" w:eastAsia="宋体" w:cs="Arial"/>
      <w:sz w:val="44"/>
      <w:szCs w:val="44"/>
    </w:rPr>
  </w:style>
  <w:style w:type="character" w:customStyle="1" w:styleId="67">
    <w:name w:val="标题 7 Char"/>
    <w:basedOn w:val="44"/>
    <w:link w:val="8"/>
    <w:qFormat/>
    <w:locked/>
    <w:uiPriority w:val="99"/>
    <w:rPr>
      <w:rFonts w:ascii="Times New Roman" w:hAnsi="Times New Roman" w:eastAsia="宋体" w:cs="Times New Roman"/>
      <w:sz w:val="44"/>
      <w:szCs w:val="44"/>
    </w:rPr>
  </w:style>
  <w:style w:type="character" w:customStyle="1" w:styleId="68">
    <w:name w:val="标题 8 Char"/>
    <w:basedOn w:val="44"/>
    <w:link w:val="9"/>
    <w:qFormat/>
    <w:locked/>
    <w:uiPriority w:val="99"/>
    <w:rPr>
      <w:rFonts w:ascii="Times New Roman" w:hAnsi="Times New Roman" w:eastAsia="宋体" w:cs="Times New Roman"/>
      <w:sz w:val="44"/>
      <w:szCs w:val="44"/>
    </w:rPr>
  </w:style>
  <w:style w:type="character" w:customStyle="1" w:styleId="69">
    <w:name w:val="标题 9 Char"/>
    <w:basedOn w:val="44"/>
    <w:link w:val="10"/>
    <w:qFormat/>
    <w:locked/>
    <w:uiPriority w:val="99"/>
    <w:rPr>
      <w:rFonts w:ascii="Arial" w:hAnsi="Arial" w:eastAsia="宋体" w:cs="Arial"/>
      <w:sz w:val="44"/>
      <w:szCs w:val="44"/>
    </w:rPr>
  </w:style>
  <w:style w:type="character" w:customStyle="1" w:styleId="70">
    <w:name w:val="批注文字 Char"/>
    <w:basedOn w:val="44"/>
    <w:qFormat/>
    <w:locked/>
    <w:uiPriority w:val="99"/>
    <w:rPr>
      <w:rFonts w:eastAsia="仿宋"/>
      <w:sz w:val="32"/>
      <w:szCs w:val="32"/>
    </w:rPr>
  </w:style>
  <w:style w:type="character" w:customStyle="1" w:styleId="71">
    <w:name w:val="Comment Subject Char"/>
    <w:basedOn w:val="72"/>
    <w:semiHidden/>
    <w:qFormat/>
    <w:locked/>
    <w:uiPriority w:val="99"/>
    <w:rPr>
      <w:b/>
      <w:bCs/>
    </w:rPr>
  </w:style>
  <w:style w:type="character" w:customStyle="1" w:styleId="72">
    <w:name w:val="批注文字 Char1"/>
    <w:basedOn w:val="44"/>
    <w:link w:val="12"/>
    <w:semiHidden/>
    <w:qFormat/>
    <w:locked/>
    <w:uiPriority w:val="99"/>
  </w:style>
  <w:style w:type="character" w:customStyle="1" w:styleId="73">
    <w:name w:val="正文文本 Char"/>
    <w:basedOn w:val="44"/>
    <w:qFormat/>
    <w:locked/>
    <w:uiPriority w:val="99"/>
  </w:style>
  <w:style w:type="character" w:customStyle="1" w:styleId="74">
    <w:name w:val="正文首行缩进 Char"/>
    <w:basedOn w:val="75"/>
    <w:link w:val="14"/>
    <w:qFormat/>
    <w:locked/>
    <w:uiPriority w:val="99"/>
    <w:rPr>
      <w:rFonts w:ascii="Times New Roman" w:hAnsi="Times New Roman" w:eastAsia="宋体" w:cs="Times New Roman"/>
      <w:sz w:val="44"/>
      <w:szCs w:val="44"/>
    </w:rPr>
  </w:style>
  <w:style w:type="character" w:customStyle="1" w:styleId="75">
    <w:name w:val="正文文本 Char1"/>
    <w:basedOn w:val="44"/>
    <w:link w:val="18"/>
    <w:semiHidden/>
    <w:qFormat/>
    <w:locked/>
    <w:uiPriority w:val="99"/>
  </w:style>
  <w:style w:type="character" w:customStyle="1" w:styleId="76">
    <w:name w:val="文档结构图 Char"/>
    <w:basedOn w:val="44"/>
    <w:qFormat/>
    <w:locked/>
    <w:uiPriority w:val="99"/>
    <w:rPr>
      <w:shd w:val="clear" w:color="auto" w:fill="000080"/>
    </w:rPr>
  </w:style>
  <w:style w:type="character" w:customStyle="1" w:styleId="77">
    <w:name w:val="正文文本缩进 Char"/>
    <w:basedOn w:val="44"/>
    <w:qFormat/>
    <w:locked/>
    <w:uiPriority w:val="99"/>
  </w:style>
  <w:style w:type="character" w:customStyle="1" w:styleId="78">
    <w:name w:val="HTML 地址 Char1"/>
    <w:basedOn w:val="44"/>
    <w:link w:val="20"/>
    <w:semiHidden/>
    <w:qFormat/>
    <w:locked/>
    <w:uiPriority w:val="99"/>
    <w:rPr>
      <w:i/>
      <w:iCs/>
      <w:kern w:val="2"/>
      <w:sz w:val="22"/>
      <w:szCs w:val="22"/>
    </w:rPr>
  </w:style>
  <w:style w:type="character" w:customStyle="1" w:styleId="79">
    <w:name w:val="纯文本 Char"/>
    <w:basedOn w:val="44"/>
    <w:link w:val="23"/>
    <w:qFormat/>
    <w:locked/>
    <w:uiPriority w:val="99"/>
    <w:rPr>
      <w:rFonts w:ascii="宋体" w:hAnsi="Courier New" w:eastAsia="宋体" w:cs="宋体"/>
      <w:sz w:val="21"/>
      <w:szCs w:val="21"/>
    </w:rPr>
  </w:style>
  <w:style w:type="character" w:customStyle="1" w:styleId="80">
    <w:name w:val="日期 Char"/>
    <w:basedOn w:val="44"/>
    <w:link w:val="25"/>
    <w:qFormat/>
    <w:locked/>
    <w:uiPriority w:val="99"/>
    <w:rPr>
      <w:rFonts w:ascii="Times New Roman" w:hAnsi="Times New Roman" w:eastAsia="宋体" w:cs="Times New Roman"/>
      <w:kern w:val="0"/>
      <w:sz w:val="20"/>
      <w:szCs w:val="20"/>
    </w:rPr>
  </w:style>
  <w:style w:type="character" w:customStyle="1" w:styleId="81">
    <w:name w:val="正文文本缩进 2 Char"/>
    <w:basedOn w:val="44"/>
    <w:link w:val="26"/>
    <w:qFormat/>
    <w:locked/>
    <w:uiPriority w:val="99"/>
    <w:rPr>
      <w:rFonts w:ascii="宋体" w:hAnsi="Times New Roman" w:eastAsia="宋体" w:cs="宋体"/>
      <w:sz w:val="20"/>
      <w:szCs w:val="20"/>
    </w:rPr>
  </w:style>
  <w:style w:type="character" w:customStyle="1" w:styleId="82">
    <w:name w:val="批注框文本 Char"/>
    <w:basedOn w:val="44"/>
    <w:qFormat/>
    <w:locked/>
    <w:uiPriority w:val="99"/>
    <w:rPr>
      <w:rFonts w:eastAsia="仿宋"/>
      <w:sz w:val="18"/>
      <w:szCs w:val="18"/>
    </w:rPr>
  </w:style>
  <w:style w:type="character" w:customStyle="1" w:styleId="83">
    <w:name w:val="页脚 Char"/>
    <w:basedOn w:val="44"/>
    <w:link w:val="28"/>
    <w:qFormat/>
    <w:locked/>
    <w:uiPriority w:val="0"/>
    <w:rPr>
      <w:sz w:val="18"/>
      <w:szCs w:val="18"/>
    </w:rPr>
  </w:style>
  <w:style w:type="character" w:customStyle="1" w:styleId="84">
    <w:name w:val="页眉 Char"/>
    <w:basedOn w:val="44"/>
    <w:link w:val="29"/>
    <w:qFormat/>
    <w:locked/>
    <w:uiPriority w:val="99"/>
    <w:rPr>
      <w:sz w:val="18"/>
      <w:szCs w:val="18"/>
    </w:rPr>
  </w:style>
  <w:style w:type="character" w:customStyle="1" w:styleId="85">
    <w:name w:val="签名 Char"/>
    <w:basedOn w:val="44"/>
    <w:qFormat/>
    <w:locked/>
    <w:uiPriority w:val="99"/>
    <w:rPr>
      <w:sz w:val="21"/>
      <w:szCs w:val="21"/>
    </w:rPr>
  </w:style>
  <w:style w:type="character" w:customStyle="1" w:styleId="86">
    <w:name w:val="副标题 Char"/>
    <w:basedOn w:val="44"/>
    <w:qFormat/>
    <w:locked/>
    <w:uiPriority w:val="99"/>
    <w:rPr>
      <w:rFonts w:eastAsia="幼圆"/>
      <w:b/>
      <w:bCs/>
      <w:sz w:val="28"/>
      <w:szCs w:val="28"/>
    </w:rPr>
  </w:style>
  <w:style w:type="character" w:customStyle="1" w:styleId="87">
    <w:name w:val="正文文本缩进 3 Char"/>
    <w:basedOn w:val="44"/>
    <w:link w:val="35"/>
    <w:qFormat/>
    <w:locked/>
    <w:uiPriority w:val="99"/>
    <w:rPr>
      <w:rFonts w:ascii="Times New Roman" w:hAnsi="Times New Roman" w:eastAsia="宋体" w:cs="Times New Roman"/>
      <w:sz w:val="24"/>
      <w:szCs w:val="24"/>
    </w:rPr>
  </w:style>
  <w:style w:type="character" w:customStyle="1" w:styleId="88">
    <w:name w:val="正文文本 2 Char"/>
    <w:basedOn w:val="44"/>
    <w:link w:val="38"/>
    <w:qFormat/>
    <w:locked/>
    <w:uiPriority w:val="99"/>
    <w:rPr>
      <w:rFonts w:ascii="仿宋_GB2312" w:hAnsi="Times New Roman" w:eastAsia="仿宋_GB2312" w:cs="仿宋_GB2312"/>
      <w:sz w:val="24"/>
      <w:szCs w:val="24"/>
    </w:rPr>
  </w:style>
  <w:style w:type="character" w:customStyle="1" w:styleId="89">
    <w:name w:val="信息标题 Char"/>
    <w:basedOn w:val="44"/>
    <w:link w:val="40"/>
    <w:qFormat/>
    <w:locked/>
    <w:uiPriority w:val="99"/>
    <w:rPr>
      <w:rFonts w:ascii="Arial" w:hAnsi="Arial" w:cs="Arial"/>
      <w:spacing w:val="-5"/>
      <w:sz w:val="20"/>
      <w:szCs w:val="20"/>
    </w:rPr>
  </w:style>
  <w:style w:type="character" w:customStyle="1" w:styleId="90">
    <w:name w:val="HTML 预设格式 Char1"/>
    <w:basedOn w:val="44"/>
    <w:link w:val="41"/>
    <w:semiHidden/>
    <w:qFormat/>
    <w:locked/>
    <w:uiPriority w:val="99"/>
    <w:rPr>
      <w:rFonts w:ascii="Courier New" w:hAnsi="Courier New" w:cs="Courier New"/>
      <w:kern w:val="2"/>
    </w:rPr>
  </w:style>
  <w:style w:type="character" w:customStyle="1" w:styleId="91">
    <w:name w:val="标题 Char"/>
    <w:basedOn w:val="44"/>
    <w:qFormat/>
    <w:locked/>
    <w:uiPriority w:val="99"/>
    <w:rPr>
      <w:rFonts w:eastAsia="仿宋"/>
      <w:b/>
      <w:bCs/>
      <w:sz w:val="32"/>
      <w:szCs w:val="32"/>
    </w:rPr>
  </w:style>
  <w:style w:type="character" w:customStyle="1" w:styleId="92">
    <w:name w:val="文档结构图 Char1"/>
    <w:basedOn w:val="44"/>
    <w:link w:val="17"/>
    <w:semiHidden/>
    <w:qFormat/>
    <w:locked/>
    <w:uiPriority w:val="99"/>
    <w:rPr>
      <w:rFonts w:ascii="宋体" w:eastAsia="宋体" w:cs="宋体"/>
      <w:sz w:val="18"/>
      <w:szCs w:val="18"/>
    </w:rPr>
  </w:style>
  <w:style w:type="character" w:customStyle="1" w:styleId="93">
    <w:name w:val="正文文本缩进 Char1"/>
    <w:basedOn w:val="44"/>
    <w:link w:val="19"/>
    <w:semiHidden/>
    <w:qFormat/>
    <w:locked/>
    <w:uiPriority w:val="99"/>
  </w:style>
  <w:style w:type="character" w:customStyle="1" w:styleId="94">
    <w:name w:val="批注框文本 Char1"/>
    <w:basedOn w:val="44"/>
    <w:link w:val="27"/>
    <w:semiHidden/>
    <w:qFormat/>
    <w:locked/>
    <w:uiPriority w:val="99"/>
    <w:rPr>
      <w:sz w:val="18"/>
      <w:szCs w:val="18"/>
    </w:rPr>
  </w:style>
  <w:style w:type="character" w:customStyle="1" w:styleId="95">
    <w:name w:val="签名 Char1"/>
    <w:basedOn w:val="44"/>
    <w:link w:val="30"/>
    <w:semiHidden/>
    <w:qFormat/>
    <w:locked/>
    <w:uiPriority w:val="99"/>
  </w:style>
  <w:style w:type="character" w:customStyle="1" w:styleId="96">
    <w:name w:val="副标题 Char1"/>
    <w:basedOn w:val="44"/>
    <w:link w:val="33"/>
    <w:qFormat/>
    <w:locked/>
    <w:uiPriority w:val="99"/>
    <w:rPr>
      <w:rFonts w:ascii="Cambria" w:hAnsi="Cambria" w:eastAsia="宋体" w:cs="Cambria"/>
      <w:b/>
      <w:bCs/>
      <w:kern w:val="28"/>
      <w:sz w:val="32"/>
      <w:szCs w:val="32"/>
    </w:rPr>
  </w:style>
  <w:style w:type="character" w:customStyle="1" w:styleId="97">
    <w:name w:val="标题 Char1"/>
    <w:basedOn w:val="44"/>
    <w:link w:val="43"/>
    <w:qFormat/>
    <w:locked/>
    <w:uiPriority w:val="99"/>
    <w:rPr>
      <w:rFonts w:ascii="Cambria" w:hAnsi="Cambria" w:eastAsia="宋体" w:cs="Cambria"/>
      <w:b/>
      <w:bCs/>
      <w:sz w:val="32"/>
      <w:szCs w:val="32"/>
    </w:rPr>
  </w:style>
  <w:style w:type="character" w:customStyle="1" w:styleId="98">
    <w:name w:val="标题 2 Char"/>
    <w:basedOn w:val="44"/>
    <w:link w:val="2"/>
    <w:qFormat/>
    <w:locked/>
    <w:uiPriority w:val="99"/>
    <w:rPr>
      <w:rFonts w:ascii="Arial" w:hAnsi="Arial" w:eastAsia="宋体" w:cs="Arial"/>
      <w:b/>
      <w:bCs/>
      <w:sz w:val="32"/>
      <w:szCs w:val="32"/>
    </w:rPr>
  </w:style>
  <w:style w:type="character" w:customStyle="1" w:styleId="99">
    <w:name w:val="标题 3 Char"/>
    <w:basedOn w:val="44"/>
    <w:link w:val="3"/>
    <w:qFormat/>
    <w:locked/>
    <w:uiPriority w:val="99"/>
    <w:rPr>
      <w:rFonts w:ascii="Times New Roman" w:hAnsi="Times New Roman" w:eastAsia="宋体" w:cs="Times New Roman"/>
      <w:b/>
      <w:bCs/>
      <w:sz w:val="32"/>
      <w:szCs w:val="32"/>
    </w:rPr>
  </w:style>
  <w:style w:type="character" w:customStyle="1" w:styleId="100">
    <w:name w:val="标题 4 Char"/>
    <w:basedOn w:val="44"/>
    <w:link w:val="5"/>
    <w:qFormat/>
    <w:locked/>
    <w:uiPriority w:val="99"/>
    <w:rPr>
      <w:rFonts w:ascii="Arial" w:hAnsi="Arial" w:cs="Arial"/>
      <w:b/>
      <w:bCs/>
      <w:kern w:val="2"/>
      <w:sz w:val="24"/>
      <w:szCs w:val="24"/>
    </w:rPr>
  </w:style>
  <w:style w:type="character" w:customStyle="1" w:styleId="101">
    <w:name w:val="ca-2"/>
    <w:basedOn w:val="44"/>
    <w:qFormat/>
    <w:uiPriority w:val="99"/>
  </w:style>
  <w:style w:type="character" w:customStyle="1" w:styleId="102">
    <w:name w:val="表哥标题居左 Char Char"/>
    <w:link w:val="103"/>
    <w:qFormat/>
    <w:locked/>
    <w:uiPriority w:val="99"/>
    <w:rPr>
      <w:b/>
      <w:bCs/>
      <w:sz w:val="21"/>
      <w:szCs w:val="21"/>
    </w:rPr>
  </w:style>
  <w:style w:type="paragraph" w:customStyle="1" w:styleId="103">
    <w:name w:val="表哥标题居左"/>
    <w:basedOn w:val="104"/>
    <w:link w:val="102"/>
    <w:qFormat/>
    <w:uiPriority w:val="99"/>
    <w:pPr>
      <w:jc w:val="left"/>
    </w:pPr>
    <w:rPr>
      <w:rFonts w:ascii="Calibri" w:hAnsi="Calibri"/>
      <w:sz w:val="21"/>
      <w:szCs w:val="21"/>
    </w:rPr>
  </w:style>
  <w:style w:type="paragraph" w:customStyle="1" w:styleId="104">
    <w:name w:val="表格标题"/>
    <w:link w:val="105"/>
    <w:qFormat/>
    <w:uiPriority w:val="99"/>
    <w:pPr>
      <w:jc w:val="center"/>
    </w:pPr>
    <w:rPr>
      <w:rFonts w:ascii="Times New Roman" w:hAnsi="Times New Roman" w:eastAsia="宋体" w:cs="Times New Roman"/>
      <w:b/>
      <w:bCs/>
      <w:sz w:val="22"/>
      <w:szCs w:val="22"/>
      <w:lang w:val="en-US" w:eastAsia="zh-CN" w:bidi="ar-SA"/>
    </w:rPr>
  </w:style>
  <w:style w:type="character" w:customStyle="1" w:styleId="105">
    <w:name w:val="表格标题 Char Char"/>
    <w:link w:val="104"/>
    <w:qFormat/>
    <w:locked/>
    <w:uiPriority w:val="99"/>
    <w:rPr>
      <w:rFonts w:ascii="Times New Roman" w:hAnsi="Times New Roman"/>
      <w:b/>
      <w:bCs/>
      <w:sz w:val="22"/>
      <w:szCs w:val="22"/>
      <w:lang w:bidi="ar-SA"/>
    </w:rPr>
  </w:style>
  <w:style w:type="character" w:customStyle="1" w:styleId="106">
    <w:name w:val="f12"/>
    <w:basedOn w:val="44"/>
    <w:qFormat/>
    <w:uiPriority w:val="99"/>
  </w:style>
  <w:style w:type="character" w:customStyle="1" w:styleId="107">
    <w:name w:val="Char Char13"/>
    <w:basedOn w:val="44"/>
    <w:qFormat/>
    <w:uiPriority w:val="99"/>
    <w:rPr>
      <w:rFonts w:eastAsia="仿宋"/>
      <w:b/>
      <w:bCs/>
      <w:kern w:val="44"/>
      <w:sz w:val="32"/>
      <w:szCs w:val="32"/>
      <w:lang w:val="en-US" w:eastAsia="zh-CN"/>
    </w:rPr>
  </w:style>
  <w:style w:type="character" w:customStyle="1" w:styleId="108">
    <w:name w:val="clh15"/>
    <w:basedOn w:val="44"/>
    <w:qFormat/>
    <w:uiPriority w:val="99"/>
  </w:style>
  <w:style w:type="character" w:customStyle="1" w:styleId="109">
    <w:name w:val="!我的正文 Ctr+Q Char Char"/>
    <w:link w:val="110"/>
    <w:qFormat/>
    <w:locked/>
    <w:uiPriority w:val="99"/>
    <w:rPr>
      <w:rFonts w:ascii="Arial" w:hAnsi="Arial" w:cs="Arial"/>
      <w:sz w:val="21"/>
      <w:szCs w:val="21"/>
    </w:rPr>
  </w:style>
  <w:style w:type="paragraph" w:customStyle="1" w:styleId="110">
    <w:name w:val="!我的正文 Ctr+Q"/>
    <w:basedOn w:val="1"/>
    <w:link w:val="109"/>
    <w:qFormat/>
    <w:uiPriority w:val="99"/>
    <w:pPr>
      <w:adjustRightInd w:val="0"/>
      <w:snapToGrid w:val="0"/>
      <w:spacing w:line="360" w:lineRule="auto"/>
      <w:ind w:firstLine="480" w:firstLineChars="200"/>
    </w:pPr>
    <w:rPr>
      <w:rFonts w:ascii="Arial" w:hAnsi="Arial" w:cs="Times New Roman"/>
      <w:kern w:val="0"/>
    </w:rPr>
  </w:style>
  <w:style w:type="character" w:customStyle="1" w:styleId="111">
    <w:name w:val="正文缩进 Char"/>
    <w:basedOn w:val="44"/>
    <w:link w:val="15"/>
    <w:qFormat/>
    <w:locked/>
    <w:uiPriority w:val="99"/>
    <w:rPr>
      <w:rFonts w:ascii="宋体" w:cs="宋体"/>
    </w:rPr>
  </w:style>
  <w:style w:type="character" w:customStyle="1" w:styleId="112">
    <w:name w:val="Char Char14"/>
    <w:basedOn w:val="44"/>
    <w:qFormat/>
    <w:uiPriority w:val="99"/>
    <w:rPr>
      <w:rFonts w:eastAsia="仿宋"/>
      <w:b/>
      <w:bCs/>
      <w:kern w:val="44"/>
      <w:sz w:val="32"/>
      <w:szCs w:val="32"/>
      <w:lang w:val="en-US" w:eastAsia="zh-CN"/>
    </w:rPr>
  </w:style>
  <w:style w:type="character" w:customStyle="1" w:styleId="113">
    <w:name w:val="Char Char12"/>
    <w:basedOn w:val="44"/>
    <w:qFormat/>
    <w:uiPriority w:val="99"/>
    <w:rPr>
      <w:rFonts w:eastAsia="仿宋"/>
      <w:b/>
      <w:bCs/>
      <w:kern w:val="44"/>
      <w:sz w:val="32"/>
      <w:szCs w:val="32"/>
      <w:lang w:val="en-US" w:eastAsia="zh-CN"/>
    </w:rPr>
  </w:style>
  <w:style w:type="character" w:customStyle="1" w:styleId="114">
    <w:name w:val="!标题3 Ctrl+3 Char Char"/>
    <w:link w:val="115"/>
    <w:qFormat/>
    <w:locked/>
    <w:uiPriority w:val="99"/>
    <w:rPr>
      <w:rFonts w:ascii="宋体" w:eastAsia="宋体" w:cs="宋体"/>
      <w:b/>
      <w:bCs/>
      <w:sz w:val="28"/>
      <w:szCs w:val="28"/>
    </w:rPr>
  </w:style>
  <w:style w:type="paragraph" w:customStyle="1" w:styleId="115">
    <w:name w:val="!标题3 Ctrl+3"/>
    <w:basedOn w:val="3"/>
    <w:next w:val="1"/>
    <w:link w:val="114"/>
    <w:qFormat/>
    <w:uiPriority w:val="99"/>
    <w:pPr>
      <w:keepNext w:val="0"/>
      <w:keepLines w:val="0"/>
      <w:tabs>
        <w:tab w:val="left" w:pos="1028"/>
      </w:tabs>
      <w:adjustRightInd w:val="0"/>
      <w:snapToGrid w:val="0"/>
      <w:spacing w:beforeLines="50" w:line="360" w:lineRule="auto"/>
      <w:ind w:left="720" w:hanging="720"/>
    </w:pPr>
    <w:rPr>
      <w:rFonts w:ascii="宋体" w:hAnsi="Calibri"/>
      <w:kern w:val="0"/>
      <w:sz w:val="28"/>
      <w:szCs w:val="28"/>
    </w:rPr>
  </w:style>
  <w:style w:type="character" w:customStyle="1" w:styleId="116">
    <w:name w:val="Char Char16"/>
    <w:basedOn w:val="44"/>
    <w:qFormat/>
    <w:uiPriority w:val="99"/>
    <w:rPr>
      <w:rFonts w:eastAsia="仿宋"/>
      <w:b/>
      <w:bCs/>
      <w:kern w:val="44"/>
      <w:sz w:val="32"/>
      <w:szCs w:val="32"/>
      <w:lang w:val="en-US" w:eastAsia="zh-CN"/>
    </w:rPr>
  </w:style>
  <w:style w:type="character" w:customStyle="1" w:styleId="117">
    <w:name w:val="表格字 Char Char"/>
    <w:link w:val="118"/>
    <w:qFormat/>
    <w:locked/>
    <w:uiPriority w:val="99"/>
    <w:rPr>
      <w:rFonts w:cs="Calibri"/>
      <w:kern w:val="2"/>
      <w:sz w:val="21"/>
      <w:szCs w:val="21"/>
      <w:lang w:val="en-US" w:eastAsia="zh-CN" w:bidi="ar-SA"/>
    </w:rPr>
  </w:style>
  <w:style w:type="paragraph" w:customStyle="1" w:styleId="118">
    <w:name w:val="表格字"/>
    <w:link w:val="117"/>
    <w:qFormat/>
    <w:uiPriority w:val="99"/>
    <w:rPr>
      <w:rFonts w:ascii="Calibri" w:hAnsi="Calibri" w:eastAsia="宋体" w:cs="Calibri"/>
      <w:kern w:val="2"/>
      <w:sz w:val="21"/>
      <w:szCs w:val="21"/>
      <w:lang w:val="en-US" w:eastAsia="zh-CN" w:bidi="ar-SA"/>
    </w:rPr>
  </w:style>
  <w:style w:type="character" w:customStyle="1" w:styleId="119">
    <w:name w:val="表格字居中 Char Char"/>
    <w:basedOn w:val="117"/>
    <w:link w:val="120"/>
    <w:qFormat/>
    <w:locked/>
    <w:uiPriority w:val="99"/>
    <w:rPr>
      <w:rFonts w:cs="Calibri"/>
      <w:kern w:val="2"/>
      <w:sz w:val="24"/>
      <w:szCs w:val="24"/>
      <w:lang w:val="en-US" w:eastAsia="zh-CN" w:bidi="ar-SA"/>
    </w:rPr>
  </w:style>
  <w:style w:type="paragraph" w:customStyle="1" w:styleId="120">
    <w:name w:val="表格字居中"/>
    <w:basedOn w:val="118"/>
    <w:link w:val="119"/>
    <w:qFormat/>
    <w:uiPriority w:val="99"/>
    <w:pPr>
      <w:jc w:val="center"/>
    </w:pPr>
    <w:rPr>
      <w:sz w:val="24"/>
      <w:szCs w:val="24"/>
    </w:rPr>
  </w:style>
  <w:style w:type="character" w:customStyle="1" w:styleId="121">
    <w:name w:val="Char Char11"/>
    <w:basedOn w:val="44"/>
    <w:qFormat/>
    <w:uiPriority w:val="99"/>
    <w:rPr>
      <w:rFonts w:eastAsia="宋体"/>
      <w:b/>
      <w:bCs/>
      <w:kern w:val="2"/>
      <w:sz w:val="24"/>
      <w:szCs w:val="24"/>
      <w:lang w:val="en-US" w:eastAsia="zh-CN"/>
    </w:rPr>
  </w:style>
  <w:style w:type="character" w:customStyle="1" w:styleId="122">
    <w:name w:val="Normal Indent Char Char"/>
    <w:basedOn w:val="44"/>
    <w:qFormat/>
    <w:uiPriority w:val="99"/>
    <w:rPr>
      <w:rFonts w:eastAsia="宋体"/>
      <w:sz w:val="24"/>
      <w:szCs w:val="24"/>
      <w:lang w:val="en-US" w:eastAsia="zh-CN"/>
    </w:rPr>
  </w:style>
  <w:style w:type="character" w:customStyle="1" w:styleId="123">
    <w:name w:val="Message Header Label"/>
    <w:qFormat/>
    <w:uiPriority w:val="99"/>
    <w:rPr>
      <w:rFonts w:ascii="Arial Black" w:hAnsi="Arial Black" w:eastAsia="宋体" w:cs="Arial Black"/>
      <w:sz w:val="18"/>
      <w:szCs w:val="18"/>
    </w:rPr>
  </w:style>
  <w:style w:type="character" w:customStyle="1" w:styleId="124">
    <w:name w:val="页眉 Char1"/>
    <w:basedOn w:val="44"/>
    <w:semiHidden/>
    <w:qFormat/>
    <w:uiPriority w:val="99"/>
    <w:rPr>
      <w:sz w:val="18"/>
      <w:szCs w:val="18"/>
    </w:rPr>
  </w:style>
  <w:style w:type="character" w:customStyle="1" w:styleId="125">
    <w:name w:val="批注主题 Char"/>
    <w:basedOn w:val="70"/>
    <w:link w:val="11"/>
    <w:qFormat/>
    <w:locked/>
    <w:uiPriority w:val="99"/>
    <w:rPr>
      <w:rFonts w:eastAsia="仿宋"/>
      <w:b/>
      <w:bCs/>
      <w:sz w:val="32"/>
      <w:szCs w:val="32"/>
    </w:rPr>
  </w:style>
  <w:style w:type="character" w:customStyle="1" w:styleId="126">
    <w:name w:val="页脚 Char1"/>
    <w:basedOn w:val="44"/>
    <w:semiHidden/>
    <w:qFormat/>
    <w:uiPriority w:val="99"/>
    <w:rPr>
      <w:sz w:val="18"/>
      <w:szCs w:val="18"/>
    </w:rPr>
  </w:style>
  <w:style w:type="character" w:customStyle="1" w:styleId="127">
    <w:name w:val="Emphasis1"/>
    <w:qFormat/>
    <w:uiPriority w:val="99"/>
    <w:rPr>
      <w:rFonts w:ascii="Arial Black" w:hAnsi="Arial Black" w:eastAsia="宋体" w:cs="Arial Black"/>
      <w:sz w:val="18"/>
      <w:szCs w:val="18"/>
    </w:rPr>
  </w:style>
  <w:style w:type="character" w:customStyle="1" w:styleId="128">
    <w:name w:val="样式 (符号) 宋体 加粗 下划线"/>
    <w:basedOn w:val="44"/>
    <w:qFormat/>
    <w:uiPriority w:val="99"/>
    <w:rPr>
      <w:b/>
      <w:bCs/>
      <w:u w:val="single"/>
    </w:rPr>
  </w:style>
  <w:style w:type="character" w:customStyle="1" w:styleId="129">
    <w:name w:val="抬头 Char Char"/>
    <w:link w:val="130"/>
    <w:qFormat/>
    <w:locked/>
    <w:uiPriority w:val="99"/>
    <w:rPr>
      <w:rFonts w:eastAsia="楷体" w:cs="Calibri"/>
      <w:b/>
      <w:bCs/>
      <w:kern w:val="2"/>
      <w:sz w:val="24"/>
      <w:szCs w:val="24"/>
      <w:lang w:val="en-US" w:eastAsia="zh-CN" w:bidi="ar-SA"/>
    </w:rPr>
  </w:style>
  <w:style w:type="paragraph" w:customStyle="1" w:styleId="130">
    <w:name w:val="抬头"/>
    <w:link w:val="129"/>
    <w:qFormat/>
    <w:uiPriority w:val="99"/>
    <w:rPr>
      <w:rFonts w:ascii="Calibri" w:hAnsi="Calibri" w:eastAsia="楷体" w:cs="Calibri"/>
      <w:b/>
      <w:bCs/>
      <w:kern w:val="2"/>
      <w:sz w:val="24"/>
      <w:szCs w:val="24"/>
      <w:lang w:val="en-US" w:eastAsia="zh-CN" w:bidi="ar-SA"/>
    </w:rPr>
  </w:style>
  <w:style w:type="character" w:customStyle="1" w:styleId="131">
    <w:name w:val="正文粗体 Char Char"/>
    <w:link w:val="132"/>
    <w:qFormat/>
    <w:locked/>
    <w:uiPriority w:val="99"/>
    <w:rPr>
      <w:rFonts w:eastAsia="仿宋"/>
      <w:b/>
      <w:bCs/>
      <w:sz w:val="32"/>
      <w:szCs w:val="32"/>
    </w:rPr>
  </w:style>
  <w:style w:type="paragraph" w:customStyle="1" w:styleId="132">
    <w:name w:val="正文粗体"/>
    <w:basedOn w:val="1"/>
    <w:link w:val="131"/>
    <w:qFormat/>
    <w:uiPriority w:val="99"/>
    <w:pPr>
      <w:spacing w:line="360" w:lineRule="auto"/>
      <w:ind w:firstLine="560" w:firstLineChars="200"/>
      <w:jc w:val="left"/>
    </w:pPr>
    <w:rPr>
      <w:rFonts w:eastAsia="仿宋" w:cs="Times New Roman"/>
      <w:b/>
      <w:bCs/>
      <w:kern w:val="0"/>
      <w:sz w:val="32"/>
      <w:szCs w:val="32"/>
    </w:rPr>
  </w:style>
  <w:style w:type="character" w:customStyle="1" w:styleId="133">
    <w:name w:val="Char Char15"/>
    <w:basedOn w:val="44"/>
    <w:qFormat/>
    <w:uiPriority w:val="99"/>
    <w:rPr>
      <w:rFonts w:eastAsia="仿宋"/>
      <w:b/>
      <w:bCs/>
      <w:kern w:val="44"/>
      <w:sz w:val="32"/>
      <w:szCs w:val="32"/>
      <w:lang w:val="en-US" w:eastAsia="zh-CN"/>
    </w:rPr>
  </w:style>
  <w:style w:type="character" w:customStyle="1" w:styleId="134">
    <w:name w:val="样式 宋体 小四"/>
    <w:basedOn w:val="44"/>
    <w:qFormat/>
    <w:uiPriority w:val="99"/>
    <w:rPr>
      <w:rFonts w:ascii="宋体" w:eastAsia="宋体" w:cs="宋体"/>
      <w:sz w:val="24"/>
      <w:szCs w:val="24"/>
    </w:rPr>
  </w:style>
  <w:style w:type="character" w:customStyle="1" w:styleId="135">
    <w:name w:val="bord3"/>
    <w:basedOn w:val="44"/>
    <w:qFormat/>
    <w:uiPriority w:val="99"/>
  </w:style>
  <w:style w:type="paragraph" w:customStyle="1" w:styleId="136">
    <w:name w:val="表格"/>
    <w:basedOn w:val="1"/>
    <w:qFormat/>
    <w:uiPriority w:val="99"/>
    <w:rPr>
      <w:rFonts w:ascii="Times New Roman" w:hAnsi="Times New Roman" w:cs="Times New Roman"/>
    </w:rPr>
  </w:style>
  <w:style w:type="paragraph" w:customStyle="1" w:styleId="137">
    <w:name w:val="列出段落1"/>
    <w:basedOn w:val="1"/>
    <w:qFormat/>
    <w:uiPriority w:val="99"/>
    <w:pPr>
      <w:ind w:firstLine="420" w:firstLineChars="200"/>
    </w:pPr>
    <w:rPr>
      <w:rFonts w:ascii="Times New Roman" w:hAnsi="Times New Roman" w:cs="Times New Roman"/>
    </w:rPr>
  </w:style>
  <w:style w:type="paragraph" w:customStyle="1" w:styleId="138">
    <w:name w:val="前面加点"/>
    <w:basedOn w:val="1"/>
    <w:qFormat/>
    <w:uiPriority w:val="99"/>
    <w:pPr>
      <w:tabs>
        <w:tab w:val="left" w:pos="720"/>
      </w:tabs>
      <w:ind w:left="760" w:firstLine="200"/>
    </w:pPr>
    <w:rPr>
      <w:rFonts w:ascii="Times New Roman" w:hAnsi="Times New Roman" w:cs="Times New Roman"/>
    </w:rPr>
  </w:style>
  <w:style w:type="paragraph" w:customStyle="1" w:styleId="139">
    <w:name w:val="正文加黑"/>
    <w:basedOn w:val="1"/>
    <w:qFormat/>
    <w:uiPriority w:val="99"/>
    <w:rPr>
      <w:rFonts w:ascii="Times New Roman" w:hAnsi="Times New Roman" w:cs="Times New Roman"/>
      <w:b/>
      <w:bCs/>
    </w:rPr>
  </w:style>
  <w:style w:type="paragraph" w:customStyle="1" w:styleId="140">
    <w:name w:val="默认段落字体 Para Char Char Char Char Char Char Char"/>
    <w:basedOn w:val="1"/>
    <w:qFormat/>
    <w:uiPriority w:val="99"/>
    <w:rPr>
      <w:rFonts w:ascii="Times New Roman" w:hAnsi="Times New Roman" w:eastAsia="仿宋_GB2312" w:cs="Times New Roman"/>
      <w:sz w:val="28"/>
      <w:szCs w:val="28"/>
    </w:rPr>
  </w:style>
  <w:style w:type="paragraph" w:customStyle="1" w:styleId="141">
    <w:name w:val="表格注释"/>
    <w:basedOn w:val="1"/>
    <w:qFormat/>
    <w:uiPriority w:val="99"/>
    <w:rPr>
      <w:rFonts w:ascii="Times New Roman" w:hAnsi="Times New Roman" w:cs="Times New Roman"/>
    </w:rPr>
  </w:style>
  <w:style w:type="paragraph" w:customStyle="1" w:styleId="142">
    <w:name w:val="--规划正文"/>
    <w:basedOn w:val="1"/>
    <w:qFormat/>
    <w:uiPriority w:val="99"/>
    <w:pPr>
      <w:spacing w:line="360" w:lineRule="auto"/>
      <w:ind w:firstLine="200" w:firstLineChars="200"/>
    </w:pPr>
    <w:rPr>
      <w:rFonts w:ascii="Times New Roman" w:hAnsi="Times New Roman" w:cs="Times New Roman"/>
    </w:rPr>
  </w:style>
  <w:style w:type="paragraph" w:customStyle="1" w:styleId="143">
    <w:name w:val="Message Header First"/>
    <w:basedOn w:val="40"/>
    <w:next w:val="40"/>
    <w:qFormat/>
    <w:uiPriority w:val="99"/>
  </w:style>
  <w:style w:type="paragraph" w:customStyle="1" w:styleId="144">
    <w:name w:val="样式2"/>
    <w:basedOn w:val="1"/>
    <w:qFormat/>
    <w:uiPriority w:val="99"/>
    <w:pPr>
      <w:tabs>
        <w:tab w:val="left" w:pos="720"/>
      </w:tabs>
      <w:ind w:left="760" w:firstLine="200"/>
    </w:pPr>
    <w:rPr>
      <w:rFonts w:ascii="Times New Roman" w:hAnsi="Times New Roman" w:cs="Times New Roman"/>
    </w:rPr>
  </w:style>
  <w:style w:type="paragraph" w:customStyle="1" w:styleId="145">
    <w:name w:val="Char"/>
    <w:basedOn w:val="1"/>
    <w:qFormat/>
    <w:uiPriority w:val="99"/>
    <w:pPr>
      <w:widowControl/>
      <w:spacing w:after="160" w:line="240" w:lineRule="exact"/>
      <w:jc w:val="left"/>
    </w:pPr>
    <w:rPr>
      <w:rFonts w:ascii="Verdana" w:hAnsi="Verdana" w:cs="Verdana"/>
      <w:kern w:val="0"/>
      <w:sz w:val="20"/>
      <w:szCs w:val="20"/>
      <w:lang w:eastAsia="en-US"/>
    </w:rPr>
  </w:style>
  <w:style w:type="paragraph" w:customStyle="1" w:styleId="146">
    <w:name w:val="Char1 Char Char Char Char Char Char1"/>
    <w:basedOn w:val="1"/>
    <w:qFormat/>
    <w:uiPriority w:val="99"/>
    <w:pPr>
      <w:widowControl/>
      <w:spacing w:after="160" w:line="240" w:lineRule="exact"/>
      <w:jc w:val="left"/>
    </w:pPr>
    <w:rPr>
      <w:rFonts w:ascii="Verdana" w:hAnsi="Verdana" w:cs="Verdana"/>
      <w:kern w:val="0"/>
      <w:sz w:val="20"/>
      <w:szCs w:val="20"/>
      <w:lang w:eastAsia="en-US"/>
    </w:rPr>
  </w:style>
  <w:style w:type="paragraph" w:customStyle="1" w:styleId="147">
    <w:name w:val="Char Char Char"/>
    <w:basedOn w:val="1"/>
    <w:qFormat/>
    <w:uiPriority w:val="99"/>
    <w:pPr>
      <w:widowControl/>
      <w:spacing w:after="160" w:line="240" w:lineRule="exact"/>
      <w:jc w:val="left"/>
    </w:pPr>
    <w:rPr>
      <w:rFonts w:ascii="Verdana" w:hAnsi="Verdana" w:cs="Verdana"/>
      <w:kern w:val="0"/>
      <w:lang w:eastAsia="en-US"/>
    </w:rPr>
  </w:style>
  <w:style w:type="paragraph" w:customStyle="1" w:styleId="148">
    <w:name w:val="段"/>
    <w:qFormat/>
    <w:uiPriority w:val="99"/>
    <w:pPr>
      <w:autoSpaceDE w:val="0"/>
      <w:autoSpaceDN w:val="0"/>
      <w:ind w:firstLine="200" w:firstLineChars="200"/>
      <w:jc w:val="both"/>
    </w:pPr>
    <w:rPr>
      <w:rFonts w:ascii="宋体" w:hAnsi="Times New Roman" w:eastAsia="宋体" w:cs="宋体"/>
      <w:sz w:val="21"/>
      <w:szCs w:val="21"/>
      <w:lang w:val="en-US" w:eastAsia="zh-CN" w:bidi="ar-SA"/>
    </w:rPr>
  </w:style>
  <w:style w:type="paragraph" w:customStyle="1" w:styleId="149">
    <w:name w:val="黑体标题"/>
    <w:basedOn w:val="1"/>
    <w:qFormat/>
    <w:uiPriority w:val="99"/>
    <w:pPr>
      <w:ind w:firstLine="200" w:firstLineChars="200"/>
    </w:pPr>
    <w:rPr>
      <w:rFonts w:ascii="Times New Roman" w:hAnsi="Times New Roman" w:eastAsia="黑体" w:cs="Times New Roman"/>
      <w:b/>
      <w:bCs/>
    </w:rPr>
  </w:style>
  <w:style w:type="paragraph" w:customStyle="1" w:styleId="150">
    <w:name w:val="样式 左侧:  2 字符"/>
    <w:basedOn w:val="1"/>
    <w:qFormat/>
    <w:uiPriority w:val="99"/>
    <w:pPr>
      <w:ind w:firstLine="200" w:firstLineChars="200"/>
    </w:pPr>
    <w:rPr>
      <w:rFonts w:ascii="Times New Roman" w:hAnsi="Times New Roman" w:cs="Times New Roman"/>
    </w:rPr>
  </w:style>
  <w:style w:type="paragraph" w:customStyle="1" w:styleId="151">
    <w:name w:val="样式1"/>
    <w:basedOn w:val="1"/>
    <w:qFormat/>
    <w:uiPriority w:val="99"/>
    <w:pPr>
      <w:tabs>
        <w:tab w:val="left" w:pos="709"/>
      </w:tabs>
      <w:adjustRightInd w:val="0"/>
      <w:ind w:left="709" w:hanging="709"/>
      <w:textAlignment w:val="baseline"/>
    </w:pPr>
    <w:rPr>
      <w:rFonts w:ascii="宋体" w:hAnsi="宋体" w:cs="宋体"/>
      <w:kern w:val="0"/>
    </w:rPr>
  </w:style>
  <w:style w:type="paragraph" w:customStyle="1" w:styleId="152">
    <w:name w:val="封面标题"/>
    <w:qFormat/>
    <w:uiPriority w:val="99"/>
    <w:pPr>
      <w:spacing w:line="360" w:lineRule="auto"/>
      <w:jc w:val="center"/>
    </w:pPr>
    <w:rPr>
      <w:rFonts w:ascii="Times New Roman" w:hAnsi="Times New Roman" w:eastAsia="幼圆" w:cs="Times New Roman"/>
      <w:b/>
      <w:bCs/>
      <w:kern w:val="2"/>
      <w:sz w:val="48"/>
      <w:szCs w:val="48"/>
      <w:lang w:val="en-US" w:eastAsia="zh-CN" w:bidi="ar-SA"/>
    </w:rPr>
  </w:style>
  <w:style w:type="paragraph" w:customStyle="1" w:styleId="153">
    <w:name w:val="Char Char Char Char"/>
    <w:basedOn w:val="1"/>
    <w:qFormat/>
    <w:uiPriority w:val="99"/>
    <w:pPr>
      <w:widowControl/>
      <w:spacing w:after="160" w:line="240" w:lineRule="exact"/>
      <w:jc w:val="left"/>
    </w:pPr>
    <w:rPr>
      <w:rFonts w:ascii="Verdana" w:hAnsi="Verdana" w:cs="Verdana"/>
      <w:kern w:val="0"/>
      <w:sz w:val="20"/>
      <w:szCs w:val="20"/>
      <w:lang w:eastAsia="en-US"/>
    </w:rPr>
  </w:style>
  <w:style w:type="paragraph" w:customStyle="1" w:styleId="154">
    <w:name w:val="2册标题4"/>
    <w:basedOn w:val="1"/>
    <w:next w:val="1"/>
    <w:qFormat/>
    <w:uiPriority w:val="99"/>
    <w:pPr>
      <w:spacing w:beforeLines="50" w:afterLines="50" w:line="300" w:lineRule="auto"/>
      <w:ind w:left="420" w:leftChars="200"/>
      <w:outlineLvl w:val="3"/>
    </w:pPr>
    <w:rPr>
      <w:rFonts w:ascii="Arial" w:hAnsi="Arial" w:eastAsia="幼圆" w:cs="Arial"/>
      <w:b/>
      <w:bCs/>
      <w:sz w:val="24"/>
      <w:szCs w:val="24"/>
    </w:rPr>
  </w:style>
  <w:style w:type="paragraph" w:customStyle="1" w:styleId="155">
    <w:name w:val="列出段落11"/>
    <w:basedOn w:val="1"/>
    <w:qFormat/>
    <w:uiPriority w:val="99"/>
    <w:pPr>
      <w:ind w:firstLine="420" w:firstLineChars="200"/>
    </w:pPr>
  </w:style>
  <w:style w:type="paragraph" w:customStyle="1" w:styleId="156">
    <w:name w:val="样式 样式 样式 小四 行距: 1.5 倍行距 + 加粗 + 首行缩进:  2 字符"/>
    <w:basedOn w:val="1"/>
    <w:qFormat/>
    <w:uiPriority w:val="99"/>
    <w:pPr>
      <w:ind w:firstLine="482"/>
    </w:pPr>
    <w:rPr>
      <w:rFonts w:ascii="Times New Roman" w:hAnsi="Times New Roman" w:cs="Times New Roman"/>
      <w:b/>
      <w:bCs/>
      <w:sz w:val="24"/>
      <w:szCs w:val="24"/>
    </w:rPr>
  </w:style>
  <w:style w:type="paragraph" w:customStyle="1" w:styleId="157">
    <w:name w:val="列项——（一级）"/>
    <w:qFormat/>
    <w:uiPriority w:val="99"/>
    <w:pPr>
      <w:widowControl w:val="0"/>
      <w:tabs>
        <w:tab w:val="left" w:pos="854"/>
      </w:tabs>
      <w:ind w:left="200" w:leftChars="200" w:hanging="200" w:hangingChars="200"/>
      <w:jc w:val="both"/>
    </w:pPr>
    <w:rPr>
      <w:rFonts w:ascii="宋体" w:hAnsi="Times New Roman" w:eastAsia="宋体" w:cs="宋体"/>
      <w:sz w:val="21"/>
      <w:szCs w:val="21"/>
      <w:lang w:val="en-US" w:eastAsia="zh-CN" w:bidi="ar-SA"/>
    </w:rPr>
  </w:style>
  <w:style w:type="paragraph" w:customStyle="1" w:styleId="158">
    <w:name w:val="Char Char Char Char Char Char Char"/>
    <w:basedOn w:val="17"/>
    <w:qFormat/>
    <w:uiPriority w:val="99"/>
    <w:pPr>
      <w:widowControl w:val="0"/>
      <w:jc w:val="both"/>
    </w:pPr>
    <w:rPr>
      <w:rFonts w:ascii="Tahoma" w:hAnsi="Tahoma" w:cs="Tahoma"/>
      <w:sz w:val="24"/>
      <w:szCs w:val="24"/>
    </w:rPr>
  </w:style>
  <w:style w:type="paragraph" w:customStyle="1" w:styleId="159">
    <w:name w:val="此正文"/>
    <w:basedOn w:val="1"/>
    <w:qFormat/>
    <w:uiPriority w:val="99"/>
    <w:pPr>
      <w:spacing w:line="360" w:lineRule="auto"/>
      <w:ind w:firstLine="200" w:firstLineChars="200"/>
    </w:pPr>
    <w:rPr>
      <w:rFonts w:ascii="Times New Roman" w:hAnsi="Times New Roman" w:cs="Times New Roman"/>
      <w:sz w:val="24"/>
      <w:szCs w:val="24"/>
    </w:rPr>
  </w:style>
  <w:style w:type="paragraph" w:customStyle="1" w:styleId="160">
    <w:name w:val="正文图标题"/>
    <w:next w:val="148"/>
    <w:qFormat/>
    <w:uiPriority w:val="99"/>
    <w:pPr>
      <w:jc w:val="center"/>
    </w:pPr>
    <w:rPr>
      <w:rFonts w:ascii="黑体" w:hAnsi="Times New Roman" w:eastAsia="黑体" w:cs="黑体"/>
      <w:sz w:val="21"/>
      <w:szCs w:val="21"/>
      <w:lang w:val="en-US" w:eastAsia="zh-CN" w:bidi="ar-SA"/>
    </w:rPr>
  </w:style>
  <w:style w:type="paragraph" w:customStyle="1" w:styleId="161">
    <w:name w:val="正文 A A"/>
    <w:qFormat/>
    <w:uiPriority w:val="99"/>
    <w:pPr>
      <w:spacing w:line="360" w:lineRule="auto"/>
      <w:ind w:firstLine="480"/>
      <w:jc w:val="both"/>
    </w:pPr>
    <w:rPr>
      <w:rFonts w:ascii="Calibri" w:hAnsi="Calibri" w:eastAsia="宋体" w:cs="Times New Roman"/>
      <w:color w:val="000000"/>
      <w:sz w:val="24"/>
      <w:szCs w:val="24"/>
      <w:lang w:val="en-US" w:eastAsia="zh-CN" w:bidi="ar-SA"/>
    </w:rPr>
  </w:style>
  <w:style w:type="paragraph" w:customStyle="1" w:styleId="162">
    <w:name w:val="p0"/>
    <w:basedOn w:val="1"/>
    <w:qFormat/>
    <w:uiPriority w:val="0"/>
    <w:pPr>
      <w:widowControl/>
    </w:pPr>
    <w:rPr>
      <w:rFonts w:ascii="Times New Roman" w:hAnsi="Times New Roman" w:cs="Times New Roman"/>
      <w:kern w:val="0"/>
    </w:rPr>
  </w:style>
  <w:style w:type="paragraph" w:customStyle="1" w:styleId="163">
    <w:name w:val="reader-word-layer reader-word-s3-5"/>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164">
    <w:name w:val="样式 (西文) 宋体 小四 首行缩进:  0.95 厘米 段前: 5 磅 段后: 5 磅 行距: 1.5 倍行距"/>
    <w:basedOn w:val="1"/>
    <w:qFormat/>
    <w:uiPriority w:val="99"/>
    <w:pPr>
      <w:widowControl/>
      <w:spacing w:before="100" w:after="100" w:line="360" w:lineRule="auto"/>
      <w:ind w:firstLine="540"/>
      <w:jc w:val="left"/>
    </w:pPr>
    <w:rPr>
      <w:rFonts w:ascii="宋体" w:hAnsi="宋体" w:cs="宋体"/>
      <w:kern w:val="0"/>
      <w:sz w:val="24"/>
      <w:szCs w:val="24"/>
    </w:rPr>
  </w:style>
  <w:style w:type="paragraph" w:customStyle="1" w:styleId="165">
    <w:name w:val="reader-word-layer reader-word-s3-17"/>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166">
    <w:name w:val="reader-word-layer reader-word-s3-1"/>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167">
    <w:name w:val="reader-word-layer reader-word-s3-4"/>
    <w:basedOn w:val="1"/>
    <w:qFormat/>
    <w:uiPriority w:val="99"/>
    <w:pPr>
      <w:widowControl/>
      <w:spacing w:before="100" w:beforeAutospacing="1" w:after="100" w:afterAutospacing="1"/>
      <w:jc w:val="left"/>
    </w:pPr>
    <w:rPr>
      <w:rFonts w:ascii="宋体" w:hAnsi="宋体" w:cs="宋体"/>
      <w:kern w:val="0"/>
      <w:sz w:val="24"/>
      <w:szCs w:val="24"/>
    </w:rPr>
  </w:style>
  <w:style w:type="character" w:customStyle="1" w:styleId="168">
    <w:name w:val="apple-converted-space"/>
    <w:basedOn w:val="44"/>
    <w:qFormat/>
    <w:uiPriority w:val="99"/>
  </w:style>
  <w:style w:type="paragraph" w:customStyle="1" w:styleId="169">
    <w:name w:val="正文1"/>
    <w:qFormat/>
    <w:uiPriority w:val="99"/>
    <w:pPr>
      <w:widowControl w:val="0"/>
      <w:adjustRightInd w:val="0"/>
      <w:spacing w:line="312" w:lineRule="atLeast"/>
      <w:jc w:val="both"/>
    </w:pPr>
    <w:rPr>
      <w:rFonts w:ascii="宋体" w:hAnsi="Times New Roman" w:eastAsia="宋体" w:cs="宋体"/>
      <w:sz w:val="34"/>
      <w:szCs w:val="34"/>
      <w:lang w:val="en-US" w:eastAsia="zh-CN" w:bidi="ar-SA"/>
    </w:rPr>
  </w:style>
  <w:style w:type="character" w:customStyle="1" w:styleId="170">
    <w:name w:val="标题 3 Char2"/>
    <w:qFormat/>
    <w:uiPriority w:val="99"/>
    <w:rPr>
      <w:b/>
      <w:bCs/>
      <w:kern w:val="2"/>
      <w:sz w:val="32"/>
      <w:szCs w:val="32"/>
    </w:rPr>
  </w:style>
  <w:style w:type="character" w:customStyle="1" w:styleId="171">
    <w:name w:val="题注 Char"/>
    <w:link w:val="16"/>
    <w:qFormat/>
    <w:locked/>
    <w:uiPriority w:val="99"/>
    <w:rPr>
      <w:rFonts w:ascii="华文彩云" w:hAnsi="Century Gothic" w:eastAsia="宋体" w:cs="华文彩云"/>
      <w:b/>
      <w:bCs/>
      <w:sz w:val="72"/>
      <w:szCs w:val="72"/>
    </w:rPr>
  </w:style>
  <w:style w:type="paragraph" w:customStyle="1" w:styleId="172">
    <w:name w:val="列出段落2"/>
    <w:basedOn w:val="1"/>
    <w:qFormat/>
    <w:uiPriority w:val="99"/>
    <w:pPr>
      <w:ind w:firstLine="420" w:firstLineChars="200"/>
    </w:pPr>
  </w:style>
  <w:style w:type="paragraph" w:customStyle="1" w:styleId="173">
    <w:name w:val="正文 New New New New New New New"/>
    <w:qFormat/>
    <w:uiPriority w:val="99"/>
    <w:pPr>
      <w:widowControl w:val="0"/>
      <w:jc w:val="both"/>
    </w:pPr>
    <w:rPr>
      <w:rFonts w:ascii="Times New Roman" w:hAnsi="Times New Roman" w:eastAsia="宋体" w:cs="Times New Roman"/>
      <w:kern w:val="2"/>
      <w:sz w:val="21"/>
      <w:szCs w:val="21"/>
      <w:lang w:val="en-US" w:eastAsia="zh-CN" w:bidi="ar-SA"/>
    </w:rPr>
  </w:style>
  <w:style w:type="paragraph" w:customStyle="1" w:styleId="174">
    <w:name w:val="_Style 1"/>
    <w:basedOn w:val="1"/>
    <w:qFormat/>
    <w:uiPriority w:val="99"/>
    <w:pPr>
      <w:ind w:firstLine="420" w:firstLineChars="200"/>
    </w:pPr>
  </w:style>
  <w:style w:type="paragraph" w:customStyle="1" w:styleId="175">
    <w:name w:val="正文 New New New New New New"/>
    <w:qFormat/>
    <w:uiPriority w:val="99"/>
    <w:pPr>
      <w:widowControl w:val="0"/>
      <w:jc w:val="both"/>
    </w:pPr>
    <w:rPr>
      <w:rFonts w:ascii="Times New Roman" w:hAnsi="Times New Roman" w:eastAsia="宋体" w:cs="Times New Roman"/>
      <w:kern w:val="2"/>
      <w:sz w:val="21"/>
      <w:szCs w:val="21"/>
      <w:lang w:val="en-US" w:eastAsia="zh-CN" w:bidi="ar-SA"/>
    </w:rPr>
  </w:style>
  <w:style w:type="character" w:customStyle="1" w:styleId="176">
    <w:name w:val="font"/>
    <w:basedOn w:val="44"/>
    <w:qFormat/>
    <w:uiPriority w:val="99"/>
    <w:rPr>
      <w:rFonts w:ascii="Times New Roman" w:cs="Times New Roman"/>
    </w:rPr>
  </w:style>
  <w:style w:type="paragraph" w:customStyle="1" w:styleId="177">
    <w:name w:val="样式 正文（首行缩进两字） + 宋体 小四"/>
    <w:basedOn w:val="15"/>
    <w:qFormat/>
    <w:uiPriority w:val="99"/>
  </w:style>
  <w:style w:type="paragraph" w:customStyle="1" w:styleId="178">
    <w:name w:val="列出段落21"/>
    <w:basedOn w:val="1"/>
    <w:qFormat/>
    <w:uiPriority w:val="99"/>
    <w:pPr>
      <w:ind w:firstLine="420" w:firstLineChars="200"/>
    </w:pPr>
  </w:style>
  <w:style w:type="paragraph" w:customStyle="1" w:styleId="179">
    <w:name w:val="正文缩进2字符"/>
    <w:basedOn w:val="1"/>
    <w:qFormat/>
    <w:uiPriority w:val="99"/>
    <w:pPr>
      <w:spacing w:line="360" w:lineRule="auto"/>
      <w:ind w:firstLine="200" w:firstLineChars="200"/>
    </w:pPr>
    <w:rPr>
      <w:rFonts w:ascii="Times New Roman" w:hAnsi="Times New Roman" w:cs="Times New Roman"/>
      <w:sz w:val="24"/>
      <w:szCs w:val="24"/>
    </w:rPr>
  </w:style>
  <w:style w:type="character" w:customStyle="1" w:styleId="180">
    <w:name w:val="一级条标题 Char"/>
    <w:link w:val="181"/>
    <w:qFormat/>
    <w:locked/>
    <w:uiPriority w:val="99"/>
    <w:rPr>
      <w:rFonts w:ascii="黑体" w:eastAsia="黑体" w:cs="黑体"/>
    </w:rPr>
  </w:style>
  <w:style w:type="paragraph" w:customStyle="1" w:styleId="181">
    <w:name w:val="一级条标题"/>
    <w:basedOn w:val="182"/>
    <w:next w:val="148"/>
    <w:link w:val="180"/>
    <w:qFormat/>
    <w:uiPriority w:val="99"/>
    <w:pPr>
      <w:outlineLvl w:val="2"/>
    </w:pPr>
    <w:rPr>
      <w:rFonts w:hAnsi="Calibri"/>
      <w:sz w:val="20"/>
      <w:szCs w:val="20"/>
    </w:rPr>
  </w:style>
  <w:style w:type="paragraph" w:customStyle="1" w:styleId="182">
    <w:name w:val="章标题"/>
    <w:next w:val="148"/>
    <w:link w:val="183"/>
    <w:qFormat/>
    <w:uiPriority w:val="99"/>
    <w:pPr>
      <w:spacing w:beforeLines="50" w:afterLines="50"/>
      <w:jc w:val="both"/>
      <w:outlineLvl w:val="1"/>
    </w:pPr>
    <w:rPr>
      <w:rFonts w:ascii="黑体" w:hAnsi="Times New Roman" w:eastAsia="黑体" w:cs="Times New Roman"/>
      <w:sz w:val="21"/>
      <w:szCs w:val="21"/>
      <w:lang w:val="en-US" w:eastAsia="zh-CN" w:bidi="ar-SA"/>
    </w:rPr>
  </w:style>
  <w:style w:type="character" w:customStyle="1" w:styleId="183">
    <w:name w:val="章标题 Char"/>
    <w:link w:val="182"/>
    <w:qFormat/>
    <w:locked/>
    <w:uiPriority w:val="99"/>
    <w:rPr>
      <w:rFonts w:ascii="黑体" w:hAnsi="Times New Roman" w:eastAsia="黑体"/>
      <w:sz w:val="21"/>
      <w:szCs w:val="21"/>
      <w:lang w:bidi="ar-SA"/>
    </w:rPr>
  </w:style>
  <w:style w:type="character" w:customStyle="1" w:styleId="184">
    <w:name w:val="表内居两端对齐 Char"/>
    <w:basedOn w:val="185"/>
    <w:link w:val="187"/>
    <w:qFormat/>
    <w:locked/>
    <w:uiPriority w:val="99"/>
    <w:rPr>
      <w:sz w:val="18"/>
      <w:szCs w:val="18"/>
    </w:rPr>
  </w:style>
  <w:style w:type="character" w:customStyle="1" w:styleId="185">
    <w:name w:val="表内居中小五 Char"/>
    <w:link w:val="186"/>
    <w:qFormat/>
    <w:locked/>
    <w:uiPriority w:val="99"/>
    <w:rPr>
      <w:sz w:val="18"/>
      <w:szCs w:val="18"/>
    </w:rPr>
  </w:style>
  <w:style w:type="paragraph" w:customStyle="1" w:styleId="186">
    <w:name w:val="表内居中小五"/>
    <w:basedOn w:val="1"/>
    <w:link w:val="185"/>
    <w:qFormat/>
    <w:uiPriority w:val="99"/>
    <w:pPr>
      <w:jc w:val="center"/>
    </w:pPr>
    <w:rPr>
      <w:rFonts w:cs="Times New Roman"/>
      <w:kern w:val="0"/>
      <w:sz w:val="18"/>
      <w:szCs w:val="18"/>
    </w:rPr>
  </w:style>
  <w:style w:type="paragraph" w:customStyle="1" w:styleId="187">
    <w:name w:val="表内居两端对齐"/>
    <w:basedOn w:val="186"/>
    <w:link w:val="184"/>
    <w:qFormat/>
    <w:uiPriority w:val="99"/>
    <w:pPr>
      <w:jc w:val="both"/>
    </w:pPr>
  </w:style>
  <w:style w:type="character" w:customStyle="1" w:styleId="188">
    <w:name w:val="样式 标题 4 + (符号) 宋体 Char"/>
    <w:basedOn w:val="100"/>
    <w:link w:val="189"/>
    <w:qFormat/>
    <w:locked/>
    <w:uiPriority w:val="99"/>
    <w:rPr>
      <w:rFonts w:ascii="宋体" w:hAnsi="Arial" w:eastAsia="宋体" w:cs="宋体"/>
      <w:kern w:val="2"/>
      <w:sz w:val="21"/>
      <w:szCs w:val="21"/>
    </w:rPr>
  </w:style>
  <w:style w:type="paragraph" w:customStyle="1" w:styleId="189">
    <w:name w:val="样式 标题 4 + (符号) 宋体"/>
    <w:basedOn w:val="5"/>
    <w:link w:val="188"/>
    <w:qFormat/>
    <w:uiPriority w:val="99"/>
    <w:pPr>
      <w:keepNext w:val="0"/>
      <w:keepLines w:val="0"/>
      <w:numPr>
        <w:ilvl w:val="0"/>
        <w:numId w:val="0"/>
      </w:numPr>
      <w:adjustRightInd w:val="0"/>
      <w:snapToGrid w:val="0"/>
      <w:spacing w:before="0" w:after="0"/>
    </w:pPr>
    <w:rPr>
      <w:rFonts w:ascii="宋体" w:hAnsi="Calibri" w:cs="宋体"/>
      <w:b w:val="0"/>
      <w:bCs w:val="0"/>
      <w:kern w:val="0"/>
      <w:sz w:val="20"/>
      <w:szCs w:val="20"/>
    </w:rPr>
  </w:style>
  <w:style w:type="character" w:customStyle="1" w:styleId="190">
    <w:name w:val="HTML 预设格式 Char"/>
    <w:qFormat/>
    <w:uiPriority w:val="99"/>
    <w:rPr>
      <w:rFonts w:ascii="Courier New" w:hAnsi="Courier New" w:cs="Courier New"/>
    </w:rPr>
  </w:style>
  <w:style w:type="character" w:customStyle="1" w:styleId="191">
    <w:name w:val="二级条标题 Char"/>
    <w:link w:val="192"/>
    <w:qFormat/>
    <w:locked/>
    <w:uiPriority w:val="99"/>
    <w:rPr>
      <w:rFonts w:ascii="黑体" w:eastAsia="黑体" w:cs="黑体"/>
    </w:rPr>
  </w:style>
  <w:style w:type="paragraph" w:customStyle="1" w:styleId="192">
    <w:name w:val="二级条标题"/>
    <w:basedOn w:val="1"/>
    <w:next w:val="148"/>
    <w:link w:val="191"/>
    <w:qFormat/>
    <w:uiPriority w:val="99"/>
    <w:pPr>
      <w:widowControl/>
      <w:outlineLvl w:val="3"/>
    </w:pPr>
    <w:rPr>
      <w:rFonts w:ascii="黑体" w:eastAsia="黑体" w:cs="Times New Roman"/>
      <w:kern w:val="0"/>
      <w:sz w:val="20"/>
      <w:szCs w:val="20"/>
    </w:rPr>
  </w:style>
  <w:style w:type="character" w:customStyle="1" w:styleId="193">
    <w:name w:val="样式 标题 3 + 宋体 Char"/>
    <w:link w:val="194"/>
    <w:qFormat/>
    <w:locked/>
    <w:uiPriority w:val="99"/>
    <w:rPr>
      <w:rFonts w:ascii="宋体" w:eastAsia="宋体" w:cs="宋体"/>
      <w:kern w:val="2"/>
      <w:sz w:val="21"/>
      <w:szCs w:val="21"/>
    </w:rPr>
  </w:style>
  <w:style w:type="paragraph" w:customStyle="1" w:styleId="194">
    <w:name w:val="样式 标题 3 + 宋体"/>
    <w:basedOn w:val="3"/>
    <w:link w:val="193"/>
    <w:qFormat/>
    <w:uiPriority w:val="99"/>
    <w:pPr>
      <w:keepNext w:val="0"/>
      <w:keepLines w:val="0"/>
      <w:numPr>
        <w:numId w:val="0"/>
      </w:numPr>
      <w:tabs>
        <w:tab w:val="left" w:pos="1560"/>
      </w:tabs>
      <w:snapToGrid w:val="0"/>
      <w:spacing w:afterLines="0" w:line="360" w:lineRule="auto"/>
      <w:ind w:left="360"/>
    </w:pPr>
    <w:rPr>
      <w:rFonts w:ascii="宋体" w:hAnsi="Calibri"/>
      <w:b w:val="0"/>
      <w:bCs w:val="0"/>
      <w:sz w:val="21"/>
      <w:szCs w:val="21"/>
    </w:rPr>
  </w:style>
  <w:style w:type="character" w:customStyle="1" w:styleId="195">
    <w:name w:val="HTML 地址 Char"/>
    <w:qFormat/>
    <w:uiPriority w:val="99"/>
    <w:rPr>
      <w:i/>
      <w:iCs/>
      <w:sz w:val="24"/>
      <w:szCs w:val="24"/>
    </w:rPr>
  </w:style>
  <w:style w:type="character" w:customStyle="1" w:styleId="196">
    <w:name w:val="三级条标题 Char"/>
    <w:basedOn w:val="191"/>
    <w:link w:val="197"/>
    <w:qFormat/>
    <w:locked/>
    <w:uiPriority w:val="99"/>
    <w:rPr>
      <w:rFonts w:ascii="黑体" w:eastAsia="黑体" w:cs="黑体"/>
    </w:rPr>
  </w:style>
  <w:style w:type="paragraph" w:customStyle="1" w:styleId="197">
    <w:name w:val="三级条标题"/>
    <w:basedOn w:val="192"/>
    <w:next w:val="148"/>
    <w:link w:val="196"/>
    <w:qFormat/>
    <w:uiPriority w:val="99"/>
    <w:pPr>
      <w:tabs>
        <w:tab w:val="left" w:pos="360"/>
      </w:tabs>
      <w:ind w:left="-180"/>
      <w:outlineLvl w:val="4"/>
    </w:pPr>
  </w:style>
  <w:style w:type="character" w:customStyle="1" w:styleId="198">
    <w:name w:val="首行缩进 Char"/>
    <w:link w:val="199"/>
    <w:qFormat/>
    <w:locked/>
    <w:uiPriority w:val="99"/>
    <w:rPr>
      <w:rFonts w:eastAsia="方正书宋简体"/>
    </w:rPr>
  </w:style>
  <w:style w:type="paragraph" w:customStyle="1" w:styleId="199">
    <w:name w:val="首行缩进"/>
    <w:basedOn w:val="1"/>
    <w:link w:val="198"/>
    <w:qFormat/>
    <w:uiPriority w:val="99"/>
    <w:pPr>
      <w:spacing w:line="300" w:lineRule="auto"/>
      <w:ind w:firstLine="420" w:firstLineChars="200"/>
    </w:pPr>
    <w:rPr>
      <w:rFonts w:eastAsia="方正书宋简体" w:cs="Times New Roman"/>
      <w:kern w:val="0"/>
      <w:sz w:val="20"/>
      <w:szCs w:val="20"/>
    </w:rPr>
  </w:style>
  <w:style w:type="paragraph" w:customStyle="1" w:styleId="200">
    <w:name w:val="附录标识"/>
    <w:basedOn w:val="201"/>
    <w:qFormat/>
    <w:uiPriority w:val="99"/>
  </w:style>
  <w:style w:type="paragraph" w:customStyle="1" w:styleId="201">
    <w:name w:val="前言、引言标题"/>
    <w:next w:val="1"/>
    <w:qFormat/>
    <w:uiPriority w:val="99"/>
    <w:pPr>
      <w:shd w:val="clear" w:color="FFFFFF" w:fill="FFFFFF"/>
      <w:spacing w:before="640" w:after="560"/>
      <w:ind w:left="720" w:hanging="720"/>
      <w:jc w:val="center"/>
      <w:outlineLvl w:val="0"/>
    </w:pPr>
    <w:rPr>
      <w:rFonts w:ascii="黑体" w:hAnsi="Times New Roman" w:eastAsia="黑体" w:cs="黑体"/>
      <w:sz w:val="32"/>
      <w:szCs w:val="32"/>
      <w:lang w:val="en-US" w:eastAsia="zh-CN" w:bidi="ar-SA"/>
    </w:rPr>
  </w:style>
  <w:style w:type="paragraph" w:customStyle="1" w:styleId="202">
    <w:name w:val="一级无标题条"/>
    <w:basedOn w:val="1"/>
    <w:qFormat/>
    <w:uiPriority w:val="99"/>
    <w:pPr>
      <w:ind w:left="851" w:hanging="397"/>
    </w:pPr>
    <w:rPr>
      <w:rFonts w:ascii="Times New Roman" w:hAnsi="Times New Roman" w:cs="Times New Roman"/>
    </w:rPr>
  </w:style>
  <w:style w:type="paragraph" w:customStyle="1" w:styleId="203">
    <w:name w:val="注×："/>
    <w:qFormat/>
    <w:uiPriority w:val="99"/>
    <w:pPr>
      <w:widowControl w:val="0"/>
      <w:tabs>
        <w:tab w:val="left" w:pos="360"/>
        <w:tab w:val="left" w:pos="630"/>
      </w:tabs>
      <w:autoSpaceDE w:val="0"/>
      <w:autoSpaceDN w:val="0"/>
      <w:jc w:val="both"/>
    </w:pPr>
    <w:rPr>
      <w:rFonts w:ascii="宋体" w:hAnsi="Times New Roman" w:eastAsia="宋体" w:cs="宋体"/>
      <w:sz w:val="18"/>
      <w:szCs w:val="18"/>
      <w:lang w:val="en-US" w:eastAsia="zh-CN" w:bidi="ar-SA"/>
    </w:rPr>
  </w:style>
  <w:style w:type="paragraph" w:customStyle="1" w:styleId="204">
    <w:name w:val="二级无标题条"/>
    <w:basedOn w:val="1"/>
    <w:qFormat/>
    <w:uiPriority w:val="99"/>
    <w:pPr>
      <w:ind w:left="1418" w:hanging="709"/>
    </w:pPr>
    <w:rPr>
      <w:rFonts w:ascii="Times New Roman" w:hAnsi="Times New Roman" w:cs="Times New Roman"/>
    </w:rPr>
  </w:style>
  <w:style w:type="paragraph" w:customStyle="1" w:styleId="205">
    <w:name w:val="附录三级条标题"/>
    <w:basedOn w:val="206"/>
    <w:next w:val="148"/>
    <w:qFormat/>
    <w:uiPriority w:val="99"/>
    <w:pPr>
      <w:ind w:left="2551" w:hanging="850"/>
      <w:outlineLvl w:val="4"/>
    </w:pPr>
  </w:style>
  <w:style w:type="paragraph" w:customStyle="1" w:styleId="206">
    <w:name w:val="附录二级条标题"/>
    <w:basedOn w:val="207"/>
    <w:next w:val="148"/>
    <w:qFormat/>
    <w:uiPriority w:val="99"/>
    <w:pPr>
      <w:autoSpaceDN w:val="0"/>
      <w:ind w:left="1984" w:hanging="708"/>
      <w:outlineLvl w:val="3"/>
    </w:pPr>
  </w:style>
  <w:style w:type="paragraph" w:customStyle="1" w:styleId="207">
    <w:name w:val="附录一级条标题"/>
    <w:basedOn w:val="208"/>
    <w:next w:val="148"/>
    <w:qFormat/>
    <w:uiPriority w:val="99"/>
    <w:pPr>
      <w:ind w:left="1418"/>
    </w:pPr>
  </w:style>
  <w:style w:type="paragraph" w:customStyle="1" w:styleId="208">
    <w:name w:val="附录章标题"/>
    <w:next w:val="148"/>
    <w:qFormat/>
    <w:uiPriority w:val="99"/>
    <w:pPr>
      <w:wordWrap w:val="0"/>
      <w:overflowPunct w:val="0"/>
      <w:autoSpaceDE w:val="0"/>
      <w:spacing w:beforeLines="50" w:afterLines="50"/>
      <w:ind w:left="794" w:hanging="567"/>
      <w:jc w:val="both"/>
      <w:textAlignment w:val="baseline"/>
      <w:outlineLvl w:val="1"/>
    </w:pPr>
    <w:rPr>
      <w:rFonts w:ascii="黑体" w:hAnsi="Times New Roman" w:eastAsia="黑体" w:cs="黑体"/>
      <w:kern w:val="21"/>
      <w:sz w:val="21"/>
      <w:szCs w:val="21"/>
      <w:lang w:val="en-US" w:eastAsia="zh-CN" w:bidi="ar-SA"/>
    </w:rPr>
  </w:style>
  <w:style w:type="paragraph" w:customStyle="1" w:styleId="209">
    <w:name w:val="附录四级条标题"/>
    <w:basedOn w:val="205"/>
    <w:next w:val="148"/>
    <w:qFormat/>
    <w:uiPriority w:val="99"/>
    <w:pPr>
      <w:outlineLvl w:val="5"/>
    </w:pPr>
  </w:style>
  <w:style w:type="paragraph" w:customStyle="1" w:styleId="210">
    <w:name w:val="示例"/>
    <w:next w:val="148"/>
    <w:qFormat/>
    <w:uiPriority w:val="99"/>
    <w:pPr>
      <w:tabs>
        <w:tab w:val="left" w:pos="360"/>
        <w:tab w:val="left" w:pos="420"/>
      </w:tabs>
      <w:ind w:left="420"/>
      <w:jc w:val="both"/>
    </w:pPr>
    <w:rPr>
      <w:rFonts w:ascii="宋体" w:hAnsi="Times New Roman" w:eastAsia="宋体" w:cs="宋体"/>
      <w:sz w:val="18"/>
      <w:szCs w:val="18"/>
      <w:lang w:val="en-US" w:eastAsia="zh-CN" w:bidi="ar-SA"/>
    </w:rPr>
  </w:style>
  <w:style w:type="paragraph" w:customStyle="1" w:styleId="211">
    <w:name w:val="三级无标题条"/>
    <w:basedOn w:val="1"/>
    <w:qFormat/>
    <w:uiPriority w:val="99"/>
    <w:pPr>
      <w:ind w:left="1418" w:hanging="567"/>
    </w:pPr>
    <w:rPr>
      <w:rFonts w:ascii="Times New Roman" w:hAnsi="Times New Roman" w:cs="Times New Roman"/>
    </w:rPr>
  </w:style>
  <w:style w:type="paragraph" w:customStyle="1" w:styleId="212">
    <w:name w:val="五级无标题条"/>
    <w:basedOn w:val="1"/>
    <w:qFormat/>
    <w:uiPriority w:val="99"/>
    <w:pPr>
      <w:ind w:left="3827" w:hanging="1276"/>
    </w:pPr>
    <w:rPr>
      <w:rFonts w:ascii="Times New Roman" w:hAnsi="Times New Roman" w:cs="Times New Roman"/>
    </w:rPr>
  </w:style>
  <w:style w:type="paragraph" w:customStyle="1" w:styleId="213">
    <w:name w:val="样式 标题 5 + 右侧:  1 字符"/>
    <w:basedOn w:val="6"/>
    <w:qFormat/>
    <w:uiPriority w:val="99"/>
    <w:pPr>
      <w:tabs>
        <w:tab w:val="clear" w:pos="2520"/>
      </w:tabs>
      <w:adjustRightInd w:val="0"/>
      <w:spacing w:before="0"/>
      <w:ind w:left="0" w:right="210" w:rightChars="100" w:firstLine="0"/>
      <w:textAlignment w:val="baseline"/>
    </w:pPr>
    <w:rPr>
      <w:kern w:val="0"/>
    </w:rPr>
  </w:style>
  <w:style w:type="paragraph" w:customStyle="1" w:styleId="214">
    <w:name w:val="附录五级条标题"/>
    <w:basedOn w:val="209"/>
    <w:next w:val="148"/>
    <w:qFormat/>
    <w:uiPriority w:val="99"/>
    <w:pPr>
      <w:outlineLvl w:val="6"/>
    </w:pPr>
  </w:style>
  <w:style w:type="paragraph" w:customStyle="1" w:styleId="215">
    <w:name w:val="四级条标题"/>
    <w:basedOn w:val="197"/>
    <w:next w:val="148"/>
    <w:qFormat/>
    <w:uiPriority w:val="99"/>
    <w:pPr>
      <w:tabs>
        <w:tab w:val="clear" w:pos="360"/>
      </w:tabs>
      <w:ind w:left="0"/>
      <w:outlineLvl w:val="5"/>
    </w:pPr>
  </w:style>
  <w:style w:type="paragraph" w:customStyle="1" w:styleId="216">
    <w:name w:val="四级无标题条"/>
    <w:basedOn w:val="1"/>
    <w:qFormat/>
    <w:uiPriority w:val="99"/>
    <w:pPr>
      <w:ind w:left="3260" w:hanging="1134"/>
    </w:pPr>
    <w:rPr>
      <w:rFonts w:ascii="Times New Roman" w:hAnsi="Times New Roman" w:cs="Times New Roman"/>
    </w:rPr>
  </w:style>
  <w:style w:type="paragraph" w:customStyle="1" w:styleId="217">
    <w:name w:val="列项——"/>
    <w:qFormat/>
    <w:uiPriority w:val="99"/>
    <w:pPr>
      <w:widowControl w:val="0"/>
      <w:numPr>
        <w:ilvl w:val="0"/>
        <w:numId w:val="4"/>
      </w:numPr>
      <w:tabs>
        <w:tab w:val="left" w:pos="360"/>
      </w:tabs>
      <w:jc w:val="both"/>
    </w:pPr>
    <w:rPr>
      <w:rFonts w:ascii="宋体" w:hAnsi="Times New Roman" w:eastAsia="宋体" w:cs="宋体"/>
      <w:sz w:val="21"/>
      <w:szCs w:val="21"/>
      <w:lang w:val="en-US" w:eastAsia="zh-CN" w:bidi="ar-SA"/>
    </w:rPr>
  </w:style>
  <w:style w:type="paragraph" w:customStyle="1" w:styleId="218">
    <w:name w:val="列项·"/>
    <w:qFormat/>
    <w:uiPriority w:val="99"/>
    <w:pPr>
      <w:tabs>
        <w:tab w:val="left" w:pos="360"/>
        <w:tab w:val="left" w:pos="840"/>
      </w:tabs>
      <w:jc w:val="both"/>
    </w:pPr>
    <w:rPr>
      <w:rFonts w:ascii="宋体" w:hAnsi="Times New Roman" w:eastAsia="宋体" w:cs="宋体"/>
      <w:sz w:val="21"/>
      <w:szCs w:val="21"/>
      <w:lang w:val="en-US" w:eastAsia="zh-CN" w:bidi="ar-SA"/>
    </w:rPr>
  </w:style>
  <w:style w:type="paragraph" w:customStyle="1" w:styleId="219">
    <w:name w:val="样式 标题 2 + Times New Roman 四号 非加粗 段前: 5 磅 段后: 0 磅 行距: 固定值 20..."/>
    <w:basedOn w:val="2"/>
    <w:qFormat/>
    <w:uiPriority w:val="99"/>
    <w:pPr>
      <w:numPr>
        <w:ilvl w:val="0"/>
        <w:numId w:val="0"/>
      </w:numPr>
      <w:spacing w:before="100" w:line="400" w:lineRule="exact"/>
    </w:pPr>
    <w:rPr>
      <w:rFonts w:ascii="Times New Roman" w:hAnsi="Times New Roman" w:eastAsia="黑体" w:cs="Times New Roman"/>
      <w:b w:val="0"/>
      <w:bCs w:val="0"/>
    </w:rPr>
  </w:style>
  <w:style w:type="paragraph" w:customStyle="1" w:styleId="220">
    <w:name w:val="Default"/>
    <w:qFormat/>
    <w:uiPriority w:val="0"/>
    <w:pPr>
      <w:widowControl w:val="0"/>
      <w:autoSpaceDE w:val="0"/>
      <w:autoSpaceDN w:val="0"/>
      <w:adjustRightInd w:val="0"/>
    </w:pPr>
    <w:rPr>
      <w:rFonts w:ascii="Arial" w:hAnsi="Arial" w:eastAsia="宋体" w:cs="Arial"/>
      <w:color w:val="000000"/>
      <w:sz w:val="24"/>
      <w:szCs w:val="24"/>
      <w:lang w:val="en-US" w:eastAsia="zh-CN" w:bidi="ar-SA"/>
    </w:rPr>
  </w:style>
  <w:style w:type="paragraph" w:customStyle="1" w:styleId="221">
    <w:name w:val="标题 2（网御星云）"/>
    <w:basedOn w:val="2"/>
    <w:next w:val="1"/>
    <w:qFormat/>
    <w:uiPriority w:val="99"/>
    <w:pPr>
      <w:numPr>
        <w:ilvl w:val="0"/>
        <w:numId w:val="0"/>
      </w:numPr>
      <w:spacing w:before="260" w:after="260" w:line="413" w:lineRule="auto"/>
      <w:ind w:left="794" w:hanging="794"/>
      <w:jc w:val="left"/>
    </w:pPr>
    <w:rPr>
      <w:rFonts w:eastAsia="黑体"/>
      <w:sz w:val="32"/>
      <w:szCs w:val="32"/>
    </w:rPr>
  </w:style>
  <w:style w:type="paragraph" w:customStyle="1" w:styleId="222">
    <w:name w:val="表内"/>
    <w:basedOn w:val="1"/>
    <w:qFormat/>
    <w:uiPriority w:val="0"/>
    <w:pPr>
      <w:spacing w:line="300" w:lineRule="auto"/>
    </w:pPr>
    <w:rPr>
      <w:rFonts w:ascii="Times New Roman" w:hAnsi="Times New Roman" w:cs="Times New Roman"/>
      <w:color w:val="000000"/>
      <w:kern w:val="0"/>
      <w:lang w:eastAsia="zh-TW"/>
    </w:rPr>
  </w:style>
  <w:style w:type="paragraph" w:customStyle="1" w:styleId="223">
    <w:name w:val="列出段落3"/>
    <w:basedOn w:val="1"/>
    <w:unhideWhenUsed/>
    <w:qFormat/>
    <w:uiPriority w:val="99"/>
    <w:pPr>
      <w:ind w:firstLine="420" w:firstLineChars="200"/>
    </w:pPr>
  </w:style>
  <w:style w:type="character" w:customStyle="1" w:styleId="224">
    <w:name w:val="Unresolved Mention"/>
    <w:basedOn w:val="44"/>
    <w:unhideWhenUsed/>
    <w:qFormat/>
    <w:uiPriority w:val="99"/>
    <w:rPr>
      <w:color w:val="808080"/>
      <w:shd w:val="clear" w:color="auto" w:fill="E6E6E6"/>
    </w:rPr>
  </w:style>
  <w:style w:type="character" w:customStyle="1" w:styleId="225">
    <w:name w:val="current"/>
    <w:basedOn w:val="44"/>
    <w:qFormat/>
    <w:uiPriority w:val="0"/>
    <w:rPr>
      <w:b/>
      <w:color w:val="0030CE"/>
    </w:rPr>
  </w:style>
  <w:style w:type="character" w:customStyle="1" w:styleId="226">
    <w:name w:val="allp"/>
    <w:basedOn w:val="44"/>
    <w:qFormat/>
    <w:uiPriority w:val="0"/>
    <w:rPr>
      <w:color w:val="0030CE"/>
    </w:rPr>
  </w:style>
  <w:style w:type="character" w:customStyle="1" w:styleId="227">
    <w:name w:val="dangq"/>
    <w:basedOn w:val="44"/>
    <w:qFormat/>
    <w:uiPriority w:val="0"/>
    <w:rPr>
      <w:b/>
      <w:color w:val="288094"/>
    </w:rPr>
  </w:style>
  <w:style w:type="table" w:customStyle="1" w:styleId="228">
    <w:name w:val="��ͨ���"/>
    <w:basedOn w:val="59"/>
    <w:semiHidden/>
    <w:qFormat/>
    <w:uiPriority w:val="0"/>
    <w:tblPr>
      <w:tblLayout w:type="fixed"/>
      <w:tblCellMar>
        <w:top w:w="0" w:type="dxa"/>
        <w:left w:w="108" w:type="dxa"/>
        <w:bottom w:w="0" w:type="dxa"/>
        <w:right w:w="108" w:type="dxa"/>
      </w:tblCellMar>
    </w:tblPr>
  </w:style>
  <w:style w:type="paragraph" w:customStyle="1" w:styleId="229">
    <w:name w:val="_Style 219"/>
    <w:basedOn w:val="1"/>
    <w:next w:val="1"/>
    <w:qFormat/>
    <w:uiPriority w:val="0"/>
    <w:pPr>
      <w:pBdr>
        <w:bottom w:val="single" w:color="auto" w:sz="6" w:space="1"/>
      </w:pBdr>
      <w:jc w:val="center"/>
    </w:pPr>
    <w:rPr>
      <w:rFonts w:ascii="Arial"/>
      <w:vanish/>
      <w:sz w:val="16"/>
    </w:rPr>
  </w:style>
  <w:style w:type="paragraph" w:customStyle="1" w:styleId="230">
    <w:name w:val="_Style 220"/>
    <w:basedOn w:val="1"/>
    <w:next w:val="1"/>
    <w:qFormat/>
    <w:uiPriority w:val="0"/>
    <w:pPr>
      <w:pBdr>
        <w:top w:val="single" w:color="auto" w:sz="6" w:space="1"/>
      </w:pBdr>
      <w:jc w:val="center"/>
    </w:pPr>
    <w:rPr>
      <w:rFonts w:ascii="Arial"/>
      <w:vanish/>
      <w:sz w:val="16"/>
    </w:rPr>
  </w:style>
  <w:style w:type="character" w:customStyle="1" w:styleId="231">
    <w:name w:val="inp1501"/>
    <w:basedOn w:val="44"/>
    <w:qFormat/>
    <w:uiPriority w:val="0"/>
  </w:style>
  <w:style w:type="character" w:customStyle="1" w:styleId="232">
    <w:name w:val="inp4001"/>
    <w:basedOn w:val="44"/>
    <w:qFormat/>
    <w:uiPriority w:val="0"/>
  </w:style>
  <w:style w:type="paragraph" w:customStyle="1" w:styleId="233">
    <w:name w:val="纯文本1"/>
    <w:basedOn w:val="1"/>
    <w:qFormat/>
    <w:uiPriority w:val="0"/>
    <w:pPr>
      <w:adjustRightInd w:val="0"/>
      <w:textAlignment w:val="baseline"/>
    </w:pPr>
    <w:rPr>
      <w:rFonts w:ascii="宋体" w:hAnsi="Courier New" w:eastAsia="楷体_GB2312" w:cs="Times New Roman"/>
      <w:sz w:val="28"/>
      <w:szCs w:val="20"/>
    </w:rPr>
  </w:style>
  <w:style w:type="character" w:customStyle="1" w:styleId="234">
    <w:name w:val="c6ui-widget-btn-single"/>
    <w:basedOn w:val="44"/>
    <w:qFormat/>
    <w:uiPriority w:val="0"/>
  </w:style>
  <w:style w:type="character" w:customStyle="1" w:styleId="235">
    <w:name w:val="tab_close"/>
    <w:basedOn w:val="44"/>
    <w:qFormat/>
    <w:uiPriority w:val="0"/>
    <w:rPr>
      <w:vanish/>
      <w:color w:val="FFFFFF"/>
    </w:rPr>
  </w:style>
  <w:style w:type="character" w:customStyle="1" w:styleId="236">
    <w:name w:val="tab_close1"/>
    <w:basedOn w:val="44"/>
    <w:qFormat/>
    <w:uiPriority w:val="0"/>
    <w:rPr>
      <w:b/>
      <w:color w:val="333333"/>
    </w:rPr>
  </w:style>
  <w:style w:type="character" w:customStyle="1" w:styleId="237">
    <w:name w:val="m"/>
    <w:basedOn w:val="44"/>
    <w:qFormat/>
    <w:uiPriority w:val="0"/>
  </w:style>
  <w:style w:type="character" w:customStyle="1" w:styleId="238">
    <w:name w:val="widget-btn-left-h"/>
    <w:basedOn w:val="44"/>
    <w:qFormat/>
    <w:uiPriority w:val="0"/>
  </w:style>
  <w:style w:type="character" w:customStyle="1" w:styleId="239">
    <w:name w:val="c6ui-widget-btn-single-c"/>
    <w:basedOn w:val="44"/>
    <w:qFormat/>
    <w:uiPriority w:val="0"/>
  </w:style>
  <w:style w:type="character" w:customStyle="1" w:styleId="240">
    <w:name w:val="widget-btn-left"/>
    <w:basedOn w:val="44"/>
    <w:qFormat/>
    <w:uiPriority w:val="0"/>
    <w:rPr>
      <w:color w:val="FFFFFF"/>
    </w:rPr>
  </w:style>
  <w:style w:type="character" w:customStyle="1" w:styleId="241">
    <w:name w:val="active7"/>
    <w:basedOn w:val="44"/>
    <w:qFormat/>
    <w:uiPriority w:val="0"/>
    <w:rPr>
      <w:b/>
    </w:rPr>
  </w:style>
  <w:style w:type="character" w:customStyle="1" w:styleId="242">
    <w:name w:val="tab_title"/>
    <w:basedOn w:val="44"/>
    <w:qFormat/>
    <w:uiPriority w:val="0"/>
    <w:rPr>
      <w:color w:val="FFFFFF"/>
    </w:rPr>
  </w:style>
  <w:style w:type="character" w:customStyle="1" w:styleId="243">
    <w:name w:val="tab_title1"/>
    <w:basedOn w:val="44"/>
    <w:qFormat/>
    <w:uiPriority w:val="0"/>
    <w:rPr>
      <w:b/>
      <w:color w:val="333333"/>
    </w:rPr>
  </w:style>
  <w:style w:type="character" w:customStyle="1" w:styleId="244">
    <w:name w:val="widget-btn-plus-h"/>
    <w:basedOn w:val="44"/>
    <w:qFormat/>
    <w:uiPriority w:val="0"/>
  </w:style>
  <w:style w:type="character" w:customStyle="1" w:styleId="245">
    <w:name w:val="widget-btn-left-c"/>
    <w:basedOn w:val="44"/>
    <w:qFormat/>
    <w:uiPriority w:val="0"/>
  </w:style>
  <w:style w:type="character" w:customStyle="1" w:styleId="246">
    <w:name w:val="widget-btn-plus-c"/>
    <w:basedOn w:val="44"/>
    <w:qFormat/>
    <w:uiPriority w:val="0"/>
  </w:style>
  <w:style w:type="character" w:customStyle="1" w:styleId="247">
    <w:name w:val="widget-btn-plus"/>
    <w:basedOn w:val="44"/>
    <w:qFormat/>
    <w:uiPriority w:val="0"/>
  </w:style>
  <w:style w:type="character" w:customStyle="1" w:styleId="248">
    <w:name w:val="c6ui-widget-btn-single-h"/>
    <w:basedOn w:val="44"/>
    <w:qFormat/>
    <w:uiPriority w:val="0"/>
  </w:style>
  <w:style w:type="character" w:customStyle="1" w:styleId="249">
    <w:name w:val="r"/>
    <w:basedOn w:val="44"/>
    <w:qFormat/>
    <w:uiPriority w:val="0"/>
  </w:style>
  <w:style w:type="character" w:customStyle="1" w:styleId="250">
    <w:name w:val="triangle"/>
    <w:basedOn w:val="44"/>
    <w:qFormat/>
    <w:uiPriority w:val="0"/>
    <w:rPr>
      <w:sz w:val="1"/>
      <w:szCs w:val="1"/>
    </w:rPr>
  </w:style>
  <w:style w:type="character" w:customStyle="1" w:styleId="251">
    <w:name w:val="c6ui-widget-btn-single1"/>
    <w:basedOn w:val="44"/>
    <w:qFormat/>
    <w:uiPriority w:val="0"/>
  </w:style>
  <w:style w:type="character" w:customStyle="1" w:styleId="252">
    <w:name w:val="r4"/>
    <w:basedOn w:val="44"/>
    <w:qFormat/>
    <w:uiPriority w:val="0"/>
  </w:style>
  <w:style w:type="character" w:customStyle="1" w:styleId="253">
    <w:name w:val="active5"/>
    <w:basedOn w:val="44"/>
    <w:qFormat/>
    <w:uiPriority w:val="0"/>
    <w:rPr>
      <w:b/>
    </w:rPr>
  </w:style>
  <w:style w:type="paragraph" w:customStyle="1" w:styleId="254">
    <w:name w:val="p16"/>
    <w:basedOn w:val="1"/>
    <w:qFormat/>
    <w:uiPriority w:val="0"/>
    <w:pPr>
      <w:widowControl/>
      <w:spacing w:after="156"/>
      <w:ind w:firstLine="570"/>
    </w:pPr>
    <w:rPr>
      <w:rFonts w:ascii="宋体" w:hAnsi="宋体" w:cs="宋体"/>
      <w:kern w:val="0"/>
      <w:sz w:val="28"/>
      <w:szCs w:val="28"/>
    </w:rPr>
  </w:style>
  <w:style w:type="paragraph" w:customStyle="1" w:styleId="255">
    <w:name w:val="列出段落4"/>
    <w:basedOn w:val="1"/>
    <w:unhideWhenUsed/>
    <w:qFormat/>
    <w:uiPriority w:val="99"/>
    <w:pPr>
      <w:ind w:firstLine="420" w:firstLineChars="200"/>
    </w:pPr>
  </w:style>
  <w:style w:type="paragraph" w:styleId="256">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F351927-B1E2-474E-8E42-1ACC40330BED}">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40</Pages>
  <Words>2982</Words>
  <Characters>17004</Characters>
  <Lines>141</Lines>
  <Paragraphs>39</Paragraphs>
  <TotalTime>0</TotalTime>
  <ScaleCrop>false</ScaleCrop>
  <LinksUpToDate>false</LinksUpToDate>
  <CharactersWithSpaces>19947</CharactersWithSpaces>
  <Application>WPS Office_10.1.0.7245_F1E327BC-269C-435d-A152-05C5408002CA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2017-08-17T01:35:00Z</dcterms:created>
  <dc:creator>微软用户</dc:creator>
  <cp:lastModifiedBy>Faded</cp:lastModifiedBy>
  <cp:lastPrinted>2017-11-07T08:12:00Z</cp:lastPrinted>
  <dcterms:modified xsi:type="dcterms:W3CDTF">2018-06-22T10:32:44Z</dcterms:modified>
  <cp:revision>42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