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168" w:firstLineChars="600"/>
        <w:rPr>
          <w:rFonts w:ascii="华文仿宋" w:hAnsi="华文仿宋" w:eastAsia="华文仿宋"/>
          <w:b/>
          <w:color w:val="000000"/>
          <w:sz w:val="36"/>
          <w:szCs w:val="36"/>
        </w:rPr>
      </w:pPr>
      <w:r>
        <w:rPr>
          <w:rFonts w:hint="eastAsia" w:ascii="仿宋_GB2312" w:hAnsi="仿宋_GB2312" w:eastAsia="仿宋_GB2312" w:cs="仿宋_GB2312"/>
          <w:b/>
          <w:bCs/>
          <w:sz w:val="36"/>
          <w:szCs w:val="36"/>
        </w:rPr>
        <w:t>用户需求书</w:t>
      </w:r>
    </w:p>
    <w:p>
      <w:pPr>
        <w:ind w:firstLine="2891" w:firstLineChars="800"/>
        <w:rPr>
          <w:rFonts w:ascii="华文仿宋" w:hAnsi="华文仿宋" w:eastAsia="华文仿宋"/>
          <w:b/>
          <w:color w:val="000000"/>
          <w:sz w:val="36"/>
          <w:szCs w:val="36"/>
        </w:rPr>
      </w:pPr>
    </w:p>
    <w:p>
      <w:pPr>
        <w:spacing w:line="360" w:lineRule="auto"/>
        <w:rPr>
          <w:rFonts w:hint="eastAsia" w:ascii="宋体" w:hAnsi="宋体" w:eastAsia="宋体"/>
          <w:b/>
          <w:sz w:val="28"/>
          <w:szCs w:val="28"/>
          <w:lang w:eastAsia="zh-CN"/>
        </w:rPr>
      </w:pPr>
      <w:r>
        <w:rPr>
          <w:rFonts w:hint="eastAsia" w:ascii="宋体" w:hAnsi="宋体"/>
          <w:b/>
          <w:sz w:val="28"/>
          <w:szCs w:val="28"/>
        </w:rPr>
        <w:t>一、项目名称：</w:t>
      </w:r>
      <w:r>
        <w:rPr>
          <w:rFonts w:hint="eastAsia" w:ascii="宋体" w:hAnsi="宋体"/>
          <w:b/>
          <w:sz w:val="28"/>
          <w:szCs w:val="28"/>
          <w:lang w:eastAsia="zh-CN"/>
        </w:rPr>
        <w:t>动物房组合净化空调改造工程</w:t>
      </w:r>
    </w:p>
    <w:p>
      <w:pPr>
        <w:spacing w:line="360" w:lineRule="auto"/>
        <w:rPr>
          <w:rFonts w:hint="eastAsia" w:ascii="宋体" w:hAnsi="宋体"/>
          <w:b/>
          <w:sz w:val="28"/>
          <w:szCs w:val="28"/>
        </w:rPr>
      </w:pPr>
      <w:r>
        <w:rPr>
          <w:rFonts w:hint="eastAsia" w:ascii="宋体" w:hAnsi="宋体"/>
          <w:b/>
          <w:sz w:val="28"/>
          <w:szCs w:val="28"/>
        </w:rPr>
        <w:t>二、预算金额：</w:t>
      </w:r>
      <w:r>
        <w:rPr>
          <w:rFonts w:hint="eastAsia" w:ascii="宋体" w:hAnsi="宋体"/>
          <w:b/>
          <w:sz w:val="28"/>
          <w:szCs w:val="28"/>
          <w:lang w:val="en-US" w:eastAsia="zh-CN"/>
        </w:rPr>
        <w:t>67.34</w:t>
      </w:r>
      <w:r>
        <w:rPr>
          <w:rFonts w:hint="eastAsia" w:ascii="宋体" w:hAnsi="宋体"/>
          <w:b/>
          <w:sz w:val="28"/>
          <w:szCs w:val="28"/>
        </w:rPr>
        <w:t>万元</w:t>
      </w:r>
    </w:p>
    <w:p>
      <w:pPr>
        <w:spacing w:line="360" w:lineRule="auto"/>
        <w:rPr>
          <w:rFonts w:hint="eastAsia" w:ascii="宋体" w:hAnsi="宋体"/>
          <w:b/>
          <w:sz w:val="28"/>
          <w:szCs w:val="28"/>
        </w:rPr>
      </w:pPr>
      <w:r>
        <w:rPr>
          <w:rFonts w:hint="eastAsia" w:ascii="宋体" w:hAnsi="宋体"/>
          <w:b/>
          <w:sz w:val="28"/>
          <w:szCs w:val="28"/>
        </w:rPr>
        <w:t>三、工期：</w:t>
      </w:r>
      <w:r>
        <w:rPr>
          <w:rFonts w:hint="eastAsia" w:ascii="宋体" w:hAnsi="宋体"/>
          <w:b/>
          <w:sz w:val="28"/>
          <w:szCs w:val="28"/>
          <w:lang w:val="en-US" w:eastAsia="zh-CN"/>
        </w:rPr>
        <w:t>35</w:t>
      </w:r>
      <w:r>
        <w:rPr>
          <w:rFonts w:hint="eastAsia" w:ascii="宋体" w:hAnsi="宋体"/>
          <w:b/>
          <w:sz w:val="28"/>
          <w:szCs w:val="28"/>
        </w:rPr>
        <w:t>天</w:t>
      </w:r>
    </w:p>
    <w:p>
      <w:pPr>
        <w:spacing w:line="360" w:lineRule="auto"/>
        <w:rPr>
          <w:rFonts w:hint="eastAsia" w:ascii="宋体" w:hAnsi="宋体"/>
          <w:b/>
          <w:sz w:val="28"/>
          <w:szCs w:val="28"/>
        </w:rPr>
      </w:pPr>
      <w:r>
        <w:rPr>
          <w:rFonts w:hint="eastAsia" w:ascii="宋体" w:hAnsi="宋体"/>
          <w:b/>
          <w:sz w:val="28"/>
          <w:szCs w:val="28"/>
        </w:rPr>
        <w:t>四、采购需求</w:t>
      </w:r>
    </w:p>
    <w:p>
      <w:pPr>
        <w:ind w:firstLine="3654" w:firstLineChars="1300"/>
        <w:rPr>
          <w:rFonts w:hint="eastAsia"/>
          <w:b/>
          <w:bCs/>
          <w:sz w:val="28"/>
          <w:szCs w:val="28"/>
        </w:rPr>
      </w:pPr>
    </w:p>
    <w:p>
      <w:pPr>
        <w:ind w:firstLine="3654" w:firstLineChars="1300"/>
        <w:rPr>
          <w:rFonts w:hint="eastAsia"/>
          <w:sz w:val="28"/>
          <w:szCs w:val="28"/>
        </w:rPr>
      </w:pPr>
      <w:r>
        <w:rPr>
          <w:rFonts w:hint="eastAsia"/>
          <w:b/>
          <w:bCs/>
          <w:sz w:val="28"/>
          <w:szCs w:val="28"/>
        </w:rPr>
        <w:t>采购需求</w:t>
      </w:r>
    </w:p>
    <w:tbl>
      <w:tblPr>
        <w:tblStyle w:val="5"/>
        <w:tblW w:w="10725" w:type="dxa"/>
        <w:tblInd w:w="-1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890"/>
        <w:gridCol w:w="5490"/>
        <w:gridCol w:w="975"/>
        <w:gridCol w:w="90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jc w:val="center"/>
              <w:rPr>
                <w:rFonts w:hint="eastAsia"/>
                <w:sz w:val="28"/>
                <w:szCs w:val="28"/>
              </w:rPr>
            </w:pPr>
            <w:r>
              <w:rPr>
                <w:rFonts w:hint="eastAsia"/>
                <w:sz w:val="28"/>
                <w:szCs w:val="28"/>
              </w:rPr>
              <w:t>序号</w:t>
            </w:r>
          </w:p>
        </w:tc>
        <w:tc>
          <w:tcPr>
            <w:tcW w:w="1890" w:type="dxa"/>
            <w:vAlign w:val="center"/>
          </w:tcPr>
          <w:p>
            <w:pPr>
              <w:jc w:val="center"/>
              <w:rPr>
                <w:rFonts w:hint="eastAsia"/>
                <w:sz w:val="28"/>
                <w:szCs w:val="28"/>
              </w:rPr>
            </w:pPr>
            <w:r>
              <w:rPr>
                <w:rFonts w:hint="eastAsia"/>
                <w:sz w:val="28"/>
                <w:szCs w:val="28"/>
              </w:rPr>
              <w:t>项目名称</w:t>
            </w:r>
          </w:p>
        </w:tc>
        <w:tc>
          <w:tcPr>
            <w:tcW w:w="5490" w:type="dxa"/>
            <w:vAlign w:val="center"/>
          </w:tcPr>
          <w:p>
            <w:pPr>
              <w:jc w:val="center"/>
              <w:rPr>
                <w:rFonts w:hint="eastAsia"/>
                <w:sz w:val="28"/>
                <w:szCs w:val="28"/>
              </w:rPr>
            </w:pPr>
            <w:r>
              <w:rPr>
                <w:rFonts w:hint="eastAsia"/>
                <w:sz w:val="28"/>
                <w:szCs w:val="28"/>
              </w:rPr>
              <w:t>技术要求</w:t>
            </w:r>
          </w:p>
        </w:tc>
        <w:tc>
          <w:tcPr>
            <w:tcW w:w="975" w:type="dxa"/>
            <w:vAlign w:val="center"/>
          </w:tcPr>
          <w:p>
            <w:pPr>
              <w:jc w:val="center"/>
              <w:rPr>
                <w:rFonts w:hint="eastAsia"/>
                <w:sz w:val="28"/>
                <w:szCs w:val="28"/>
              </w:rPr>
            </w:pPr>
            <w:r>
              <w:rPr>
                <w:rFonts w:hint="eastAsia"/>
                <w:sz w:val="28"/>
                <w:szCs w:val="28"/>
              </w:rPr>
              <w:t>单位</w:t>
            </w:r>
          </w:p>
        </w:tc>
        <w:tc>
          <w:tcPr>
            <w:tcW w:w="900" w:type="dxa"/>
            <w:vAlign w:val="center"/>
          </w:tcPr>
          <w:p>
            <w:pPr>
              <w:jc w:val="center"/>
              <w:rPr>
                <w:rFonts w:hint="eastAsia"/>
                <w:sz w:val="28"/>
                <w:szCs w:val="28"/>
              </w:rPr>
            </w:pPr>
            <w:r>
              <w:rPr>
                <w:rFonts w:hint="eastAsia"/>
                <w:sz w:val="28"/>
                <w:szCs w:val="28"/>
              </w:rPr>
              <w:t>数量</w:t>
            </w:r>
          </w:p>
        </w:tc>
        <w:tc>
          <w:tcPr>
            <w:tcW w:w="810" w:type="dxa"/>
            <w:vAlign w:val="center"/>
          </w:tcPr>
          <w:p>
            <w:pPr>
              <w:jc w:val="center"/>
              <w:rPr>
                <w:rFonts w:hint="eastAsia"/>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jc w:val="center"/>
              <w:rPr>
                <w:rFonts w:hint="eastAsia"/>
                <w:sz w:val="28"/>
                <w:szCs w:val="28"/>
              </w:rPr>
            </w:pPr>
            <w:r>
              <w:rPr>
                <w:rFonts w:hint="eastAsia"/>
                <w:sz w:val="28"/>
                <w:szCs w:val="28"/>
              </w:rPr>
              <w:t>1</w:t>
            </w:r>
          </w:p>
        </w:tc>
        <w:tc>
          <w:tcPr>
            <w:tcW w:w="1890" w:type="dxa"/>
            <w:vAlign w:val="center"/>
          </w:tcPr>
          <w:p>
            <w:pPr>
              <w:jc w:val="center"/>
              <w:rPr>
                <w:rFonts w:hint="eastAsia"/>
                <w:sz w:val="28"/>
                <w:szCs w:val="28"/>
              </w:rPr>
            </w:pPr>
            <w:r>
              <w:rPr>
                <w:rFonts w:hint="eastAsia"/>
                <w:sz w:val="28"/>
                <w:szCs w:val="28"/>
              </w:rPr>
              <w:t>组合式空调风柜</w:t>
            </w:r>
          </w:p>
        </w:tc>
        <w:tc>
          <w:tcPr>
            <w:tcW w:w="5490" w:type="dxa"/>
            <w:vAlign w:val="center"/>
          </w:tcPr>
          <w:p>
            <w:pPr>
              <w:pStyle w:val="6"/>
              <w:widowControl/>
              <w:numPr>
                <w:ilvl w:val="0"/>
                <w:numId w:val="1"/>
              </w:numPr>
              <w:overflowPunct/>
              <w:autoSpaceDE/>
              <w:autoSpaceDN/>
              <w:adjustRightInd/>
              <w:spacing w:line="360" w:lineRule="auto"/>
              <w:jc w:val="both"/>
              <w:textAlignment w:val="auto"/>
              <w:rPr>
                <w:rFonts w:hint="eastAsia" w:ascii="宋体" w:hAnsi="宋体"/>
                <w:sz w:val="28"/>
                <w:szCs w:val="28"/>
                <w:lang w:val="en-US" w:eastAsia="zh-CN"/>
              </w:rPr>
            </w:pPr>
            <w:r>
              <w:rPr>
                <w:rFonts w:hint="eastAsia" w:ascii="宋体" w:hAnsi="宋体"/>
                <w:sz w:val="28"/>
                <w:szCs w:val="28"/>
                <w:lang w:val="en-US" w:eastAsia="zh-CN"/>
              </w:rPr>
              <w:t>壁板采用双面夹芯板制作，外层为镀锌板，壁板基板厚度≥0.5mm，内层为镀锌板，底板基板厚度≥0.7mm，侧板基板厚度≥0.5mm，基板镀锌板的锌层厚度不低于120g/㎡，光滑平整，无颗粒脱落。夹芯采用难燃聚氨酯注入式整体发泡工艺成形，发泡密度≥50kg/m³，必须保证机组箱体在高压下密封良好无泄漏并避免冷桥的产生。机组必须有防冷桥措施，机组在运行时，不得出现冷桥和凝露现象，整个面板的隔热性能必须达到EN1886-1997的T2级保温等级，整个箱体的冷桥系数必须达到TB1级冷桥等级；（须提供详细的防冷桥说明，并提供相关冷桥因子达到TB1的证明文件。）</w:t>
            </w:r>
            <w:r>
              <w:rPr>
                <w:rFonts w:ascii="宋体" w:hAnsi="宋体"/>
                <w:sz w:val="28"/>
                <w:szCs w:val="28"/>
                <w:lang w:val="en-US" w:eastAsia="zh-CN"/>
              </w:rPr>
              <w:t>机组各功能段有足够的强度，机械性能不低于EN1886中</w:t>
            </w:r>
            <w:r>
              <w:rPr>
                <w:rFonts w:hint="eastAsia" w:ascii="宋体" w:hAnsi="宋体"/>
                <w:sz w:val="28"/>
                <w:szCs w:val="28"/>
                <w:lang w:val="en-US" w:eastAsia="zh-CN"/>
              </w:rPr>
              <w:t>D1</w:t>
            </w:r>
            <w:r>
              <w:rPr>
                <w:rFonts w:ascii="宋体" w:hAnsi="宋体"/>
                <w:sz w:val="28"/>
                <w:szCs w:val="28"/>
                <w:lang w:val="en-US" w:eastAsia="zh-CN"/>
              </w:rPr>
              <w:t>级标准</w:t>
            </w:r>
            <w:r>
              <w:rPr>
                <w:rFonts w:hint="eastAsia" w:ascii="宋体" w:hAnsi="宋体"/>
                <w:sz w:val="28"/>
                <w:szCs w:val="28"/>
                <w:lang w:val="en-US" w:eastAsia="zh-CN"/>
              </w:rPr>
              <w:t>。</w:t>
            </w:r>
          </w:p>
          <w:p>
            <w:pPr>
              <w:pStyle w:val="6"/>
              <w:widowControl/>
              <w:numPr>
                <w:ilvl w:val="0"/>
                <w:numId w:val="1"/>
              </w:numPr>
              <w:overflowPunct/>
              <w:autoSpaceDE/>
              <w:autoSpaceDN/>
              <w:adjustRightInd/>
              <w:spacing w:line="360" w:lineRule="auto"/>
              <w:jc w:val="both"/>
              <w:textAlignment w:val="auto"/>
              <w:rPr>
                <w:rFonts w:hint="eastAsia" w:ascii="宋体" w:hAnsi="宋体"/>
                <w:sz w:val="28"/>
                <w:szCs w:val="28"/>
                <w:lang w:val="en-US" w:eastAsia="zh-CN"/>
              </w:rPr>
            </w:pPr>
            <w:r>
              <w:rPr>
                <w:rFonts w:ascii="宋体" w:hAnsi="宋体"/>
                <w:sz w:val="28"/>
                <w:szCs w:val="28"/>
                <w:lang w:val="en-US" w:eastAsia="zh-CN"/>
              </w:rPr>
              <w:t>风机配置要求提供风机“AMCA”认证。按设计选用后倾式离心风机。轴承配置“SKF”或“NSK”。应提供风机选型计算书。皮带轮三角皮带，传动功率大，耐磨损。空调机组风机皮带轮采用欧式锥套式皮带轮，拆装灵活，便于设备维护。快速装配式，并设置精准可靠的皮带张紧力调节装置，确保皮带高效低噪声传动。</w:t>
            </w:r>
          </w:p>
          <w:p>
            <w:pPr>
              <w:pStyle w:val="6"/>
              <w:widowControl/>
              <w:numPr>
                <w:ilvl w:val="0"/>
                <w:numId w:val="1"/>
              </w:numPr>
              <w:overflowPunct/>
              <w:autoSpaceDE/>
              <w:autoSpaceDN/>
              <w:adjustRightInd/>
              <w:spacing w:line="360" w:lineRule="auto"/>
              <w:jc w:val="both"/>
              <w:textAlignment w:val="auto"/>
              <w:rPr>
                <w:rFonts w:hint="eastAsia" w:ascii="宋体" w:hAnsi="宋体"/>
                <w:sz w:val="28"/>
                <w:szCs w:val="28"/>
                <w:lang w:val="en-US" w:eastAsia="zh-CN"/>
              </w:rPr>
            </w:pPr>
            <w:r>
              <w:rPr>
                <w:rFonts w:hint="eastAsia" w:ascii="宋体" w:hAnsi="宋体"/>
                <w:sz w:val="28"/>
                <w:szCs w:val="28"/>
                <w:lang w:val="en-US" w:eastAsia="zh-CN"/>
              </w:rPr>
              <w:t>机组热交换器（盘管）换热管采用优质无缝紫铜管，串亲水铝翅片结构；表冷器盘管回路应为逆流热传递，并保证盘管内的水能够彻底排净。所有热交换器（盘管）的性能都符合AHRI的有关标准和规定，须提供AHRI认证证书。</w:t>
            </w:r>
          </w:p>
          <w:p>
            <w:pPr>
              <w:pStyle w:val="6"/>
              <w:widowControl/>
              <w:numPr>
                <w:ilvl w:val="0"/>
                <w:numId w:val="1"/>
              </w:numPr>
              <w:overflowPunct/>
              <w:autoSpaceDE/>
              <w:autoSpaceDN/>
              <w:adjustRightInd/>
              <w:spacing w:line="360" w:lineRule="auto"/>
              <w:jc w:val="both"/>
              <w:textAlignment w:val="auto"/>
              <w:rPr>
                <w:rFonts w:hint="eastAsia" w:ascii="宋体" w:hAnsi="宋体"/>
                <w:sz w:val="28"/>
                <w:szCs w:val="28"/>
                <w:lang w:val="en-US" w:eastAsia="zh-CN"/>
              </w:rPr>
            </w:pPr>
            <w:r>
              <w:rPr>
                <w:rFonts w:ascii="宋体" w:hAnsi="宋体"/>
                <w:sz w:val="28"/>
                <w:szCs w:val="28"/>
                <w:lang w:val="en-US" w:eastAsia="zh-CN"/>
              </w:rPr>
              <w:t>额定风量和余压在国标GB/T 14294-2008 组合式空调机组规定条件下，风量实测值不低于额定值100%，余压实测值不低于额定值100%。机组安全性能要求应符合GB10891的规定。机组密闭性好，整机漏风率：在负400Pa工况下，箱体漏风等级不低于L1；在静压保持701Pa时，箱体漏风等级不低于L</w:t>
            </w:r>
            <w:r>
              <w:rPr>
                <w:rFonts w:hint="eastAsia" w:ascii="宋体" w:hAnsi="宋体"/>
                <w:sz w:val="28"/>
                <w:szCs w:val="28"/>
                <w:lang w:val="en-US" w:eastAsia="zh-CN"/>
              </w:rPr>
              <w:t>1</w:t>
            </w:r>
            <w:r>
              <w:rPr>
                <w:rFonts w:ascii="宋体" w:hAnsi="宋体"/>
                <w:sz w:val="28"/>
                <w:szCs w:val="28"/>
                <w:lang w:val="en-US" w:eastAsia="zh-CN"/>
              </w:rPr>
              <w:t>。需在投</w:t>
            </w:r>
            <w:r>
              <w:rPr>
                <w:rFonts w:hint="eastAsia" w:ascii="宋体" w:hAnsi="宋体"/>
                <w:sz w:val="28"/>
                <w:szCs w:val="28"/>
                <w:lang w:val="en-US" w:eastAsia="zh-CN"/>
              </w:rPr>
              <w:t>12</w:t>
            </w:r>
            <w:r>
              <w:rPr>
                <w:rFonts w:ascii="宋体" w:hAnsi="宋体"/>
                <w:sz w:val="28"/>
                <w:szCs w:val="28"/>
                <w:lang w:val="en-US" w:eastAsia="zh-CN"/>
              </w:rPr>
              <w:t>标书中提供国家权威检测报告。</w:t>
            </w:r>
            <w:r>
              <w:rPr>
                <w:rFonts w:hint="eastAsia" w:ascii="宋体" w:hAnsi="宋体"/>
                <w:sz w:val="28"/>
                <w:szCs w:val="28"/>
                <w:lang w:val="en-US" w:eastAsia="zh-CN"/>
              </w:rPr>
              <w:t>建议品牌天加、国祥、诺德。</w:t>
            </w:r>
          </w:p>
        </w:tc>
        <w:tc>
          <w:tcPr>
            <w:tcW w:w="975" w:type="dxa"/>
            <w:vAlign w:val="center"/>
          </w:tcPr>
          <w:p>
            <w:pPr>
              <w:jc w:val="center"/>
              <w:rPr>
                <w:rFonts w:hint="eastAsia"/>
                <w:sz w:val="28"/>
                <w:szCs w:val="28"/>
              </w:rPr>
            </w:pPr>
            <w:r>
              <w:rPr>
                <w:rFonts w:hint="eastAsia"/>
                <w:sz w:val="28"/>
                <w:szCs w:val="28"/>
              </w:rPr>
              <w:t>套</w:t>
            </w:r>
          </w:p>
        </w:tc>
        <w:tc>
          <w:tcPr>
            <w:tcW w:w="900" w:type="dxa"/>
            <w:vAlign w:val="center"/>
          </w:tcPr>
          <w:p>
            <w:pPr>
              <w:jc w:val="center"/>
              <w:rPr>
                <w:rFonts w:hint="eastAsia"/>
                <w:sz w:val="28"/>
                <w:szCs w:val="28"/>
              </w:rPr>
            </w:pPr>
            <w:r>
              <w:rPr>
                <w:rFonts w:hint="eastAsia"/>
                <w:sz w:val="28"/>
                <w:szCs w:val="28"/>
              </w:rPr>
              <w:t>2</w:t>
            </w:r>
          </w:p>
        </w:tc>
        <w:tc>
          <w:tcPr>
            <w:tcW w:w="810" w:type="dxa"/>
            <w:vAlign w:val="center"/>
          </w:tcPr>
          <w:p>
            <w:pPr>
              <w:jc w:val="center"/>
              <w:rPr>
                <w:rFonts w:hint="eastAsia"/>
                <w:sz w:val="28"/>
                <w:szCs w:val="28"/>
              </w:rPr>
            </w:pPr>
            <w:r>
              <w:rPr>
                <w:rFonts w:hint="eastAsia"/>
                <w:sz w:val="28"/>
                <w:szCs w:val="28"/>
              </w:rPr>
              <w:t>风机一用一备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jc w:val="center"/>
              <w:rPr>
                <w:rFonts w:hint="eastAsia"/>
                <w:sz w:val="28"/>
                <w:szCs w:val="28"/>
              </w:rPr>
            </w:pPr>
            <w:r>
              <w:rPr>
                <w:rFonts w:hint="eastAsia"/>
                <w:sz w:val="28"/>
                <w:szCs w:val="28"/>
              </w:rPr>
              <w:t>2</w:t>
            </w:r>
          </w:p>
        </w:tc>
        <w:tc>
          <w:tcPr>
            <w:tcW w:w="1890" w:type="dxa"/>
            <w:vAlign w:val="center"/>
          </w:tcPr>
          <w:p>
            <w:pPr>
              <w:jc w:val="center"/>
              <w:rPr>
                <w:rFonts w:hint="eastAsia"/>
                <w:sz w:val="28"/>
                <w:szCs w:val="28"/>
              </w:rPr>
            </w:pPr>
            <w:r>
              <w:rPr>
                <w:rFonts w:hint="eastAsia"/>
                <w:sz w:val="28"/>
                <w:szCs w:val="28"/>
              </w:rPr>
              <w:t>回风风柜</w:t>
            </w:r>
          </w:p>
        </w:tc>
        <w:tc>
          <w:tcPr>
            <w:tcW w:w="5490" w:type="dxa"/>
            <w:vAlign w:val="center"/>
          </w:tcPr>
          <w:p>
            <w:pPr>
              <w:pStyle w:val="6"/>
              <w:widowControl/>
              <w:overflowPunct/>
              <w:autoSpaceDE/>
              <w:autoSpaceDN/>
              <w:adjustRightInd/>
              <w:spacing w:line="360" w:lineRule="auto"/>
              <w:jc w:val="both"/>
              <w:textAlignment w:val="auto"/>
              <w:rPr>
                <w:rFonts w:hint="eastAsia"/>
                <w:sz w:val="28"/>
                <w:szCs w:val="28"/>
                <w:lang w:val="en-US" w:eastAsia="zh-CN"/>
              </w:rPr>
            </w:pPr>
            <w:r>
              <w:rPr>
                <w:rFonts w:ascii="宋体" w:hAnsi="宋体"/>
                <w:sz w:val="28"/>
                <w:szCs w:val="28"/>
                <w:lang w:val="en-US" w:eastAsia="zh-CN"/>
              </w:rPr>
              <w:t>风机配置要求提供风机“AMCA”认证。按设计选用后倾式离心风机。轴承配置“SKF”或“NSK”。应提供风机选型计算书。皮带轮采用三角皮带，传动功率大，耐磨损。空调机组风机皮带轮采用欧式锥套式皮带轮，拆装灵活，便于设备维护。快速装配式，并设置精准可靠的皮带张紧力调节装置，确保皮带高效低噪声传动。</w:t>
            </w:r>
          </w:p>
        </w:tc>
        <w:tc>
          <w:tcPr>
            <w:tcW w:w="975" w:type="dxa"/>
            <w:vAlign w:val="center"/>
          </w:tcPr>
          <w:p>
            <w:pPr>
              <w:jc w:val="center"/>
              <w:rPr>
                <w:rFonts w:hint="eastAsia"/>
                <w:sz w:val="28"/>
                <w:szCs w:val="28"/>
              </w:rPr>
            </w:pPr>
          </w:p>
        </w:tc>
        <w:tc>
          <w:tcPr>
            <w:tcW w:w="900" w:type="dxa"/>
            <w:vAlign w:val="center"/>
          </w:tcPr>
          <w:p>
            <w:pPr>
              <w:jc w:val="center"/>
              <w:rPr>
                <w:rFonts w:hint="eastAsia"/>
                <w:sz w:val="28"/>
                <w:szCs w:val="28"/>
              </w:rPr>
            </w:pPr>
          </w:p>
        </w:tc>
        <w:tc>
          <w:tcPr>
            <w:tcW w:w="810" w:type="dxa"/>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jc w:val="center"/>
              <w:rPr>
                <w:rFonts w:hint="eastAsia"/>
                <w:sz w:val="28"/>
                <w:szCs w:val="28"/>
              </w:rPr>
            </w:pPr>
            <w:r>
              <w:rPr>
                <w:rFonts w:hint="eastAsia"/>
                <w:sz w:val="28"/>
                <w:szCs w:val="28"/>
              </w:rPr>
              <w:t>3</w:t>
            </w:r>
          </w:p>
        </w:tc>
        <w:tc>
          <w:tcPr>
            <w:tcW w:w="1890" w:type="dxa"/>
            <w:vAlign w:val="center"/>
          </w:tcPr>
          <w:p>
            <w:pPr>
              <w:jc w:val="center"/>
              <w:rPr>
                <w:rFonts w:hint="eastAsia"/>
                <w:sz w:val="28"/>
                <w:szCs w:val="28"/>
              </w:rPr>
            </w:pPr>
            <w:r>
              <w:rPr>
                <w:rFonts w:hint="eastAsia"/>
                <w:sz w:val="28"/>
                <w:szCs w:val="28"/>
              </w:rPr>
              <w:t>高效活性炭过滤箱</w:t>
            </w:r>
          </w:p>
        </w:tc>
        <w:tc>
          <w:tcPr>
            <w:tcW w:w="5490" w:type="dxa"/>
            <w:vAlign w:val="center"/>
          </w:tcPr>
          <w:p>
            <w:pPr>
              <w:rPr>
                <w:rFonts w:hint="eastAsia"/>
                <w:sz w:val="28"/>
                <w:szCs w:val="28"/>
              </w:rPr>
            </w:pPr>
            <w:r>
              <w:rPr>
                <w:rFonts w:hint="eastAsia"/>
                <w:sz w:val="28"/>
                <w:szCs w:val="28"/>
              </w:rPr>
              <w:t>活性炭为椰壳活性炭</w:t>
            </w:r>
          </w:p>
        </w:tc>
        <w:tc>
          <w:tcPr>
            <w:tcW w:w="975" w:type="dxa"/>
            <w:vAlign w:val="center"/>
          </w:tcPr>
          <w:p>
            <w:pPr>
              <w:jc w:val="center"/>
              <w:rPr>
                <w:rFonts w:hint="eastAsia"/>
                <w:sz w:val="28"/>
                <w:szCs w:val="28"/>
              </w:rPr>
            </w:pPr>
            <w:r>
              <w:rPr>
                <w:rFonts w:hint="eastAsia"/>
                <w:sz w:val="28"/>
                <w:szCs w:val="28"/>
              </w:rPr>
              <w:t>套</w:t>
            </w:r>
          </w:p>
        </w:tc>
        <w:tc>
          <w:tcPr>
            <w:tcW w:w="900" w:type="dxa"/>
            <w:vAlign w:val="center"/>
          </w:tcPr>
          <w:p>
            <w:pPr>
              <w:jc w:val="center"/>
              <w:rPr>
                <w:rFonts w:hint="eastAsia"/>
                <w:sz w:val="28"/>
                <w:szCs w:val="28"/>
              </w:rPr>
            </w:pPr>
            <w:r>
              <w:rPr>
                <w:rFonts w:hint="eastAsia"/>
                <w:sz w:val="28"/>
                <w:szCs w:val="28"/>
              </w:rPr>
              <w:t>2</w:t>
            </w:r>
          </w:p>
        </w:tc>
        <w:tc>
          <w:tcPr>
            <w:tcW w:w="810" w:type="dxa"/>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jc w:val="center"/>
              <w:rPr>
                <w:rFonts w:hint="eastAsia"/>
                <w:sz w:val="28"/>
                <w:szCs w:val="28"/>
              </w:rPr>
            </w:pPr>
            <w:r>
              <w:rPr>
                <w:rFonts w:hint="eastAsia"/>
                <w:sz w:val="28"/>
                <w:szCs w:val="28"/>
              </w:rPr>
              <w:t>4</w:t>
            </w:r>
          </w:p>
        </w:tc>
        <w:tc>
          <w:tcPr>
            <w:tcW w:w="1890" w:type="dxa"/>
            <w:vAlign w:val="center"/>
          </w:tcPr>
          <w:p>
            <w:pPr>
              <w:jc w:val="center"/>
              <w:rPr>
                <w:rFonts w:hint="eastAsia"/>
                <w:sz w:val="28"/>
                <w:szCs w:val="28"/>
              </w:rPr>
            </w:pPr>
            <w:r>
              <w:rPr>
                <w:rFonts w:hint="eastAsia"/>
                <w:sz w:val="28"/>
                <w:szCs w:val="28"/>
              </w:rPr>
              <w:t>自控系统</w:t>
            </w:r>
          </w:p>
        </w:tc>
        <w:tc>
          <w:tcPr>
            <w:tcW w:w="5490" w:type="dxa"/>
            <w:vAlign w:val="center"/>
          </w:tcPr>
          <w:p>
            <w:pPr>
              <w:jc w:val="center"/>
              <w:rPr>
                <w:rFonts w:hint="eastAsia"/>
                <w:sz w:val="28"/>
                <w:szCs w:val="28"/>
              </w:rPr>
            </w:pPr>
            <w:r>
              <w:rPr>
                <w:rFonts w:hint="eastAsia"/>
                <w:sz w:val="28"/>
                <w:szCs w:val="28"/>
              </w:rPr>
              <w:t>含软件升级，有效控制温湿度、压差及风速。</w:t>
            </w:r>
          </w:p>
        </w:tc>
        <w:tc>
          <w:tcPr>
            <w:tcW w:w="975" w:type="dxa"/>
            <w:vAlign w:val="center"/>
          </w:tcPr>
          <w:p>
            <w:pPr>
              <w:jc w:val="center"/>
              <w:rPr>
                <w:rFonts w:hint="eastAsia"/>
                <w:sz w:val="28"/>
                <w:szCs w:val="28"/>
              </w:rPr>
            </w:pPr>
            <w:r>
              <w:rPr>
                <w:rFonts w:hint="eastAsia"/>
                <w:sz w:val="28"/>
                <w:szCs w:val="28"/>
              </w:rPr>
              <w:t>套</w:t>
            </w:r>
          </w:p>
        </w:tc>
        <w:tc>
          <w:tcPr>
            <w:tcW w:w="900" w:type="dxa"/>
            <w:vAlign w:val="center"/>
          </w:tcPr>
          <w:p>
            <w:pPr>
              <w:jc w:val="center"/>
              <w:rPr>
                <w:rFonts w:hint="eastAsia"/>
                <w:sz w:val="28"/>
                <w:szCs w:val="28"/>
              </w:rPr>
            </w:pPr>
            <w:r>
              <w:rPr>
                <w:rFonts w:hint="eastAsia"/>
                <w:sz w:val="28"/>
                <w:szCs w:val="28"/>
              </w:rPr>
              <w:t>1</w:t>
            </w:r>
          </w:p>
        </w:tc>
        <w:tc>
          <w:tcPr>
            <w:tcW w:w="810" w:type="dxa"/>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jc w:val="center"/>
              <w:rPr>
                <w:rFonts w:hint="eastAsia"/>
                <w:sz w:val="28"/>
                <w:szCs w:val="28"/>
              </w:rPr>
            </w:pPr>
            <w:r>
              <w:rPr>
                <w:rFonts w:hint="eastAsia"/>
                <w:sz w:val="28"/>
                <w:szCs w:val="28"/>
              </w:rPr>
              <w:t>5</w:t>
            </w:r>
          </w:p>
        </w:tc>
        <w:tc>
          <w:tcPr>
            <w:tcW w:w="1890" w:type="dxa"/>
            <w:vAlign w:val="center"/>
          </w:tcPr>
          <w:p>
            <w:pPr>
              <w:jc w:val="center"/>
              <w:rPr>
                <w:rFonts w:hint="eastAsia"/>
                <w:sz w:val="28"/>
                <w:szCs w:val="28"/>
              </w:rPr>
            </w:pPr>
            <w:r>
              <w:rPr>
                <w:rFonts w:hint="eastAsia"/>
                <w:sz w:val="28"/>
                <w:szCs w:val="28"/>
              </w:rPr>
              <w:t>吊装、安装调试及验证</w:t>
            </w:r>
          </w:p>
        </w:tc>
        <w:tc>
          <w:tcPr>
            <w:tcW w:w="5490" w:type="dxa"/>
            <w:vAlign w:val="center"/>
          </w:tcPr>
          <w:p>
            <w:pPr>
              <w:jc w:val="center"/>
              <w:rPr>
                <w:rFonts w:hint="eastAsia"/>
                <w:sz w:val="28"/>
                <w:szCs w:val="28"/>
              </w:rPr>
            </w:pPr>
            <w:r>
              <w:rPr>
                <w:rFonts w:hint="eastAsia"/>
                <w:sz w:val="28"/>
                <w:szCs w:val="28"/>
              </w:rPr>
              <w:t>提供所有设备材质证明、合格报告，整套设备验证资料。</w:t>
            </w:r>
          </w:p>
        </w:tc>
        <w:tc>
          <w:tcPr>
            <w:tcW w:w="975" w:type="dxa"/>
            <w:vAlign w:val="center"/>
          </w:tcPr>
          <w:p>
            <w:pPr>
              <w:jc w:val="center"/>
              <w:rPr>
                <w:rFonts w:hint="eastAsia"/>
                <w:sz w:val="28"/>
                <w:szCs w:val="28"/>
              </w:rPr>
            </w:pPr>
            <w:r>
              <w:rPr>
                <w:rFonts w:hint="eastAsia"/>
                <w:sz w:val="28"/>
                <w:szCs w:val="28"/>
              </w:rPr>
              <w:t>项</w:t>
            </w:r>
          </w:p>
        </w:tc>
        <w:tc>
          <w:tcPr>
            <w:tcW w:w="900" w:type="dxa"/>
            <w:vAlign w:val="center"/>
          </w:tcPr>
          <w:p>
            <w:pPr>
              <w:jc w:val="center"/>
              <w:rPr>
                <w:rFonts w:hint="eastAsia"/>
                <w:sz w:val="28"/>
                <w:szCs w:val="28"/>
              </w:rPr>
            </w:pPr>
            <w:r>
              <w:rPr>
                <w:rFonts w:hint="eastAsia"/>
                <w:sz w:val="28"/>
                <w:szCs w:val="28"/>
              </w:rPr>
              <w:t>1</w:t>
            </w:r>
          </w:p>
        </w:tc>
        <w:tc>
          <w:tcPr>
            <w:tcW w:w="810" w:type="dxa"/>
            <w:vAlign w:val="center"/>
          </w:tcPr>
          <w:p>
            <w:pPr>
              <w:jc w:val="center"/>
              <w:rPr>
                <w:rFonts w:hint="eastAsia"/>
                <w:sz w:val="28"/>
                <w:szCs w:val="28"/>
              </w:rPr>
            </w:pPr>
          </w:p>
        </w:tc>
      </w:tr>
    </w:tbl>
    <w:p>
      <w:pPr>
        <w:numPr>
          <w:ilvl w:val="0"/>
          <w:numId w:val="0"/>
        </w:numPr>
        <w:spacing w:line="360" w:lineRule="exact"/>
        <w:rPr>
          <w:rFonts w:hint="eastAsia" w:ascii="宋体" w:hAnsi="宋体"/>
          <w:b/>
          <w:color w:val="auto"/>
          <w:sz w:val="28"/>
          <w:szCs w:val="28"/>
        </w:rPr>
      </w:pPr>
    </w:p>
    <w:p>
      <w:pPr>
        <w:numPr>
          <w:ilvl w:val="0"/>
          <w:numId w:val="0"/>
        </w:numPr>
        <w:spacing w:line="360" w:lineRule="exact"/>
        <w:rPr>
          <w:rFonts w:hint="eastAsia" w:ascii="宋体" w:hAnsi="宋体"/>
          <w:b/>
          <w:color w:val="auto"/>
          <w:sz w:val="28"/>
          <w:szCs w:val="28"/>
        </w:rPr>
      </w:pPr>
    </w:p>
    <w:p>
      <w:pPr>
        <w:numPr>
          <w:ilvl w:val="0"/>
          <w:numId w:val="0"/>
        </w:numPr>
        <w:spacing w:line="360" w:lineRule="exact"/>
        <w:rPr>
          <w:rFonts w:hint="eastAsia" w:ascii="宋体" w:hAnsi="宋体"/>
          <w:b/>
          <w:color w:val="FF0000"/>
          <w:sz w:val="28"/>
          <w:szCs w:val="28"/>
        </w:rPr>
      </w:pPr>
      <w:r>
        <w:rPr>
          <w:rFonts w:hint="eastAsia" w:ascii="宋体" w:hAnsi="宋体"/>
          <w:b/>
          <w:color w:val="auto"/>
          <w:sz w:val="28"/>
          <w:szCs w:val="28"/>
        </w:rPr>
        <w:t>五、施工要求：</w:t>
      </w:r>
    </w:p>
    <w:p>
      <w:pPr>
        <w:numPr>
          <w:ilvl w:val="0"/>
          <w:numId w:val="0"/>
        </w:numPr>
        <w:rPr>
          <w:rFonts w:hint="eastAsia"/>
          <w:sz w:val="28"/>
          <w:szCs w:val="28"/>
          <w:lang w:val="en-US" w:eastAsia="zh-CN"/>
        </w:rPr>
      </w:pPr>
      <w:r>
        <w:rPr>
          <w:rFonts w:hint="eastAsia" w:ascii="宋体" w:hAnsi="宋体" w:eastAsia="宋体"/>
          <w:b w:val="0"/>
          <w:kern w:val="2"/>
          <w:sz w:val="24"/>
          <w:szCs w:val="24"/>
          <w:lang w:val="en-US" w:eastAsia="zh-CN" w:bidi="ar-SA"/>
        </w:rPr>
        <w:t xml:space="preserve"> </w:t>
      </w:r>
      <w:r>
        <w:rPr>
          <w:rFonts w:hint="eastAsia" w:ascii="宋体" w:hAnsi="宋体" w:eastAsia="宋体"/>
          <w:b w:val="0"/>
          <w:kern w:val="2"/>
          <w:sz w:val="28"/>
          <w:szCs w:val="28"/>
          <w:lang w:val="en-US" w:eastAsia="zh-CN" w:bidi="ar-SA"/>
        </w:rPr>
        <w:t xml:space="preserve"> 1、</w:t>
      </w:r>
      <w:r>
        <w:rPr>
          <w:rFonts w:hint="eastAsia"/>
          <w:sz w:val="28"/>
          <w:szCs w:val="28"/>
          <w:lang w:val="en-US" w:eastAsia="zh-CN"/>
        </w:rPr>
        <w:t>设备安装要求</w:t>
      </w:r>
    </w:p>
    <w:p>
      <w:pPr>
        <w:numPr>
          <w:ilvl w:val="1"/>
          <w:numId w:val="2"/>
        </w:numPr>
        <w:rPr>
          <w:rFonts w:hint="eastAsia"/>
          <w:sz w:val="28"/>
          <w:szCs w:val="28"/>
          <w:lang w:val="en-US" w:eastAsia="zh-CN"/>
        </w:rPr>
      </w:pPr>
      <w:r>
        <w:rPr>
          <w:rFonts w:hint="eastAsia"/>
          <w:sz w:val="28"/>
          <w:szCs w:val="28"/>
          <w:lang w:val="en-US" w:eastAsia="zh-CN"/>
        </w:rPr>
        <w:t>设备基础：设备基础应平整，基础应与墙或者其他设备基础保持一定距离，确保安装、维护、维修的空间。</w:t>
      </w:r>
    </w:p>
    <w:p>
      <w:pPr>
        <w:numPr>
          <w:ilvl w:val="1"/>
          <w:numId w:val="2"/>
        </w:numPr>
        <w:rPr>
          <w:rFonts w:hint="eastAsia"/>
          <w:sz w:val="28"/>
          <w:szCs w:val="28"/>
          <w:lang w:val="en-US" w:eastAsia="zh-CN"/>
        </w:rPr>
      </w:pPr>
      <w:r>
        <w:rPr>
          <w:rFonts w:hint="eastAsia"/>
          <w:sz w:val="28"/>
          <w:szCs w:val="28"/>
          <w:lang w:val="en-US" w:eastAsia="zh-CN"/>
        </w:rPr>
        <w:t>设备搬运： 设备搬运应轻拿轻放，避免碰撞造成的损坏，设备散件摆放应整齐，易于寻找。</w:t>
      </w:r>
    </w:p>
    <w:p>
      <w:pPr>
        <w:numPr>
          <w:ilvl w:val="1"/>
          <w:numId w:val="2"/>
        </w:numPr>
        <w:rPr>
          <w:rFonts w:hint="eastAsia"/>
          <w:sz w:val="28"/>
          <w:szCs w:val="28"/>
          <w:lang w:val="en-US" w:eastAsia="zh-CN"/>
        </w:rPr>
      </w:pPr>
      <w:r>
        <w:rPr>
          <w:rFonts w:hint="eastAsia"/>
          <w:sz w:val="28"/>
          <w:szCs w:val="28"/>
          <w:lang w:val="en-US" w:eastAsia="zh-CN"/>
        </w:rPr>
        <w:t>设备的组装：组装前检查所有散件是否齐全，是否有损坏，旋紧螺栓时扭矩不应超过10N.m，以防型材变形。组装应严格按照设备安装图纸进行。</w:t>
      </w:r>
    </w:p>
    <w:p>
      <w:pPr>
        <w:numPr>
          <w:ilvl w:val="1"/>
          <w:numId w:val="2"/>
        </w:numPr>
        <w:rPr>
          <w:rFonts w:hint="eastAsia"/>
          <w:sz w:val="28"/>
          <w:szCs w:val="28"/>
          <w:lang w:val="en-US" w:eastAsia="zh-CN"/>
        </w:rPr>
      </w:pPr>
      <w:r>
        <w:rPr>
          <w:rFonts w:hint="eastAsia"/>
          <w:sz w:val="28"/>
          <w:szCs w:val="28"/>
          <w:lang w:val="en-US" w:eastAsia="zh-CN"/>
        </w:rPr>
        <w:t>进入空调箱内的必须套干净的一次性鞋套。</w:t>
      </w:r>
    </w:p>
    <w:p>
      <w:pPr>
        <w:numPr>
          <w:ilvl w:val="0"/>
          <w:numId w:val="0"/>
        </w:numPr>
        <w:rPr>
          <w:rFonts w:hint="eastAsia"/>
          <w:sz w:val="28"/>
          <w:szCs w:val="28"/>
          <w:lang w:val="en-US" w:eastAsia="zh-CN"/>
        </w:rPr>
      </w:pPr>
      <w:r>
        <w:rPr>
          <w:rFonts w:hint="eastAsia"/>
          <w:sz w:val="28"/>
          <w:szCs w:val="28"/>
          <w:lang w:val="en-US" w:eastAsia="zh-CN"/>
        </w:rPr>
        <w:t>2、走线</w:t>
      </w:r>
    </w:p>
    <w:p>
      <w:pPr>
        <w:numPr>
          <w:ilvl w:val="1"/>
          <w:numId w:val="2"/>
        </w:numPr>
        <w:ind w:left="0" w:leftChars="0" w:firstLine="0" w:firstLineChars="0"/>
        <w:rPr>
          <w:rFonts w:hint="eastAsia"/>
          <w:sz w:val="28"/>
          <w:szCs w:val="28"/>
          <w:lang w:val="en-US" w:eastAsia="zh-CN"/>
        </w:rPr>
      </w:pPr>
      <w:r>
        <w:rPr>
          <w:rFonts w:hint="eastAsia"/>
          <w:sz w:val="28"/>
          <w:szCs w:val="28"/>
          <w:lang w:val="en-US" w:eastAsia="zh-CN"/>
        </w:rPr>
        <w:t>所有线路应按设计图纸布放，做到整齐、美观、不得有交叉、扭曲、破损。</w:t>
      </w:r>
    </w:p>
    <w:p>
      <w:pPr>
        <w:numPr>
          <w:ilvl w:val="1"/>
          <w:numId w:val="2"/>
        </w:numPr>
        <w:ind w:left="0" w:leftChars="0" w:firstLine="0" w:firstLineChars="0"/>
        <w:rPr>
          <w:rFonts w:hint="eastAsia"/>
          <w:sz w:val="28"/>
          <w:szCs w:val="28"/>
          <w:lang w:val="en-US" w:eastAsia="zh-CN"/>
        </w:rPr>
      </w:pPr>
      <w:r>
        <w:rPr>
          <w:rFonts w:hint="eastAsia"/>
          <w:sz w:val="28"/>
          <w:szCs w:val="28"/>
          <w:lang w:val="en-US" w:eastAsia="zh-CN"/>
        </w:rPr>
        <w:t>工程线裸露部分必须加套PVC管。</w:t>
      </w:r>
    </w:p>
    <w:p>
      <w:pPr>
        <w:numPr>
          <w:ilvl w:val="1"/>
          <w:numId w:val="2"/>
        </w:numPr>
        <w:ind w:left="0" w:leftChars="0" w:firstLine="0" w:firstLineChars="0"/>
        <w:rPr>
          <w:rFonts w:hint="eastAsia"/>
          <w:sz w:val="28"/>
          <w:szCs w:val="28"/>
          <w:lang w:val="en-US" w:eastAsia="zh-CN"/>
        </w:rPr>
      </w:pPr>
      <w:r>
        <w:rPr>
          <w:rFonts w:hint="eastAsia"/>
          <w:sz w:val="28"/>
          <w:szCs w:val="28"/>
          <w:lang w:val="en-US" w:eastAsia="zh-CN"/>
        </w:rPr>
        <w:t>线缆规格严格按照设计图纸选用，不得采用废线、旧线。</w:t>
      </w:r>
    </w:p>
    <w:p>
      <w:pPr>
        <w:spacing w:line="360" w:lineRule="exact"/>
        <w:rPr>
          <w:rFonts w:hint="eastAsia" w:ascii="宋体" w:hAnsi="宋体"/>
          <w:b/>
          <w:sz w:val="28"/>
          <w:szCs w:val="28"/>
        </w:rPr>
      </w:pPr>
    </w:p>
    <w:p>
      <w:pPr>
        <w:spacing w:line="360" w:lineRule="exact"/>
        <w:rPr>
          <w:rFonts w:hint="eastAsia" w:ascii="宋体" w:hAnsi="宋体"/>
          <w:b/>
          <w:sz w:val="28"/>
          <w:szCs w:val="28"/>
        </w:rPr>
      </w:pPr>
      <w:r>
        <w:rPr>
          <w:rFonts w:hint="eastAsia" w:ascii="宋体" w:hAnsi="宋体"/>
          <w:b/>
          <w:sz w:val="28"/>
          <w:szCs w:val="28"/>
        </w:rPr>
        <w:t>六、</w:t>
      </w:r>
      <w:r>
        <w:rPr>
          <w:rFonts w:hint="eastAsia" w:ascii="宋体" w:hAnsi="宋体"/>
          <w:b/>
          <w:color w:val="auto"/>
          <w:sz w:val="28"/>
          <w:szCs w:val="28"/>
        </w:rPr>
        <w:t>安全</w:t>
      </w:r>
      <w:r>
        <w:rPr>
          <w:rFonts w:hint="eastAsia" w:ascii="宋体" w:hAnsi="宋体"/>
          <w:b/>
          <w:sz w:val="28"/>
          <w:szCs w:val="28"/>
        </w:rPr>
        <w:t>要求</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中标单位严格按照《安全防范技术工程规范》来施工。中标人在施工现场的设备、材料和施工人员等一切安全事故，全部由中标单位自行负全责。</w:t>
      </w:r>
    </w:p>
    <w:p>
      <w:pPr>
        <w:spacing w:line="360" w:lineRule="auto"/>
        <w:rPr>
          <w:rFonts w:hint="eastAsia" w:ascii="宋体" w:hAnsi="宋体"/>
          <w:spacing w:val="8"/>
          <w:sz w:val="24"/>
        </w:rPr>
      </w:pPr>
      <w:r>
        <w:rPr>
          <w:rFonts w:hint="eastAsia" w:ascii="宋体" w:hAnsi="宋体"/>
          <w:b/>
          <w:sz w:val="28"/>
          <w:szCs w:val="28"/>
        </w:rPr>
        <w:t>七、验收要求</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由采购单位组织验收小组并按照招标文件要求和技术参数要求来验收。验收小组如发现工程质量等问题，应出具《责令整改通知书》，施工方整改完成后出具《整改报告》。</w:t>
      </w:r>
    </w:p>
    <w:p>
      <w:pPr>
        <w:pStyle w:val="2"/>
        <w:rPr>
          <w:rFonts w:hint="eastAsia" w:ascii="Times New Roman" w:hAnsi="Times New Roman" w:eastAsia="宋体"/>
          <w:b w:val="0"/>
          <w:kern w:val="2"/>
          <w:sz w:val="28"/>
          <w:szCs w:val="28"/>
          <w:lang w:val="en-US" w:eastAsia="zh-CN" w:bidi="ar-SA"/>
        </w:rPr>
      </w:pPr>
      <w:r>
        <w:rPr>
          <w:rFonts w:hint="eastAsia" w:ascii="宋体" w:hAnsi="宋体" w:eastAsia="宋体"/>
          <w:b/>
          <w:kern w:val="2"/>
          <w:sz w:val="28"/>
          <w:szCs w:val="28"/>
          <w:lang w:val="en-US" w:eastAsia="zh-CN" w:bidi="ar-SA"/>
        </w:rPr>
        <w:t>八、</w:t>
      </w:r>
      <w:r>
        <w:rPr>
          <w:rFonts w:hint="eastAsia" w:ascii="Times New Roman" w:hAnsi="Times New Roman" w:eastAsia="宋体"/>
          <w:b w:val="0"/>
          <w:kern w:val="2"/>
          <w:sz w:val="28"/>
          <w:szCs w:val="28"/>
          <w:lang w:val="en-US" w:eastAsia="zh-CN" w:bidi="ar-SA"/>
        </w:rPr>
        <w:t>投标人必须到现场实地踏勘，并进行相关的设计。</w:t>
      </w:r>
    </w:p>
    <w:p>
      <w:pPr>
        <w:pStyle w:val="2"/>
        <w:numPr>
          <w:ilvl w:val="0"/>
          <w:numId w:val="0"/>
        </w:numPr>
        <w:rPr>
          <w:rFonts w:hint="eastAsia" w:ascii="宋体" w:hAnsi="宋体" w:eastAsia="宋体"/>
          <w:b/>
          <w:kern w:val="2"/>
          <w:sz w:val="28"/>
          <w:szCs w:val="28"/>
          <w:lang w:val="en-US" w:eastAsia="zh-CN" w:bidi="ar-SA"/>
        </w:rPr>
      </w:pPr>
      <w:r>
        <w:rPr>
          <w:rFonts w:hint="eastAsia" w:ascii="宋体" w:hAnsi="宋体" w:eastAsia="宋体"/>
          <w:b/>
          <w:kern w:val="2"/>
          <w:sz w:val="28"/>
          <w:szCs w:val="28"/>
          <w:lang w:val="en-US" w:eastAsia="zh-CN" w:bidi="ar-SA"/>
        </w:rPr>
        <w:t>九、售后要求</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1、免费保修年限：1年。</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2、响应时间：接到保修电话后1小时响应，2小时到达现场，24小时服务。</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3、培训：施工完成后负责对业主方操作人员进行操作培训，包括设备的使用、维护等内容。</w:t>
      </w:r>
    </w:p>
    <w:p>
      <w:pPr>
        <w:numPr>
          <w:ilvl w:val="0"/>
          <w:numId w:val="0"/>
        </w:numPr>
        <w:rPr>
          <w:rFonts w:hint="eastAsia"/>
          <w:lang w:val="en-US" w:eastAsia="zh-CN"/>
        </w:rPr>
      </w:pPr>
    </w:p>
    <w:p>
      <w:pPr>
        <w:spacing w:line="360" w:lineRule="auto"/>
        <w:rPr>
          <w:rFonts w:hint="eastAsia" w:ascii="宋体" w:hAnsi="宋体"/>
          <w:b/>
          <w:sz w:val="28"/>
          <w:szCs w:val="28"/>
        </w:rPr>
      </w:pPr>
      <w:r>
        <w:rPr>
          <w:rFonts w:hint="eastAsia" w:ascii="宋体" w:hAnsi="宋体"/>
          <w:b/>
          <w:sz w:val="28"/>
          <w:szCs w:val="28"/>
        </w:rPr>
        <w:t>十、商务要求</w:t>
      </w:r>
      <w:r>
        <w:rPr>
          <w:rFonts w:hint="eastAsia" w:ascii="宋体" w:hAnsi="宋体"/>
          <w:b/>
          <w:sz w:val="28"/>
          <w:szCs w:val="28"/>
        </w:rPr>
        <w:tab/>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1 、报价人所投服务应符合下列要求：</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（1）动物房组合净化空调改造工程项目的符合招标文件和合同要求；</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（2）报价服务必须在行业用途广泛的服务产品。</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2 、本项目招标范围内的伴随服务包括：</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（1）全部货物的运输；</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（2）勘察设计、人员培训、售后服务等；</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（3）伴随服务报价包含在报价总价内。</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3、 报价服务货物必须保质保量，享受上门服务。</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4、 地点：由采购人指定。</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5、 付款方式：按签订合同相关规定。</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6、 交付时间：合同签定后35天内完成。</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7、本项目未尽事宜由双方在签订合同时详细约定。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CD1F8"/>
    <w:multiLevelType w:val="singleLevel"/>
    <w:tmpl w:val="5C5CD1F8"/>
    <w:lvl w:ilvl="0" w:tentative="0">
      <w:start w:val="1"/>
      <w:numFmt w:val="decimal"/>
      <w:suff w:val="nothing"/>
      <w:lvlText w:val="%1、"/>
      <w:lvlJc w:val="left"/>
    </w:lvl>
  </w:abstractNum>
  <w:abstractNum w:abstractNumId="1">
    <w:nsid w:val="756F1B41"/>
    <w:multiLevelType w:val="multilevel"/>
    <w:tmpl w:val="756F1B41"/>
    <w:lvl w:ilvl="0" w:tentative="0">
      <w:start w:val="1"/>
      <w:numFmt w:val="decimal"/>
      <w:suff w:val="nothing"/>
      <w:lvlText w:val="%1、"/>
      <w:lvlJc w:val="left"/>
      <w:pPr>
        <w:ind w:left="0" w:firstLine="0"/>
      </w:pPr>
      <w:rPr>
        <w:rFonts w:hint="default"/>
      </w:rPr>
    </w:lvl>
    <w:lvl w:ilvl="1" w:tentative="0">
      <w:start w:val="1"/>
      <w:numFmt w:val="decimal"/>
      <w:suff w:val="nothing"/>
      <w:lvlText w:val="%1.%2、"/>
      <w:lvlJc w:val="left"/>
      <w:pPr>
        <w:ind w:left="0" w:firstLine="0"/>
      </w:pPr>
      <w:rPr>
        <w:rFonts w:hint="default"/>
      </w:rPr>
    </w:lvl>
    <w:lvl w:ilvl="2" w:tentative="0">
      <w:start w:val="1"/>
      <w:numFmt w:val="decimal"/>
      <w:suff w:val="nothing"/>
      <w:lvlText w:val="%1.%2.%3、"/>
      <w:lvlJc w:val="left"/>
      <w:pPr>
        <w:ind w:left="0" w:firstLine="0"/>
      </w:pPr>
      <w:rPr>
        <w:rFonts w:hint="default"/>
      </w:rPr>
    </w:lvl>
    <w:lvl w:ilvl="3" w:tentative="0">
      <w:start w:val="1"/>
      <w:numFmt w:val="decimal"/>
      <w:suff w:val="nothing"/>
      <w:lvlText w:val="%1.%2.%3.%4、"/>
      <w:lvlJc w:val="left"/>
      <w:pPr>
        <w:ind w:left="0" w:firstLine="0"/>
      </w:pPr>
      <w:rPr>
        <w:rFonts w:hint="default"/>
      </w:rPr>
    </w:lvl>
    <w:lvl w:ilvl="4" w:tentative="0">
      <w:start w:val="1"/>
      <w:numFmt w:val="decimal"/>
      <w:suff w:val="nothing"/>
      <w:lvlText w:val="%1.%2.%3.%4.%5、"/>
      <w:lvlJc w:val="left"/>
      <w:pPr>
        <w:ind w:left="0" w:firstLine="0"/>
      </w:pPr>
      <w:rPr>
        <w:rFonts w:hint="default"/>
      </w:rPr>
    </w:lvl>
    <w:lvl w:ilvl="5" w:tentative="0">
      <w:start w:val="1"/>
      <w:numFmt w:val="decimal"/>
      <w:suff w:val="nothing"/>
      <w:lvlText w:val="%1.%2.%3.%4.%5.%6、"/>
      <w:lvlJc w:val="left"/>
      <w:pPr>
        <w:ind w:left="0" w:firstLine="0"/>
      </w:pPr>
      <w:rPr>
        <w:rFonts w:hint="default"/>
      </w:rPr>
    </w:lvl>
    <w:lvl w:ilvl="6" w:tentative="0">
      <w:start w:val="1"/>
      <w:numFmt w:val="decimal"/>
      <w:suff w:val="nothing"/>
      <w:lvlText w:val="%1.%2.%3.%4.%5.%6.%7、"/>
      <w:lvlJc w:val="left"/>
      <w:pPr>
        <w:ind w:left="0" w:firstLine="0"/>
      </w:pPr>
      <w:rPr>
        <w:rFonts w:hint="default"/>
      </w:rPr>
    </w:lvl>
    <w:lvl w:ilvl="7" w:tentative="0">
      <w:start w:val="1"/>
      <w:numFmt w:val="decimal"/>
      <w:suff w:val="nothing"/>
      <w:lvlText w:val="%1.%2.%3.%4.%5.%6.%7.%8、"/>
      <w:lvlJc w:val="left"/>
      <w:pPr>
        <w:ind w:left="0" w:firstLine="0"/>
      </w:pPr>
      <w:rPr>
        <w:rFonts w:hint="default"/>
      </w:rPr>
    </w:lvl>
    <w:lvl w:ilvl="8" w:tentative="0">
      <w:start w:val="1"/>
      <w:numFmt w:val="decimal"/>
      <w:suff w:val="nothing"/>
      <w:lvlText w:val="%1.%2.%3.%4.%5.%6.%7.%8.%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277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3"/>
    <w:qFormat/>
    <w:uiPriority w:val="9"/>
    <w:pPr>
      <w:keepNext/>
      <w:keepLines/>
      <w:spacing w:before="260" w:after="260" w:line="500" w:lineRule="exact"/>
      <w:outlineLvl w:val="1"/>
    </w:pPr>
    <w:rPr>
      <w:rFonts w:ascii="Arial" w:hAnsi="Arial" w:eastAsia="黑体"/>
      <w:b/>
      <w:sz w:val="28"/>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customStyle="1" w:styleId="6">
    <w:name w:val="Standard"/>
    <w:qFormat/>
    <w:uiPriority w:val="0"/>
    <w:pPr>
      <w:widowControl w:val="0"/>
      <w:overflowPunct w:val="0"/>
      <w:autoSpaceDE w:val="0"/>
      <w:autoSpaceDN w:val="0"/>
      <w:adjustRightInd w:val="0"/>
      <w:textAlignment w:val="baseline"/>
    </w:pPr>
    <w:rPr>
      <w:rFonts w:ascii="Calibri" w:hAnsi="Calibri" w:eastAsia="宋体" w:cs="Times New Roman"/>
      <w:sz w:val="21"/>
      <w:szCs w:val="22"/>
      <w:lang w:val="de-DE"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2018-06-14T04:56:25Z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