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center"/>
        <w:rPr>
          <w:rFonts w:ascii="宋体" w:hAnsi="宋体" w:cs="宋体"/>
          <w:b/>
          <w:bCs/>
          <w:sz w:val="52"/>
          <w:szCs w:val="52"/>
        </w:rPr>
      </w:pPr>
    </w:p>
    <w:p>
      <w:pPr>
        <w:spacing w:line="360" w:lineRule="auto"/>
        <w:ind w:left="-141" w:leftChars="-67"/>
        <w:jc w:val="center"/>
        <w:rPr>
          <w:rFonts w:ascii="宋体" w:hAnsi="宋体" w:cs="宋体"/>
          <w:b/>
          <w:bCs/>
          <w:sz w:val="52"/>
          <w:szCs w:val="52"/>
        </w:rPr>
      </w:pPr>
      <w:r>
        <w:rPr>
          <w:rFonts w:hint="eastAsia" w:ascii="宋体" w:hAnsi="宋体" w:cs="宋体"/>
          <w:b/>
          <w:bCs/>
          <w:sz w:val="52"/>
          <w:szCs w:val="52"/>
        </w:rPr>
        <w:t>深海科考实验研究与岸基保障平台</w:t>
      </w:r>
    </w:p>
    <w:p>
      <w:pPr>
        <w:spacing w:line="360" w:lineRule="auto"/>
        <w:ind w:left="-141" w:leftChars="-67"/>
        <w:jc w:val="center"/>
        <w:rPr>
          <w:rFonts w:ascii="宋体" w:hAnsi="宋体" w:cs="宋体"/>
          <w:b/>
          <w:bCs/>
          <w:sz w:val="52"/>
          <w:szCs w:val="52"/>
        </w:rPr>
      </w:pPr>
      <w:r>
        <w:rPr>
          <w:rFonts w:hint="eastAsia" w:ascii="宋体" w:hAnsi="宋体" w:cs="宋体"/>
          <w:b/>
          <w:bCs/>
          <w:sz w:val="52"/>
          <w:szCs w:val="52"/>
        </w:rPr>
        <w:t>--三亚深海科考码头项目</w:t>
      </w:r>
    </w:p>
    <w:p>
      <w:pPr>
        <w:spacing w:line="360" w:lineRule="auto"/>
        <w:ind w:left="-141" w:leftChars="-67"/>
        <w:jc w:val="center"/>
        <w:rPr>
          <w:rFonts w:ascii="宋体" w:hAnsi="宋体" w:cs="宋体"/>
          <w:b/>
          <w:bCs/>
          <w:sz w:val="52"/>
          <w:szCs w:val="52"/>
        </w:rPr>
      </w:pPr>
      <w:r>
        <w:rPr>
          <w:rFonts w:hint="eastAsia" w:ascii="宋体" w:hAnsi="宋体" w:cs="宋体"/>
          <w:b/>
          <w:bCs/>
          <w:sz w:val="52"/>
          <w:szCs w:val="52"/>
        </w:rPr>
        <w:t>环境影响评价</w:t>
      </w:r>
    </w:p>
    <w:p>
      <w:pPr>
        <w:tabs>
          <w:tab w:val="left" w:pos="7320"/>
        </w:tabs>
        <w:jc w:val="left"/>
        <w:rPr>
          <w:rFonts w:cs="Times New Roman"/>
          <w:b/>
          <w:bCs/>
          <w:sz w:val="84"/>
          <w:szCs w:val="84"/>
        </w:rPr>
      </w:pPr>
      <w:r>
        <w:rPr>
          <w:rFonts w:cs="Times New Roman"/>
          <w:b/>
          <w:bCs/>
          <w:sz w:val="84"/>
          <w:szCs w:val="84"/>
        </w:rPr>
        <w:tab/>
      </w:r>
    </w:p>
    <w:p>
      <w:pPr>
        <w:rPr>
          <w:rFonts w:cs="Times New Roman"/>
          <w:b/>
          <w:bCs/>
          <w:sz w:val="84"/>
          <w:szCs w:val="84"/>
        </w:rPr>
      </w:pPr>
    </w:p>
    <w:p>
      <w:pPr>
        <w:ind w:right="-821" w:rightChars="-391"/>
        <w:jc w:val="center"/>
        <w:rPr>
          <w:rFonts w:ascii="宋体" w:hAnsi="宋体" w:cs="宋体"/>
          <w:b/>
          <w:sz w:val="36"/>
          <w:szCs w:val="36"/>
        </w:rPr>
      </w:pPr>
    </w:p>
    <w:p>
      <w:pPr>
        <w:jc w:val="center"/>
        <w:rPr>
          <w:rFonts w:ascii="宋体" w:hAnsi="宋体" w:cs="宋体"/>
          <w:b/>
          <w:sz w:val="100"/>
        </w:rPr>
      </w:pPr>
      <w:r>
        <w:rPr>
          <w:rFonts w:hint="eastAsia" w:ascii="宋体" w:hAnsi="宋体" w:cs="宋体"/>
          <w:b/>
          <w:sz w:val="100"/>
        </w:rPr>
        <w:t>招标文件</w:t>
      </w:r>
    </w:p>
    <w:p>
      <w:pPr>
        <w:spacing w:line="800" w:lineRule="exact"/>
        <w:ind w:firstLine="1620" w:firstLineChars="450"/>
        <w:rPr>
          <w:rFonts w:ascii="宋体" w:hAnsi="宋体" w:cs="宋体"/>
          <w:sz w:val="36"/>
        </w:rPr>
      </w:pPr>
      <w:bookmarkStart w:id="0" w:name="OLE_LINK17"/>
      <w:r>
        <w:rPr>
          <w:rFonts w:hint="eastAsia" w:ascii="宋体" w:hAnsi="宋体" w:cs="宋体"/>
          <w:sz w:val="36"/>
        </w:rPr>
        <w:t>项目编号</w:t>
      </w:r>
      <w:bookmarkEnd w:id="0"/>
      <w:r>
        <w:rPr>
          <w:rFonts w:hint="eastAsia" w:ascii="宋体" w:hAnsi="宋体" w:cs="宋体"/>
          <w:sz w:val="36"/>
        </w:rPr>
        <w:t>：HNXJSY201807</w:t>
      </w:r>
    </w:p>
    <w:p>
      <w:pPr>
        <w:spacing w:line="360" w:lineRule="auto"/>
        <w:rPr>
          <w:rFonts w:ascii="宋体" w:cs="Times New Roman"/>
          <w:b/>
          <w:bCs/>
          <w:spacing w:val="100"/>
          <w:sz w:val="30"/>
          <w:szCs w:val="30"/>
        </w:rPr>
      </w:pPr>
    </w:p>
    <w:p>
      <w:pPr>
        <w:spacing w:line="360" w:lineRule="auto"/>
        <w:rPr>
          <w:rFonts w:ascii="宋体" w:cs="Times New Roman"/>
          <w:b/>
          <w:bCs/>
          <w:spacing w:val="100"/>
          <w:sz w:val="30"/>
          <w:szCs w:val="30"/>
        </w:rPr>
      </w:pPr>
    </w:p>
    <w:p>
      <w:pPr>
        <w:rPr>
          <w:rFonts w:ascii="宋体" w:cs="Times New Roman"/>
          <w:b/>
          <w:bCs/>
          <w:sz w:val="36"/>
          <w:szCs w:val="36"/>
        </w:rPr>
      </w:pPr>
    </w:p>
    <w:p>
      <w:pPr>
        <w:adjustRightInd w:val="0"/>
        <w:ind w:right="-334" w:rightChars="-159"/>
        <w:rPr>
          <w:rFonts w:ascii="宋体" w:hAnsi="宋体" w:cs="宋体"/>
          <w:b/>
          <w:bCs/>
          <w:sz w:val="36"/>
          <w:szCs w:val="36"/>
        </w:rPr>
      </w:pPr>
      <w:r>
        <w:rPr>
          <w:rFonts w:hint="eastAsia" w:ascii="宋体" w:hAnsi="宋体" w:cs="宋体"/>
          <w:b/>
          <w:bCs/>
          <w:sz w:val="36"/>
          <w:szCs w:val="36"/>
        </w:rPr>
        <w:t>采购单位：</w:t>
      </w:r>
      <w:r>
        <w:rPr>
          <w:rFonts w:hint="eastAsia" w:ascii="宋体" w:hAnsi="宋体" w:cs="宋体"/>
          <w:b/>
          <w:bCs/>
          <w:sz w:val="36"/>
          <w:szCs w:val="36"/>
          <w:lang w:val="en-GB"/>
        </w:rPr>
        <w:t>中国科学院深海科学与工程研究所</w:t>
      </w:r>
      <w:r>
        <w:rPr>
          <w:rFonts w:hint="eastAsia" w:ascii="宋体" w:hAnsi="宋体" w:cs="宋体"/>
          <w:b/>
          <w:bCs/>
          <w:sz w:val="36"/>
          <w:szCs w:val="36"/>
        </w:rPr>
        <w:t>（盖章）</w:t>
      </w:r>
    </w:p>
    <w:p>
      <w:pPr>
        <w:adjustRightInd w:val="0"/>
        <w:ind w:right="-334" w:rightChars="-159"/>
        <w:rPr>
          <w:rFonts w:ascii="宋体" w:hAnsi="宋体" w:cs="宋体"/>
          <w:b/>
          <w:bCs/>
          <w:sz w:val="36"/>
          <w:szCs w:val="36"/>
        </w:rPr>
      </w:pPr>
    </w:p>
    <w:p>
      <w:pPr>
        <w:adjustRightInd w:val="0"/>
        <w:ind w:right="-334" w:rightChars="-159"/>
        <w:rPr>
          <w:rFonts w:ascii="宋体" w:cs="Times New Roman"/>
          <w:b/>
          <w:bCs/>
          <w:sz w:val="30"/>
          <w:szCs w:val="30"/>
        </w:rPr>
      </w:pPr>
    </w:p>
    <w:p>
      <w:pPr>
        <w:adjustRightInd w:val="0"/>
        <w:rPr>
          <w:rFonts w:ascii="宋体" w:cs="Times New Roman"/>
          <w:b/>
          <w:bCs/>
          <w:sz w:val="36"/>
          <w:szCs w:val="36"/>
        </w:rPr>
      </w:pPr>
      <w:r>
        <w:rPr>
          <w:rFonts w:hint="eastAsia" w:ascii="宋体" w:cs="宋体"/>
          <w:b/>
          <w:bCs/>
          <w:sz w:val="36"/>
          <w:szCs w:val="36"/>
        </w:rPr>
        <w:t>采购</w:t>
      </w:r>
      <w:r>
        <w:rPr>
          <w:rFonts w:hint="eastAsia" w:ascii="宋体" w:hAnsi="宋体" w:cs="宋体"/>
          <w:b/>
          <w:bCs/>
          <w:sz w:val="36"/>
          <w:szCs w:val="36"/>
        </w:rPr>
        <w:t>代理：河南兴建建设管理有限公司（盖章）</w:t>
      </w:r>
    </w:p>
    <w:p>
      <w:pPr>
        <w:adjustRightInd w:val="0"/>
        <w:rPr>
          <w:rFonts w:ascii="宋体" w:cs="Times New Roman"/>
          <w:b/>
          <w:bCs/>
          <w:sz w:val="30"/>
          <w:szCs w:val="30"/>
        </w:rPr>
      </w:pPr>
    </w:p>
    <w:p>
      <w:pPr>
        <w:rPr>
          <w:rFonts w:cs="Times New Roman"/>
          <w:b/>
          <w:bCs/>
          <w:sz w:val="36"/>
          <w:szCs w:val="36"/>
        </w:rPr>
      </w:pPr>
    </w:p>
    <w:p>
      <w:pPr>
        <w:spacing w:line="360" w:lineRule="auto"/>
        <w:jc w:val="center"/>
        <w:rPr>
          <w:rFonts w:ascii="宋体" w:hAnsi="Courier New" w:cs="Times New Roman"/>
          <w:b/>
          <w:bCs/>
          <w:w w:val="95"/>
          <w:sz w:val="36"/>
          <w:szCs w:val="36"/>
        </w:rPr>
        <w:sectPr>
          <w:headerReference r:id="rId3" w:type="default"/>
          <w:footerReference r:id="rId4" w:type="default"/>
          <w:pgSz w:w="11906" w:h="16838"/>
          <w:pgMar w:top="1440" w:right="1797" w:bottom="1440" w:left="1797" w:header="851" w:footer="992" w:gutter="0"/>
          <w:pgNumType w:start="0"/>
          <w:cols w:space="720" w:num="1"/>
          <w:docGrid w:linePitch="312" w:charSpace="0"/>
        </w:sectPr>
      </w:pPr>
      <w:r>
        <w:rPr>
          <w:rFonts w:hint="eastAsia" w:ascii="宋体" w:hAnsi="Courier New" w:cs="宋体"/>
          <w:b/>
          <w:bCs/>
          <w:w w:val="95"/>
          <w:sz w:val="36"/>
          <w:szCs w:val="36"/>
        </w:rPr>
        <w:t>二〇一八年五月</w:t>
      </w:r>
    </w:p>
    <w:p>
      <w:pPr>
        <w:spacing w:line="360" w:lineRule="auto"/>
        <w:jc w:val="center"/>
        <w:rPr>
          <w:rFonts w:ascii="宋体" w:cs="Times New Roman"/>
        </w:rPr>
      </w:pPr>
      <w:r>
        <w:rPr>
          <w:rFonts w:hint="eastAsia" w:ascii="仿宋_GB2312" w:hAnsi="华文中宋" w:eastAsia="仿宋_GB2312" w:cs="仿宋_GB2312"/>
          <w:b/>
          <w:bCs/>
          <w:sz w:val="48"/>
          <w:szCs w:val="48"/>
        </w:rPr>
        <w:t>目录</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"_Toc500150901" </w:instrText>
      </w:r>
      <w:r>
        <w:fldChar w:fldCharType="separate"/>
      </w:r>
      <w:r>
        <w:rPr>
          <w:rStyle w:val="53"/>
          <w:rFonts w:hint="eastAsia" w:hAnsi="宋体" w:cs="宋体"/>
          <w:color w:val="auto"/>
        </w:rPr>
        <w:t>第一部分</w:t>
      </w:r>
      <w:r>
        <w:rPr>
          <w:rStyle w:val="53"/>
          <w:rFonts w:hint="eastAsia" w:hAnsi="宋体"/>
          <w:color w:val="auto"/>
        </w:rPr>
        <w:t>投标邀请</w:t>
      </w:r>
      <w:r>
        <w:tab/>
      </w:r>
      <w:r>
        <w:fldChar w:fldCharType="begin"/>
      </w:r>
      <w:r>
        <w:instrText xml:space="preserve"> PAGEREF _Toc500150901 \h </w:instrText>
      </w:r>
      <w:r>
        <w:fldChar w:fldCharType="separate"/>
      </w:r>
      <w:r>
        <w:t>2</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"_Toc500150904" </w:instrText>
      </w:r>
      <w:r>
        <w:fldChar w:fldCharType="separate"/>
      </w:r>
      <w:r>
        <w:rPr>
          <w:rStyle w:val="53"/>
          <w:rFonts w:hint="eastAsia" w:ascii="黑体" w:hAnsi="仿宋_GB2312" w:cs="宋体"/>
          <w:color w:val="auto"/>
        </w:rPr>
        <w:t>第二部分投标人须知</w:t>
      </w:r>
      <w:r>
        <w:tab/>
      </w:r>
      <w:r>
        <w:fldChar w:fldCharType="begin"/>
      </w:r>
      <w:r>
        <w:instrText xml:space="preserve"> PAGEREF _Toc500150904 \h </w:instrText>
      </w:r>
      <w:r>
        <w:fldChar w:fldCharType="separate"/>
      </w:r>
      <w:r>
        <w:t>4</w:t>
      </w:r>
      <w:r>
        <w:fldChar w:fldCharType="end"/>
      </w:r>
      <w:r>
        <w:fldChar w:fldCharType="end"/>
      </w:r>
    </w:p>
    <w:p>
      <w:pPr>
        <w:pStyle w:val="36"/>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"_Toc500150905" </w:instrText>
      </w:r>
      <w:r>
        <w:fldChar w:fldCharType="separate"/>
      </w:r>
      <w:r>
        <w:rPr>
          <w:rStyle w:val="53"/>
          <w:rFonts w:hint="eastAsia"/>
          <w:b/>
          <w:color w:val="auto"/>
        </w:rPr>
        <w:t>投标人须知前附表</w:t>
      </w:r>
      <w:r>
        <w:tab/>
      </w:r>
      <w:r>
        <w:fldChar w:fldCharType="begin"/>
      </w:r>
      <w:r>
        <w:instrText xml:space="preserve"> PAGEREF _Toc500150905 \h </w:instrText>
      </w:r>
      <w:r>
        <w:fldChar w:fldCharType="separate"/>
      </w:r>
      <w:r>
        <w:t>4</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"_Toc500150906" </w:instrText>
      </w:r>
      <w:r>
        <w:fldChar w:fldCharType="separate"/>
      </w:r>
      <w:r>
        <w:rPr>
          <w:rStyle w:val="53"/>
          <w:b/>
          <w:color w:val="auto"/>
        </w:rPr>
        <w:t>A.</w:t>
      </w:r>
      <w:r>
        <w:rPr>
          <w:rFonts w:asciiTheme="minorHAnsi" w:hAnsiTheme="minorHAnsi" w:eastAsiaTheme="minorEastAsia" w:cstheme="minorBidi"/>
          <w:smallCaps w:val="0"/>
          <w:kern w:val="2"/>
          <w:sz w:val="21"/>
          <w:szCs w:val="22"/>
        </w:rPr>
        <w:tab/>
      </w:r>
      <w:r>
        <w:rPr>
          <w:rStyle w:val="53"/>
          <w:rFonts w:hint="eastAsia"/>
          <w:b/>
          <w:color w:val="auto"/>
        </w:rPr>
        <w:t>说明和释义</w:t>
      </w:r>
      <w:r>
        <w:tab/>
      </w:r>
      <w:r>
        <w:fldChar w:fldCharType="begin"/>
      </w:r>
      <w:r>
        <w:instrText xml:space="preserve"> PAGEREF _Toc500150906 \h </w:instrText>
      </w:r>
      <w:r>
        <w:fldChar w:fldCharType="separate"/>
      </w:r>
      <w:r>
        <w:t>6</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"_Toc500150907" </w:instrText>
      </w:r>
      <w:r>
        <w:fldChar w:fldCharType="separate"/>
      </w:r>
      <w:r>
        <w:rPr>
          <w:rStyle w:val="53"/>
          <w:b/>
          <w:color w:val="auto"/>
        </w:rPr>
        <w:t>B.</w:t>
      </w:r>
      <w:r>
        <w:rPr>
          <w:rFonts w:asciiTheme="minorHAnsi" w:hAnsiTheme="minorHAnsi" w:eastAsiaTheme="minorEastAsia" w:cstheme="minorBidi"/>
          <w:smallCaps w:val="0"/>
          <w:kern w:val="2"/>
          <w:sz w:val="21"/>
          <w:szCs w:val="22"/>
        </w:rPr>
        <w:tab/>
      </w:r>
      <w:r>
        <w:rPr>
          <w:rStyle w:val="53"/>
          <w:rFonts w:hint="eastAsia"/>
          <w:b/>
          <w:color w:val="auto"/>
        </w:rPr>
        <w:t>招标文件</w:t>
      </w:r>
      <w:r>
        <w:tab/>
      </w:r>
      <w:r>
        <w:fldChar w:fldCharType="begin"/>
      </w:r>
      <w:r>
        <w:instrText xml:space="preserve"> PAGEREF _Toc500150907 \h </w:instrText>
      </w:r>
      <w:r>
        <w:fldChar w:fldCharType="separate"/>
      </w:r>
      <w:r>
        <w:t>7</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"_Toc500150908" </w:instrText>
      </w:r>
      <w:r>
        <w:fldChar w:fldCharType="separate"/>
      </w:r>
      <w:r>
        <w:rPr>
          <w:rStyle w:val="53"/>
          <w:b/>
          <w:color w:val="auto"/>
        </w:rPr>
        <w:t>C.</w:t>
      </w:r>
      <w:r>
        <w:rPr>
          <w:rFonts w:asciiTheme="minorHAnsi" w:hAnsiTheme="minorHAnsi" w:eastAsiaTheme="minorEastAsia" w:cstheme="minorBidi"/>
          <w:smallCaps w:val="0"/>
          <w:kern w:val="2"/>
          <w:sz w:val="21"/>
          <w:szCs w:val="22"/>
        </w:rPr>
        <w:tab/>
      </w:r>
      <w:r>
        <w:rPr>
          <w:rStyle w:val="53"/>
          <w:rFonts w:hint="eastAsia"/>
          <w:b/>
          <w:color w:val="auto"/>
        </w:rPr>
        <w:t>投标文件</w:t>
      </w:r>
      <w:r>
        <w:tab/>
      </w:r>
      <w:r>
        <w:fldChar w:fldCharType="begin"/>
      </w:r>
      <w:r>
        <w:instrText xml:space="preserve"> PAGEREF _Toc500150908 \h </w:instrText>
      </w:r>
      <w:r>
        <w:fldChar w:fldCharType="separate"/>
      </w:r>
      <w:r>
        <w:t>9</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"_Toc500150909" </w:instrText>
      </w:r>
      <w:r>
        <w:fldChar w:fldCharType="separate"/>
      </w:r>
      <w:r>
        <w:rPr>
          <w:rStyle w:val="53"/>
          <w:b/>
          <w:color w:val="auto"/>
        </w:rPr>
        <w:t>D.</w:t>
      </w:r>
      <w:r>
        <w:rPr>
          <w:rFonts w:asciiTheme="minorHAnsi" w:hAnsiTheme="minorHAnsi" w:eastAsiaTheme="minorEastAsia" w:cstheme="minorBidi"/>
          <w:smallCaps w:val="0"/>
          <w:kern w:val="2"/>
          <w:sz w:val="21"/>
          <w:szCs w:val="22"/>
        </w:rPr>
        <w:tab/>
      </w:r>
      <w:r>
        <w:rPr>
          <w:rStyle w:val="53"/>
          <w:rFonts w:hint="eastAsia"/>
          <w:b/>
          <w:color w:val="auto"/>
        </w:rPr>
        <w:t>投标文件的递交</w:t>
      </w:r>
      <w:r>
        <w:tab/>
      </w:r>
      <w:r>
        <w:fldChar w:fldCharType="begin"/>
      </w:r>
      <w:r>
        <w:instrText xml:space="preserve"> PAGEREF _Toc500150909 \h </w:instrText>
      </w:r>
      <w:r>
        <w:fldChar w:fldCharType="separate"/>
      </w:r>
      <w:r>
        <w:t>11</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"_Toc500150910" </w:instrText>
      </w:r>
      <w:r>
        <w:fldChar w:fldCharType="separate"/>
      </w:r>
      <w:r>
        <w:rPr>
          <w:rStyle w:val="53"/>
          <w:b/>
          <w:color w:val="auto"/>
        </w:rPr>
        <w:t>E.</w:t>
      </w:r>
      <w:r>
        <w:rPr>
          <w:rFonts w:asciiTheme="minorHAnsi" w:hAnsiTheme="minorHAnsi" w:eastAsiaTheme="minorEastAsia" w:cstheme="minorBidi"/>
          <w:smallCaps w:val="0"/>
          <w:kern w:val="2"/>
          <w:sz w:val="21"/>
          <w:szCs w:val="22"/>
        </w:rPr>
        <w:tab/>
      </w:r>
      <w:r>
        <w:rPr>
          <w:rStyle w:val="53"/>
          <w:rFonts w:hint="eastAsia"/>
          <w:b/>
          <w:color w:val="auto"/>
        </w:rPr>
        <w:t>开标、评标和定标</w:t>
      </w:r>
      <w:r>
        <w:tab/>
      </w:r>
      <w:r>
        <w:fldChar w:fldCharType="begin"/>
      </w:r>
      <w:r>
        <w:instrText xml:space="preserve"> PAGEREF _Toc500150910 \h </w:instrText>
      </w:r>
      <w:r>
        <w:fldChar w:fldCharType="separate"/>
      </w:r>
      <w:r>
        <w:t>12</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"_Toc500150911" </w:instrText>
      </w:r>
      <w:r>
        <w:fldChar w:fldCharType="separate"/>
      </w:r>
      <w:r>
        <w:rPr>
          <w:rStyle w:val="53"/>
          <w:b/>
          <w:color w:val="auto"/>
        </w:rPr>
        <w:t>F.</w:t>
      </w:r>
      <w:r>
        <w:rPr>
          <w:rFonts w:asciiTheme="minorHAnsi" w:hAnsiTheme="minorHAnsi" w:eastAsiaTheme="minorEastAsia" w:cstheme="minorBidi"/>
          <w:smallCaps w:val="0"/>
          <w:kern w:val="2"/>
          <w:sz w:val="21"/>
          <w:szCs w:val="22"/>
        </w:rPr>
        <w:tab/>
      </w:r>
      <w:r>
        <w:rPr>
          <w:rStyle w:val="53"/>
          <w:rFonts w:hint="eastAsia"/>
          <w:b/>
          <w:color w:val="auto"/>
        </w:rPr>
        <w:t>授予合同</w:t>
      </w:r>
      <w:r>
        <w:tab/>
      </w:r>
      <w:r>
        <w:fldChar w:fldCharType="begin"/>
      </w:r>
      <w:r>
        <w:instrText xml:space="preserve"> PAGEREF _Toc500150911 \h </w:instrText>
      </w:r>
      <w:r>
        <w:fldChar w:fldCharType="separate"/>
      </w:r>
      <w:r>
        <w:t>15</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"_Toc500150912" </w:instrText>
      </w:r>
      <w:r>
        <w:fldChar w:fldCharType="separate"/>
      </w:r>
      <w:r>
        <w:rPr>
          <w:rStyle w:val="53"/>
          <w:b/>
          <w:color w:val="auto"/>
        </w:rPr>
        <w:t>G.</w:t>
      </w:r>
      <w:r>
        <w:rPr>
          <w:rFonts w:asciiTheme="minorHAnsi" w:hAnsiTheme="minorHAnsi" w:eastAsiaTheme="minorEastAsia" w:cstheme="minorBidi"/>
          <w:smallCaps w:val="0"/>
          <w:kern w:val="2"/>
          <w:sz w:val="21"/>
          <w:szCs w:val="22"/>
        </w:rPr>
        <w:tab/>
      </w:r>
      <w:r>
        <w:rPr>
          <w:rStyle w:val="53"/>
          <w:rFonts w:hint="eastAsia"/>
          <w:b/>
          <w:color w:val="auto"/>
        </w:rPr>
        <w:t>纪律和监督</w:t>
      </w:r>
      <w:r>
        <w:tab/>
      </w:r>
      <w:r>
        <w:fldChar w:fldCharType="begin"/>
      </w:r>
      <w:r>
        <w:instrText xml:space="preserve"> PAGEREF _Toc500150912 \h </w:instrText>
      </w:r>
      <w:r>
        <w:fldChar w:fldCharType="separate"/>
      </w:r>
      <w:r>
        <w:t>17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"_Toc500150913" </w:instrText>
      </w:r>
      <w:r>
        <w:fldChar w:fldCharType="separate"/>
      </w:r>
      <w:r>
        <w:rPr>
          <w:rStyle w:val="53"/>
          <w:rFonts w:hint="eastAsia" w:ascii="宋体" w:hAnsi="宋体" w:cs="宋体"/>
          <w:color w:val="auto"/>
        </w:rPr>
        <w:t>第三部分用户需求书</w:t>
      </w:r>
      <w:r>
        <w:tab/>
      </w:r>
      <w:r>
        <w:fldChar w:fldCharType="begin"/>
      </w:r>
      <w:r>
        <w:instrText xml:space="preserve"> PAGEREF _Toc500150913 \h </w:instrText>
      </w:r>
      <w:r>
        <w:fldChar w:fldCharType="separate"/>
      </w:r>
      <w:r>
        <w:t>20</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"_Toc500150917" </w:instrText>
      </w:r>
      <w:r>
        <w:fldChar w:fldCharType="separate"/>
      </w:r>
      <w:r>
        <w:rPr>
          <w:rStyle w:val="53"/>
          <w:rFonts w:hint="eastAsia" w:ascii="宋体" w:hAnsi="宋体" w:cs="宋体"/>
          <w:color w:val="auto"/>
        </w:rPr>
        <w:t>第四部分合同条款</w:t>
      </w:r>
      <w:r>
        <w:tab/>
      </w:r>
      <w:r>
        <w:rPr>
          <w:rFonts w:hint="eastAsia"/>
        </w:rPr>
        <w:t>2</w:t>
      </w:r>
      <w:r>
        <w:rPr>
          <w:rFonts w:hint="eastAsia"/>
        </w:rPr>
        <w:fldChar w:fldCharType="end"/>
      </w:r>
      <w:r>
        <w:rPr>
          <w:rFonts w:hint="eastAsia"/>
        </w:rPr>
        <w:t>3</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"_Toc500150926" </w:instrText>
      </w:r>
      <w:r>
        <w:fldChar w:fldCharType="separate"/>
      </w:r>
      <w:r>
        <w:rPr>
          <w:rStyle w:val="53"/>
          <w:rFonts w:hint="eastAsia" w:ascii="宋体" w:hAnsi="宋体" w:cs="宋体"/>
          <w:color w:val="auto"/>
        </w:rPr>
        <w:t>第五部分投标文件格式</w:t>
      </w:r>
      <w:r>
        <w:tab/>
      </w:r>
      <w:r>
        <w:rPr>
          <w:rFonts w:hint="eastAsia"/>
        </w:rPr>
        <w:t>2</w:t>
      </w:r>
      <w:r>
        <w:rPr>
          <w:rFonts w:hint="eastAsia"/>
        </w:rPr>
        <w:fldChar w:fldCharType="end"/>
      </w:r>
      <w:r>
        <w:rPr>
          <w:rFonts w:hint="eastAsia"/>
        </w:rPr>
        <w:t>6</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"_Toc500150957" </w:instrText>
      </w:r>
      <w:r>
        <w:fldChar w:fldCharType="separate"/>
      </w:r>
      <w:r>
        <w:rPr>
          <w:rStyle w:val="53"/>
          <w:rFonts w:hint="eastAsia" w:ascii="宋体" w:hAnsi="宋体" w:cs="宋体"/>
          <w:color w:val="auto"/>
        </w:rPr>
        <w:t>第六部 分评标办法</w:t>
      </w:r>
      <w:r>
        <w:tab/>
      </w:r>
      <w:r>
        <w:rPr>
          <w:rFonts w:hint="eastAsia"/>
        </w:rPr>
        <w:t>3</w:t>
      </w:r>
      <w:r>
        <w:rPr>
          <w:rFonts w:hint="eastAsia"/>
        </w:rPr>
        <w:fldChar w:fldCharType="end"/>
      </w:r>
      <w:r>
        <w:rPr>
          <w:rFonts w:hint="eastAsia"/>
        </w:rPr>
        <w:t>7</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"_Toc500150958" </w:instrText>
      </w:r>
      <w:r>
        <w:fldChar w:fldCharType="separate"/>
      </w:r>
      <w:r>
        <w:rPr>
          <w:rStyle w:val="53"/>
          <w:rFonts w:hint="eastAsia" w:ascii="宋体" w:hAnsi="宋体" w:cs="宋体"/>
          <w:color w:val="auto"/>
        </w:rPr>
        <w:t>（一）初步审查表</w:t>
      </w:r>
      <w:r>
        <w:tab/>
      </w:r>
      <w:r>
        <w:fldChar w:fldCharType="begin"/>
      </w:r>
      <w:r>
        <w:instrText xml:space="preserve"> PAGEREF _Toc500150958 \h </w:instrText>
      </w:r>
      <w:r>
        <w:fldChar w:fldCharType="separate"/>
      </w:r>
      <w:r>
        <w:t>37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"_Toc500150960" </w:instrText>
      </w:r>
      <w:r>
        <w:fldChar w:fldCharType="separate"/>
      </w:r>
      <w:r>
        <w:rPr>
          <w:rStyle w:val="53"/>
          <w:rFonts w:hint="eastAsia" w:ascii="宋体" w:hAnsi="宋体" w:cs="宋体"/>
          <w:color w:val="auto"/>
        </w:rPr>
        <w:t>（二）符合性审查表</w:t>
      </w:r>
      <w:r>
        <w:tab/>
      </w:r>
      <w:r>
        <w:fldChar w:fldCharType="begin"/>
      </w:r>
      <w:r>
        <w:instrText xml:space="preserve"> PAGEREF _Toc500150960 \h </w:instrText>
      </w:r>
      <w:r>
        <w:fldChar w:fldCharType="separate"/>
      </w:r>
      <w:r>
        <w:t>38</w:t>
      </w:r>
      <w:r>
        <w:fldChar w:fldCharType="end"/>
      </w:r>
      <w:r>
        <w:fldChar w:fldCharType="end"/>
      </w:r>
    </w:p>
    <w:p>
      <w:pPr>
        <w:pStyle w:val="31"/>
        <w:tabs>
          <w:tab w:val="right" w:leader="dot" w:pos="9629"/>
        </w:tabs>
        <w:spacing w:line="360" w:lineRule="auto"/>
        <w:sectPr>
          <w:headerReference r:id="rId5" w:type="default"/>
          <w:footerReference r:id="rId6" w:type="default"/>
          <w:pgSz w:w="11907" w:h="16840"/>
          <w:pgMar w:top="1418" w:right="1134" w:bottom="1361" w:left="1134" w:header="794" w:footer="794" w:gutter="0"/>
          <w:cols w:space="720" w:num="1"/>
          <w:docGrid w:linePitch="285" w:charSpace="0"/>
        </w:sectPr>
      </w:pPr>
      <w:r>
        <w:rPr>
          <w:rFonts w:ascii="宋体" w:hAnsi="宋体" w:cs="宋体"/>
        </w:rPr>
        <w:fldChar w:fldCharType="end"/>
      </w:r>
      <w:bookmarkStart w:id="1" w:name="_Toc238871023"/>
      <w:bookmarkStart w:id="2" w:name="_Toc238906999"/>
      <w:r>
        <w:rPr>
          <w:rFonts w:hint="eastAsia"/>
        </w:rPr>
        <w:t>（三）评分标准</w:t>
      </w:r>
      <w:r>
        <w:tab/>
      </w:r>
      <w:r>
        <w:fldChar w:fldCharType="begin"/>
      </w:r>
      <w:r>
        <w:instrText xml:space="preserve"> PAGEREF _Toc500150960 \h </w:instrText>
      </w:r>
      <w:r>
        <w:fldChar w:fldCharType="separate"/>
      </w:r>
      <w:r>
        <w:t>3</w:t>
      </w:r>
      <w:r>
        <w:rPr>
          <w:rFonts w:hint="eastAsia"/>
        </w:rPr>
        <w:t>9</w:t>
      </w:r>
      <w:r>
        <w:fldChar w:fldCharType="end"/>
      </w:r>
    </w:p>
    <w:bookmarkEnd w:id="1"/>
    <w:bookmarkEnd w:id="2"/>
    <w:p>
      <w:pPr>
        <w:tabs>
          <w:tab w:val="left" w:pos="4680"/>
        </w:tabs>
        <w:snapToGrid w:val="0"/>
        <w:spacing w:line="380" w:lineRule="exact"/>
        <w:ind w:right="-237" w:rightChars="-113"/>
        <w:jc w:val="center"/>
        <w:outlineLvl w:val="0"/>
        <w:rPr>
          <w:rFonts w:hAnsi="宋体" w:cs="宋体"/>
          <w:b/>
          <w:bCs/>
          <w:sz w:val="30"/>
          <w:szCs w:val="30"/>
        </w:rPr>
      </w:pPr>
      <w:bookmarkStart w:id="3" w:name="_Toc468811073"/>
      <w:bookmarkStart w:id="4" w:name="_Toc500150901"/>
      <w:r>
        <w:rPr>
          <w:rFonts w:hint="eastAsia" w:hAnsi="宋体" w:cs="宋体"/>
          <w:b/>
          <w:bCs/>
          <w:sz w:val="30"/>
          <w:szCs w:val="30"/>
        </w:rPr>
        <w:t>第一部分</w:t>
      </w:r>
      <w:bookmarkEnd w:id="3"/>
      <w:r>
        <w:rPr>
          <w:rFonts w:hint="eastAsia" w:hAnsi="宋体"/>
          <w:b/>
          <w:bCs/>
          <w:sz w:val="30"/>
          <w:szCs w:val="30"/>
        </w:rPr>
        <w:t>投标邀请</w:t>
      </w:r>
      <w:bookmarkEnd w:id="4"/>
    </w:p>
    <w:p>
      <w:pPr>
        <w:tabs>
          <w:tab w:val="left" w:pos="4680"/>
        </w:tabs>
        <w:snapToGrid w:val="0"/>
        <w:spacing w:line="380" w:lineRule="exact"/>
        <w:ind w:right="-237" w:rightChars="-113"/>
        <w:outlineLvl w:val="0"/>
        <w:rPr>
          <w:rFonts w:hAnsi="宋体" w:cs="宋体"/>
          <w:b/>
          <w:bCs/>
          <w:sz w:val="30"/>
          <w:szCs w:val="30"/>
        </w:rPr>
      </w:pPr>
    </w:p>
    <w:p>
      <w:pPr>
        <w:widowControl/>
        <w:spacing w:line="360" w:lineRule="auto"/>
        <w:ind w:right="300" w:firstLine="420" w:firstLineChars="200"/>
        <w:jc w:val="left"/>
      </w:pPr>
      <w:bookmarkStart w:id="5" w:name="_Toc29094"/>
      <w:bookmarkStart w:id="6" w:name="_Toc468811074"/>
      <w:r>
        <w:rPr>
          <w:rFonts w:hint="eastAsia" w:ascii="宋体" w:hAnsi="宋体" w:cs="宋体"/>
          <w:kern w:val="0"/>
        </w:rPr>
        <w:t>河南兴建建设管理有限公司受</w:t>
      </w:r>
      <w:bookmarkStart w:id="7" w:name="OLE_LINK2"/>
      <w:r>
        <w:rPr>
          <w:rFonts w:hint="eastAsia" w:ascii="宋体" w:hAnsi="宋体" w:cs="宋体"/>
          <w:kern w:val="0"/>
          <w:lang w:val="en-GB"/>
        </w:rPr>
        <w:t>中国科学院深海科学与工程研究所</w:t>
      </w:r>
      <w:bookmarkEnd w:id="7"/>
      <w:r>
        <w:rPr>
          <w:rFonts w:hint="eastAsia" w:ascii="宋体" w:hAnsi="宋体" w:cs="宋体"/>
          <w:kern w:val="0"/>
        </w:rPr>
        <w:t>委托，对</w:t>
      </w:r>
      <w:bookmarkStart w:id="8" w:name="OLE_LINK3"/>
      <w:r>
        <w:rPr>
          <w:rFonts w:hint="eastAsia" w:ascii="宋体" w:hAnsi="宋体" w:cs="宋体"/>
          <w:kern w:val="0"/>
          <w:lang w:val="en-GB"/>
        </w:rPr>
        <w:t>三亚深海科考码头工程环境影响评价项目</w:t>
      </w:r>
      <w:bookmarkEnd w:id="8"/>
      <w:r>
        <w:rPr>
          <w:rFonts w:hint="eastAsia" w:ascii="宋体" w:hAnsi="宋体" w:cs="宋体"/>
          <w:kern w:val="0"/>
        </w:rPr>
        <w:t>组织公开招标 ，现邀请国内合</w:t>
      </w:r>
      <w:r>
        <w:rPr>
          <w:rFonts w:ascii="宋体" w:hAnsi="宋体" w:cs="宋体"/>
          <w:kern w:val="0"/>
        </w:rPr>
        <w:t>格的供应或制造商来参加投标。</w:t>
      </w:r>
    </w:p>
    <w:p>
      <w:pPr>
        <w:pStyle w:val="230"/>
        <w:spacing w:line="360" w:lineRule="auto"/>
      </w:pPr>
      <w:r>
        <w:t>窗体底端</w:t>
      </w:r>
    </w:p>
    <w:bookmarkEnd w:id="5"/>
    <w:bookmarkEnd w:id="6"/>
    <w:p>
      <w:pPr>
        <w:pStyle w:val="229"/>
        <w:spacing w:line="360" w:lineRule="auto"/>
      </w:pPr>
      <w:r>
        <w:t>窗体顶端</w:t>
      </w:r>
    </w:p>
    <w:p>
      <w:pPr>
        <w:pStyle w:val="42"/>
        <w:spacing w:before="0" w:beforeAutospacing="0" w:after="0" w:afterAutospacing="0" w:line="360" w:lineRule="auto"/>
        <w:ind w:left="300" w:right="300"/>
        <w:rPr>
          <w:b/>
          <w:sz w:val="27"/>
          <w:szCs w:val="27"/>
        </w:rPr>
      </w:pPr>
      <w:r>
        <w:rPr>
          <w:rStyle w:val="45"/>
          <w:sz w:val="27"/>
          <w:szCs w:val="27"/>
        </w:rPr>
        <w:t>1. 招标编号：</w:t>
      </w:r>
      <w:r>
        <w:rPr>
          <w:rStyle w:val="45"/>
          <w:rFonts w:hint="eastAsia"/>
          <w:sz w:val="27"/>
          <w:szCs w:val="27"/>
        </w:rPr>
        <w:t>HNXJSY201807</w:t>
      </w:r>
    </w:p>
    <w:p>
      <w:pPr>
        <w:pStyle w:val="42"/>
        <w:spacing w:before="0" w:beforeAutospacing="0" w:after="0" w:afterAutospacing="0" w:line="360" w:lineRule="auto"/>
        <w:ind w:left="300" w:right="300"/>
        <w:rPr>
          <w:rStyle w:val="45"/>
          <w:sz w:val="27"/>
          <w:szCs w:val="27"/>
        </w:rPr>
      </w:pPr>
      <w:r>
        <w:rPr>
          <w:rStyle w:val="45"/>
          <w:sz w:val="27"/>
          <w:szCs w:val="27"/>
        </w:rPr>
        <w:t xml:space="preserve">2. 招标项目及范围： </w:t>
      </w:r>
    </w:p>
    <w:p>
      <w:pPr>
        <w:snapToGrid w:val="0"/>
        <w:spacing w:line="360" w:lineRule="auto"/>
        <w:ind w:firstLine="420" w:firstLineChars="200"/>
        <w:rPr>
          <w:rFonts w:hAnsi="宋体"/>
        </w:rPr>
      </w:pPr>
      <w:r>
        <w:rPr>
          <w:rFonts w:hint="eastAsia" w:hAnsi="宋体"/>
        </w:rPr>
        <w:t>2.1、名称：</w:t>
      </w:r>
      <w:bookmarkStart w:id="9" w:name="OLE_LINK4"/>
      <w:r>
        <w:rPr>
          <w:rFonts w:hint="eastAsia" w:hAnsi="宋体"/>
        </w:rPr>
        <w:t>深海科考实验研究与岸基保障平台——三亚深海科考码头项目环境影响评价</w:t>
      </w:r>
      <w:bookmarkEnd w:id="9"/>
      <w:r>
        <w:rPr>
          <w:rFonts w:hint="eastAsia" w:hAnsi="宋体"/>
        </w:rPr>
        <w:t>。</w:t>
      </w:r>
    </w:p>
    <w:p>
      <w:pPr>
        <w:snapToGrid w:val="0"/>
        <w:spacing w:line="360" w:lineRule="auto"/>
        <w:ind w:firstLine="420" w:firstLineChars="200"/>
        <w:rPr>
          <w:rFonts w:hAnsi="宋体"/>
        </w:rPr>
      </w:pPr>
      <w:r>
        <w:rPr>
          <w:rFonts w:hint="eastAsia" w:hAnsi="宋体"/>
        </w:rPr>
        <w:t>2.2、采购预算：本项目采购预算金额为</w:t>
      </w:r>
      <w:bookmarkStart w:id="10" w:name="OLE_LINK5"/>
      <w:r>
        <w:rPr>
          <w:rFonts w:hint="eastAsia" w:hAnsi="宋体"/>
        </w:rPr>
        <w:t>1500000.00</w:t>
      </w:r>
      <w:bookmarkEnd w:id="10"/>
      <w:r>
        <w:rPr>
          <w:rFonts w:hint="eastAsia" w:hAnsi="宋体"/>
        </w:rPr>
        <w:t>元，最高限价为1500000.00元，超出采购预算金额（最高限价）的投标，按无效投标处理。</w:t>
      </w:r>
    </w:p>
    <w:p>
      <w:pPr>
        <w:snapToGrid w:val="0"/>
        <w:spacing w:line="360" w:lineRule="auto"/>
        <w:ind w:firstLine="420" w:firstLineChars="200"/>
        <w:rPr>
          <w:rFonts w:hAnsi="宋体"/>
        </w:rPr>
      </w:pPr>
      <w:r>
        <w:rPr>
          <w:rFonts w:hint="eastAsia" w:hAnsi="宋体"/>
        </w:rPr>
        <w:t>2.3、采购内容：对</w:t>
      </w:r>
      <w:bookmarkStart w:id="11" w:name="OLE_LINK6"/>
      <w:r>
        <w:rPr>
          <w:rFonts w:hint="eastAsia" w:hAnsi="宋体"/>
        </w:rPr>
        <w:t>深海科考实验研究与岸基保障平台——三亚深海科考码头工程的环境影响进行</w:t>
      </w:r>
      <w:bookmarkEnd w:id="11"/>
      <w:r>
        <w:rPr>
          <w:rFonts w:hint="eastAsia" w:hAnsi="宋体"/>
        </w:rPr>
        <w:t>评价。</w:t>
      </w:r>
    </w:p>
    <w:p>
      <w:pPr>
        <w:snapToGrid w:val="0"/>
        <w:spacing w:line="360" w:lineRule="auto"/>
        <w:ind w:firstLine="420" w:firstLineChars="200"/>
        <w:rPr>
          <w:rFonts w:hAnsi="宋体"/>
        </w:rPr>
      </w:pPr>
      <w:r>
        <w:rPr>
          <w:rFonts w:hint="eastAsia" w:hAnsi="宋体"/>
        </w:rPr>
        <w:t>2.4、服务周期：60日历天。</w:t>
      </w:r>
    </w:p>
    <w:p>
      <w:pPr>
        <w:pStyle w:val="230"/>
        <w:spacing w:line="360" w:lineRule="auto"/>
      </w:pPr>
      <w:r>
        <w:t>窗体底端</w:t>
      </w:r>
    </w:p>
    <w:p>
      <w:pPr>
        <w:pStyle w:val="229"/>
        <w:spacing w:line="360" w:lineRule="auto"/>
      </w:pPr>
      <w:bookmarkStart w:id="12" w:name="_Toc468811076"/>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 xml:space="preserve">3. </w:t>
      </w:r>
      <w:r>
        <w:rPr>
          <w:rStyle w:val="45"/>
          <w:sz w:val="27"/>
          <w:szCs w:val="27"/>
        </w:rPr>
        <w:t>供应商资格要求</w:t>
      </w:r>
    </w:p>
    <w:p>
      <w:pPr>
        <w:pStyle w:val="229"/>
        <w:spacing w:line="360" w:lineRule="auto"/>
      </w:pPr>
      <w:r>
        <w:t>窗体顶端</w:t>
      </w:r>
    </w:p>
    <w:p>
      <w:pPr>
        <w:snapToGrid w:val="0"/>
        <w:spacing w:line="360" w:lineRule="auto"/>
        <w:ind w:firstLine="420" w:firstLineChars="200"/>
        <w:rPr>
          <w:rFonts w:hAnsi="宋体"/>
        </w:rPr>
      </w:pPr>
      <w:bookmarkStart w:id="13" w:name="OLE_LINK16"/>
      <w:r>
        <w:rPr>
          <w:rFonts w:hint="eastAsia" w:hAnsi="宋体"/>
        </w:rPr>
        <w:t>3.1、符合《中华人民共和国政府采购法》第二十二条规定；</w:t>
      </w:r>
    </w:p>
    <w:p>
      <w:pPr>
        <w:snapToGrid w:val="0"/>
        <w:spacing w:line="360" w:lineRule="auto"/>
        <w:ind w:firstLine="420" w:firstLineChars="200"/>
        <w:rPr>
          <w:rFonts w:hAnsi="宋体"/>
        </w:rPr>
      </w:pPr>
      <w:r>
        <w:rPr>
          <w:rFonts w:hint="eastAsia" w:hAnsi="宋体"/>
        </w:rPr>
        <w:t>3.2、在中华人民共和国境内注册、具有独立承担民事责任能力的法人资格（提供营业执照或事业单位法人证书复印件）；</w:t>
      </w:r>
    </w:p>
    <w:p>
      <w:pPr>
        <w:snapToGrid w:val="0"/>
        <w:spacing w:line="360" w:lineRule="auto"/>
        <w:ind w:firstLine="420" w:firstLineChars="200"/>
        <w:rPr>
          <w:rFonts w:hAnsi="宋体"/>
        </w:rPr>
      </w:pPr>
      <w:r>
        <w:rPr>
          <w:rFonts w:hint="eastAsia" w:hAnsi="宋体"/>
        </w:rPr>
        <w:t>3.3、</w:t>
      </w:r>
      <w:bookmarkStart w:id="14" w:name="OLE_LINK8"/>
      <w:r>
        <w:rPr>
          <w:rFonts w:hint="eastAsia" w:hAnsi="宋体"/>
        </w:rPr>
        <w:t>具备建设项目环境影响评价（交通运输）甲级资质、该项目为国家发改委审批立项项目，需满足审批相应资质要求；</w:t>
      </w:r>
      <w:bookmarkEnd w:id="14"/>
    </w:p>
    <w:p>
      <w:pPr>
        <w:snapToGrid w:val="0"/>
        <w:spacing w:line="360" w:lineRule="auto"/>
        <w:ind w:firstLine="420" w:firstLineChars="200"/>
        <w:rPr>
          <w:rFonts w:hAnsi="宋体"/>
        </w:rPr>
      </w:pPr>
      <w:r>
        <w:rPr>
          <w:rFonts w:hint="eastAsia" w:hAnsi="宋体"/>
        </w:rPr>
        <w:t>3.4、根据《财政部关于在政府采购活动中查询及使用信用记录有关问题的通知》（财库〔2016〕125号）的要求，在政府采购活动中查询及使用信用记录。</w:t>
      </w:r>
    </w:p>
    <w:p>
      <w:pPr>
        <w:snapToGrid w:val="0"/>
        <w:spacing w:line="360" w:lineRule="auto"/>
        <w:ind w:firstLine="420" w:firstLineChars="200"/>
        <w:rPr>
          <w:rFonts w:hAnsi="宋体"/>
        </w:rPr>
      </w:pPr>
      <w:r>
        <w:rPr>
          <w:rFonts w:hint="eastAsia" w:hAnsi="宋体"/>
        </w:rPr>
        <w:t>查询渠道及截止时点：各级财政部门、采购人、采购代理机构、潜在供应商通过“信用中国”网站（www.creditchina.gov.cn）、中国政府采购网（www.ccgp.gov.cn）等渠道查询相关供应商的信用记录，并可根据实际需要引入其他信用信息。查询以本项目的公告时间为截止时间。(投标时提供加盖公章的网上查询截图)</w:t>
      </w:r>
    </w:p>
    <w:bookmarkEnd w:id="13"/>
    <w:p>
      <w:pPr>
        <w:snapToGrid w:val="0"/>
        <w:spacing w:line="360" w:lineRule="auto"/>
        <w:ind w:firstLine="420" w:firstLineChars="200"/>
        <w:rPr>
          <w:rFonts w:hAnsi="宋体"/>
        </w:rPr>
      </w:pPr>
      <w:r>
        <w:rPr>
          <w:rFonts w:hint="eastAsia" w:hAnsi="宋体"/>
        </w:rPr>
        <w:t>3.5、本项目不接受联合体投标。</w:t>
      </w:r>
    </w:p>
    <w:p>
      <w:pPr>
        <w:pStyle w:val="230"/>
        <w:spacing w:line="360" w:lineRule="auto"/>
      </w:pPr>
      <w:r>
        <w:t>窗体底端</w:t>
      </w:r>
    </w:p>
    <w:bookmarkEnd w:id="12"/>
    <w:p>
      <w:pPr>
        <w:pStyle w:val="229"/>
        <w:spacing w:line="360" w:lineRule="auto"/>
      </w:pPr>
      <w:bookmarkStart w:id="15" w:name="_Toc468811077"/>
      <w:bookmarkStart w:id="16" w:name="_Toc14132"/>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4. 招标文件的获取</w:t>
      </w:r>
    </w:p>
    <w:p>
      <w:pPr>
        <w:snapToGrid w:val="0"/>
        <w:spacing w:line="360" w:lineRule="auto"/>
        <w:ind w:firstLine="420" w:firstLineChars="200"/>
        <w:rPr>
          <w:rFonts w:hAnsi="宋体"/>
        </w:rPr>
      </w:pPr>
      <w:r>
        <w:rPr>
          <w:rFonts w:hint="eastAsia" w:hAnsi="宋体"/>
        </w:rPr>
        <w:t>4.1、时间： 2018 年</w:t>
      </w:r>
      <w:r>
        <w:rPr>
          <w:rFonts w:hint="eastAsia" w:hAnsi="宋体"/>
          <w:lang w:val="en-US" w:eastAsia="zh-CN"/>
        </w:rPr>
        <w:t>5</w:t>
      </w:r>
      <w:r>
        <w:rPr>
          <w:rFonts w:hint="eastAsia" w:hAnsi="宋体"/>
        </w:rPr>
        <w:t>月</w:t>
      </w:r>
      <w:r>
        <w:rPr>
          <w:rFonts w:hint="eastAsia" w:hAnsi="宋体"/>
          <w:lang w:val="en-US" w:eastAsia="zh-CN"/>
        </w:rPr>
        <w:t>28</w:t>
      </w:r>
      <w:r>
        <w:rPr>
          <w:rFonts w:hint="eastAsia" w:hAnsi="宋体"/>
        </w:rPr>
        <w:t>日至 2018 年</w:t>
      </w:r>
      <w:r>
        <w:rPr>
          <w:rFonts w:hint="eastAsia" w:hAnsi="宋体"/>
          <w:lang w:val="en-US" w:eastAsia="zh-CN"/>
        </w:rPr>
        <w:t>6</w:t>
      </w:r>
      <w:r>
        <w:rPr>
          <w:rFonts w:hint="eastAsia" w:hAnsi="宋体"/>
        </w:rPr>
        <w:t>月</w:t>
      </w:r>
      <w:r>
        <w:rPr>
          <w:rFonts w:hint="eastAsia" w:hAnsi="宋体"/>
          <w:lang w:val="en-US" w:eastAsia="zh-CN"/>
        </w:rPr>
        <w:t>1</w:t>
      </w:r>
      <w:r>
        <w:rPr>
          <w:rFonts w:hint="eastAsia" w:hAnsi="宋体"/>
        </w:rPr>
        <w:t>日（每天上午09：00～12:00，下午15:00～18:00）。</w:t>
      </w:r>
    </w:p>
    <w:p>
      <w:pPr>
        <w:snapToGrid w:val="0"/>
        <w:spacing w:line="360" w:lineRule="auto"/>
        <w:ind w:firstLine="420" w:firstLineChars="200"/>
        <w:rPr>
          <w:rFonts w:hAnsi="宋体"/>
        </w:rPr>
      </w:pPr>
      <w:bookmarkStart w:id="17" w:name="_Toc184704560"/>
      <w:bookmarkStart w:id="18" w:name="_Toc234812711"/>
      <w:r>
        <w:rPr>
          <w:rFonts w:hint="eastAsia" w:hAnsi="宋体"/>
        </w:rPr>
        <w:t>4.2、地点：</w:t>
      </w:r>
      <w:bookmarkStart w:id="19" w:name="OLE_LINK1"/>
      <w:r>
        <w:rPr>
          <w:rFonts w:hint="eastAsia" w:hAnsi="宋体"/>
        </w:rPr>
        <w:t>三亚市新风路金鹿大厦西侧二楼</w:t>
      </w:r>
      <w:bookmarkEnd w:id="19"/>
      <w:r>
        <w:rPr>
          <w:rFonts w:hint="eastAsia" w:hAnsi="宋体"/>
        </w:rPr>
        <w:t>。</w:t>
      </w:r>
    </w:p>
    <w:bookmarkEnd w:id="17"/>
    <w:bookmarkEnd w:id="18"/>
    <w:p>
      <w:pPr>
        <w:snapToGrid w:val="0"/>
        <w:spacing w:line="360" w:lineRule="auto"/>
        <w:ind w:firstLine="420" w:firstLineChars="200"/>
        <w:rPr>
          <w:rFonts w:hAnsi="宋体"/>
        </w:rPr>
      </w:pPr>
      <w:r>
        <w:rPr>
          <w:rFonts w:hint="eastAsia" w:hAnsi="宋体"/>
        </w:rPr>
        <w:t>4.3、招标文件收取工本费100元/套，售后不退；未购买招标文件的供应商不得参加本项目投标。</w:t>
      </w:r>
    </w:p>
    <w:p>
      <w:pPr>
        <w:snapToGrid w:val="0"/>
        <w:spacing w:line="360" w:lineRule="auto"/>
        <w:ind w:firstLine="420" w:firstLineChars="200"/>
        <w:rPr>
          <w:rFonts w:hAnsi="宋体"/>
        </w:rPr>
      </w:pPr>
      <w:r>
        <w:rPr>
          <w:rFonts w:hint="eastAsia" w:hAnsi="宋体"/>
        </w:rPr>
        <w:t>4.4、采购文件内容如有澄清或修改，澄清或修改的内容在中国海南政府采购网</w:t>
      </w:r>
      <w:r>
        <w:fldChar w:fldCharType="begin"/>
      </w:r>
      <w:r>
        <w:instrText xml:space="preserve"> HYPERLINK "http://ztb.sanya.gov.cn/sanyaztb/）上发布，采购人不再以书面形式通知所有采购文件收受人。" </w:instrText>
      </w:r>
      <w:r>
        <w:fldChar w:fldCharType="separate"/>
      </w:r>
      <w:r>
        <w:rPr>
          <w:rFonts w:hint="eastAsia" w:hAnsi="宋体"/>
        </w:rPr>
        <w:t>上发布，采购人不再以书面形式通知所有采购文件收受人。</w:t>
      </w:r>
      <w:r>
        <w:rPr>
          <w:rFonts w:hint="eastAsia" w:hAnsi="宋体"/>
        </w:rPr>
        <w:fldChar w:fldCharType="end"/>
      </w:r>
    </w:p>
    <w:p>
      <w:pPr>
        <w:pStyle w:val="230"/>
        <w:spacing w:line="360" w:lineRule="auto"/>
      </w:pPr>
      <w:r>
        <w:t>窗体底端</w:t>
      </w:r>
    </w:p>
    <w:bookmarkEnd w:id="15"/>
    <w:bookmarkEnd w:id="16"/>
    <w:p>
      <w:pPr>
        <w:pStyle w:val="229"/>
        <w:spacing w:line="360" w:lineRule="auto"/>
      </w:pPr>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5. 投标文件和保证金的递交</w:t>
      </w:r>
    </w:p>
    <w:p>
      <w:pPr>
        <w:pStyle w:val="230"/>
        <w:spacing w:line="360" w:lineRule="auto"/>
      </w:pPr>
      <w:r>
        <w:t>窗体底端</w:t>
      </w:r>
    </w:p>
    <w:p>
      <w:pPr>
        <w:pStyle w:val="229"/>
        <w:spacing w:line="360" w:lineRule="auto"/>
      </w:pPr>
      <w:bookmarkStart w:id="20" w:name="_Toc30723"/>
      <w:bookmarkStart w:id="21" w:name="_Toc468811078"/>
      <w:bookmarkStart w:id="22" w:name="_Toc238907000"/>
      <w:r>
        <w:t>窗体顶端</w:t>
      </w:r>
    </w:p>
    <w:bookmarkEnd w:id="20"/>
    <w:bookmarkEnd w:id="21"/>
    <w:p>
      <w:pPr>
        <w:snapToGrid w:val="0"/>
        <w:spacing w:line="360" w:lineRule="auto"/>
        <w:ind w:firstLine="420" w:firstLineChars="200"/>
        <w:rPr>
          <w:rFonts w:hAnsi="宋体"/>
        </w:rPr>
      </w:pPr>
      <w:bookmarkStart w:id="23" w:name="OLE_LINK9"/>
      <w:r>
        <w:rPr>
          <w:rFonts w:hint="eastAsia" w:hAnsi="宋体"/>
        </w:rPr>
        <w:t>1、递交投标文件截止时间:  2018年</w:t>
      </w:r>
      <w:r>
        <w:rPr>
          <w:rFonts w:hint="eastAsia" w:hAnsi="宋体"/>
          <w:lang w:val="en-US" w:eastAsia="zh-CN"/>
        </w:rPr>
        <w:t>6</w:t>
      </w:r>
      <w:r>
        <w:rPr>
          <w:rFonts w:hint="eastAsia" w:hAnsi="宋体"/>
        </w:rPr>
        <w:t>月</w:t>
      </w:r>
      <w:r>
        <w:rPr>
          <w:rFonts w:hint="eastAsia" w:hAnsi="宋体"/>
          <w:lang w:val="en-US" w:eastAsia="zh-CN"/>
        </w:rPr>
        <w:t>21</w:t>
      </w:r>
      <w:r>
        <w:rPr>
          <w:rFonts w:hint="eastAsia" w:hAnsi="宋体"/>
        </w:rPr>
        <w:t>日</w:t>
      </w:r>
      <w:r>
        <w:rPr>
          <w:rFonts w:hint="eastAsia" w:hAnsi="宋体"/>
          <w:lang w:val="en-US" w:eastAsia="zh-CN"/>
        </w:rPr>
        <w:t>09</w:t>
      </w:r>
      <w:r>
        <w:rPr>
          <w:rFonts w:hint="eastAsia" w:hAnsi="宋体"/>
        </w:rPr>
        <w:t>时</w:t>
      </w:r>
      <w:r>
        <w:rPr>
          <w:rFonts w:hint="eastAsia" w:hAnsi="宋体"/>
          <w:lang w:val="en-US" w:eastAsia="zh-CN"/>
        </w:rPr>
        <w:t>00</w:t>
      </w:r>
      <w:r>
        <w:rPr>
          <w:rFonts w:hint="eastAsia" w:hAnsi="宋体"/>
        </w:rPr>
        <w:t>分</w:t>
      </w:r>
    </w:p>
    <w:p>
      <w:pPr>
        <w:snapToGrid w:val="0"/>
        <w:spacing w:line="360" w:lineRule="auto"/>
        <w:ind w:firstLine="420" w:firstLineChars="200"/>
        <w:rPr>
          <w:rFonts w:hAnsi="宋体"/>
        </w:rPr>
      </w:pPr>
      <w:r>
        <w:rPr>
          <w:rFonts w:hint="eastAsia" w:hAnsi="宋体"/>
        </w:rPr>
        <w:t>2、开标时间： 2018 年</w:t>
      </w:r>
      <w:r>
        <w:rPr>
          <w:rFonts w:hint="eastAsia" w:hAnsi="宋体"/>
          <w:lang w:val="en-US" w:eastAsia="zh-CN"/>
        </w:rPr>
        <w:t>6</w:t>
      </w:r>
      <w:r>
        <w:rPr>
          <w:rFonts w:hint="eastAsia" w:hAnsi="宋体"/>
        </w:rPr>
        <w:t>月</w:t>
      </w:r>
      <w:r>
        <w:rPr>
          <w:rFonts w:hint="eastAsia" w:hAnsi="宋体"/>
          <w:lang w:val="en-US" w:eastAsia="zh-CN"/>
        </w:rPr>
        <w:t>21</w:t>
      </w:r>
      <w:r>
        <w:rPr>
          <w:rFonts w:hint="eastAsia" w:hAnsi="宋体"/>
        </w:rPr>
        <w:t>日</w:t>
      </w:r>
      <w:r>
        <w:rPr>
          <w:rFonts w:hint="eastAsia" w:hAnsi="宋体"/>
          <w:lang w:val="en-US" w:eastAsia="zh-CN"/>
        </w:rPr>
        <w:t>09</w:t>
      </w:r>
      <w:r>
        <w:rPr>
          <w:rFonts w:hint="eastAsia" w:hAnsi="宋体"/>
        </w:rPr>
        <w:t>时</w:t>
      </w:r>
      <w:r>
        <w:rPr>
          <w:rFonts w:hint="eastAsia" w:hAnsi="宋体"/>
          <w:lang w:val="en-US" w:eastAsia="zh-CN"/>
        </w:rPr>
        <w:t>00</w:t>
      </w:r>
      <w:r>
        <w:rPr>
          <w:rFonts w:hint="eastAsia" w:hAnsi="宋体"/>
        </w:rPr>
        <w:t>分</w:t>
      </w:r>
    </w:p>
    <w:p>
      <w:pPr>
        <w:snapToGrid w:val="0"/>
        <w:spacing w:line="360" w:lineRule="auto"/>
        <w:ind w:firstLine="420" w:firstLineChars="200"/>
        <w:rPr>
          <w:rFonts w:hAnsi="宋体"/>
        </w:rPr>
      </w:pPr>
      <w:r>
        <w:rPr>
          <w:rFonts w:hint="eastAsia" w:hAnsi="宋体"/>
        </w:rPr>
        <w:t>3、开标地点：三亚市新风路金鹿大厦西侧二楼</w:t>
      </w:r>
    </w:p>
    <w:bookmarkEnd w:id="23"/>
    <w:p>
      <w:pPr>
        <w:pStyle w:val="42"/>
        <w:spacing w:before="0" w:beforeAutospacing="0" w:after="0" w:afterAutospacing="0" w:line="360" w:lineRule="auto"/>
        <w:ind w:left="300" w:right="300"/>
        <w:rPr>
          <w:rStyle w:val="45"/>
          <w:sz w:val="27"/>
          <w:szCs w:val="27"/>
        </w:rPr>
      </w:pPr>
      <w:r>
        <w:rPr>
          <w:rStyle w:val="45"/>
          <w:rFonts w:hint="eastAsia"/>
          <w:sz w:val="27"/>
          <w:szCs w:val="27"/>
        </w:rPr>
        <w:t>6. 联系方式</w:t>
      </w:r>
    </w:p>
    <w:p>
      <w:pPr>
        <w:pStyle w:val="230"/>
        <w:spacing w:line="360" w:lineRule="auto"/>
      </w:pPr>
      <w:r>
        <w:t>窗体底端</w:t>
      </w:r>
    </w:p>
    <w:p>
      <w:pPr>
        <w:snapToGrid w:val="0"/>
        <w:spacing w:line="360" w:lineRule="auto"/>
        <w:ind w:firstLine="420" w:firstLineChars="200"/>
        <w:rPr>
          <w:rFonts w:hAnsi="宋体"/>
        </w:rPr>
      </w:pPr>
      <w:bookmarkStart w:id="24" w:name="_Toc468811079"/>
      <w:r>
        <w:rPr>
          <w:rFonts w:hint="eastAsia" w:hAnsi="宋体"/>
        </w:rPr>
        <w:t>采购人：</w:t>
      </w:r>
      <w:bookmarkStart w:id="25" w:name="OLE_LINK10"/>
      <w:r>
        <w:rPr>
          <w:rFonts w:hint="eastAsia" w:hAnsi="宋体"/>
        </w:rPr>
        <w:t>中国科学院深海科学与工程研究所</w:t>
      </w:r>
      <w:bookmarkEnd w:id="25"/>
    </w:p>
    <w:p>
      <w:pPr>
        <w:snapToGrid w:val="0"/>
        <w:spacing w:line="360" w:lineRule="auto"/>
        <w:ind w:firstLine="420" w:firstLineChars="200"/>
        <w:rPr>
          <w:rFonts w:hAnsi="宋体"/>
        </w:rPr>
      </w:pPr>
      <w:r>
        <w:rPr>
          <w:rFonts w:hint="eastAsia" w:hAnsi="宋体"/>
        </w:rPr>
        <w:t>地址：</w:t>
      </w:r>
    </w:p>
    <w:p>
      <w:pPr>
        <w:snapToGrid w:val="0"/>
        <w:spacing w:line="360" w:lineRule="auto"/>
        <w:ind w:firstLine="420" w:firstLineChars="200"/>
        <w:rPr>
          <w:rFonts w:hAnsi="宋体"/>
        </w:rPr>
      </w:pPr>
      <w:r>
        <w:rPr>
          <w:rFonts w:hint="eastAsia" w:hAnsi="宋体"/>
        </w:rPr>
        <w:t>联系人：</w:t>
      </w:r>
      <w:bookmarkStart w:id="26" w:name="OLE_LINK11"/>
      <w:r>
        <w:rPr>
          <w:rFonts w:hint="eastAsia" w:hAnsi="宋体"/>
        </w:rPr>
        <w:t>张先生</w:t>
      </w:r>
      <w:bookmarkEnd w:id="26"/>
    </w:p>
    <w:p>
      <w:pPr>
        <w:snapToGrid w:val="0"/>
        <w:spacing w:line="360" w:lineRule="auto"/>
        <w:ind w:firstLine="420" w:firstLineChars="200"/>
        <w:rPr>
          <w:rFonts w:hAnsi="宋体"/>
        </w:rPr>
      </w:pPr>
      <w:r>
        <w:rPr>
          <w:rFonts w:hint="eastAsia" w:hAnsi="宋体"/>
        </w:rPr>
        <w:t>电话：</w:t>
      </w:r>
      <w:bookmarkStart w:id="27" w:name="OLE_LINK15"/>
      <w:r>
        <w:rPr>
          <w:rFonts w:hint="eastAsia" w:hAnsi="宋体"/>
        </w:rPr>
        <w:t>0898-88380080</w:t>
      </w:r>
      <w:bookmarkEnd w:id="27"/>
    </w:p>
    <w:p>
      <w:pPr>
        <w:snapToGrid w:val="0"/>
        <w:spacing w:line="360" w:lineRule="auto"/>
        <w:ind w:firstLine="420" w:firstLineChars="200"/>
        <w:rPr>
          <w:rFonts w:hAnsi="宋体"/>
        </w:rPr>
      </w:pPr>
      <w:r>
        <w:rPr>
          <w:rFonts w:hint="eastAsia" w:hAnsi="宋体"/>
        </w:rPr>
        <w:t>代理机构：河南兴建建设管理有限公司</w:t>
      </w:r>
    </w:p>
    <w:p>
      <w:pPr>
        <w:snapToGrid w:val="0"/>
        <w:spacing w:line="360" w:lineRule="auto"/>
        <w:ind w:firstLine="420" w:firstLineChars="200"/>
        <w:rPr>
          <w:rFonts w:hAnsi="宋体"/>
        </w:rPr>
      </w:pPr>
      <w:r>
        <w:rPr>
          <w:rFonts w:hint="eastAsia" w:hAnsi="宋体"/>
        </w:rPr>
        <w:t>地址：海口市三叶东路玖九华府B栋904</w:t>
      </w:r>
    </w:p>
    <w:p>
      <w:pPr>
        <w:snapToGrid w:val="0"/>
        <w:spacing w:line="360" w:lineRule="auto"/>
        <w:ind w:firstLine="420" w:firstLineChars="200"/>
        <w:rPr>
          <w:rFonts w:hAnsi="宋体"/>
        </w:rPr>
      </w:pPr>
      <w:r>
        <w:rPr>
          <w:rFonts w:hint="eastAsia" w:hAnsi="宋体"/>
        </w:rPr>
        <w:t>联系人：陈先生</w:t>
      </w:r>
    </w:p>
    <w:p>
      <w:pPr>
        <w:snapToGrid w:val="0"/>
        <w:spacing w:line="360" w:lineRule="auto"/>
        <w:ind w:firstLine="420" w:firstLineChars="200"/>
        <w:rPr>
          <w:rFonts w:hAnsi="宋体"/>
        </w:rPr>
      </w:pPr>
      <w:r>
        <w:rPr>
          <w:rFonts w:hint="eastAsia" w:hAnsi="宋体"/>
        </w:rPr>
        <w:t>电话：</w:t>
      </w:r>
      <w:bookmarkStart w:id="28" w:name="OLE_LINK13"/>
      <w:r>
        <w:rPr>
          <w:rFonts w:hint="eastAsia" w:ascii="Times New Roman" w:hAnsi="Times New Roman" w:cs="Times New Roman"/>
        </w:rPr>
        <w:t>13976188121</w:t>
      </w:r>
      <w:bookmarkEnd w:id="28"/>
    </w:p>
    <w:p/>
    <w:p>
      <w:pPr>
        <w:snapToGrid w:val="0"/>
        <w:spacing w:line="360" w:lineRule="auto"/>
        <w:jc w:val="center"/>
        <w:rPr>
          <w:rFonts w:hAnsi="宋体" w:cs="宋体"/>
        </w:rPr>
      </w:pPr>
      <w:r>
        <w:rPr>
          <w:rFonts w:hint="eastAsia" w:ascii="宋体" w:hAnsi="宋体" w:cs="宋体"/>
          <w:kern w:val="0"/>
        </w:rPr>
        <w:t>河南兴建建设管理有限公司</w:t>
      </w:r>
    </w:p>
    <w:p>
      <w:pPr>
        <w:pStyle w:val="229"/>
        <w:spacing w:line="360" w:lineRule="auto"/>
      </w:pPr>
      <w:r>
        <w:t>窗体顶端</w:t>
      </w:r>
    </w:p>
    <w:p>
      <w:pPr>
        <w:widowControl/>
        <w:spacing w:line="360" w:lineRule="auto"/>
        <w:ind w:left="300" w:right="300"/>
        <w:jc w:val="center"/>
        <w:rPr>
          <w:rFonts w:hAnsi="宋体" w:cs="宋体"/>
        </w:rPr>
      </w:pPr>
      <w:r>
        <w:rPr>
          <w:rFonts w:hint="eastAsia"/>
        </w:rPr>
        <w:t>二〇一八年</w:t>
      </w:r>
      <w:r>
        <w:rPr>
          <w:rFonts w:hint="eastAsia"/>
          <w:lang w:eastAsia="zh-CN"/>
        </w:rPr>
        <w:t>五</w:t>
      </w:r>
      <w:r>
        <w:rPr>
          <w:rFonts w:hint="eastAsia"/>
        </w:rPr>
        <w:t>月</w:t>
      </w:r>
      <w:r>
        <w:rPr>
          <w:rFonts w:hint="eastAsia"/>
          <w:lang w:eastAsia="zh-CN"/>
        </w:rPr>
        <w:t>二十八</w:t>
      </w:r>
      <w:r>
        <w:rPr>
          <w:rFonts w:hint="eastAsia"/>
        </w:rPr>
        <w:t>日</w:t>
      </w:r>
    </w:p>
    <w:p>
      <w:pPr>
        <w:widowControl/>
        <w:jc w:val="left"/>
        <w:rPr>
          <w:rFonts w:hAnsi="宋体" w:cs="宋体"/>
        </w:rPr>
      </w:pPr>
    </w:p>
    <w:p>
      <w:pPr>
        <w:widowControl/>
        <w:jc w:val="left"/>
        <w:rPr>
          <w:rFonts w:hAnsi="宋体" w:cs="宋体"/>
        </w:rPr>
      </w:pPr>
    </w:p>
    <w:p>
      <w:pPr>
        <w:tabs>
          <w:tab w:val="left" w:pos="4680"/>
        </w:tabs>
        <w:snapToGrid w:val="0"/>
        <w:spacing w:line="360" w:lineRule="auto"/>
        <w:ind w:firstLine="596" w:firstLineChars="198"/>
        <w:jc w:val="center"/>
        <w:outlineLvl w:val="0"/>
        <w:rPr>
          <w:rFonts w:ascii="黑体" w:hAnsi="仿宋_GB2312" w:cs="宋体"/>
          <w:b/>
          <w:bCs/>
          <w:sz w:val="30"/>
          <w:szCs w:val="30"/>
        </w:rPr>
        <w:sectPr>
          <w:pgSz w:w="11907" w:h="16840"/>
          <w:pgMar w:top="1418" w:right="1134" w:bottom="1361" w:left="1134" w:header="794" w:footer="794" w:gutter="0"/>
          <w:cols w:space="720" w:num="1"/>
          <w:docGrid w:linePitch="285" w:charSpace="0"/>
        </w:sectPr>
      </w:pPr>
    </w:p>
    <w:p>
      <w:pPr>
        <w:tabs>
          <w:tab w:val="left" w:pos="4680"/>
        </w:tabs>
        <w:snapToGrid w:val="0"/>
        <w:spacing w:line="360" w:lineRule="auto"/>
        <w:ind w:firstLine="596" w:firstLineChars="198"/>
        <w:jc w:val="center"/>
        <w:outlineLvl w:val="0"/>
        <w:rPr>
          <w:rFonts w:ascii="黑体" w:hAnsi="仿宋_GB2312" w:cs="宋体"/>
          <w:b/>
          <w:bCs/>
          <w:sz w:val="30"/>
          <w:szCs w:val="30"/>
        </w:rPr>
      </w:pPr>
      <w:bookmarkStart w:id="29" w:name="_Toc500150904"/>
      <w:r>
        <w:rPr>
          <w:rFonts w:hint="eastAsia" w:ascii="黑体" w:hAnsi="仿宋_GB2312" w:cs="宋体"/>
          <w:b/>
          <w:bCs/>
          <w:sz w:val="30"/>
          <w:szCs w:val="30"/>
        </w:rPr>
        <w:t>第二部分投标人须知</w:t>
      </w:r>
      <w:bookmarkEnd w:id="22"/>
      <w:bookmarkEnd w:id="24"/>
      <w:bookmarkEnd w:id="29"/>
      <w:bookmarkStart w:id="30" w:name="_Toc238907001"/>
    </w:p>
    <w:p>
      <w:pPr>
        <w:tabs>
          <w:tab w:val="left" w:pos="540"/>
          <w:tab w:val="left" w:pos="720"/>
        </w:tabs>
        <w:spacing w:before="100" w:beforeAutospacing="1" w:after="100" w:afterAutospacing="1" w:line="360" w:lineRule="auto"/>
        <w:jc w:val="left"/>
        <w:outlineLvl w:val="1"/>
        <w:rPr>
          <w:b/>
          <w:szCs w:val="36"/>
        </w:rPr>
      </w:pPr>
      <w:bookmarkStart w:id="31" w:name="_Toc30515"/>
      <w:bookmarkStart w:id="32" w:name="_Toc500150905"/>
      <w:bookmarkStart w:id="33" w:name="_Toc389164169"/>
      <w:bookmarkStart w:id="34" w:name="_Toc392583285"/>
      <w:bookmarkStart w:id="35" w:name="_Toc305"/>
      <w:bookmarkStart w:id="36" w:name="_Toc7815"/>
      <w:bookmarkStart w:id="37" w:name="_Toc8532"/>
      <w:bookmarkStart w:id="38" w:name="_Toc5801"/>
      <w:bookmarkStart w:id="39" w:name="_Toc32474"/>
      <w:bookmarkStart w:id="40" w:name="_Toc16328"/>
      <w:bookmarkStart w:id="41" w:name="_Toc19596"/>
      <w:bookmarkStart w:id="42" w:name="_Toc3839"/>
      <w:bookmarkStart w:id="43" w:name="_Toc973"/>
      <w:r>
        <w:rPr>
          <w:rFonts w:hint="eastAsia"/>
          <w:b/>
          <w:szCs w:val="36"/>
        </w:rPr>
        <w:t>投标人须知前附表</w:t>
      </w:r>
      <w:bookmarkEnd w:id="31"/>
      <w:bookmarkEnd w:id="32"/>
      <w:bookmarkEnd w:id="33"/>
      <w:bookmarkEnd w:id="34"/>
      <w:bookmarkEnd w:id="35"/>
      <w:bookmarkEnd w:id="36"/>
      <w:bookmarkEnd w:id="37"/>
      <w:bookmarkEnd w:id="38"/>
      <w:bookmarkEnd w:id="39"/>
      <w:bookmarkEnd w:id="40"/>
      <w:bookmarkEnd w:id="41"/>
      <w:bookmarkEnd w:id="42"/>
      <w:bookmarkEnd w:id="43"/>
    </w:p>
    <w:tbl>
      <w:tblPr>
        <w:tblStyle w:val="5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075"/>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pStyle w:val="222"/>
              <w:spacing w:line="360" w:lineRule="auto"/>
              <w:ind w:left="-105" w:leftChars="-50" w:right="-105" w:rightChars="-50"/>
              <w:jc w:val="center"/>
              <w:rPr>
                <w:b/>
                <w:color w:val="auto"/>
              </w:rPr>
            </w:pPr>
            <w:r>
              <w:rPr>
                <w:rFonts w:hint="eastAsia"/>
                <w:b/>
                <w:color w:val="auto"/>
                <w:lang w:eastAsia="zh-CN"/>
              </w:rPr>
              <w:t>条款</w:t>
            </w:r>
            <w:r>
              <w:rPr>
                <w:rFonts w:hint="eastAsia"/>
                <w:b/>
                <w:color w:val="auto"/>
              </w:rPr>
              <w:t>号</w:t>
            </w:r>
          </w:p>
        </w:tc>
        <w:tc>
          <w:tcPr>
            <w:tcW w:w="2075" w:type="dxa"/>
            <w:vAlign w:val="center"/>
          </w:tcPr>
          <w:p>
            <w:pPr>
              <w:pStyle w:val="222"/>
              <w:spacing w:line="360" w:lineRule="auto"/>
              <w:jc w:val="center"/>
              <w:rPr>
                <w:b/>
                <w:color w:val="auto"/>
                <w:lang w:eastAsia="zh-CN"/>
              </w:rPr>
            </w:pPr>
            <w:r>
              <w:rPr>
                <w:rFonts w:hint="eastAsia"/>
                <w:b/>
                <w:color w:val="auto"/>
                <w:lang w:eastAsia="zh-CN"/>
              </w:rPr>
              <w:t>条款名称</w:t>
            </w:r>
          </w:p>
        </w:tc>
        <w:tc>
          <w:tcPr>
            <w:tcW w:w="6826" w:type="dxa"/>
            <w:vAlign w:val="center"/>
          </w:tcPr>
          <w:p>
            <w:pPr>
              <w:pStyle w:val="222"/>
              <w:spacing w:line="360" w:lineRule="auto"/>
              <w:jc w:val="center"/>
              <w:rPr>
                <w:b/>
                <w:color w:val="auto"/>
              </w:rPr>
            </w:pPr>
            <w:r>
              <w:rPr>
                <w:rFonts w:hint="eastAsia"/>
                <w:b/>
                <w:color w:val="auto"/>
                <w:lang w:eastAsia="zh-CN"/>
              </w:rPr>
              <w:t>编列</w:t>
            </w:r>
            <w:r>
              <w:rPr>
                <w:rFonts w:hint="eastAsia"/>
                <w:b/>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w:t>
            </w:r>
          </w:p>
        </w:tc>
        <w:tc>
          <w:tcPr>
            <w:tcW w:w="2075" w:type="dxa"/>
            <w:vAlign w:val="center"/>
          </w:tcPr>
          <w:p>
            <w:pPr>
              <w:pStyle w:val="222"/>
              <w:spacing w:line="440" w:lineRule="exact"/>
              <w:jc w:val="center"/>
              <w:rPr>
                <w:color w:val="auto"/>
                <w:lang w:eastAsia="zh-CN"/>
              </w:rPr>
            </w:pPr>
            <w:r>
              <w:rPr>
                <w:rFonts w:hint="eastAsia"/>
                <w:color w:val="auto"/>
                <w:lang w:eastAsia="zh-CN"/>
              </w:rPr>
              <w:t>项目名称</w:t>
            </w:r>
          </w:p>
        </w:tc>
        <w:tc>
          <w:tcPr>
            <w:tcW w:w="6826" w:type="dxa"/>
            <w:vAlign w:val="center"/>
          </w:tcPr>
          <w:p>
            <w:pPr>
              <w:spacing w:line="440" w:lineRule="exact"/>
              <w:rPr>
                <w:rFonts w:ascii="Times New Roman" w:hAnsi="Times New Roman" w:cs="Times New Roman"/>
                <w:kern w:val="0"/>
              </w:rPr>
            </w:pPr>
            <w:r>
              <w:rPr>
                <w:rFonts w:hint="eastAsia" w:hAnsi="宋体"/>
              </w:rPr>
              <w:t>深海科考实验研究与岸基保障平台——</w:t>
            </w:r>
            <w:r>
              <w:rPr>
                <w:rFonts w:hint="eastAsia" w:ascii="宋体" w:hAnsi="宋体" w:cs="宋体"/>
                <w:kern w:val="0"/>
                <w:lang w:val="en-GB"/>
              </w:rPr>
              <w:t>三亚深海科考码头工程环境影响评价项目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2.2</w:t>
            </w:r>
          </w:p>
        </w:tc>
        <w:tc>
          <w:tcPr>
            <w:tcW w:w="2075" w:type="dxa"/>
            <w:vAlign w:val="center"/>
          </w:tcPr>
          <w:p>
            <w:pPr>
              <w:pStyle w:val="222"/>
              <w:spacing w:line="440" w:lineRule="exact"/>
              <w:jc w:val="center"/>
              <w:rPr>
                <w:color w:val="auto"/>
                <w:lang w:eastAsia="zh-CN"/>
              </w:rPr>
            </w:pPr>
            <w:r>
              <w:rPr>
                <w:rFonts w:hint="eastAsia"/>
                <w:color w:val="auto"/>
                <w:lang w:eastAsia="zh-CN"/>
              </w:rPr>
              <w:t>项目编号</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b/>
                <w:bCs/>
                <w:kern w:val="0"/>
              </w:rPr>
              <w:t>HNXJSY201807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2.3</w:t>
            </w:r>
          </w:p>
        </w:tc>
        <w:tc>
          <w:tcPr>
            <w:tcW w:w="2075" w:type="dxa"/>
            <w:vAlign w:val="center"/>
          </w:tcPr>
          <w:p>
            <w:pPr>
              <w:pStyle w:val="222"/>
              <w:spacing w:line="440" w:lineRule="exact"/>
              <w:jc w:val="center"/>
              <w:rPr>
                <w:color w:val="auto"/>
                <w:lang w:eastAsia="zh-CN"/>
              </w:rPr>
            </w:pPr>
            <w:r>
              <w:rPr>
                <w:rFonts w:hint="eastAsia"/>
                <w:color w:val="auto"/>
                <w:lang w:eastAsia="zh-CN"/>
              </w:rPr>
              <w:t>招标人</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名称：</w:t>
            </w:r>
            <w:r>
              <w:rPr>
                <w:rFonts w:hint="eastAsia" w:hAnsi="宋体"/>
              </w:rPr>
              <w:t>中国科学院深海科学与工程研究所</w:t>
            </w:r>
          </w:p>
          <w:p>
            <w:pPr>
              <w:spacing w:line="440" w:lineRule="exact"/>
              <w:rPr>
                <w:rFonts w:ascii="Times New Roman" w:hAnsi="Times New Roman" w:cs="Times New Roman"/>
                <w:kern w:val="0"/>
              </w:rPr>
            </w:pPr>
            <w:r>
              <w:rPr>
                <w:rFonts w:hint="eastAsia" w:ascii="Times New Roman" w:hAnsi="Times New Roman" w:cs="Times New Roman"/>
                <w:kern w:val="0"/>
              </w:rPr>
              <w:t>地点</w:t>
            </w:r>
            <w:bookmarkStart w:id="44" w:name="OLE_LINK12"/>
            <w:r>
              <w:rPr>
                <w:rFonts w:hint="eastAsia" w:ascii="Times New Roman" w:hAnsi="Times New Roman" w:cs="Times New Roman"/>
                <w:kern w:val="0"/>
              </w:rPr>
              <w:t>：</w:t>
            </w:r>
            <w:bookmarkEnd w:id="44"/>
          </w:p>
          <w:p>
            <w:pPr>
              <w:spacing w:line="440" w:lineRule="exact"/>
              <w:rPr>
                <w:rFonts w:ascii="Times New Roman" w:hAnsi="Times New Roman" w:cs="Times New Roman"/>
                <w:kern w:val="0"/>
              </w:rPr>
            </w:pPr>
            <w:r>
              <w:rPr>
                <w:rFonts w:hint="eastAsia" w:ascii="Times New Roman" w:hAnsi="Times New Roman" w:cs="Times New Roman"/>
                <w:kern w:val="0"/>
              </w:rPr>
              <w:t>联系人：</w:t>
            </w:r>
            <w:r>
              <w:rPr>
                <w:rFonts w:hint="eastAsia" w:hAnsi="宋体"/>
              </w:rPr>
              <w:t>张先生</w:t>
            </w:r>
          </w:p>
          <w:p>
            <w:pPr>
              <w:spacing w:line="440" w:lineRule="exact"/>
              <w:rPr>
                <w:rFonts w:ascii="Times New Roman" w:hAnsi="Times New Roman" w:cs="Times New Roman"/>
                <w:kern w:val="0"/>
              </w:rPr>
            </w:pPr>
            <w:r>
              <w:rPr>
                <w:rFonts w:hint="eastAsia" w:ascii="Times New Roman" w:hAnsi="Times New Roman" w:cs="Times New Roman"/>
                <w:kern w:val="0"/>
              </w:rPr>
              <w:t>电话：</w:t>
            </w:r>
            <w:r>
              <w:rPr>
                <w:rFonts w:hint="eastAsia" w:hAnsi="宋体"/>
              </w:rPr>
              <w:t>0898-88380080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2.4</w:t>
            </w:r>
          </w:p>
        </w:tc>
        <w:tc>
          <w:tcPr>
            <w:tcW w:w="2075" w:type="dxa"/>
            <w:vAlign w:val="center"/>
          </w:tcPr>
          <w:p>
            <w:pPr>
              <w:pStyle w:val="222"/>
              <w:spacing w:line="440" w:lineRule="exact"/>
              <w:jc w:val="center"/>
              <w:rPr>
                <w:color w:val="auto"/>
                <w:lang w:eastAsia="zh-CN"/>
              </w:rPr>
            </w:pPr>
            <w:r>
              <w:rPr>
                <w:rFonts w:hint="eastAsia"/>
                <w:color w:val="auto"/>
                <w:lang w:eastAsia="zh-CN"/>
              </w:rPr>
              <w:t>代理机构</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名称: 河南兴建建设管理有限公司</w:t>
            </w:r>
          </w:p>
          <w:p>
            <w:pPr>
              <w:spacing w:line="440" w:lineRule="exact"/>
              <w:rPr>
                <w:rFonts w:ascii="Times New Roman" w:hAnsi="Times New Roman" w:cs="Times New Roman"/>
                <w:kern w:val="0"/>
              </w:rPr>
            </w:pPr>
            <w:r>
              <w:rPr>
                <w:rFonts w:hint="eastAsia" w:ascii="Times New Roman" w:hAnsi="Times New Roman" w:cs="Times New Roman"/>
                <w:kern w:val="0"/>
              </w:rPr>
              <w:t>地址：海口市三叶东路玖九华府B栋904</w:t>
            </w:r>
          </w:p>
          <w:p>
            <w:pPr>
              <w:spacing w:line="440" w:lineRule="exact"/>
              <w:rPr>
                <w:rFonts w:ascii="Times New Roman" w:hAnsi="Times New Roman" w:cs="Times New Roman"/>
                <w:kern w:val="0"/>
              </w:rPr>
            </w:pPr>
            <w:r>
              <w:rPr>
                <w:rFonts w:hint="eastAsia" w:ascii="Times New Roman" w:hAnsi="Times New Roman" w:cs="Times New Roman"/>
                <w:kern w:val="0"/>
              </w:rPr>
              <w:t>联系人：陈</w:t>
            </w:r>
            <w:r>
              <w:rPr>
                <w:rFonts w:hint="eastAsia" w:ascii="Times New Roman" w:hAnsi="Times New Roman" w:cs="Times New Roman"/>
                <w:kern w:val="0"/>
                <w:lang w:eastAsia="zh-CN"/>
              </w:rPr>
              <w:t>先生</w:t>
            </w:r>
          </w:p>
          <w:p>
            <w:pPr>
              <w:spacing w:line="440" w:lineRule="exact"/>
              <w:rPr>
                <w:rFonts w:ascii="Times New Roman" w:hAnsi="Times New Roman" w:cs="Times New Roman"/>
                <w:kern w:val="0"/>
              </w:rPr>
            </w:pPr>
            <w:r>
              <w:rPr>
                <w:rFonts w:hint="eastAsia" w:ascii="Times New Roman" w:hAnsi="Times New Roman" w:cs="Times New Roman"/>
                <w:kern w:val="0"/>
              </w:rPr>
              <w:t>电话</w:t>
            </w:r>
            <w:bookmarkStart w:id="45" w:name="OLE_LINK14"/>
            <w:r>
              <w:rPr>
                <w:rFonts w:hint="eastAsia" w:ascii="Times New Roman" w:hAnsi="Times New Roman" w:cs="Times New Roman"/>
                <w:kern w:val="0"/>
              </w:rPr>
              <w:t>：</w:t>
            </w:r>
            <w:bookmarkEnd w:id="45"/>
            <w:r>
              <w:rPr>
                <w:rFonts w:hint="eastAsia" w:ascii="Times New Roman" w:hAnsi="Times New Roman" w:cs="Times New Roman"/>
              </w:rPr>
              <w:t>13976188121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w:t>
            </w:r>
          </w:p>
        </w:tc>
        <w:tc>
          <w:tcPr>
            <w:tcW w:w="2075" w:type="dxa"/>
            <w:vAlign w:val="center"/>
          </w:tcPr>
          <w:p>
            <w:pPr>
              <w:pStyle w:val="222"/>
              <w:spacing w:line="440" w:lineRule="exact"/>
              <w:jc w:val="center"/>
              <w:rPr>
                <w:color w:val="auto"/>
                <w:lang w:eastAsia="zh-CN"/>
              </w:rPr>
            </w:pPr>
            <w:r>
              <w:rPr>
                <w:rFonts w:hint="eastAsia"/>
                <w:color w:val="auto"/>
                <w:lang w:eastAsia="zh-CN"/>
              </w:rPr>
              <w:t>预算金额</w:t>
            </w:r>
          </w:p>
        </w:tc>
        <w:tc>
          <w:tcPr>
            <w:tcW w:w="6826" w:type="dxa"/>
            <w:vAlign w:val="center"/>
          </w:tcPr>
          <w:p>
            <w:pPr>
              <w:pStyle w:val="222"/>
              <w:spacing w:line="440" w:lineRule="exact"/>
              <w:rPr>
                <w:color w:val="auto"/>
                <w:lang w:eastAsia="zh-CN"/>
              </w:rPr>
            </w:pPr>
            <w:r>
              <w:rPr>
                <w:rFonts w:hint="eastAsia"/>
                <w:color w:val="auto"/>
                <w:lang w:eastAsia="zh-CN"/>
              </w:rPr>
              <w:t>人民币150万元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w:t>
            </w:r>
          </w:p>
        </w:tc>
        <w:tc>
          <w:tcPr>
            <w:tcW w:w="2075" w:type="dxa"/>
            <w:vAlign w:val="center"/>
          </w:tcPr>
          <w:p>
            <w:pPr>
              <w:pStyle w:val="222"/>
              <w:spacing w:line="440" w:lineRule="exact"/>
              <w:jc w:val="center"/>
              <w:rPr>
                <w:color w:val="auto"/>
                <w:lang w:eastAsia="zh-CN"/>
              </w:rPr>
            </w:pPr>
            <w:r>
              <w:rPr>
                <w:rFonts w:hint="eastAsia"/>
                <w:color w:val="auto"/>
                <w:lang w:eastAsia="zh-CN"/>
              </w:rPr>
              <w:t>资金来源</w:t>
            </w:r>
          </w:p>
        </w:tc>
        <w:tc>
          <w:tcPr>
            <w:tcW w:w="6826" w:type="dxa"/>
            <w:vAlign w:val="center"/>
          </w:tcPr>
          <w:p>
            <w:pPr>
              <w:pStyle w:val="222"/>
              <w:spacing w:line="440" w:lineRule="exact"/>
              <w:rPr>
                <w:color w:val="auto"/>
                <w:lang w:eastAsia="zh-CN"/>
              </w:rPr>
            </w:pPr>
            <w:r>
              <w:rPr>
                <w:rFonts w:hint="eastAsia"/>
                <w:color w:val="auto"/>
                <w:lang w:eastAsia="zh-CN"/>
              </w:rPr>
              <w:t>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4" w:type="dxa"/>
            <w:vAlign w:val="center"/>
          </w:tcPr>
          <w:p>
            <w:pPr>
              <w:spacing w:line="440" w:lineRule="exact"/>
              <w:jc w:val="center"/>
              <w:rPr>
                <w:bCs/>
                <w:kern w:val="0"/>
              </w:rPr>
            </w:pPr>
            <w:r>
              <w:rPr>
                <w:rFonts w:hint="eastAsia"/>
                <w:bCs/>
                <w:kern w:val="0"/>
              </w:rPr>
              <w:t>2.7</w:t>
            </w:r>
          </w:p>
        </w:tc>
        <w:tc>
          <w:tcPr>
            <w:tcW w:w="2075" w:type="dxa"/>
            <w:vAlign w:val="center"/>
          </w:tcPr>
          <w:p>
            <w:pPr>
              <w:pStyle w:val="222"/>
              <w:spacing w:line="440" w:lineRule="exact"/>
              <w:jc w:val="center"/>
              <w:rPr>
                <w:color w:val="auto"/>
                <w:lang w:eastAsia="zh-CN"/>
              </w:rPr>
            </w:pPr>
            <w:r>
              <w:rPr>
                <w:rFonts w:hint="eastAsia"/>
                <w:color w:val="auto"/>
                <w:lang w:eastAsia="zh-CN"/>
              </w:rPr>
              <w:t>资质要求</w:t>
            </w:r>
          </w:p>
        </w:tc>
        <w:tc>
          <w:tcPr>
            <w:tcW w:w="6826" w:type="dxa"/>
            <w:vAlign w:val="center"/>
          </w:tcPr>
          <w:p>
            <w:pPr>
              <w:snapToGrid w:val="0"/>
              <w:spacing w:line="360" w:lineRule="auto"/>
              <w:rPr>
                <w:rFonts w:hAnsi="宋体"/>
              </w:rPr>
            </w:pPr>
            <w:r>
              <w:rPr>
                <w:rFonts w:hint="eastAsia" w:hAnsi="宋体"/>
              </w:rPr>
              <w:t>1、符合《中华人民共和国政府采购法》第二十二条规定；</w:t>
            </w:r>
          </w:p>
          <w:p>
            <w:pPr>
              <w:snapToGrid w:val="0"/>
              <w:spacing w:line="360" w:lineRule="auto"/>
              <w:rPr>
                <w:rFonts w:hAnsi="宋体"/>
              </w:rPr>
            </w:pPr>
            <w:r>
              <w:rPr>
                <w:rFonts w:hint="eastAsia" w:hAnsi="宋体"/>
              </w:rPr>
              <w:t>2、在中华人民共和国境内注册、具有独立承担民事责任能力的法人资格（提供营业执照或事业单位法人证书复印件）；</w:t>
            </w:r>
          </w:p>
          <w:p>
            <w:pPr>
              <w:snapToGrid w:val="0"/>
              <w:spacing w:line="360" w:lineRule="auto"/>
              <w:rPr>
                <w:rFonts w:hAnsi="宋体"/>
              </w:rPr>
            </w:pPr>
            <w:r>
              <w:rPr>
                <w:rFonts w:hint="eastAsia" w:hAnsi="宋体"/>
              </w:rPr>
              <w:t>3、具备建设项目环境影响评价（交通运输）甲级资质；</w:t>
            </w:r>
          </w:p>
          <w:p>
            <w:pPr>
              <w:snapToGrid w:val="0"/>
              <w:spacing w:line="360" w:lineRule="auto"/>
              <w:rPr>
                <w:rFonts w:hAnsi="宋体"/>
              </w:rPr>
            </w:pPr>
            <w:r>
              <w:rPr>
                <w:rFonts w:hint="eastAsia" w:hAnsi="宋体"/>
              </w:rPr>
              <w:t>4、根据《财政部关于在政府采购活动中查询及使用信用记录有关问题的通知》（财库〔2016〕125号）的要求，在政府采购活动中查询及使用信用记录。</w:t>
            </w:r>
          </w:p>
          <w:p>
            <w:pPr>
              <w:snapToGrid w:val="0"/>
              <w:spacing w:line="360" w:lineRule="auto"/>
              <w:ind w:firstLine="420" w:firstLineChars="200"/>
              <w:rPr>
                <w:bCs/>
                <w:kern w:val="0"/>
              </w:rPr>
            </w:pPr>
            <w:r>
              <w:rPr>
                <w:rFonts w:hint="eastAsia" w:hAnsi="宋体"/>
              </w:rPr>
              <w:t>查询渠道及截止时点：各级财政部门、采购人、采购代理机构、潜在供应商通过“信用中国”网站（www.creditchina.gov.cn）、中国政府采购网（www.ccgp.gov.cn）等渠道查询相关供应商的信用记录，并可根据实际需要引入其他信用信息。查询以本项目的公告时间为截止时间。(投标时提供加盖公章的网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54" w:type="dxa"/>
            <w:vAlign w:val="center"/>
          </w:tcPr>
          <w:p>
            <w:pPr>
              <w:spacing w:line="440" w:lineRule="exact"/>
              <w:jc w:val="center"/>
              <w:rPr>
                <w:bCs/>
                <w:kern w:val="0"/>
              </w:rPr>
            </w:pPr>
            <w:r>
              <w:rPr>
                <w:rFonts w:hint="eastAsia"/>
                <w:bCs/>
                <w:kern w:val="0"/>
              </w:rPr>
              <w:t>2.8</w:t>
            </w:r>
          </w:p>
        </w:tc>
        <w:tc>
          <w:tcPr>
            <w:tcW w:w="2075" w:type="dxa"/>
            <w:vAlign w:val="center"/>
          </w:tcPr>
          <w:p>
            <w:pPr>
              <w:pStyle w:val="222"/>
              <w:spacing w:line="440" w:lineRule="exact"/>
              <w:jc w:val="center"/>
              <w:rPr>
                <w:color w:val="auto"/>
                <w:lang w:eastAsia="zh-CN"/>
              </w:rPr>
            </w:pPr>
            <w:r>
              <w:rPr>
                <w:rFonts w:hint="eastAsia"/>
                <w:color w:val="auto"/>
                <w:lang w:eastAsia="zh-CN"/>
              </w:rPr>
              <w:t>服务周期</w:t>
            </w:r>
          </w:p>
        </w:tc>
        <w:tc>
          <w:tcPr>
            <w:tcW w:w="6826" w:type="dxa"/>
            <w:vAlign w:val="center"/>
          </w:tcPr>
          <w:p>
            <w:pPr>
              <w:spacing w:line="440" w:lineRule="exact"/>
            </w:pPr>
            <w:r>
              <w:rPr>
                <w:rFonts w:hint="eastAsia" w:hAnsi="宋体"/>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4" w:type="dxa"/>
            <w:vAlign w:val="center"/>
          </w:tcPr>
          <w:p>
            <w:pPr>
              <w:spacing w:line="440" w:lineRule="exact"/>
              <w:jc w:val="center"/>
              <w:rPr>
                <w:bCs/>
                <w:kern w:val="0"/>
              </w:rPr>
            </w:pPr>
            <w:r>
              <w:rPr>
                <w:rFonts w:hint="eastAsia"/>
                <w:bCs/>
                <w:kern w:val="0"/>
              </w:rPr>
              <w:t>4.3</w:t>
            </w:r>
          </w:p>
        </w:tc>
        <w:tc>
          <w:tcPr>
            <w:tcW w:w="2075" w:type="dxa"/>
            <w:vAlign w:val="center"/>
          </w:tcPr>
          <w:p>
            <w:pPr>
              <w:pStyle w:val="222"/>
              <w:spacing w:line="440" w:lineRule="exact"/>
              <w:jc w:val="center"/>
              <w:rPr>
                <w:color w:val="auto"/>
                <w:lang w:eastAsia="zh-CN"/>
              </w:rPr>
            </w:pPr>
            <w:r>
              <w:rPr>
                <w:rFonts w:hint="eastAsia"/>
                <w:color w:val="auto"/>
                <w:lang w:eastAsia="zh-CN"/>
              </w:rPr>
              <w:t>委托代表人</w:t>
            </w:r>
          </w:p>
          <w:p>
            <w:pPr>
              <w:pStyle w:val="222"/>
              <w:spacing w:line="440" w:lineRule="exact"/>
              <w:jc w:val="center"/>
              <w:rPr>
                <w:color w:val="auto"/>
                <w:lang w:eastAsia="zh-CN"/>
              </w:rPr>
            </w:pPr>
            <w:r>
              <w:rPr>
                <w:rFonts w:hint="eastAsia"/>
                <w:color w:val="auto"/>
                <w:lang w:eastAsia="zh-CN"/>
              </w:rPr>
              <w:t>的代理权限</w:t>
            </w:r>
          </w:p>
        </w:tc>
        <w:tc>
          <w:tcPr>
            <w:tcW w:w="6826" w:type="dxa"/>
            <w:vAlign w:val="center"/>
          </w:tcPr>
          <w:p>
            <w:pPr>
              <w:pStyle w:val="222"/>
              <w:spacing w:line="440" w:lineRule="exact"/>
              <w:rPr>
                <w:color w:val="auto"/>
                <w:lang w:eastAsia="zh-CN"/>
              </w:rPr>
            </w:pPr>
            <w:r>
              <w:rPr>
                <w:rFonts w:hint="eastAsia"/>
                <w:color w:val="auto"/>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Align w:val="center"/>
          </w:tcPr>
          <w:p>
            <w:pPr>
              <w:spacing w:line="440" w:lineRule="exact"/>
              <w:jc w:val="center"/>
              <w:rPr>
                <w:bCs/>
                <w:kern w:val="0"/>
              </w:rPr>
            </w:pPr>
            <w:r>
              <w:rPr>
                <w:rFonts w:hint="eastAsia"/>
                <w:bCs/>
                <w:kern w:val="0"/>
              </w:rPr>
              <w:t>8.1</w:t>
            </w:r>
          </w:p>
        </w:tc>
        <w:tc>
          <w:tcPr>
            <w:tcW w:w="2075" w:type="dxa"/>
            <w:vAlign w:val="center"/>
          </w:tcPr>
          <w:p>
            <w:pPr>
              <w:pStyle w:val="222"/>
              <w:spacing w:line="440" w:lineRule="exact"/>
              <w:jc w:val="center"/>
              <w:rPr>
                <w:color w:val="auto"/>
                <w:lang w:eastAsia="zh-CN"/>
              </w:rPr>
            </w:pPr>
            <w:r>
              <w:rPr>
                <w:rFonts w:hint="eastAsia"/>
                <w:color w:val="auto"/>
                <w:lang w:eastAsia="zh-CN"/>
              </w:rPr>
              <w:t>答疑会和</w:t>
            </w:r>
          </w:p>
          <w:p>
            <w:pPr>
              <w:pStyle w:val="222"/>
              <w:spacing w:line="440" w:lineRule="exact"/>
              <w:jc w:val="center"/>
              <w:rPr>
                <w:color w:val="auto"/>
                <w:lang w:eastAsia="zh-CN"/>
              </w:rPr>
            </w:pPr>
            <w:r>
              <w:rPr>
                <w:rFonts w:hint="eastAsia"/>
                <w:color w:val="auto"/>
                <w:lang w:eastAsia="zh-CN"/>
              </w:rPr>
              <w:t>现场考察</w:t>
            </w:r>
          </w:p>
        </w:tc>
        <w:tc>
          <w:tcPr>
            <w:tcW w:w="6826" w:type="dxa"/>
            <w:vAlign w:val="center"/>
          </w:tcPr>
          <w:p>
            <w:pPr>
              <w:pStyle w:val="222"/>
              <w:spacing w:line="440" w:lineRule="exact"/>
              <w:rPr>
                <w:color w:val="auto"/>
                <w:lang w:eastAsia="zh-CN"/>
              </w:rPr>
            </w:pPr>
            <w:r>
              <w:rPr>
                <w:rFonts w:hint="eastAsia"/>
                <w:color w:val="auto"/>
                <w:lang w:eastAsia="zh-CN"/>
              </w:rPr>
              <w:t>招标人不组织投标人统一考察现场，投标人可依据自身的情况，自行对现场进行考察，并对考察结果负责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54" w:type="dxa"/>
            <w:vAlign w:val="center"/>
          </w:tcPr>
          <w:p>
            <w:pPr>
              <w:spacing w:line="440" w:lineRule="exact"/>
              <w:jc w:val="center"/>
              <w:rPr>
                <w:bCs/>
                <w:kern w:val="0"/>
              </w:rPr>
            </w:pPr>
            <w:r>
              <w:rPr>
                <w:rFonts w:hint="eastAsia"/>
                <w:bCs/>
                <w:kern w:val="0"/>
              </w:rPr>
              <w:t>10.1</w:t>
            </w:r>
          </w:p>
        </w:tc>
        <w:tc>
          <w:tcPr>
            <w:tcW w:w="2075" w:type="dxa"/>
            <w:vAlign w:val="center"/>
          </w:tcPr>
          <w:p>
            <w:pPr>
              <w:pStyle w:val="222"/>
              <w:spacing w:line="440" w:lineRule="exact"/>
              <w:jc w:val="center"/>
              <w:rPr>
                <w:color w:val="auto"/>
                <w:lang w:eastAsia="zh-CN"/>
              </w:rPr>
            </w:pPr>
            <w:r>
              <w:rPr>
                <w:rFonts w:hint="eastAsia"/>
                <w:color w:val="auto"/>
                <w:lang w:eastAsia="zh-CN"/>
              </w:rPr>
              <w:t>联合体投标</w:t>
            </w:r>
          </w:p>
        </w:tc>
        <w:tc>
          <w:tcPr>
            <w:tcW w:w="6826" w:type="dxa"/>
            <w:vAlign w:val="center"/>
          </w:tcPr>
          <w:p>
            <w:pPr>
              <w:pStyle w:val="222"/>
              <w:spacing w:line="440" w:lineRule="exact"/>
              <w:rPr>
                <w:color w:val="auto"/>
                <w:lang w:eastAsia="zh-CN"/>
              </w:rPr>
            </w:pPr>
            <w:r>
              <w:rPr>
                <w:rFonts w:hint="eastAsia"/>
                <w:color w:val="auto"/>
                <w:lang w:eastAsia="zh-CN"/>
              </w:rPr>
              <w:t>不接受联合体投标，本次招标不允许分包。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13.4</w:t>
            </w:r>
          </w:p>
        </w:tc>
        <w:tc>
          <w:tcPr>
            <w:tcW w:w="2075" w:type="dxa"/>
            <w:vAlign w:val="center"/>
          </w:tcPr>
          <w:p>
            <w:pPr>
              <w:pStyle w:val="222"/>
              <w:spacing w:line="440" w:lineRule="exact"/>
              <w:jc w:val="center"/>
              <w:rPr>
                <w:color w:val="auto"/>
                <w:lang w:eastAsia="zh-CN"/>
              </w:rPr>
            </w:pPr>
            <w:r>
              <w:rPr>
                <w:rFonts w:hint="eastAsia"/>
                <w:color w:val="auto"/>
                <w:lang w:eastAsia="zh-CN"/>
              </w:rPr>
              <w:t>报价范围</w:t>
            </w:r>
          </w:p>
        </w:tc>
        <w:tc>
          <w:tcPr>
            <w:tcW w:w="6826" w:type="dxa"/>
            <w:vAlign w:val="center"/>
          </w:tcPr>
          <w:p>
            <w:pPr>
              <w:spacing w:line="440" w:lineRule="exact"/>
              <w:rPr>
                <w:bCs/>
                <w:kern w:val="0"/>
              </w:rPr>
            </w:pPr>
            <w:r>
              <w:rPr>
                <w:rFonts w:hint="eastAsia"/>
                <w:bCs/>
                <w:kern w:val="0"/>
              </w:rPr>
              <w:t>报价上限：</w:t>
            </w:r>
            <w:r>
              <w:rPr>
                <w:rFonts w:hint="eastAsia" w:hAnsi="宋体"/>
              </w:rPr>
              <w:t>1500000.00</w:t>
            </w:r>
            <w:r>
              <w:rPr>
                <w:rFonts w:hint="eastAsia"/>
                <w:bCs/>
                <w:kern w:val="0"/>
              </w:rPr>
              <w:t>元，</w:t>
            </w:r>
            <w:r>
              <w:rPr>
                <w:rFonts w:hint="eastAsia"/>
              </w:rPr>
              <w:t>超出</w:t>
            </w:r>
            <w:r>
              <w:rPr>
                <w:rFonts w:hint="eastAsia"/>
                <w:bCs/>
                <w:kern w:val="0"/>
              </w:rPr>
              <w:t>报价上限</w:t>
            </w:r>
            <w:r>
              <w:rPr>
                <w:rFonts w:hint="eastAsia"/>
              </w:rPr>
              <w:t>的投标废标。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54" w:type="dxa"/>
            <w:vAlign w:val="center"/>
          </w:tcPr>
          <w:p>
            <w:pPr>
              <w:spacing w:line="440" w:lineRule="exact"/>
              <w:jc w:val="center"/>
              <w:rPr>
                <w:bCs/>
                <w:kern w:val="0"/>
              </w:rPr>
            </w:pPr>
            <w:r>
              <w:rPr>
                <w:rFonts w:hint="eastAsia"/>
                <w:bCs/>
                <w:kern w:val="0"/>
              </w:rPr>
              <w:t>14.1</w:t>
            </w:r>
          </w:p>
        </w:tc>
        <w:tc>
          <w:tcPr>
            <w:tcW w:w="2075" w:type="dxa"/>
            <w:vAlign w:val="center"/>
          </w:tcPr>
          <w:p>
            <w:pPr>
              <w:pStyle w:val="222"/>
              <w:spacing w:line="440" w:lineRule="exact"/>
              <w:jc w:val="center"/>
              <w:rPr>
                <w:color w:val="auto"/>
                <w:szCs w:val="22"/>
                <w:lang w:eastAsia="zh-CN"/>
              </w:rPr>
            </w:pPr>
            <w:r>
              <w:rPr>
                <w:rFonts w:hint="eastAsia"/>
                <w:color w:val="auto"/>
                <w:szCs w:val="22"/>
                <w:lang w:eastAsia="zh-CN"/>
              </w:rPr>
              <w:t>投标保证金金额</w:t>
            </w:r>
          </w:p>
        </w:tc>
        <w:tc>
          <w:tcPr>
            <w:tcW w:w="6826" w:type="dxa"/>
            <w:vAlign w:val="center"/>
          </w:tcPr>
          <w:p>
            <w:pPr>
              <w:pStyle w:val="222"/>
              <w:rPr>
                <w:color w:val="auto"/>
                <w:szCs w:val="22"/>
                <w:lang w:eastAsia="zh-CN"/>
              </w:rPr>
            </w:pPr>
            <w:r>
              <w:rPr>
                <w:rFonts w:hint="eastAsia"/>
                <w:color w:val="auto"/>
                <w:szCs w:val="2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15.1</w:t>
            </w:r>
          </w:p>
        </w:tc>
        <w:tc>
          <w:tcPr>
            <w:tcW w:w="2075" w:type="dxa"/>
            <w:vAlign w:val="center"/>
          </w:tcPr>
          <w:p>
            <w:pPr>
              <w:pStyle w:val="222"/>
              <w:spacing w:line="440" w:lineRule="exact"/>
              <w:jc w:val="center"/>
              <w:rPr>
                <w:color w:val="auto"/>
                <w:lang w:eastAsia="zh-CN"/>
              </w:rPr>
            </w:pPr>
            <w:r>
              <w:rPr>
                <w:rFonts w:hint="eastAsia"/>
                <w:color w:val="auto"/>
                <w:lang w:eastAsia="zh-CN"/>
              </w:rPr>
              <w:t>投标有效期</w:t>
            </w:r>
          </w:p>
        </w:tc>
        <w:tc>
          <w:tcPr>
            <w:tcW w:w="6826" w:type="dxa"/>
            <w:vAlign w:val="center"/>
          </w:tcPr>
          <w:p>
            <w:pPr>
              <w:pStyle w:val="222"/>
              <w:spacing w:line="440" w:lineRule="exact"/>
              <w:rPr>
                <w:color w:val="auto"/>
                <w:lang w:eastAsia="zh-CN"/>
              </w:rPr>
            </w:pPr>
            <w:r>
              <w:rPr>
                <w:rFonts w:hint="eastAsia"/>
                <w:color w:val="auto"/>
                <w:lang w:eastAsia="zh-CN"/>
              </w:rPr>
              <w:t>自开标之日起90天。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16.1</w:t>
            </w:r>
          </w:p>
        </w:tc>
        <w:tc>
          <w:tcPr>
            <w:tcW w:w="2075" w:type="dxa"/>
            <w:vAlign w:val="center"/>
          </w:tcPr>
          <w:p>
            <w:pPr>
              <w:pStyle w:val="222"/>
              <w:spacing w:line="440" w:lineRule="exact"/>
              <w:jc w:val="center"/>
              <w:rPr>
                <w:color w:val="auto"/>
                <w:lang w:eastAsia="zh-CN"/>
              </w:rPr>
            </w:pPr>
            <w:r>
              <w:rPr>
                <w:rFonts w:hint="eastAsia"/>
                <w:color w:val="auto"/>
                <w:lang w:eastAsia="zh-CN"/>
              </w:rPr>
              <w:t>投标文件份数</w:t>
            </w:r>
          </w:p>
        </w:tc>
        <w:tc>
          <w:tcPr>
            <w:tcW w:w="6826" w:type="dxa"/>
            <w:vAlign w:val="center"/>
          </w:tcPr>
          <w:p>
            <w:pPr>
              <w:pStyle w:val="222"/>
              <w:spacing w:line="440" w:lineRule="exact"/>
              <w:rPr>
                <w:color w:val="auto"/>
                <w:lang w:eastAsia="zh-CN"/>
              </w:rPr>
            </w:pPr>
            <w:r>
              <w:rPr>
                <w:rFonts w:hint="eastAsia"/>
                <w:color w:val="auto"/>
                <w:lang w:eastAsia="zh-CN"/>
              </w:rPr>
              <w:t>正本1份、副本4份，唱标信封1份，电子版投标文件2份（光盘或U盘）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18.1</w:t>
            </w:r>
          </w:p>
        </w:tc>
        <w:tc>
          <w:tcPr>
            <w:tcW w:w="2075" w:type="dxa"/>
            <w:vAlign w:val="center"/>
          </w:tcPr>
          <w:p>
            <w:pPr>
              <w:pStyle w:val="222"/>
              <w:spacing w:line="440" w:lineRule="exact"/>
              <w:jc w:val="center"/>
              <w:rPr>
                <w:color w:val="auto"/>
                <w:lang w:eastAsia="zh-CN"/>
              </w:rPr>
            </w:pPr>
            <w:r>
              <w:rPr>
                <w:rFonts w:hint="eastAsia"/>
                <w:color w:val="auto"/>
                <w:lang w:eastAsia="zh-CN"/>
              </w:rPr>
              <w:t>投标截止时间</w:t>
            </w:r>
          </w:p>
        </w:tc>
        <w:tc>
          <w:tcPr>
            <w:tcW w:w="6826" w:type="dxa"/>
            <w:vAlign w:val="center"/>
          </w:tcPr>
          <w:p>
            <w:pPr>
              <w:pStyle w:val="222"/>
              <w:spacing w:line="440" w:lineRule="exact"/>
              <w:rPr>
                <w:color w:val="auto"/>
                <w:lang w:eastAsia="zh-CN"/>
              </w:rPr>
            </w:pPr>
            <w:r>
              <w:rPr>
                <w:rFonts w:hint="eastAsia"/>
                <w:color w:val="auto"/>
                <w:lang w:eastAsia="zh-CN"/>
              </w:rPr>
              <w:t>2018年</w:t>
            </w:r>
            <w:r>
              <w:rPr>
                <w:rFonts w:hint="eastAsia"/>
                <w:color w:val="auto"/>
                <w:lang w:val="en-US" w:eastAsia="zh-CN"/>
              </w:rPr>
              <w:t>6</w:t>
            </w:r>
            <w:r>
              <w:rPr>
                <w:rFonts w:hint="eastAsia"/>
                <w:color w:val="auto"/>
                <w:lang w:eastAsia="zh-CN"/>
              </w:rPr>
              <w:t xml:space="preserve"> 月</w:t>
            </w:r>
            <w:r>
              <w:rPr>
                <w:rFonts w:hint="eastAsia"/>
                <w:color w:val="auto"/>
                <w:lang w:val="en-US" w:eastAsia="zh-CN"/>
              </w:rPr>
              <w:t>21</w:t>
            </w:r>
            <w:r>
              <w:rPr>
                <w:rFonts w:hint="eastAsia"/>
                <w:color w:val="auto"/>
                <w:lang w:eastAsia="zh-CN"/>
              </w:rPr>
              <w:t xml:space="preserve"> 日</w:t>
            </w:r>
            <w:r>
              <w:rPr>
                <w:rFonts w:hint="eastAsia"/>
                <w:color w:val="auto"/>
                <w:lang w:val="en-US" w:eastAsia="zh-CN"/>
              </w:rPr>
              <w:t>09</w:t>
            </w:r>
            <w:r>
              <w:rPr>
                <w:rFonts w:hint="eastAsia"/>
                <w:color w:val="auto"/>
                <w:lang w:eastAsia="zh-CN"/>
              </w:rPr>
              <w:t>时</w:t>
            </w:r>
            <w:r>
              <w:rPr>
                <w:rFonts w:hint="eastAsia"/>
                <w:color w:val="auto"/>
                <w:lang w:val="en-US" w:eastAsia="zh-CN"/>
              </w:rPr>
              <w:t>00</w:t>
            </w:r>
            <w:bookmarkStart w:id="240" w:name="_GoBack"/>
            <w:bookmarkEnd w:id="240"/>
            <w:r>
              <w:rPr>
                <w:rFonts w:hint="eastAsia"/>
                <w:color w:val="auto"/>
                <w:lang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54" w:type="dxa"/>
            <w:vAlign w:val="center"/>
          </w:tcPr>
          <w:p>
            <w:pPr>
              <w:spacing w:line="440" w:lineRule="exact"/>
              <w:jc w:val="center"/>
              <w:rPr>
                <w:bCs/>
                <w:kern w:val="0"/>
              </w:rPr>
            </w:pPr>
            <w:r>
              <w:rPr>
                <w:rFonts w:hint="eastAsia"/>
                <w:bCs/>
                <w:kern w:val="0"/>
              </w:rPr>
              <w:t>18.2</w:t>
            </w:r>
          </w:p>
        </w:tc>
        <w:tc>
          <w:tcPr>
            <w:tcW w:w="2075" w:type="dxa"/>
            <w:vAlign w:val="center"/>
          </w:tcPr>
          <w:p>
            <w:pPr>
              <w:pStyle w:val="222"/>
              <w:spacing w:line="440" w:lineRule="exact"/>
              <w:jc w:val="center"/>
              <w:rPr>
                <w:color w:val="auto"/>
                <w:lang w:eastAsia="zh-CN"/>
              </w:rPr>
            </w:pPr>
            <w:r>
              <w:rPr>
                <w:rFonts w:hint="eastAsia"/>
                <w:color w:val="auto"/>
                <w:lang w:eastAsia="zh-CN"/>
              </w:rPr>
              <w:t>不投标</w:t>
            </w:r>
          </w:p>
        </w:tc>
        <w:tc>
          <w:tcPr>
            <w:tcW w:w="6826" w:type="dxa"/>
            <w:vAlign w:val="center"/>
          </w:tcPr>
          <w:p>
            <w:pPr>
              <w:pStyle w:val="222"/>
              <w:spacing w:line="440" w:lineRule="exact"/>
              <w:rPr>
                <w:color w:val="auto"/>
                <w:lang w:eastAsia="zh-CN"/>
              </w:rPr>
            </w:pPr>
            <w:r>
              <w:rPr>
                <w:rFonts w:hint="eastAsia"/>
                <w:color w:val="auto"/>
                <w:lang w:eastAsia="zh-CN"/>
              </w:rPr>
              <w:t>获取招标文件后决定不参加投标者，请于投标截止时间前以书面形式告知招标代理机构。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19.3</w:t>
            </w:r>
          </w:p>
        </w:tc>
        <w:tc>
          <w:tcPr>
            <w:tcW w:w="2075" w:type="dxa"/>
            <w:vAlign w:val="center"/>
          </w:tcPr>
          <w:p>
            <w:pPr>
              <w:spacing w:line="440" w:lineRule="exact"/>
              <w:jc w:val="left"/>
              <w:rPr>
                <w:bCs/>
                <w:kern w:val="0"/>
              </w:rPr>
            </w:pPr>
            <w:r>
              <w:rPr>
                <w:rFonts w:hint="eastAsia"/>
                <w:bCs/>
                <w:kern w:val="0"/>
              </w:rPr>
              <w:t>是否退还投标文件</w:t>
            </w:r>
          </w:p>
        </w:tc>
        <w:tc>
          <w:tcPr>
            <w:tcW w:w="6826" w:type="dxa"/>
            <w:vAlign w:val="center"/>
          </w:tcPr>
          <w:p>
            <w:pPr>
              <w:spacing w:line="440" w:lineRule="exact"/>
              <w:jc w:val="left"/>
              <w:rPr>
                <w:bCs/>
                <w:kern w:val="0"/>
              </w:rPr>
            </w:pPr>
            <w:r>
              <w:rPr>
                <w:rFonts w:hint="eastAsia"/>
                <w:bCs/>
                <w:kern w:val="0"/>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954" w:type="dxa"/>
            <w:vAlign w:val="center"/>
          </w:tcPr>
          <w:p>
            <w:pPr>
              <w:spacing w:line="440" w:lineRule="exact"/>
              <w:jc w:val="center"/>
              <w:rPr>
                <w:bCs/>
                <w:kern w:val="0"/>
              </w:rPr>
            </w:pPr>
            <w:r>
              <w:rPr>
                <w:rFonts w:hint="eastAsia"/>
                <w:bCs/>
                <w:kern w:val="0"/>
              </w:rPr>
              <w:t>20.2</w:t>
            </w:r>
          </w:p>
        </w:tc>
        <w:tc>
          <w:tcPr>
            <w:tcW w:w="2075" w:type="dxa"/>
            <w:vAlign w:val="center"/>
          </w:tcPr>
          <w:p>
            <w:pPr>
              <w:pStyle w:val="222"/>
              <w:spacing w:line="440" w:lineRule="exact"/>
              <w:jc w:val="center"/>
              <w:rPr>
                <w:color w:val="auto"/>
                <w:lang w:eastAsia="zh-CN"/>
              </w:rPr>
            </w:pPr>
            <w:r>
              <w:rPr>
                <w:rFonts w:hint="eastAsia"/>
                <w:color w:val="auto"/>
                <w:lang w:eastAsia="zh-CN"/>
              </w:rPr>
              <w:t>开标</w:t>
            </w:r>
          </w:p>
        </w:tc>
        <w:tc>
          <w:tcPr>
            <w:tcW w:w="6826" w:type="dxa"/>
            <w:vAlign w:val="center"/>
          </w:tcPr>
          <w:p>
            <w:pPr>
              <w:pStyle w:val="222"/>
              <w:spacing w:line="440" w:lineRule="exact"/>
              <w:rPr>
                <w:color w:val="auto"/>
                <w:lang w:eastAsia="zh-CN"/>
              </w:rPr>
            </w:pPr>
            <w:r>
              <w:rPr>
                <w:rFonts w:hint="eastAsia"/>
                <w:color w:val="auto"/>
                <w:lang w:eastAsia="zh-CN"/>
              </w:rPr>
              <w:t>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21.1</w:t>
            </w:r>
          </w:p>
        </w:tc>
        <w:tc>
          <w:tcPr>
            <w:tcW w:w="2075" w:type="dxa"/>
            <w:vAlign w:val="center"/>
          </w:tcPr>
          <w:p>
            <w:pPr>
              <w:pStyle w:val="222"/>
              <w:spacing w:line="440" w:lineRule="exact"/>
              <w:rPr>
                <w:color w:val="auto"/>
                <w:lang w:eastAsia="zh-CN"/>
              </w:rPr>
            </w:pPr>
            <w:r>
              <w:rPr>
                <w:rFonts w:hint="eastAsia"/>
                <w:color w:val="auto"/>
                <w:lang w:eastAsia="zh-CN"/>
              </w:rPr>
              <w:t>评标委员会的组建</w:t>
            </w:r>
          </w:p>
        </w:tc>
        <w:tc>
          <w:tcPr>
            <w:tcW w:w="6826" w:type="dxa"/>
            <w:vAlign w:val="center"/>
          </w:tcPr>
          <w:p>
            <w:pPr>
              <w:pStyle w:val="222"/>
              <w:spacing w:line="440" w:lineRule="exact"/>
              <w:rPr>
                <w:color w:val="auto"/>
                <w:lang w:eastAsia="zh-CN"/>
              </w:rPr>
            </w:pPr>
            <w:r>
              <w:rPr>
                <w:rFonts w:hint="eastAsia"/>
                <w:color w:val="auto"/>
                <w:lang w:eastAsia="zh-CN"/>
              </w:rPr>
              <w:t>评标委员会构成5人，其中招标人代表1人，专家4人。</w:t>
            </w:r>
          </w:p>
          <w:p>
            <w:pPr>
              <w:pStyle w:val="222"/>
              <w:spacing w:line="440" w:lineRule="exact"/>
              <w:rPr>
                <w:color w:val="auto"/>
                <w:lang w:eastAsia="zh-CN"/>
              </w:rPr>
            </w:pPr>
            <w:r>
              <w:rPr>
                <w:rFonts w:hint="eastAsia"/>
                <w:color w:val="auto"/>
                <w:lang w:eastAsia="zh-CN"/>
              </w:rPr>
              <w:t>评审专家从海南省综合评标专家库中随机抽取4人。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25.1</w:t>
            </w:r>
          </w:p>
        </w:tc>
        <w:tc>
          <w:tcPr>
            <w:tcW w:w="2075" w:type="dxa"/>
            <w:vAlign w:val="center"/>
          </w:tcPr>
          <w:p>
            <w:pPr>
              <w:pStyle w:val="222"/>
              <w:spacing w:line="440" w:lineRule="exact"/>
              <w:rPr>
                <w:color w:val="auto"/>
                <w:lang w:eastAsia="zh-CN"/>
              </w:rPr>
            </w:pPr>
            <w:r>
              <w:rPr>
                <w:rFonts w:hint="eastAsia"/>
                <w:color w:val="auto"/>
                <w:lang w:eastAsia="zh-CN"/>
              </w:rPr>
              <w:t>中标候选人数</w:t>
            </w:r>
          </w:p>
        </w:tc>
        <w:tc>
          <w:tcPr>
            <w:tcW w:w="6826" w:type="dxa"/>
            <w:vAlign w:val="center"/>
          </w:tcPr>
          <w:p>
            <w:pPr>
              <w:pStyle w:val="222"/>
              <w:spacing w:line="440" w:lineRule="exact"/>
              <w:rPr>
                <w:color w:val="auto"/>
                <w:lang w:eastAsia="zh-CN"/>
              </w:rPr>
            </w:pPr>
            <w:r>
              <w:rPr>
                <w:rFonts w:hint="eastAsia"/>
                <w:color w:val="auto"/>
                <w:lang w:eastAsia="zh-CN"/>
              </w:rPr>
              <w:t>推荐 3 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26.1</w:t>
            </w:r>
          </w:p>
        </w:tc>
        <w:tc>
          <w:tcPr>
            <w:tcW w:w="2075" w:type="dxa"/>
            <w:vAlign w:val="center"/>
          </w:tcPr>
          <w:p>
            <w:pPr>
              <w:pStyle w:val="222"/>
              <w:spacing w:line="440" w:lineRule="exact"/>
              <w:rPr>
                <w:color w:val="auto"/>
                <w:lang w:eastAsia="zh-CN"/>
              </w:rPr>
            </w:pPr>
            <w:r>
              <w:rPr>
                <w:rFonts w:hint="eastAsia"/>
                <w:color w:val="auto"/>
                <w:lang w:eastAsia="zh-CN"/>
              </w:rPr>
              <w:t>评标方法</w:t>
            </w:r>
          </w:p>
        </w:tc>
        <w:tc>
          <w:tcPr>
            <w:tcW w:w="6826" w:type="dxa"/>
            <w:vAlign w:val="center"/>
          </w:tcPr>
          <w:p>
            <w:pPr>
              <w:pStyle w:val="222"/>
              <w:spacing w:line="440" w:lineRule="exact"/>
              <w:rPr>
                <w:color w:val="auto"/>
                <w:lang w:eastAsia="zh-CN"/>
              </w:rPr>
            </w:pPr>
            <w:r>
              <w:rPr>
                <w:rFonts w:hint="eastAsia"/>
                <w:color w:val="auto"/>
                <w:lang w:eastAsia="zh-CN"/>
              </w:rPr>
              <w:t>本项目采用综合评分法</w:t>
            </w:r>
          </w:p>
        </w:tc>
      </w:tr>
      <w:bookmarkEnd w:id="30"/>
    </w:tbl>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46" w:name="_Toc500150906"/>
      <w:bookmarkStart w:id="47" w:name="_Toc468811121"/>
      <w:bookmarkStart w:id="48" w:name="_Toc30558"/>
      <w:bookmarkStart w:id="49" w:name="_Toc238907038"/>
      <w:r>
        <w:rPr>
          <w:rFonts w:hint="eastAsia"/>
          <w:b/>
          <w:sz w:val="36"/>
          <w:szCs w:val="36"/>
        </w:rPr>
        <w:t>说明和释义</w:t>
      </w:r>
      <w:bookmarkEnd w:id="46"/>
    </w:p>
    <w:p>
      <w:pPr>
        <w:numPr>
          <w:ilvl w:val="0"/>
          <w:numId w:val="6"/>
        </w:numPr>
        <w:spacing w:line="500" w:lineRule="exact"/>
        <w:rPr>
          <w:b/>
          <w:sz w:val="24"/>
        </w:rPr>
      </w:pPr>
      <w:r>
        <w:rPr>
          <w:rFonts w:hint="eastAsia"/>
          <w:b/>
          <w:sz w:val="24"/>
        </w:rPr>
        <w:t>适用范围</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本招标文件仅适用于本次招标活动。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本招标活动及招标结果受中国法律的制约和保护。</w:t>
      </w:r>
    </w:p>
    <w:p>
      <w:pPr>
        <w:numPr>
          <w:ilvl w:val="0"/>
          <w:numId w:val="6"/>
        </w:numPr>
        <w:spacing w:line="500" w:lineRule="exact"/>
        <w:rPr>
          <w:b/>
          <w:sz w:val="24"/>
        </w:rPr>
      </w:pPr>
      <w:r>
        <w:rPr>
          <w:rFonts w:hint="eastAsia"/>
          <w:b/>
          <w:sz w:val="24"/>
        </w:rPr>
        <w:t>采购说明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项目名称：见投标人须知前附表。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项目编号：见投标人须知前附表。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采购代理机构：见投标人须知前附表。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采购预算：见投标人须知前附表。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资金来源：见投标人须知前附表。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投标人资格要求：见投标人须知前附表。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服务周期：见投标人须知前附表。</w:t>
      </w:r>
    </w:p>
    <w:p>
      <w:pPr>
        <w:numPr>
          <w:ilvl w:val="0"/>
          <w:numId w:val="6"/>
        </w:numPr>
        <w:spacing w:line="500" w:lineRule="exact"/>
        <w:rPr>
          <w:b/>
          <w:sz w:val="24"/>
        </w:rPr>
      </w:pPr>
      <w:r>
        <w:rPr>
          <w:rFonts w:hint="eastAsia"/>
          <w:b/>
          <w:sz w:val="24"/>
        </w:rPr>
        <w:t>词语释义</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响应：投标人根据招标文件的要求，编制投标文件并按规定投标的行为。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Style w:val="100"/>
          <w:rFonts w:hint="eastAsia" w:ascii="Times New Roman" w:hAnsi="Times New Roman"/>
          <w:b w:val="0"/>
          <w:bCs w:val="0"/>
        </w:rPr>
        <w:t>合同：采供双方根据招标文件、中标人的投标文件及中标通知书规定的内容签署的、以书面形式所</w:t>
      </w:r>
      <w:r>
        <w:rPr>
          <w:rFonts w:hint="eastAsia" w:ascii="Times New Roman" w:hAnsi="Times New Roman"/>
          <w:b w:val="0"/>
        </w:rPr>
        <w:t>达成的协议，包括所有的附件、附录和构成协议的所有文件。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甲方（招标人）：合同中明确规定的实际购买服务的法人、其他组织和自然人。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乙方（投标人）：合同中规定的向采购方提供服务的法人、其他组织和自然人。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知识产权：指专利权、商标权、著作权等无形财产专有权的统称。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天：日历日。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合同价款：由合同约定的、在乙方完全履行合同义务后甲方应支付乙方的价款。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不可抗力：不能预见、不能避免并且不能克服的客观情况。</w:t>
      </w:r>
    </w:p>
    <w:p>
      <w:pPr>
        <w:numPr>
          <w:ilvl w:val="0"/>
          <w:numId w:val="6"/>
        </w:numPr>
        <w:spacing w:line="500" w:lineRule="exact"/>
        <w:rPr>
          <w:b/>
          <w:sz w:val="24"/>
        </w:rPr>
      </w:pPr>
      <w:r>
        <w:rPr>
          <w:rFonts w:hint="eastAsia"/>
          <w:b/>
          <w:sz w:val="24"/>
        </w:rPr>
        <w:t>投标委托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投标人的法定代表人可以委托代表人处理投标事务。</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委托代表人的资格条件：见投标人须知前附表。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委托代表人的代理权限：见投标人须知前附表。</w:t>
      </w:r>
    </w:p>
    <w:p>
      <w:pPr>
        <w:numPr>
          <w:ilvl w:val="0"/>
          <w:numId w:val="6"/>
        </w:numPr>
        <w:spacing w:line="500" w:lineRule="exact"/>
        <w:rPr>
          <w:b/>
          <w:sz w:val="24"/>
        </w:rPr>
      </w:pPr>
      <w:r>
        <w:rPr>
          <w:rFonts w:hint="eastAsia"/>
          <w:b/>
          <w:sz w:val="24"/>
        </w:rPr>
        <w:t>投标费用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投标人自行承担参加投标的全部费用。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50" w:name="_Toc19797"/>
      <w:bookmarkStart w:id="51" w:name="_Toc29384"/>
      <w:bookmarkStart w:id="52" w:name="_Toc500150907"/>
      <w:bookmarkStart w:id="53" w:name="_Toc2931"/>
      <w:bookmarkStart w:id="54" w:name="_Toc389164171"/>
      <w:bookmarkStart w:id="55" w:name="_Toc20372"/>
      <w:bookmarkStart w:id="56" w:name="_Toc24281"/>
      <w:bookmarkStart w:id="57" w:name="_Toc30837"/>
      <w:bookmarkStart w:id="58" w:name="_Toc27831"/>
      <w:bookmarkStart w:id="59" w:name="_Toc317237775"/>
      <w:bookmarkStart w:id="60" w:name="_Toc17717"/>
      <w:bookmarkStart w:id="61" w:name="_Toc5116"/>
      <w:bookmarkStart w:id="62" w:name="_Toc392583287"/>
      <w:bookmarkStart w:id="63" w:name="_Toc317237600"/>
      <w:bookmarkStart w:id="64" w:name="_Toc29379"/>
      <w:r>
        <w:rPr>
          <w:rFonts w:hint="eastAsia"/>
          <w:b/>
          <w:sz w:val="36"/>
          <w:szCs w:val="36"/>
        </w:rPr>
        <w:t>招标文件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numPr>
          <w:ilvl w:val="0"/>
          <w:numId w:val="6"/>
        </w:numPr>
        <w:spacing w:line="500" w:lineRule="exact"/>
        <w:rPr>
          <w:b/>
          <w:sz w:val="24"/>
        </w:rPr>
      </w:pPr>
      <w:r>
        <w:rPr>
          <w:rFonts w:hint="eastAsia"/>
          <w:b/>
          <w:sz w:val="24"/>
        </w:rPr>
        <w:t>招标文件的构成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招标文件规定本次招标活动的规则，提供编制投标文件和参加投标的依据。招标文件包括以下内容：</w:t>
      </w:r>
    </w:p>
    <w:p>
      <w:pPr>
        <w:spacing w:line="500" w:lineRule="exact"/>
        <w:ind w:firstLine="480" w:firstLineChars="200"/>
        <w:rPr>
          <w:sz w:val="24"/>
        </w:rPr>
      </w:pPr>
      <w:r>
        <w:rPr>
          <w:rFonts w:hint="eastAsia"/>
          <w:sz w:val="24"/>
        </w:rPr>
        <w:t>（一）招标公告；</w:t>
      </w:r>
    </w:p>
    <w:p>
      <w:pPr>
        <w:spacing w:line="500" w:lineRule="exact"/>
        <w:ind w:firstLine="480" w:firstLineChars="200"/>
        <w:rPr>
          <w:sz w:val="24"/>
        </w:rPr>
      </w:pPr>
      <w:r>
        <w:rPr>
          <w:rFonts w:hint="eastAsia"/>
          <w:sz w:val="24"/>
        </w:rPr>
        <w:t>（二）投标人须知；</w:t>
      </w:r>
    </w:p>
    <w:p>
      <w:pPr>
        <w:spacing w:line="500" w:lineRule="exact"/>
        <w:ind w:firstLine="480" w:firstLineChars="200"/>
        <w:rPr>
          <w:sz w:val="24"/>
        </w:rPr>
      </w:pPr>
      <w:r>
        <w:rPr>
          <w:rFonts w:hint="eastAsia"/>
          <w:sz w:val="24"/>
        </w:rPr>
        <w:t>（三）合同主要条款；</w:t>
      </w:r>
    </w:p>
    <w:p>
      <w:pPr>
        <w:spacing w:line="500" w:lineRule="exact"/>
        <w:ind w:firstLine="480" w:firstLineChars="200"/>
        <w:rPr>
          <w:sz w:val="24"/>
        </w:rPr>
      </w:pPr>
      <w:r>
        <w:rPr>
          <w:rFonts w:hint="eastAsia"/>
          <w:sz w:val="24"/>
        </w:rPr>
        <w:t>（四）评标方法和标准；</w:t>
      </w:r>
    </w:p>
    <w:p>
      <w:pPr>
        <w:spacing w:line="500" w:lineRule="exact"/>
        <w:ind w:firstLine="480" w:firstLineChars="200"/>
        <w:rPr>
          <w:sz w:val="24"/>
        </w:rPr>
      </w:pPr>
      <w:r>
        <w:rPr>
          <w:rFonts w:hint="eastAsia"/>
          <w:sz w:val="24"/>
        </w:rPr>
        <w:t>（五）投标文件格式。</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投标人应当仔细阅读、充分关注和正确理解招标文件中陈述的所有事项，遵循格式文件的规定和签署要求。</w:t>
      </w:r>
    </w:p>
    <w:p>
      <w:pPr>
        <w:numPr>
          <w:ilvl w:val="0"/>
          <w:numId w:val="6"/>
        </w:numPr>
        <w:spacing w:line="500" w:lineRule="exact"/>
        <w:rPr>
          <w:b/>
          <w:sz w:val="24"/>
        </w:rPr>
      </w:pPr>
      <w:r>
        <w:rPr>
          <w:rFonts w:hint="eastAsia"/>
          <w:b/>
          <w:sz w:val="24"/>
        </w:rPr>
        <w:t>招标文件的澄清和修改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招标采购单位有权在投标截止时间前对招标文件进行澄清或者修改。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澄清或者修改是招标文件的组成部分。澄清或者修改以发布公告的方式通知所有投标人。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投标人要求对招标文件进行澄清的，应在投标截止日10天前，以书面形式向招标代理机构提出。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6"/>
        </w:numPr>
        <w:spacing w:line="500" w:lineRule="exact"/>
        <w:rPr>
          <w:b/>
          <w:sz w:val="24"/>
        </w:rPr>
      </w:pPr>
      <w:r>
        <w:rPr>
          <w:rFonts w:hint="eastAsia"/>
          <w:b/>
          <w:sz w:val="24"/>
        </w:rPr>
        <w:t>答疑会和现场考察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答疑会和现场考察：见投标人须知前附表。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65" w:name="_Toc317237601"/>
      <w:bookmarkStart w:id="66" w:name="_Toc317237776"/>
      <w:bookmarkStart w:id="67" w:name="_Toc389164172"/>
      <w:bookmarkStart w:id="68" w:name="_Toc392583288"/>
      <w:bookmarkStart w:id="69" w:name="_Toc18993"/>
      <w:bookmarkStart w:id="70" w:name="_Toc30655"/>
      <w:bookmarkStart w:id="71" w:name="_Toc6405"/>
      <w:bookmarkStart w:id="72" w:name="_Toc32290"/>
      <w:bookmarkStart w:id="73" w:name="_Toc7765"/>
      <w:bookmarkStart w:id="74" w:name="_Toc11869"/>
      <w:bookmarkStart w:id="75" w:name="_Toc26228"/>
      <w:bookmarkStart w:id="76" w:name="_Toc18051"/>
      <w:bookmarkStart w:id="77" w:name="_Toc24494"/>
      <w:bookmarkStart w:id="78" w:name="_Toc500150908"/>
      <w:bookmarkStart w:id="79" w:name="_Toc3677"/>
      <w:r>
        <w:rPr>
          <w:rFonts w:hint="eastAsia"/>
          <w:b/>
          <w:sz w:val="36"/>
          <w:szCs w:val="36"/>
        </w:rPr>
        <w:t>投标文件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numPr>
          <w:ilvl w:val="0"/>
          <w:numId w:val="6"/>
        </w:numPr>
        <w:spacing w:line="500" w:lineRule="exact"/>
        <w:rPr>
          <w:b/>
          <w:sz w:val="24"/>
        </w:rPr>
      </w:pPr>
      <w:r>
        <w:rPr>
          <w:rFonts w:hint="eastAsia"/>
          <w:b/>
          <w:sz w:val="24"/>
        </w:rPr>
        <w:t>投标文件计量单位和使用文字</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所有计量均采用中华人民共和国法定计量单位。</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投标文件使用中文编制。投标文件部分内容必须使用其他文字的，应当附有该文字的中文译本。投标人承担未附中文译本或中文译本不准确而引起不利后果。</w:t>
      </w:r>
    </w:p>
    <w:p>
      <w:pPr>
        <w:numPr>
          <w:ilvl w:val="0"/>
          <w:numId w:val="6"/>
        </w:numPr>
        <w:spacing w:line="500" w:lineRule="exact"/>
        <w:rPr>
          <w:b/>
          <w:sz w:val="24"/>
        </w:rPr>
      </w:pPr>
      <w:r>
        <w:rPr>
          <w:rFonts w:hint="eastAsia"/>
          <w:b/>
          <w:sz w:val="24"/>
        </w:rPr>
        <w:t>联合体投标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不接受联合体投标。</w:t>
      </w:r>
    </w:p>
    <w:p>
      <w:pPr>
        <w:numPr>
          <w:ilvl w:val="0"/>
          <w:numId w:val="6"/>
        </w:numPr>
        <w:spacing w:line="500" w:lineRule="exact"/>
        <w:rPr>
          <w:b/>
          <w:sz w:val="24"/>
        </w:rPr>
      </w:pPr>
      <w:r>
        <w:rPr>
          <w:rFonts w:hint="eastAsia"/>
          <w:b/>
          <w:sz w:val="24"/>
        </w:rPr>
        <w:t>投标文件的组成</w:t>
      </w:r>
    </w:p>
    <w:p>
      <w:pPr>
        <w:numPr>
          <w:ilvl w:val="2"/>
          <w:numId w:val="6"/>
        </w:numPr>
        <w:tabs>
          <w:tab w:val="left" w:pos="1365"/>
        </w:tabs>
        <w:spacing w:line="500" w:lineRule="exact"/>
        <w:ind w:left="0" w:firstLine="720" w:firstLineChars="300"/>
        <w:rPr>
          <w:bCs/>
          <w:sz w:val="24"/>
          <w:szCs w:val="28"/>
        </w:rPr>
      </w:pPr>
      <w:r>
        <w:rPr>
          <w:rFonts w:hint="eastAsia"/>
          <w:bCs/>
          <w:sz w:val="24"/>
          <w:szCs w:val="28"/>
        </w:rPr>
        <w:t>电子版投标文件（用光盘或U盘作载体）；</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商务文件及技术文件</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唱标信封</w:t>
      </w:r>
    </w:p>
    <w:p>
      <w:pPr>
        <w:numPr>
          <w:ilvl w:val="0"/>
          <w:numId w:val="6"/>
        </w:numPr>
        <w:spacing w:line="500" w:lineRule="exact"/>
        <w:rPr>
          <w:b/>
          <w:sz w:val="24"/>
        </w:rPr>
      </w:pPr>
      <w:r>
        <w:rPr>
          <w:rFonts w:hint="eastAsia"/>
          <w:b/>
          <w:sz w:val="24"/>
        </w:rPr>
        <w:t>投标文件编制说明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投标文件需要按照招标文件要求的格式编写。</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报价一览表是开标仪式上的唱标内容，报价一览表须放在唱标信封里。</w:t>
      </w:r>
    </w:p>
    <w:p>
      <w:pPr>
        <w:numPr>
          <w:ilvl w:val="0"/>
          <w:numId w:val="6"/>
        </w:numPr>
        <w:spacing w:line="500" w:lineRule="exact"/>
        <w:rPr>
          <w:b/>
          <w:sz w:val="24"/>
        </w:rPr>
      </w:pPr>
      <w:r>
        <w:rPr>
          <w:rFonts w:hint="eastAsia"/>
          <w:b/>
          <w:sz w:val="24"/>
        </w:rPr>
        <w:t>投标报价</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b w:val="0"/>
        </w:rPr>
        <w:t>投标函中投标人的投标报价应是招标文件所确定招标范围的全部工作内容的价格体现，投标人需结合自身实力及相关项目具体情况，并充分考虑相关的政策性风险、市场风险及其他不可预见因素等进行报价。</w:t>
      </w:r>
    </w:p>
    <w:p>
      <w:pPr>
        <w:spacing w:line="500" w:lineRule="exact"/>
        <w:ind w:firstLine="525" w:firstLineChars="250"/>
      </w:pPr>
      <w:r>
        <w:rPr>
          <w:rFonts w:hint="eastAsia"/>
        </w:rPr>
        <w:t>13.2不接受可选择性报价。</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13.3报价全部采用人民币表示。</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13.4超出报价范围的报价为无效报价。</w:t>
      </w:r>
    </w:p>
    <w:p>
      <w:pPr>
        <w:numPr>
          <w:ilvl w:val="0"/>
          <w:numId w:val="6"/>
        </w:numPr>
        <w:spacing w:line="500" w:lineRule="exact"/>
        <w:rPr>
          <w:b/>
          <w:sz w:val="24"/>
        </w:rPr>
      </w:pPr>
      <w:r>
        <w:rPr>
          <w:rFonts w:hint="eastAsia"/>
          <w:b/>
          <w:sz w:val="24"/>
        </w:rPr>
        <w:t>投标保证金</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投标保证金：见投标人须知前附表。</w:t>
      </w:r>
    </w:p>
    <w:p>
      <w:pPr>
        <w:numPr>
          <w:ilvl w:val="0"/>
          <w:numId w:val="6"/>
        </w:numPr>
        <w:spacing w:line="500" w:lineRule="exact"/>
        <w:rPr>
          <w:b/>
          <w:sz w:val="24"/>
        </w:rPr>
      </w:pPr>
      <w:r>
        <w:rPr>
          <w:rFonts w:hint="eastAsia"/>
          <w:b/>
          <w:sz w:val="24"/>
        </w:rPr>
        <w:t>投标文件的有效期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自开标日起</w:t>
      </w:r>
      <w:r>
        <w:rPr>
          <w:rFonts w:hint="eastAsia" w:ascii="Times New Roman" w:hAnsi="Times New Roman"/>
          <w:b w:val="0"/>
          <w:u w:val="single"/>
        </w:rPr>
        <w:t>90天内</w:t>
      </w:r>
      <w:r>
        <w:rPr>
          <w:rFonts w:hint="eastAsia" w:ascii="Times New Roman" w:hAnsi="Times New Roman"/>
          <w:b w:val="0"/>
        </w:rPr>
        <w:t>，投标文件应保持有效。有效期短于这个规定期限的投标，将被拒绝。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特殊情况下，招标代理机构可与投标人协商延长投标文件的有效期。协商应当以信函、传真或电子邮件的形式进行。同意延长有效期的投标人，其投标保证金的有效期也相应延长，但不能修改投标文件。拒绝接受延长有效期要求的投标人，其投标将被拒绝，投标保证金将被退还。</w:t>
      </w:r>
    </w:p>
    <w:p>
      <w:pPr>
        <w:numPr>
          <w:ilvl w:val="0"/>
          <w:numId w:val="6"/>
        </w:numPr>
        <w:spacing w:line="500" w:lineRule="exact"/>
        <w:rPr>
          <w:b/>
          <w:sz w:val="24"/>
        </w:rPr>
      </w:pPr>
      <w:r>
        <w:rPr>
          <w:rFonts w:hint="eastAsia"/>
          <w:b/>
          <w:sz w:val="24"/>
        </w:rPr>
        <w:t>投标文件的份数和签署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投标文件份数：见投标人须知前附表。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投标文件正本均须用不褪色墨水书写、打印或印刷，投标文件副本的所有资料，都可以用投标文件的正本复制。投标文件的正本和副本内容有不一致的，以正本为准。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投标文件正本主要内容（招标文件格式中要求法人代表或授权委托人签字的内容和加盖投标单位公章）应由投标人的法定代表人或其授权的委托人签字（或盖章）并加盖投标人公章。</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全套投标文件应无涂改、无行间插字。除非这些删改是根据招标代理机构的要求实施的，或者是投标人造成的错误且必须修改的。修改处应由投标文件签字人签字证明。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传真或电传的投标文件将被拒绝。</w:t>
      </w:r>
    </w:p>
    <w:p>
      <w:pPr>
        <w:spacing w:line="500" w:lineRule="exact"/>
        <w:ind w:firstLine="480" w:firstLineChars="200"/>
        <w:rPr>
          <w:sz w:val="24"/>
          <w:u w:val="single"/>
        </w:rPr>
      </w:pPr>
      <w:r>
        <w:rPr>
          <w:rFonts w:hint="eastAsia"/>
          <w:sz w:val="24"/>
          <w:u w:val="single"/>
        </w:rPr>
        <w:t>特别说明：本项目要求投标人提交电子版投标文件。</w:t>
      </w:r>
    </w:p>
    <w:p>
      <w:pPr>
        <w:spacing w:line="500" w:lineRule="exact"/>
        <w:ind w:firstLine="480" w:firstLineChars="200"/>
        <w:rPr>
          <w:sz w:val="24"/>
          <w:u w:val="single"/>
        </w:rPr>
      </w:pPr>
      <w:r>
        <w:rPr>
          <w:rFonts w:hint="eastAsia"/>
          <w:sz w:val="24"/>
          <w:u w:val="single"/>
        </w:rPr>
        <w:t>电子版投标文件与对应的投标文件正本内容一致。其载体是可以被读取的光盘或者U盘。电子版投标文件提交后不予退还。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80" w:name="_Toc317237777"/>
      <w:bookmarkStart w:id="81" w:name="_Toc317237602"/>
      <w:bookmarkStart w:id="82" w:name="_Toc500150909"/>
      <w:bookmarkStart w:id="83" w:name="_Toc32192"/>
      <w:bookmarkStart w:id="84" w:name="_Toc21881"/>
      <w:bookmarkStart w:id="85" w:name="_Toc18294"/>
      <w:bookmarkStart w:id="86" w:name="_Toc13390"/>
      <w:bookmarkStart w:id="87" w:name="_Toc8719"/>
      <w:bookmarkStart w:id="88" w:name="_Toc1514"/>
      <w:bookmarkStart w:id="89" w:name="_Toc9635"/>
      <w:bookmarkStart w:id="90" w:name="_Toc6418"/>
      <w:bookmarkStart w:id="91" w:name="_Toc5493"/>
      <w:bookmarkStart w:id="92" w:name="_Toc392583289"/>
      <w:bookmarkStart w:id="93" w:name="_Toc389164173"/>
      <w:bookmarkStart w:id="94" w:name="_Toc8829"/>
      <w:r>
        <w:rPr>
          <w:rFonts w:hint="eastAsia"/>
          <w:b/>
          <w:sz w:val="36"/>
          <w:szCs w:val="36"/>
        </w:rPr>
        <w:t>投标文件的递交</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numPr>
          <w:ilvl w:val="0"/>
          <w:numId w:val="6"/>
        </w:numPr>
        <w:spacing w:line="500" w:lineRule="exact"/>
        <w:rPr>
          <w:b/>
          <w:sz w:val="24"/>
        </w:rPr>
      </w:pPr>
      <w:r>
        <w:rPr>
          <w:rFonts w:hint="eastAsia"/>
          <w:b/>
          <w:sz w:val="24"/>
        </w:rPr>
        <w:t>投标文件的装订、密封及标记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所有投标文件必须装订成册。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投标文件应按以下方法分别装袋密封：</w:t>
      </w:r>
    </w:p>
    <w:p>
      <w:pPr>
        <w:numPr>
          <w:ilvl w:val="2"/>
          <w:numId w:val="6"/>
        </w:numPr>
        <w:spacing w:line="500" w:lineRule="exact"/>
        <w:ind w:left="0" w:firstLine="720" w:firstLineChars="300"/>
        <w:rPr>
          <w:sz w:val="24"/>
        </w:rPr>
      </w:pPr>
      <w:r>
        <w:rPr>
          <w:rFonts w:hint="eastAsia"/>
          <w:sz w:val="24"/>
        </w:rPr>
        <w:t>投标人应将投标文件的正本封装为一个密封袋，将所有副本封装为一个或多个密封袋，唱标信封单独封装为一个密封袋。在密封袋上，要清楚标明“正本”、“副本”字样。</w:t>
      </w:r>
    </w:p>
    <w:p>
      <w:pPr>
        <w:numPr>
          <w:ilvl w:val="2"/>
          <w:numId w:val="6"/>
        </w:numPr>
        <w:spacing w:line="500" w:lineRule="exact"/>
        <w:ind w:left="0" w:firstLine="720" w:firstLineChars="300"/>
        <w:rPr>
          <w:sz w:val="24"/>
        </w:rPr>
      </w:pPr>
      <w:r>
        <w:rPr>
          <w:rFonts w:hint="eastAsia"/>
          <w:sz w:val="24"/>
        </w:rPr>
        <w:t>投标文件及唱标信封包装的封口处应有投标人的法定代表人或其授权委托人的签字及投标人公章。封皮上写明招标代理机构名称、项目编号、招标项目名称、投标人名称。</w:t>
      </w:r>
    </w:p>
    <w:p>
      <w:pPr>
        <w:numPr>
          <w:ilvl w:val="2"/>
          <w:numId w:val="6"/>
        </w:numPr>
        <w:spacing w:line="500" w:lineRule="exact"/>
        <w:ind w:left="0" w:firstLine="720" w:firstLineChars="300"/>
        <w:rPr>
          <w:sz w:val="24"/>
        </w:rPr>
      </w:pPr>
      <w:r>
        <w:rPr>
          <w:rFonts w:hint="eastAsia"/>
          <w:sz w:val="24"/>
        </w:rPr>
        <w:t>投标人应按上述要求密封及书写标记。</w:t>
      </w:r>
    </w:p>
    <w:p>
      <w:pPr>
        <w:numPr>
          <w:ilvl w:val="2"/>
          <w:numId w:val="6"/>
        </w:numPr>
        <w:spacing w:line="500" w:lineRule="exact"/>
        <w:ind w:left="0" w:firstLine="720" w:firstLineChars="300"/>
        <w:rPr>
          <w:sz w:val="24"/>
        </w:rPr>
      </w:pPr>
      <w:r>
        <w:rPr>
          <w:rFonts w:hint="eastAsia"/>
          <w:sz w:val="24"/>
        </w:rPr>
        <w:t>投标文件的装订做到整齐、干净、牢固即可。过度包装和精美装饰不是加分条件。</w:t>
      </w:r>
    </w:p>
    <w:p>
      <w:pPr>
        <w:numPr>
          <w:ilvl w:val="0"/>
          <w:numId w:val="6"/>
        </w:numPr>
        <w:spacing w:line="500" w:lineRule="exact"/>
        <w:rPr>
          <w:b/>
          <w:sz w:val="24"/>
        </w:rPr>
      </w:pPr>
      <w:r>
        <w:rPr>
          <w:rFonts w:hint="eastAsia"/>
          <w:b/>
          <w:sz w:val="24"/>
        </w:rPr>
        <w:t>投标截止</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投标截止时间：见投标邀请函。</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不投标：见投标人须知前附表。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投标文件必须在投标截止时间前送达投标地点。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招标代理机构推迟投标截止日期或截止时间，将在不晚于原定投标截止日期的前3天以书面方式（传真、信函、公告或电子邮件等）通知所有投标人。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在投标截止时间以后送达的投标文件，招标代理机构拒绝接收。</w:t>
      </w:r>
    </w:p>
    <w:p>
      <w:pPr>
        <w:numPr>
          <w:ilvl w:val="0"/>
          <w:numId w:val="6"/>
        </w:numPr>
        <w:spacing w:line="500" w:lineRule="exact"/>
        <w:rPr>
          <w:b/>
          <w:sz w:val="24"/>
        </w:rPr>
      </w:pPr>
      <w:r>
        <w:rPr>
          <w:rFonts w:hint="eastAsia"/>
          <w:b/>
          <w:sz w:val="24"/>
        </w:rPr>
        <w:t>投标文件的修改和撤回</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投标以后，投标人不得修改和撤回投标文件。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开标后，投标人不得在投标有效期内撤回投标，否则投标保证金不予退还。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所有投标文件均不予退还。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95" w:name="_Toc317237603"/>
      <w:bookmarkStart w:id="96" w:name="_Toc317237778"/>
      <w:bookmarkStart w:id="97" w:name="_Toc3308"/>
      <w:bookmarkStart w:id="98" w:name="_Toc12205"/>
      <w:bookmarkStart w:id="99" w:name="_Toc15040"/>
      <w:bookmarkStart w:id="100" w:name="_Toc22669"/>
      <w:bookmarkStart w:id="101" w:name="_Toc500150910"/>
      <w:bookmarkStart w:id="102" w:name="_Toc20269"/>
      <w:bookmarkStart w:id="103" w:name="_Toc19670"/>
      <w:bookmarkStart w:id="104" w:name="_Toc29646"/>
      <w:bookmarkStart w:id="105" w:name="_Toc12495"/>
      <w:bookmarkStart w:id="106" w:name="_Toc392583290"/>
      <w:bookmarkStart w:id="107" w:name="_Toc389164174"/>
      <w:bookmarkStart w:id="108" w:name="_Toc32061"/>
      <w:bookmarkStart w:id="109" w:name="_Toc30057"/>
      <w:r>
        <w:rPr>
          <w:rFonts w:hint="eastAsia"/>
          <w:b/>
          <w:sz w:val="36"/>
          <w:szCs w:val="36"/>
        </w:rPr>
        <w:t>开标、评标</w:t>
      </w:r>
      <w:bookmarkEnd w:id="95"/>
      <w:bookmarkEnd w:id="96"/>
      <w:r>
        <w:rPr>
          <w:rFonts w:hint="eastAsia"/>
          <w:b/>
          <w:sz w:val="36"/>
          <w:szCs w:val="36"/>
        </w:rPr>
        <w:t>和定标</w:t>
      </w:r>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6"/>
        </w:numPr>
        <w:spacing w:line="500" w:lineRule="exact"/>
        <w:rPr>
          <w:b/>
          <w:sz w:val="24"/>
        </w:rPr>
      </w:pPr>
      <w:r>
        <w:rPr>
          <w:rFonts w:hint="eastAsia"/>
          <w:b/>
          <w:sz w:val="24"/>
        </w:rPr>
        <w:t>开标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招标代理机构按招标文件规定的时间、地点公开举行开标仪式。开标仪式由招标代理机构主持，邀请招标人代表、投标人代表及有关工作人员参加。</w:t>
      </w:r>
    </w:p>
    <w:p>
      <w:pPr>
        <w:pStyle w:val="5"/>
        <w:keepNext w:val="0"/>
        <w:keepLines w:val="0"/>
        <w:numPr>
          <w:ilvl w:val="1"/>
          <w:numId w:val="6"/>
        </w:numPr>
        <w:tabs>
          <w:tab w:val="left" w:pos="1050"/>
          <w:tab w:val="clear" w:pos="993"/>
        </w:tabs>
        <w:spacing w:before="0" w:after="0" w:line="500" w:lineRule="exact"/>
        <w:ind w:left="0" w:firstLine="480" w:firstLineChars="200"/>
        <w:rPr>
          <w:b w:val="0"/>
        </w:rPr>
      </w:pPr>
      <w:r>
        <w:rPr>
          <w:rFonts w:hint="eastAsia"/>
          <w:b w:val="0"/>
        </w:rPr>
        <w:t>招标人邀请所有投标人的法定代表人或其委托代理人参加开标会。投标人的法定代表人或其委托代理人应当持法定代表人身份证明文件或法定代表人授权委托书按时参加开标会，出示本人身份证，以证明其出席，否则，其投标文件不予受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由投标人代表或相关监督部门查验投标文件的密封情况，经确认无误后拆封唱标。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唱标人宣读投标人的名称、投标价格及其投标的修改、投标的撤回等。记录人制作开标记录。</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投标文件中投标函内容与投标文件中明细表内容不一致的，以投标函为准。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唱标以投标函中的大写金额为准。当出现大写金额与小写金额不一致或总价金额与按单价计算的汇总金额不一致等法定可修正情形时，由评审委员会在初步审查时进行修正。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如果对唱标内容有异议，应在获得主持人同意后当场提出。不属唱标错误的，应当请异议人核验“投标函”并维持原唱标结果；确属唱标人宣读错误的，应当将该“投标报价函”向所有开标仪式参与人公示，当场予以更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在开标时，投标文件有下列情况之一者，将被视为无效投标：</w:t>
      </w:r>
    </w:p>
    <w:p>
      <w:pPr>
        <w:numPr>
          <w:ilvl w:val="2"/>
          <w:numId w:val="6"/>
        </w:numPr>
        <w:spacing w:line="500" w:lineRule="exact"/>
        <w:ind w:left="0" w:firstLine="424" w:firstLineChars="177"/>
        <w:rPr>
          <w:sz w:val="24"/>
        </w:rPr>
      </w:pPr>
      <w:r>
        <w:rPr>
          <w:rFonts w:hint="eastAsia"/>
          <w:sz w:val="24"/>
        </w:rPr>
        <w:t>投标截止时间后送达的投标文件；</w:t>
      </w:r>
    </w:p>
    <w:p>
      <w:pPr>
        <w:numPr>
          <w:ilvl w:val="2"/>
          <w:numId w:val="6"/>
        </w:numPr>
        <w:spacing w:line="500" w:lineRule="exact"/>
        <w:ind w:left="0" w:firstLine="424" w:firstLineChars="177"/>
        <w:rPr>
          <w:sz w:val="24"/>
        </w:rPr>
      </w:pPr>
      <w:r>
        <w:rPr>
          <w:rFonts w:hint="eastAsia"/>
          <w:sz w:val="24"/>
        </w:rPr>
        <w:t>投标文件未按规定的方式密封。</w:t>
      </w:r>
    </w:p>
    <w:p>
      <w:pPr>
        <w:numPr>
          <w:ilvl w:val="0"/>
          <w:numId w:val="6"/>
        </w:numPr>
        <w:spacing w:line="500" w:lineRule="exact"/>
        <w:rPr>
          <w:b/>
          <w:sz w:val="24"/>
        </w:rPr>
      </w:pPr>
      <w:r>
        <w:rPr>
          <w:rFonts w:hint="eastAsia"/>
          <w:b/>
          <w:sz w:val="24"/>
        </w:rPr>
        <w:t>评审委员会</w:t>
      </w:r>
    </w:p>
    <w:p>
      <w:pPr>
        <w:pStyle w:val="5"/>
        <w:keepNext w:val="0"/>
        <w:keepLines w:val="0"/>
        <w:numPr>
          <w:ilvl w:val="1"/>
          <w:numId w:val="6"/>
        </w:numPr>
        <w:tabs>
          <w:tab w:val="clear" w:pos="993"/>
        </w:tabs>
        <w:spacing w:before="0" w:after="0" w:line="500" w:lineRule="exact"/>
        <w:rPr>
          <w:rFonts w:ascii="Times New Roman" w:hAnsi="Times New Roman"/>
          <w:b w:val="0"/>
        </w:rPr>
      </w:pPr>
      <w:r>
        <w:rPr>
          <w:rFonts w:hint="eastAsia" w:ascii="Times New Roman" w:hAnsi="Times New Roman"/>
          <w:b w:val="0"/>
        </w:rPr>
        <w:t>评审委员会组成：见投标人须知前附表。</w:t>
      </w:r>
    </w:p>
    <w:p>
      <w:pPr>
        <w:numPr>
          <w:ilvl w:val="0"/>
          <w:numId w:val="6"/>
        </w:numPr>
        <w:spacing w:line="500" w:lineRule="exact"/>
        <w:rPr>
          <w:b/>
          <w:sz w:val="24"/>
        </w:rPr>
      </w:pPr>
      <w:r>
        <w:rPr>
          <w:rFonts w:hint="eastAsia"/>
          <w:b/>
          <w:sz w:val="24"/>
        </w:rPr>
        <w:t>评标内容的保密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公开开标后，至正式授予中标人合同止，凡属于审查、澄清、评价和比较投标的所有资料、有关授予合同的信息等，都不能向投标人或与评标无关的其他人泄露。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在投标文件的审查、澄清、评价和比较以及授予合同的过程中，投标人对招标人、招标代理机构和评审委员会成员施加影响的任何行为，都将导致其投标资格被取消。</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在评标期间，评审委员会将通过指定联络人与投标人进行联系。</w:t>
      </w:r>
    </w:p>
    <w:p>
      <w:pPr>
        <w:numPr>
          <w:ilvl w:val="0"/>
          <w:numId w:val="6"/>
        </w:numPr>
        <w:spacing w:line="500" w:lineRule="exact"/>
        <w:rPr>
          <w:b/>
          <w:sz w:val="24"/>
        </w:rPr>
      </w:pPr>
      <w:r>
        <w:rPr>
          <w:rFonts w:hint="eastAsia"/>
          <w:b/>
          <w:sz w:val="24"/>
        </w:rPr>
        <w:t>对投标文件的初步审查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初步审查内容为投标文件是否实质性响应招标文件的要求、内容是否完整、价格构成有无计算错误、文件签署是否齐全，与招标文件有重大偏离的投标文件不能投标。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初步审查中，对价格的计算错误按下述原则修正：</w:t>
      </w:r>
    </w:p>
    <w:p>
      <w:pPr>
        <w:numPr>
          <w:ilvl w:val="2"/>
          <w:numId w:val="6"/>
        </w:numPr>
        <w:spacing w:line="500" w:lineRule="exact"/>
        <w:ind w:left="0" w:firstLine="720" w:firstLineChars="300"/>
        <w:rPr>
          <w:sz w:val="24"/>
        </w:rPr>
      </w:pPr>
      <w:r>
        <w:rPr>
          <w:rFonts w:hint="eastAsia"/>
          <w:sz w:val="24"/>
        </w:rPr>
        <w:t>投标文件中的大写金额和小写金额不一致的，以大写金额为准；</w:t>
      </w:r>
    </w:p>
    <w:p>
      <w:pPr>
        <w:numPr>
          <w:ilvl w:val="2"/>
          <w:numId w:val="6"/>
        </w:numPr>
        <w:spacing w:line="500" w:lineRule="exact"/>
        <w:ind w:left="0" w:firstLine="720" w:firstLineChars="300"/>
        <w:rPr>
          <w:sz w:val="24"/>
        </w:rPr>
      </w:pPr>
      <w:r>
        <w:rPr>
          <w:rFonts w:hint="eastAsia"/>
          <w:sz w:val="24"/>
        </w:rPr>
        <w:t>总价金额与按单价汇总金额不一致的，以单价金额计算结果为准；单价金额小数点有明显错位的，应以总价为准，并修改单价；</w:t>
      </w:r>
    </w:p>
    <w:p>
      <w:pPr>
        <w:numPr>
          <w:ilvl w:val="2"/>
          <w:numId w:val="6"/>
        </w:numPr>
        <w:spacing w:line="500" w:lineRule="exact"/>
        <w:ind w:left="0" w:firstLine="720" w:firstLineChars="300"/>
        <w:rPr>
          <w:sz w:val="24"/>
        </w:rPr>
      </w:pPr>
      <w:r>
        <w:rPr>
          <w:rFonts w:hint="eastAsia"/>
          <w:sz w:val="24"/>
        </w:rPr>
        <w:t>对不同文字文本投标文件的解释发生异议的，以中文文本为准。</w:t>
      </w:r>
    </w:p>
    <w:p>
      <w:pPr>
        <w:numPr>
          <w:ilvl w:val="2"/>
          <w:numId w:val="6"/>
        </w:numPr>
        <w:spacing w:line="500" w:lineRule="exact"/>
        <w:ind w:left="0" w:firstLine="720" w:firstLineChars="300"/>
        <w:rPr>
          <w:sz w:val="24"/>
        </w:rPr>
      </w:pPr>
      <w:r>
        <w:rPr>
          <w:rFonts w:hint="eastAsia"/>
          <w:sz w:val="24"/>
        </w:rPr>
        <w:t>投标人不同意以上修正，其投标将被拒绝。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 xml:space="preserve"> 评审委员会对投标文件的判定，只依据投标文件的内容，不依靠开标后的任何外来证明。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下列投标文件将被拒绝：</w:t>
      </w:r>
    </w:p>
    <w:p>
      <w:pPr>
        <w:numPr>
          <w:ilvl w:val="2"/>
          <w:numId w:val="6"/>
        </w:numPr>
        <w:spacing w:line="500" w:lineRule="exact"/>
        <w:ind w:left="0" w:firstLine="720" w:firstLineChars="300"/>
        <w:rPr>
          <w:sz w:val="24"/>
        </w:rPr>
      </w:pPr>
      <w:r>
        <w:rPr>
          <w:rFonts w:hint="eastAsia"/>
          <w:sz w:val="24"/>
        </w:rPr>
        <w:t>投标人拒绝修正错误；</w:t>
      </w:r>
    </w:p>
    <w:p>
      <w:pPr>
        <w:numPr>
          <w:ilvl w:val="2"/>
          <w:numId w:val="6"/>
        </w:numPr>
        <w:spacing w:line="500" w:lineRule="exact"/>
        <w:ind w:left="0" w:firstLine="720" w:firstLineChars="300"/>
        <w:rPr>
          <w:sz w:val="24"/>
        </w:rPr>
      </w:pPr>
      <w:r>
        <w:rPr>
          <w:rFonts w:hint="eastAsia"/>
          <w:sz w:val="24"/>
        </w:rPr>
        <w:t>投标人的报价是选择性的；</w:t>
      </w:r>
    </w:p>
    <w:p>
      <w:pPr>
        <w:numPr>
          <w:ilvl w:val="0"/>
          <w:numId w:val="6"/>
        </w:numPr>
        <w:spacing w:line="500" w:lineRule="exact"/>
        <w:rPr>
          <w:b/>
          <w:sz w:val="24"/>
        </w:rPr>
      </w:pPr>
      <w:r>
        <w:rPr>
          <w:rFonts w:hint="eastAsia"/>
          <w:b/>
          <w:sz w:val="24"/>
        </w:rPr>
        <w:t>投标的澄清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审委员会通知的时间、地点派技术和商务人员进行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投标人对投标文件的澄清、说明或者补正应有投标人代表的签署，并作为投标文件的组成部分。</w:t>
      </w:r>
    </w:p>
    <w:p>
      <w:pPr>
        <w:numPr>
          <w:ilvl w:val="0"/>
          <w:numId w:val="6"/>
        </w:numPr>
        <w:spacing w:line="500" w:lineRule="exact"/>
        <w:rPr>
          <w:b/>
          <w:sz w:val="24"/>
        </w:rPr>
      </w:pPr>
      <w:r>
        <w:rPr>
          <w:rFonts w:hint="eastAsia"/>
          <w:b/>
          <w:sz w:val="24"/>
        </w:rPr>
        <w:t>定标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招标人按照评标委员会推荐的中标候选人顺序确定中标人，评审委员会推荐3名中标候选人</w:t>
      </w:r>
    </w:p>
    <w:p>
      <w:pPr>
        <w:numPr>
          <w:ilvl w:val="0"/>
          <w:numId w:val="6"/>
        </w:numPr>
        <w:spacing w:line="500" w:lineRule="exact"/>
        <w:rPr>
          <w:b/>
          <w:sz w:val="24"/>
        </w:rPr>
      </w:pPr>
      <w:r>
        <w:rPr>
          <w:rFonts w:hint="eastAsia"/>
          <w:b/>
          <w:sz w:val="24"/>
        </w:rPr>
        <w:t>投标文件的评价和比较</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评审方法：见投标人须知前附表。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10" w:name="_Toc317237604"/>
      <w:bookmarkStart w:id="111" w:name="_Toc317237779"/>
      <w:bookmarkStart w:id="112" w:name="_Toc389164175"/>
      <w:bookmarkStart w:id="113" w:name="_Toc392583291"/>
      <w:bookmarkStart w:id="114" w:name="_Toc26718"/>
      <w:bookmarkStart w:id="115" w:name="_Toc18612"/>
      <w:bookmarkStart w:id="116" w:name="_Toc20052"/>
      <w:bookmarkStart w:id="117" w:name="_Toc11081"/>
      <w:bookmarkStart w:id="118" w:name="_Toc27777"/>
      <w:bookmarkStart w:id="119" w:name="_Toc19002"/>
      <w:bookmarkStart w:id="120" w:name="_Toc24448"/>
      <w:bookmarkStart w:id="121" w:name="_Toc18510"/>
      <w:bookmarkStart w:id="122" w:name="_Toc1580"/>
      <w:bookmarkStart w:id="123" w:name="_Toc11810"/>
      <w:bookmarkStart w:id="124" w:name="_Toc500150911"/>
      <w:r>
        <w:rPr>
          <w:rFonts w:hint="eastAsia"/>
          <w:b/>
          <w:sz w:val="36"/>
          <w:szCs w:val="36"/>
        </w:rPr>
        <w:t>授予合同</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numPr>
          <w:ilvl w:val="0"/>
          <w:numId w:val="6"/>
        </w:numPr>
        <w:spacing w:line="500" w:lineRule="exact"/>
        <w:rPr>
          <w:b/>
          <w:sz w:val="24"/>
        </w:rPr>
      </w:pPr>
      <w:r>
        <w:rPr>
          <w:rFonts w:hint="eastAsia"/>
          <w:b/>
          <w:sz w:val="24"/>
        </w:rPr>
        <w:t>中标人的确认</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评审委员会根据本招标文件第4部分《评标方法和标准》的规定，对投标人的资格进行审查，对投标文件进行评价和比较，按照《评标方法和标准》排序原则推荐中标候选人。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招标人在授标时可以增加中标服务的数量，但增加的数量不得超过中标服务数量的10%。</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评审委员会有权按招标文件的要求评定并推荐中标候选人，也有权拒绝任何或所有不符合招标文件要求的投标人的投标。</w:t>
      </w:r>
    </w:p>
    <w:p>
      <w:pPr>
        <w:numPr>
          <w:ilvl w:val="0"/>
          <w:numId w:val="6"/>
        </w:numPr>
        <w:spacing w:line="500" w:lineRule="exact"/>
        <w:rPr>
          <w:b/>
          <w:sz w:val="24"/>
        </w:rPr>
      </w:pPr>
      <w:r>
        <w:rPr>
          <w:rFonts w:hint="eastAsia"/>
          <w:b/>
          <w:sz w:val="24"/>
        </w:rPr>
        <w:t>合同授予标准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招标人应当把合同授予评审委员会按本须知第25条规定推荐的中标候选人。被授予合同的投标人必须具有实施本合同的能力和资源。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认中标人之前，招标人有权对中标候选人诚信履约的能力进行最后审查。审查方式包括询问、调查、考察、要求中标候选人作出履约承诺或担保等。如果发现中标候选人提供了虚假材料，在投标响应中有故意隐瞒或虚报的情节，在以往的中标项目中有不诚信履约的情形，不能按招标人要求作出相应的履约承诺或担保等，招标人有权否决其中标资格，按顺序确定排名随后的中标候选人中标。</w:t>
      </w:r>
    </w:p>
    <w:p>
      <w:pPr>
        <w:numPr>
          <w:ilvl w:val="0"/>
          <w:numId w:val="6"/>
        </w:numPr>
        <w:spacing w:line="500" w:lineRule="exact"/>
        <w:rPr>
          <w:b/>
          <w:sz w:val="24"/>
        </w:rPr>
      </w:pPr>
      <w:r>
        <w:rPr>
          <w:rFonts w:hint="eastAsia"/>
          <w:b/>
          <w:sz w:val="24"/>
        </w:rPr>
        <w:t>中标通知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确定中标人后，招标代理机构在发布中标公告的同时，以书面形式向中标人发出中标通知书。中标通知书应当规定签署合同的日期和地点。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中标通知书的送达方式，包括传真、快递、电子邮件和委托代理人领取。招标代理机构可以选用其中一种或多种方式送达。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中标通知书是合同的组成部分。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招标代理机构没有对未中标人解释落标原因的义务。</w:t>
      </w:r>
    </w:p>
    <w:p>
      <w:pPr>
        <w:numPr>
          <w:ilvl w:val="0"/>
          <w:numId w:val="6"/>
        </w:numPr>
        <w:spacing w:line="500" w:lineRule="exact"/>
        <w:rPr>
          <w:b/>
          <w:sz w:val="24"/>
        </w:rPr>
      </w:pPr>
      <w:r>
        <w:rPr>
          <w:rFonts w:hint="eastAsia"/>
          <w:b/>
          <w:sz w:val="24"/>
        </w:rPr>
        <w:t>签订合同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招标人和中标人应当按照中标通知书规定的期限与中标人签订合同。中标通知书规定的期限最长不得超过30天。</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中标人拒签合同，或不能在规定的期限内与招标人签订合同，招标人有权取消其中标资格，其投标保证金不予退还。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中标人放弃中标或被取消中标资格后，招标人有权按评审委员会推荐的顺序确定备选中</w:t>
      </w:r>
      <w:r>
        <w:rPr>
          <w:rFonts w:ascii="Times New Roman" w:hAnsi="Times New Roman"/>
          <w:b w:val="0"/>
        </w:rPr>
        <w:t>标候选人</w:t>
      </w:r>
      <w:r>
        <w:rPr>
          <w:rFonts w:hint="eastAsia" w:ascii="Times New Roman" w:hAnsi="Times New Roman"/>
          <w:b w:val="0"/>
        </w:rPr>
        <w:t>中标并与之签订合同。所有被确定中标的候选中标人均放弃中标或被取消中标资格，招标人应当重新组织招标。弃标或被取消中标资格的供应商不得参加重新招标。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中标人拒签合同或放弃中标是违约行为，应当依法赔偿违约行为给招标人造成的实际损失。</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前款所称“违约行为给招标人造成的实际损失”，是指顺延中标人的中标价格高于违约人中标价格的高出部分。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签订合同及合同条款应以招标文件和中标人的投标文件为依据。</w:t>
      </w:r>
    </w:p>
    <w:p>
      <w:pPr>
        <w:numPr>
          <w:ilvl w:val="0"/>
          <w:numId w:val="6"/>
        </w:numPr>
        <w:spacing w:line="500" w:lineRule="exact"/>
        <w:rPr>
          <w:b/>
          <w:sz w:val="24"/>
        </w:rPr>
      </w:pPr>
      <w:r>
        <w:rPr>
          <w:rFonts w:hint="eastAsia"/>
          <w:b/>
          <w:sz w:val="24"/>
        </w:rPr>
        <w:t>招标代理服务费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bookmarkStart w:id="125" w:name="_Toc317237606"/>
      <w:bookmarkStart w:id="126" w:name="_Toc317237781"/>
      <w:bookmarkStart w:id="127" w:name="_Toc392583292"/>
      <w:bookmarkStart w:id="128" w:name="_Toc389164177"/>
      <w:r>
        <w:rPr>
          <w:rFonts w:hint="eastAsia" w:ascii="Times New Roman" w:hAnsi="Times New Roman"/>
          <w:b w:val="0"/>
        </w:rPr>
        <w:t>由招标人缴纳。</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29" w:name="_Toc12817"/>
      <w:bookmarkStart w:id="130" w:name="_Toc10498"/>
      <w:bookmarkStart w:id="131" w:name="_Toc1891"/>
      <w:bookmarkStart w:id="132" w:name="_Toc8729"/>
      <w:bookmarkStart w:id="133" w:name="_Toc16559"/>
      <w:bookmarkStart w:id="134" w:name="_Toc4254"/>
      <w:bookmarkStart w:id="135" w:name="_Toc10671"/>
      <w:bookmarkStart w:id="136" w:name="_Toc24532"/>
      <w:bookmarkStart w:id="137" w:name="_Toc9290"/>
      <w:bookmarkStart w:id="138" w:name="_Toc11364"/>
      <w:bookmarkStart w:id="139" w:name="_Toc500150912"/>
      <w:r>
        <w:rPr>
          <w:rFonts w:hint="eastAsia"/>
          <w:b/>
          <w:sz w:val="36"/>
          <w:szCs w:val="36"/>
        </w:rPr>
        <w:t>纪律和监督</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numPr>
          <w:ilvl w:val="0"/>
          <w:numId w:val="6"/>
        </w:numPr>
        <w:spacing w:line="500" w:lineRule="exact"/>
        <w:rPr>
          <w:b/>
          <w:sz w:val="24"/>
        </w:rPr>
      </w:pPr>
      <w:r>
        <w:rPr>
          <w:rFonts w:hint="eastAsia"/>
          <w:b/>
          <w:sz w:val="24"/>
        </w:rPr>
        <w:t>对招标人的纪律要求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招标人不得泄漏招标投标活动中应当保密的情况和资料，不得与投标人串通损害国家利益、社会公共利益或他人的合法权益。</w:t>
      </w:r>
    </w:p>
    <w:p>
      <w:pPr>
        <w:numPr>
          <w:ilvl w:val="0"/>
          <w:numId w:val="6"/>
        </w:numPr>
        <w:spacing w:line="500" w:lineRule="exact"/>
        <w:rPr>
          <w:b/>
          <w:sz w:val="24"/>
        </w:rPr>
      </w:pPr>
      <w:r>
        <w:rPr>
          <w:rFonts w:hint="eastAsia"/>
          <w:b/>
          <w:sz w:val="24"/>
        </w:rPr>
        <w:t>对投标人的纪律要求</w:t>
      </w:r>
    </w:p>
    <w:p>
      <w:pPr>
        <w:pStyle w:val="5"/>
        <w:numPr>
          <w:ilvl w:val="0"/>
          <w:numId w:val="0"/>
        </w:numPr>
        <w:tabs>
          <w:tab w:val="left" w:pos="1050"/>
        </w:tabs>
        <w:spacing w:line="500" w:lineRule="exact"/>
        <w:ind w:firstLine="480" w:firstLineChars="200"/>
        <w:rPr>
          <w:rFonts w:ascii="Times New Roman" w:hAnsi="Times New Roman"/>
        </w:rPr>
      </w:pPr>
      <w:r>
        <w:rPr>
          <w:rFonts w:hint="eastAsia" w:ascii="Times New Roman" w:hAnsi="Times New Roman"/>
          <w:b w:val="0"/>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numPr>
          <w:ilvl w:val="0"/>
          <w:numId w:val="6"/>
        </w:numPr>
        <w:spacing w:line="500" w:lineRule="exact"/>
        <w:rPr>
          <w:b/>
          <w:sz w:val="24"/>
        </w:rPr>
      </w:pPr>
      <w:r>
        <w:rPr>
          <w:rFonts w:hint="eastAsia"/>
          <w:b/>
          <w:sz w:val="24"/>
        </w:rPr>
        <w:t>对评审委员会成员的纪律要求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招标文件第4部分“评标方法和标准”的规定之外的评审因素和标准进行评标。</w:t>
      </w:r>
    </w:p>
    <w:p>
      <w:pPr>
        <w:numPr>
          <w:ilvl w:val="0"/>
          <w:numId w:val="6"/>
        </w:numPr>
        <w:spacing w:line="500" w:lineRule="exact"/>
        <w:rPr>
          <w:b/>
          <w:sz w:val="24"/>
        </w:rPr>
      </w:pPr>
      <w:r>
        <w:rPr>
          <w:rFonts w:hint="eastAsia"/>
          <w:b/>
          <w:sz w:val="24"/>
        </w:rPr>
        <w:t>对与评标活动有关的工作人员的纪律要求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0"/>
          <w:numId w:val="6"/>
        </w:numPr>
        <w:spacing w:line="500" w:lineRule="exact"/>
        <w:rPr>
          <w:b/>
          <w:sz w:val="24"/>
        </w:rPr>
      </w:pPr>
      <w:r>
        <w:rPr>
          <w:rFonts w:hint="eastAsia"/>
          <w:b/>
          <w:sz w:val="24"/>
        </w:rPr>
        <w:t>政策功能</w:t>
      </w:r>
      <w:bookmarkEnd w:id="47"/>
      <w:bookmarkEnd w:id="48"/>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1 </w:t>
      </w:r>
      <w:r>
        <w:rPr>
          <w:rFonts w:hint="eastAsia" w:ascii="Times New Roman" w:hAnsi="Times New Roman"/>
          <w:b w:val="0"/>
        </w:rPr>
        <w:t>本次招标优先选购中华人民共和国财政部公布的《政府采购自主创新产品目录》和《节能环保产品目录》的标的物。</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2 </w:t>
      </w:r>
      <w:r>
        <w:rPr>
          <w:rFonts w:hint="eastAsia" w:ascii="Times New Roman" w:hAnsi="Times New Roman"/>
          <w:b w:val="0"/>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Times New Roman" w:hAnsi="Times New Roman"/>
          <w:b w:val="0"/>
        </w:rPr>
        <w:t> </w:t>
      </w:r>
      <w:r>
        <w:rPr>
          <w:rFonts w:hint="eastAsia" w:ascii="Times New Roman" w:hAnsi="Times New Roman"/>
          <w:b w:val="0"/>
        </w:rPr>
        <w:t>国家认监委《信息安全产品强制性认证目录》，并获得强制性产品认证证书的产品；环境标志产品是指列入财政部、国家环保总局制定的《环境标志产品政府采购清单》，且经过认证的环境标志产品。</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3 </w:t>
      </w:r>
      <w:r>
        <w:rPr>
          <w:rFonts w:hint="eastAsia" w:ascii="Times New Roman" w:hAnsi="Times New Roman"/>
          <w:b w:val="0"/>
        </w:rPr>
        <w:t>投标产品属于信息安全产品的，投标人应当选择经国家认证的信息安全产品投标，并提供由中国信息安全认证中心按国家标准颁发的有效认证证书复印件。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4 </w:t>
      </w:r>
      <w:r>
        <w:rPr>
          <w:rFonts w:hint="eastAsia" w:ascii="Times New Roman" w:hAnsi="Times New Roman"/>
          <w:b w:val="0"/>
        </w:rPr>
        <w:t>投标产品属于政府强制采购节能产品的，投标人应当选择《节能产品政府采购清单》中的产品投标，并提供有效的节能产品认证证书复印件。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5 </w:t>
      </w:r>
      <w:r>
        <w:rPr>
          <w:rFonts w:hint="eastAsia" w:ascii="Times New Roman" w:hAnsi="Times New Roman"/>
          <w:b w:val="0"/>
        </w:rPr>
        <w:t>招标文件中提供的参考产品品牌或型号，是采购人根据项目所要实现的功能根据市场情况列出的品牌或型号，并不是限制条件。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6 </w:t>
      </w:r>
      <w:r>
        <w:rPr>
          <w:rFonts w:hint="eastAsia" w:ascii="Times New Roman" w:hAnsi="Times New Roman"/>
          <w:b w:val="0"/>
        </w:rPr>
        <w:t>对于非专门面向中小企业的项目，对小型和微型企业产品的价格给予</w:t>
      </w:r>
      <w:r>
        <w:rPr>
          <w:rFonts w:ascii="Times New Roman" w:hAnsi="Times New Roman"/>
          <w:b w:val="0"/>
        </w:rPr>
        <w:t>6%</w:t>
      </w:r>
      <w:r>
        <w:rPr>
          <w:rFonts w:hint="eastAsia" w:ascii="Times New Roman" w:hAnsi="Times New Roman"/>
          <w:b w:val="0"/>
        </w:rPr>
        <w:t>的扣除（监狱企业视同小型、微型企业），用扣除后的价格参与评审。参加投标的中小企业，应当提供《中小企业声明函》（“中小企业划型标准”详见《关于印发中小企业划型标准规定的通知》工信部联企业（</w:t>
      </w:r>
      <w:r>
        <w:rPr>
          <w:rFonts w:ascii="Times New Roman" w:hAnsi="Times New Roman"/>
          <w:b w:val="0"/>
        </w:rPr>
        <w:t>2011</w:t>
      </w:r>
      <w:r>
        <w:rPr>
          <w:rFonts w:hint="eastAsia" w:ascii="Times New Roman" w:hAnsi="Times New Roman"/>
          <w:b w:val="0"/>
        </w:rPr>
        <w:t>）</w:t>
      </w:r>
      <w:r>
        <w:rPr>
          <w:rFonts w:ascii="Times New Roman" w:hAnsi="Times New Roman"/>
          <w:b w:val="0"/>
        </w:rPr>
        <w:t>300</w:t>
      </w:r>
      <w:r>
        <w:rPr>
          <w:rFonts w:hint="eastAsia" w:ascii="Times New Roman" w:hAnsi="Times New Roman"/>
          <w:b w:val="0"/>
        </w:rPr>
        <w:t>号）。</w:t>
      </w:r>
    </w:p>
    <w:p>
      <w:pPr>
        <w:numPr>
          <w:ilvl w:val="0"/>
          <w:numId w:val="6"/>
        </w:numPr>
        <w:spacing w:line="500" w:lineRule="exact"/>
        <w:rPr>
          <w:b/>
          <w:sz w:val="24"/>
        </w:rPr>
      </w:pPr>
      <w:r>
        <w:rPr>
          <w:rFonts w:hint="eastAsia"/>
          <w:b/>
          <w:sz w:val="24"/>
        </w:rPr>
        <w:t>信用查询记录</w:t>
      </w:r>
    </w:p>
    <w:p>
      <w:pPr>
        <w:spacing w:line="500" w:lineRule="exact"/>
        <w:ind w:firstLine="480" w:firstLineChars="200"/>
        <w:rPr>
          <w:rFonts w:ascii="宋体" w:hAnsi="宋体"/>
          <w:sz w:val="24"/>
          <w:szCs w:val="24"/>
        </w:rPr>
      </w:pPr>
      <w:r>
        <w:rPr>
          <w:rFonts w:hint="eastAsia" w:ascii="宋体" w:hAnsi="宋体" w:cs="宋体"/>
          <w:sz w:val="24"/>
        </w:rPr>
        <w:t>根据财库（2016）125号文《关于在政府采购活动中查询及使用信用记录有关问题的通知》的规定，所有投标人需提供“信用中国”网站(www.creditchina.gov.cn)或中国政府采购网(www.ccgp.gov.cn)查询的企业信用记录，并将网站截图作为投标文件的组成部分，如投标人不提供截图或被列入失信被执行人、重大税收违法案件当事人名单、政府采购严重违法实行行为记录名单的单位将被拒绝参加本次投标。</w:t>
      </w:r>
    </w:p>
    <w:p>
      <w:bookmarkStart w:id="140" w:name="_Toc468811122"/>
      <w:bookmarkStart w:id="141" w:name="_Toc500150913"/>
    </w:p>
    <w:p>
      <w:pPr>
        <w:spacing w:line="360" w:lineRule="auto"/>
        <w:ind w:firstLine="723" w:firstLineChars="200"/>
        <w:jc w:val="center"/>
        <w:outlineLvl w:val="0"/>
        <w:rPr>
          <w:rFonts w:ascii="宋体" w:hAnsi="宋体" w:cs="宋体"/>
          <w:b/>
          <w:bCs/>
          <w:sz w:val="36"/>
          <w:szCs w:val="36"/>
        </w:rPr>
      </w:pPr>
    </w:p>
    <w:p>
      <w:pPr>
        <w:spacing w:line="360" w:lineRule="auto"/>
        <w:ind w:firstLine="723" w:firstLineChars="200"/>
        <w:jc w:val="center"/>
        <w:outlineLvl w:val="0"/>
        <w:rPr>
          <w:rFonts w:ascii="宋体" w:hAnsi="宋体" w:cs="宋体"/>
          <w:b/>
          <w:bCs/>
          <w:sz w:val="36"/>
          <w:szCs w:val="36"/>
        </w:rPr>
        <w:sectPr>
          <w:footerReference r:id="rId7" w:type="default"/>
          <w:pgSz w:w="11907" w:h="16840"/>
          <w:pgMar w:top="1418" w:right="1134" w:bottom="1361" w:left="1134" w:header="794" w:footer="794" w:gutter="0"/>
          <w:cols w:space="720" w:num="1"/>
          <w:docGrid w:linePitch="285" w:charSpace="0"/>
        </w:sectPr>
      </w:pPr>
    </w:p>
    <w:p>
      <w:pPr>
        <w:spacing w:line="360" w:lineRule="auto"/>
        <w:ind w:firstLine="723" w:firstLineChars="200"/>
        <w:jc w:val="center"/>
        <w:outlineLvl w:val="0"/>
        <w:rPr>
          <w:rFonts w:ascii="宋体" w:cs="Times New Roman"/>
          <w:b/>
          <w:bCs/>
          <w:sz w:val="36"/>
          <w:szCs w:val="36"/>
        </w:rPr>
      </w:pPr>
      <w:r>
        <w:rPr>
          <w:rFonts w:hint="eastAsia" w:ascii="宋体" w:hAnsi="宋体" w:cs="宋体"/>
          <w:b/>
          <w:bCs/>
          <w:sz w:val="36"/>
          <w:szCs w:val="36"/>
        </w:rPr>
        <w:t>第三部分用户需求书</w:t>
      </w:r>
      <w:bookmarkEnd w:id="49"/>
      <w:bookmarkEnd w:id="140"/>
      <w:bookmarkEnd w:id="141"/>
      <w:bookmarkStart w:id="142" w:name="_Toc238907047"/>
    </w:p>
    <w:p>
      <w:pPr>
        <w:spacing w:line="440" w:lineRule="exact"/>
        <w:ind w:firstLine="482" w:firstLineChars="200"/>
        <w:rPr>
          <w:rFonts w:ascii="宋体" w:hAnsi="宋体"/>
          <w:b/>
          <w:snapToGrid w:val="0"/>
          <w:kern w:val="0"/>
          <w:sz w:val="24"/>
        </w:rPr>
      </w:pPr>
      <w:bookmarkStart w:id="143" w:name="_Toc500150917"/>
      <w:bookmarkStart w:id="144" w:name="_Toc468811128"/>
      <w:r>
        <w:rPr>
          <w:rFonts w:hint="eastAsia" w:ascii="宋体" w:hAnsi="宋体"/>
          <w:b/>
          <w:snapToGrid w:val="0"/>
          <w:kern w:val="0"/>
          <w:sz w:val="24"/>
        </w:rPr>
        <w:t>1</w:t>
      </w:r>
      <w:r>
        <w:rPr>
          <w:rFonts w:ascii="宋体" w:hAnsi="宋体"/>
          <w:b/>
          <w:snapToGrid w:val="0"/>
          <w:kern w:val="0"/>
          <w:sz w:val="24"/>
        </w:rPr>
        <w:t>.投标人资格要求</w:t>
      </w:r>
    </w:p>
    <w:p>
      <w:pPr>
        <w:spacing w:line="440" w:lineRule="exact"/>
        <w:ind w:firstLine="480" w:firstLineChars="200"/>
        <w:rPr>
          <w:rFonts w:ascii="宋体" w:hAnsi="宋体"/>
          <w:snapToGrid w:val="0"/>
          <w:kern w:val="0"/>
          <w:sz w:val="24"/>
        </w:rPr>
      </w:pPr>
      <w:r>
        <w:rPr>
          <w:rFonts w:hint="eastAsia" w:ascii="宋体" w:hAnsi="宋体"/>
          <w:sz w:val="24"/>
        </w:rPr>
        <w:t>①</w:t>
      </w:r>
      <w:r>
        <w:rPr>
          <w:rFonts w:hint="eastAsia" w:ascii="宋体" w:hAnsi="宋体"/>
          <w:snapToGrid w:val="0"/>
          <w:kern w:val="0"/>
          <w:sz w:val="24"/>
        </w:rPr>
        <w:t>投标人须为在中华人民共和国境内注册的独立法人或其他组织，能独立承担民事责任和合同义务，能在国内合法提供采购内容及其相应的服务。投标人与签订合同时的中标人必须为同一主体，名称保证一致，否则视为弃标。</w:t>
      </w:r>
    </w:p>
    <w:p>
      <w:pPr>
        <w:spacing w:line="440" w:lineRule="exact"/>
        <w:ind w:firstLine="480" w:firstLineChars="200"/>
        <w:rPr>
          <w:rFonts w:ascii="宋体" w:hAnsi="宋体"/>
          <w:snapToGrid w:val="0"/>
          <w:kern w:val="0"/>
          <w:sz w:val="24"/>
        </w:rPr>
      </w:pPr>
      <w:r>
        <w:rPr>
          <w:rFonts w:hint="eastAsia" w:ascii="宋体" w:hAnsi="宋体"/>
          <w:sz w:val="24"/>
        </w:rPr>
        <w:t>②</w:t>
      </w:r>
      <w:r>
        <w:rPr>
          <w:rFonts w:hint="eastAsia" w:ascii="宋体" w:hAnsi="宋体"/>
          <w:snapToGrid w:val="0"/>
          <w:kern w:val="0"/>
          <w:sz w:val="24"/>
        </w:rPr>
        <w:t>具有</w:t>
      </w:r>
      <w:r>
        <w:rPr>
          <w:rFonts w:hint="eastAsia" w:ascii="宋体" w:hAnsi="宋体" w:cs="宋体"/>
          <w:kern w:val="0"/>
          <w:sz w:val="24"/>
        </w:rPr>
        <w:t>建设项目环境影响评价（交通运输）甲级资质</w:t>
      </w:r>
      <w:r>
        <w:rPr>
          <w:rFonts w:hint="eastAsia" w:ascii="宋体" w:hAnsi="宋体"/>
          <w:snapToGrid w:val="0"/>
          <w:kern w:val="0"/>
          <w:sz w:val="24"/>
        </w:rPr>
        <w:t>；</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kern w:val="0"/>
          <w:sz w:val="24"/>
        </w:rPr>
      </w:pPr>
      <w:r>
        <w:rPr>
          <w:rFonts w:hint="eastAsia" w:ascii="宋体" w:hAnsi="宋体"/>
          <w:sz w:val="24"/>
        </w:rPr>
        <w:t>③</w:t>
      </w:r>
      <w:r>
        <w:rPr>
          <w:rFonts w:hint="eastAsia" w:ascii="宋体" w:hAnsi="宋体"/>
          <w:snapToGrid w:val="0"/>
          <w:kern w:val="0"/>
          <w:sz w:val="24"/>
        </w:rPr>
        <w:t>投标人参加政府采购活动前3年内在经营活动中没有重大违法记录。</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kern w:val="0"/>
          <w:sz w:val="24"/>
        </w:rPr>
      </w:pPr>
      <w:r>
        <w:rPr>
          <w:rFonts w:hint="eastAsia" w:ascii="宋体" w:hAnsi="宋体"/>
          <w:sz w:val="24"/>
        </w:rPr>
        <w:t>④</w:t>
      </w:r>
      <w:r>
        <w:rPr>
          <w:rFonts w:hint="eastAsia" w:ascii="宋体" w:hAnsi="宋体"/>
          <w:snapToGrid w:val="0"/>
          <w:kern w:val="0"/>
          <w:sz w:val="24"/>
        </w:rPr>
        <w:t>本项目不接受联合体投标，投标人应符合《中华人民共和国政府采购法》第二十二条的有关规定。</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2．技术服务的内容</w:t>
      </w:r>
    </w:p>
    <w:p>
      <w:pPr>
        <w:snapToGrid w:val="0"/>
        <w:spacing w:line="360" w:lineRule="auto"/>
        <w:ind w:firstLine="480" w:firstLineChars="200"/>
        <w:rPr>
          <w:rFonts w:ascii="宋体" w:hAnsi="宋体"/>
          <w:sz w:val="24"/>
        </w:rPr>
      </w:pPr>
      <w:r>
        <w:rPr>
          <w:rFonts w:hint="eastAsia" w:ascii="宋体" w:hAnsi="宋体"/>
          <w:sz w:val="24"/>
        </w:rPr>
        <w:t>环境影响评价内容：</w:t>
      </w:r>
    </w:p>
    <w:p>
      <w:pPr>
        <w:pStyle w:val="256"/>
        <w:numPr>
          <w:ilvl w:val="0"/>
          <w:numId w:val="7"/>
        </w:numPr>
        <w:snapToGrid w:val="0"/>
        <w:spacing w:line="360" w:lineRule="auto"/>
        <w:ind w:firstLineChars="0"/>
        <w:rPr>
          <w:rFonts w:ascii="宋体" w:hAnsi="宋体"/>
          <w:sz w:val="24"/>
        </w:rPr>
      </w:pPr>
      <w:r>
        <w:rPr>
          <w:rFonts w:hint="eastAsia" w:ascii="宋体" w:hAnsi="宋体"/>
          <w:sz w:val="24"/>
        </w:rPr>
        <w:t>过工程分析，查清污染源及排出的危害周围环境的污染物质的种类、数量、排放方式、排放强度。对环境进行现状监测调查。</w:t>
      </w:r>
    </w:p>
    <w:p>
      <w:pPr>
        <w:snapToGrid w:val="0"/>
        <w:spacing w:line="360" w:lineRule="auto"/>
        <w:ind w:firstLine="480" w:firstLineChars="200"/>
        <w:rPr>
          <w:rFonts w:ascii="宋体" w:hAnsi="宋体"/>
          <w:sz w:val="24"/>
        </w:rPr>
      </w:pPr>
      <w:r>
        <w:rPr>
          <w:rFonts w:hint="eastAsia" w:ascii="宋体" w:hAnsi="宋体"/>
          <w:sz w:val="24"/>
        </w:rPr>
        <w:t>②工程建设对大气、噪声、水环境的影响预测分析。</w:t>
      </w:r>
    </w:p>
    <w:p>
      <w:pPr>
        <w:snapToGrid w:val="0"/>
        <w:spacing w:line="360" w:lineRule="auto"/>
        <w:ind w:firstLine="480" w:firstLineChars="200"/>
        <w:rPr>
          <w:rFonts w:ascii="宋体" w:hAnsi="宋体"/>
          <w:sz w:val="24"/>
        </w:rPr>
      </w:pPr>
      <w:r>
        <w:rPr>
          <w:rFonts w:hint="eastAsia" w:ascii="宋体" w:hAnsi="宋体"/>
          <w:sz w:val="24"/>
        </w:rPr>
        <w:t>③对工程前后的海流场、海底泥沙冲淤变化进行高时空分辨率的数值模拟，分析评价工程建设前后对海洋动力环境变化。</w:t>
      </w:r>
    </w:p>
    <w:p>
      <w:pPr>
        <w:snapToGrid w:val="0"/>
        <w:spacing w:line="360" w:lineRule="auto"/>
        <w:ind w:firstLine="480" w:firstLineChars="200"/>
        <w:rPr>
          <w:rFonts w:ascii="宋体" w:hAnsi="宋体"/>
          <w:sz w:val="24"/>
        </w:rPr>
      </w:pPr>
      <w:r>
        <w:rPr>
          <w:rFonts w:hint="eastAsia" w:ascii="宋体" w:hAnsi="宋体"/>
          <w:sz w:val="24"/>
        </w:rPr>
        <w:t>④对工程各阶段可能出现的风险、污染、非污染事件进行评价。</w:t>
      </w:r>
    </w:p>
    <w:p>
      <w:pPr>
        <w:snapToGrid w:val="0"/>
        <w:spacing w:line="360" w:lineRule="auto"/>
        <w:ind w:firstLine="480" w:firstLineChars="200"/>
        <w:rPr>
          <w:rFonts w:ascii="宋体" w:hAnsi="宋体"/>
          <w:sz w:val="24"/>
        </w:rPr>
      </w:pPr>
      <w:r>
        <w:rPr>
          <w:rFonts w:hint="eastAsia" w:ascii="宋体" w:hAnsi="宋体"/>
          <w:sz w:val="24"/>
        </w:rPr>
        <w:t>⑤施工过程中局部扬起的悬浮泥沙根据海洋水动力条件，预测悬浮物对海洋环境和资源的影响。</w:t>
      </w:r>
    </w:p>
    <w:p>
      <w:pPr>
        <w:snapToGrid w:val="0"/>
        <w:spacing w:line="360" w:lineRule="auto"/>
        <w:ind w:firstLine="480" w:firstLineChars="200"/>
        <w:rPr>
          <w:rFonts w:ascii="宋体" w:hAnsi="宋体"/>
          <w:sz w:val="24"/>
        </w:rPr>
      </w:pPr>
      <w:r>
        <w:rPr>
          <w:rFonts w:hint="eastAsia" w:ascii="宋体" w:hAnsi="宋体"/>
          <w:sz w:val="24"/>
        </w:rPr>
        <w:t>⑥评价工程对海域的主要影响，阐明该工程的环境效益、经济效益和社会效益。</w:t>
      </w:r>
    </w:p>
    <w:p>
      <w:pPr>
        <w:snapToGrid w:val="0"/>
        <w:spacing w:line="360" w:lineRule="auto"/>
        <w:ind w:firstLine="480" w:firstLineChars="200"/>
        <w:rPr>
          <w:rFonts w:ascii="宋体" w:hAnsi="宋体"/>
          <w:sz w:val="24"/>
        </w:rPr>
      </w:pPr>
      <w:r>
        <w:rPr>
          <w:rFonts w:hint="eastAsia" w:ascii="宋体" w:hAnsi="宋体"/>
          <w:sz w:val="24"/>
        </w:rPr>
        <w:t>⑦评价工程项目在环境保护方面的可行性，为工程环境保护设计提供参考，为工程主管部门和环境保护主管部门提供管理与决策依据。</w:t>
      </w:r>
    </w:p>
    <w:p>
      <w:pPr>
        <w:snapToGrid w:val="0"/>
        <w:spacing w:line="360" w:lineRule="auto"/>
        <w:ind w:firstLine="472" w:firstLineChars="196"/>
        <w:rPr>
          <w:rFonts w:ascii="宋体" w:hAnsi="宋体"/>
          <w:b/>
          <w:sz w:val="24"/>
        </w:rPr>
      </w:pPr>
      <w:r>
        <w:rPr>
          <w:rFonts w:hint="eastAsia" w:ascii="宋体" w:hAnsi="宋体"/>
          <w:b/>
          <w:sz w:val="24"/>
        </w:rPr>
        <w:t>3.技术服务要求</w:t>
      </w:r>
    </w:p>
    <w:p>
      <w:pPr>
        <w:tabs>
          <w:tab w:val="left" w:pos="0"/>
          <w:tab w:val="left" w:pos="360"/>
          <w:tab w:val="left" w:pos="840"/>
          <w:tab w:val="left" w:pos="955"/>
        </w:tabs>
        <w:autoSpaceDE w:val="0"/>
        <w:autoSpaceDN w:val="0"/>
        <w:adjustRightInd w:val="0"/>
        <w:spacing w:line="440" w:lineRule="exact"/>
        <w:ind w:firstLine="240" w:firstLineChars="100"/>
        <w:rPr>
          <w:rFonts w:ascii="宋体" w:hAnsi="宋体" w:cs="宋体"/>
          <w:b/>
          <w:bCs/>
          <w:sz w:val="30"/>
          <w:szCs w:val="30"/>
        </w:rPr>
        <w:sectPr>
          <w:pgSz w:w="11907" w:h="16840"/>
          <w:pgMar w:top="1418" w:right="1134" w:bottom="1361" w:left="1134" w:header="794" w:footer="794" w:gutter="0"/>
          <w:cols w:space="720" w:num="1"/>
          <w:docGrid w:linePitch="285" w:charSpace="0"/>
        </w:sectPr>
      </w:pPr>
      <w:r>
        <w:rPr>
          <w:rFonts w:hint="eastAsia" w:ascii="宋体" w:hAnsi="宋体"/>
          <w:sz w:val="24"/>
        </w:rPr>
        <w:t xml:space="preserve">  按</w:t>
      </w:r>
      <w:r>
        <w:rPr>
          <w:rFonts w:hint="eastAsia"/>
          <w:sz w:val="24"/>
          <w:szCs w:val="24"/>
        </w:rPr>
        <w:t>《环境影响评价技术导则总纲》（HJ2.1-2016）、《环境影响评价技术导则大气环境》（HJ2.2-2008）、《环境影响评价技术导则地表水环境》（HJ/T2.3-93）、《环境影响评价技术导则声环境》（HJ2.4-2009）、《环境影响评价技术导则声环境》（HJ2.4-2009）</w:t>
      </w:r>
      <w:r>
        <w:rPr>
          <w:rFonts w:hint="eastAsia" w:ascii="宋体" w:hAnsi="宋体"/>
          <w:sz w:val="24"/>
        </w:rPr>
        <w:t>《海洋调查规范》(</w:t>
      </w:r>
      <w:r>
        <w:rPr>
          <w:rFonts w:ascii="宋体" w:hAnsi="宋体"/>
          <w:sz w:val="24"/>
        </w:rPr>
        <w:t>GB/T12763-2007</w:t>
      </w:r>
      <w:r>
        <w:rPr>
          <w:rFonts w:hint="eastAsia" w:ascii="宋体" w:hAnsi="宋体"/>
          <w:sz w:val="24"/>
        </w:rPr>
        <w:t>)、《海洋监测规范》(</w:t>
      </w:r>
      <w:r>
        <w:rPr>
          <w:rFonts w:ascii="宋体" w:hAnsi="宋体"/>
          <w:sz w:val="24"/>
        </w:rPr>
        <w:t>GB17378-2007</w:t>
      </w:r>
      <w:r>
        <w:rPr>
          <w:rFonts w:hint="eastAsia" w:ascii="宋体" w:hAnsi="宋体"/>
          <w:sz w:val="24"/>
        </w:rPr>
        <w:t>)、《海域使用论证技术导则》（国海发[2010]22号）、《海洋工程环境影响评价技术导则》及相关规范中有关技术要求进行。</w:t>
      </w:r>
      <w:r>
        <w:rPr>
          <w:rFonts w:hint="eastAsia" w:asciiTheme="minorEastAsia" w:hAnsiTheme="minorEastAsia" w:eastAsiaTheme="minorEastAsia"/>
          <w:sz w:val="24"/>
          <w:szCs w:val="24"/>
        </w:rPr>
        <w:t>编制的《环境影响评价报告》通过生态环境部主管部门组织的专家评审。</w:t>
      </w: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第四部分  合同条款</w:t>
      </w:r>
      <w:bookmarkEnd w:id="142"/>
      <w:bookmarkEnd w:id="143"/>
      <w:bookmarkEnd w:id="144"/>
    </w:p>
    <w:p>
      <w:pPr>
        <w:pStyle w:val="15"/>
        <w:rPr>
          <w:rFonts w:ascii="Times New Roman" w:hAnsi="Times New Roman"/>
          <w:sz w:val="28"/>
          <w:szCs w:val="28"/>
        </w:rPr>
      </w:pPr>
      <w:bookmarkStart w:id="145" w:name="_Toc468811129"/>
      <w:bookmarkStart w:id="146" w:name="_Toc500150926"/>
    </w:p>
    <w:p>
      <w:pPr>
        <w:rPr>
          <w:rFonts w:ascii="Times New Roman" w:hAnsi="Times New Roman"/>
          <w:sz w:val="28"/>
          <w:szCs w:val="28"/>
        </w:rPr>
      </w:pPr>
      <w:r>
        <w:rPr>
          <w:rFonts w:hint="eastAsia" w:ascii="Times New Roman" w:hAnsi="Times New Roman"/>
          <w:sz w:val="28"/>
          <w:szCs w:val="28"/>
        </w:rPr>
        <w:t>合同编号：</w:t>
      </w:r>
    </w:p>
    <w:p>
      <w:pPr>
        <w:rPr>
          <w:rFonts w:ascii="Times New Roman" w:hAnsi="Times New Roman"/>
          <w:sz w:val="28"/>
          <w:szCs w:val="28"/>
        </w:rPr>
      </w:pPr>
    </w:p>
    <w:p>
      <w:pPr>
        <w:jc w:val="center"/>
        <w:rPr>
          <w:rFonts w:ascii="Times New Roman" w:hAnsi="Times New Roman"/>
        </w:rPr>
      </w:pPr>
    </w:p>
    <w:p>
      <w:pPr>
        <w:pStyle w:val="2"/>
        <w:numPr>
          <w:ilvl w:val="0"/>
          <w:numId w:val="0"/>
        </w:numPr>
        <w:ind w:left="3261"/>
      </w:pPr>
    </w:p>
    <w:p>
      <w:pPr>
        <w:pStyle w:val="3"/>
        <w:numPr>
          <w:ilvl w:val="0"/>
          <w:numId w:val="0"/>
        </w:numPr>
        <w:spacing w:after="120"/>
        <w:ind w:left="851"/>
      </w:pPr>
    </w:p>
    <w:p>
      <w:pPr>
        <w:jc w:val="center"/>
        <w:rPr>
          <w:rFonts w:ascii="Times New Roman" w:hAnsi="Times New Roman"/>
        </w:rPr>
      </w:pPr>
    </w:p>
    <w:p>
      <w:pPr>
        <w:jc w:val="center"/>
        <w:rPr>
          <w:rFonts w:ascii="黑体" w:hAnsi="Times New Roman" w:eastAsia="黑体"/>
          <w:sz w:val="36"/>
          <w:szCs w:val="36"/>
        </w:rPr>
      </w:pPr>
    </w:p>
    <w:p>
      <w:pPr>
        <w:jc w:val="center"/>
      </w:pPr>
      <w:r>
        <w:rPr>
          <w:rFonts w:hint="eastAsia" w:ascii="黑体" w:eastAsia="黑体"/>
          <w:sz w:val="52"/>
          <w:szCs w:val="52"/>
        </w:rPr>
        <w:t>合同范本</w:t>
      </w: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spacing w:line="360" w:lineRule="auto"/>
        <w:rPr>
          <w:rFonts w:ascii="黑体" w:eastAsia="黑体"/>
          <w:sz w:val="36"/>
          <w:szCs w:val="36"/>
        </w:rPr>
      </w:pPr>
    </w:p>
    <w:p>
      <w:pPr>
        <w:spacing w:line="360" w:lineRule="auto"/>
        <w:rPr>
          <w:rFonts w:ascii="黑体" w:eastAsia="黑体"/>
          <w:sz w:val="36"/>
          <w:szCs w:val="36"/>
        </w:rPr>
      </w:pPr>
      <w:r>
        <w:rPr>
          <w:rFonts w:hint="eastAsia" w:ascii="黑体" w:eastAsia="黑体"/>
          <w:sz w:val="36"/>
          <w:szCs w:val="36"/>
        </w:rPr>
        <w:t xml:space="preserve">         委托单位：</w:t>
      </w:r>
    </w:p>
    <w:p>
      <w:pPr>
        <w:spacing w:line="360" w:lineRule="auto"/>
        <w:rPr>
          <w:rFonts w:ascii="黑体" w:eastAsia="黑体"/>
          <w:sz w:val="36"/>
          <w:szCs w:val="36"/>
        </w:rPr>
      </w:pPr>
      <w:r>
        <w:rPr>
          <w:rFonts w:hint="eastAsia" w:ascii="黑体" w:eastAsia="黑体"/>
          <w:sz w:val="36"/>
          <w:szCs w:val="36"/>
        </w:rPr>
        <w:t xml:space="preserve">         编制单位：</w:t>
      </w:r>
    </w:p>
    <w:p>
      <w:pPr>
        <w:spacing w:line="360" w:lineRule="auto"/>
        <w:rPr>
          <w:rFonts w:ascii="黑体" w:eastAsia="黑体"/>
          <w:sz w:val="36"/>
          <w:szCs w:val="36"/>
          <w:u w:val="single"/>
        </w:rPr>
      </w:pPr>
      <w:r>
        <w:rPr>
          <w:rFonts w:hint="eastAsia" w:ascii="黑体" w:eastAsia="黑体"/>
          <w:sz w:val="36"/>
          <w:szCs w:val="36"/>
        </w:rPr>
        <w:t xml:space="preserve">         签约地点：</w:t>
      </w:r>
    </w:p>
    <w:p>
      <w:pPr>
        <w:spacing w:line="360" w:lineRule="auto"/>
        <w:rPr>
          <w:rFonts w:ascii="黑体" w:eastAsia="黑体"/>
          <w:sz w:val="36"/>
          <w:szCs w:val="36"/>
          <w:u w:val="single"/>
        </w:rPr>
      </w:pPr>
      <w:r>
        <w:rPr>
          <w:rFonts w:hint="eastAsia" w:ascii="黑体" w:eastAsia="黑体"/>
          <w:sz w:val="36"/>
          <w:szCs w:val="36"/>
        </w:rPr>
        <w:t xml:space="preserve">         签约日期：</w:t>
      </w:r>
      <w:r>
        <w:rPr>
          <w:rFonts w:hint="eastAsia" w:ascii="黑体" w:eastAsia="黑体"/>
          <w:sz w:val="36"/>
          <w:szCs w:val="36"/>
          <w:u w:val="single"/>
        </w:rPr>
        <w:t xml:space="preserve">     年    月    日        </w:t>
      </w:r>
    </w:p>
    <w:p>
      <w:pPr>
        <w:spacing w:line="276" w:lineRule="auto"/>
        <w:rPr>
          <w:rFonts w:ascii="黑体" w:hAnsi="Times New Roman" w:eastAsia="黑体" w:cs="方正仿宋简体"/>
          <w:sz w:val="36"/>
          <w:szCs w:val="36"/>
        </w:rPr>
      </w:pPr>
    </w:p>
    <w:p>
      <w:pPr>
        <w:spacing w:line="276" w:lineRule="auto"/>
        <w:rPr>
          <w:rFonts w:ascii="黑体" w:hAnsi="Times New Roman" w:eastAsia="黑体" w:cs="方正仿宋简体"/>
          <w:sz w:val="36"/>
          <w:szCs w:val="36"/>
        </w:rPr>
      </w:pPr>
    </w:p>
    <w:p>
      <w:pPr>
        <w:spacing w:line="276" w:lineRule="auto"/>
        <w:rPr>
          <w:rFonts w:ascii="黑体" w:hAnsi="Times New Roman" w:eastAsia="黑体"/>
          <w:sz w:val="36"/>
          <w:szCs w:val="36"/>
        </w:rPr>
      </w:pPr>
    </w:p>
    <w:p/>
    <w:p/>
    <w:p/>
    <w:p/>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甲方（委托方）：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乙方（服务方）：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根据《中华人民共和国合同法》的规定，甲乙双方就服务，协商签订本合同，以共同信守。</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一、服务内容、要求和验收方式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1、甲方委托乙方对</w:t>
      </w:r>
      <w:r>
        <w:rPr>
          <w:rFonts w:hint="eastAsia" w:hAnsi="宋体"/>
          <w:u w:val="single"/>
        </w:rPr>
        <w:t>深海科考实验研究与岸基保障平台——三亚深海科考码头</w:t>
      </w:r>
      <w:r>
        <w:rPr>
          <w:rFonts w:hint="eastAsia" w:asciiTheme="minorEastAsia" w:hAnsiTheme="minorEastAsia" w:eastAsiaTheme="minorEastAsia"/>
          <w:sz w:val="24"/>
          <w:szCs w:val="24"/>
        </w:rPr>
        <w:t>项目进行</w:t>
      </w:r>
      <w:r>
        <w:rPr>
          <w:rFonts w:hint="eastAsia" w:asciiTheme="minorEastAsia" w:hAnsiTheme="minorEastAsia" w:eastAsiaTheme="minorEastAsia"/>
          <w:sz w:val="24"/>
          <w:szCs w:val="24"/>
          <w:u w:val="single"/>
        </w:rPr>
        <w:t xml:space="preserve">环境影响评价相关 </w:t>
      </w:r>
      <w:r>
        <w:rPr>
          <w:rFonts w:hint="eastAsia" w:asciiTheme="minorEastAsia" w:hAnsiTheme="minorEastAsia" w:eastAsiaTheme="minorEastAsia"/>
          <w:sz w:val="24"/>
          <w:szCs w:val="24"/>
        </w:rPr>
        <w:t>工作，并编制</w:t>
      </w:r>
      <w:r>
        <w:rPr>
          <w:rFonts w:hint="eastAsia" w:asciiTheme="minorEastAsia" w:hAnsiTheme="minorEastAsia" w:eastAsiaTheme="minorEastAsia"/>
          <w:b/>
          <w:sz w:val="24"/>
          <w:szCs w:val="24"/>
          <w:u w:val="single"/>
        </w:rPr>
        <w:t>《</w:t>
      </w:r>
      <w:r>
        <w:rPr>
          <w:rFonts w:hint="eastAsia" w:asciiTheme="minorEastAsia" w:hAnsiTheme="minorEastAsia" w:eastAsiaTheme="minorEastAsia"/>
          <w:sz w:val="24"/>
          <w:szCs w:val="24"/>
          <w:u w:val="single"/>
        </w:rPr>
        <w:t xml:space="preserve">环境影响评价报告》等 </w:t>
      </w:r>
      <w:r>
        <w:rPr>
          <w:rFonts w:hint="eastAsia" w:asciiTheme="minorEastAsia" w:hAnsiTheme="minorEastAsia" w:eastAsiaTheme="minorEastAsia"/>
          <w:sz w:val="24"/>
          <w:szCs w:val="24"/>
        </w:rPr>
        <w:t xml:space="preserve"> 。</w:t>
      </w:r>
    </w:p>
    <w:p>
      <w:pPr>
        <w:pStyle w:val="2"/>
        <w:numPr>
          <w:ilvl w:val="0"/>
          <w:numId w:val="0"/>
        </w:numPr>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2、工作要求：乙方应遵循客观、科学、公平、公正原则，提供符合国家经济技术政策、规定，符合甲方的技术、质量要求的咨询服务，并按照合同约定完成本项目</w:t>
      </w:r>
      <w:r>
        <w:rPr>
          <w:rFonts w:hint="eastAsia" w:asciiTheme="minorEastAsia" w:hAnsiTheme="minorEastAsia" w:eastAsiaTheme="minorEastAsia"/>
          <w:b w:val="0"/>
          <w:sz w:val="24"/>
          <w:szCs w:val="24"/>
          <w:u w:val="single"/>
        </w:rPr>
        <w:t xml:space="preserve">  环境影响评价报告及评审工作  </w:t>
      </w:r>
      <w:r>
        <w:rPr>
          <w:rFonts w:hint="eastAsia" w:asciiTheme="minorEastAsia" w:hAnsiTheme="minorEastAsia" w:eastAsiaTheme="minorEastAsia"/>
          <w:b w:val="0"/>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3、验收方式：双方确定，乙方编制的《环境影响评价报告》以通过生态环境部（如政策调整，以实际审批部门为准）组织的专家评审的方式验收，符合国家发改委立项项目的报批要求。</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二、服务收费及付款方式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1、本合同总金额共计人民币（大写）：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r>
        <w:rPr>
          <w:rFonts w:hint="eastAsia" w:ascii="宋体" w:hAnsi="宋体"/>
          <w:kern w:val="0"/>
          <w:sz w:val="24"/>
        </w:rPr>
        <w:t>费用包括环境</w:t>
      </w:r>
      <w:r>
        <w:rPr>
          <w:rFonts w:hint="eastAsia" w:ascii="宋体" w:hAnsi="宋体"/>
          <w:sz w:val="24"/>
          <w:szCs w:val="24"/>
        </w:rPr>
        <w:t>调查与监测费（大气、噪声、地表水）</w:t>
      </w:r>
      <w:r>
        <w:rPr>
          <w:rFonts w:hint="eastAsia" w:ascii="宋体" w:hAnsi="宋体"/>
          <w:kern w:val="0"/>
          <w:sz w:val="24"/>
        </w:rPr>
        <w:t>、资料收集费、数学模拟费、文本编制费、文本修改费、会务费、专家评审费、税费等报告书通过审批所需要的全部工作费用</w:t>
      </w:r>
      <w:r>
        <w:rPr>
          <w:rFonts w:ascii="宋体" w:hAnsi="宋体"/>
          <w:kern w:val="0"/>
          <w:sz w:val="24"/>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2、合同签订后7天内支付合同总金额的40%，即￥元；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宋体" w:hAnsi="宋体"/>
          <w:sz w:val="24"/>
          <w:szCs w:val="24"/>
        </w:rPr>
        <w:t>递交</w:t>
      </w:r>
      <w:r>
        <w:rPr>
          <w:rFonts w:hint="eastAsia" w:asciiTheme="minorEastAsia" w:hAnsiTheme="minorEastAsia" w:eastAsiaTheme="minorEastAsia"/>
          <w:sz w:val="24"/>
          <w:szCs w:val="24"/>
        </w:rPr>
        <w:t>《环境影响评价报告》</w:t>
      </w:r>
      <w:r>
        <w:rPr>
          <w:rFonts w:hint="eastAsia" w:ascii="宋体" w:hAnsi="宋体"/>
          <w:sz w:val="24"/>
          <w:szCs w:val="24"/>
        </w:rPr>
        <w:t>送审稿后7天内支付总费用的30%，</w:t>
      </w:r>
      <w:r>
        <w:rPr>
          <w:rFonts w:hint="eastAsia" w:asciiTheme="minorEastAsia" w:hAnsiTheme="minorEastAsia" w:eastAsiaTheme="minorEastAsia"/>
          <w:sz w:val="24"/>
          <w:szCs w:val="24"/>
        </w:rPr>
        <w:t>即￥元。</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4、通过生态环境部主管部门组织的专家评审，乙方根据专家意见修改完善经专家复核形成报批稿并提交给甲方后，甲方应向乙方支付合同总金额的30%，即￥元。</w:t>
      </w:r>
    </w:p>
    <w:p>
      <w:pPr>
        <w:pStyle w:val="2"/>
        <w:numPr>
          <w:ilvl w:val="0"/>
          <w:numId w:val="0"/>
        </w:numPr>
        <w:jc w:val="left"/>
        <w:rPr>
          <w:rFonts w:cs="Calibri" w:asciiTheme="minorEastAsia" w:hAnsiTheme="minorEastAsia" w:eastAsiaTheme="minorEastAsia"/>
          <w:b w:val="0"/>
          <w:bCs w:val="0"/>
          <w:sz w:val="24"/>
          <w:szCs w:val="24"/>
        </w:rPr>
      </w:pPr>
      <w:r>
        <w:rPr>
          <w:rFonts w:hint="eastAsia" w:cs="Calibri" w:asciiTheme="minorEastAsia" w:hAnsiTheme="minorEastAsia" w:eastAsiaTheme="minorEastAsia"/>
          <w:b w:val="0"/>
          <w:bCs w:val="0"/>
          <w:sz w:val="24"/>
          <w:szCs w:val="24"/>
        </w:rPr>
        <w:t xml:space="preserve">    5、乙方在每次请款前的5日内，应向甲方提供足额的甲方认可的有效合法发票作为请款依据，否则，甲方有权拒绝付款。因乙方出具发票迟延，甲方付款时间做相应顺延。</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三、双方权利义务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甲方应及时向乙方提供有关的项目工程资料及有关的批复文件，并对所提供资料负责。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(2)甲方应按合同约定向乙方支付服务费。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监测完成后，乙方须按甲方要求提交</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环境影响评价报告》、盖CMA的数据报表、等成果文件各一式</w:t>
      </w:r>
      <w:r>
        <w:rPr>
          <w:rFonts w:hint="eastAsia" w:asciiTheme="minorEastAsia" w:hAnsiTheme="minorEastAsia" w:eastAsiaTheme="minorEastAsia"/>
          <w:sz w:val="24"/>
          <w:szCs w:val="24"/>
          <w:u w:val="single"/>
        </w:rPr>
        <w:t xml:space="preserve"> 6 </w:t>
      </w:r>
      <w:r>
        <w:rPr>
          <w:rFonts w:hint="eastAsia" w:asciiTheme="minorEastAsia" w:hAnsiTheme="minorEastAsia" w:eastAsiaTheme="minorEastAsia"/>
          <w:sz w:val="24"/>
          <w:szCs w:val="24"/>
        </w:rPr>
        <w:t>份。由甲方呈报生态环境部组织专家评审，乙方应保证《环境影响评价报告》通过生态环境部主管部门组织的专家评审。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乙方应对编制的成果文件结论负责。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(3)评审会务费及专家审查费由乙方承担。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(4)乙方编制的成果文件应满足</w:t>
      </w:r>
      <w:r>
        <w:rPr>
          <w:rFonts w:hint="eastAsia"/>
          <w:sz w:val="24"/>
          <w:szCs w:val="24"/>
        </w:rPr>
        <w:t>《中华人民共和国环境保护法》、</w:t>
      </w:r>
      <w:r>
        <w:rPr>
          <w:rFonts w:hint="eastAsia" w:asciiTheme="minorEastAsia" w:hAnsiTheme="minorEastAsia" w:eastAsiaTheme="minorEastAsia"/>
          <w:sz w:val="24"/>
          <w:szCs w:val="24"/>
        </w:rPr>
        <w:t>《中华人民共和国海洋环境保护法》、《中华人民共和国海域使用管理法》、《中华人民共和国海洋环境保护法》等法律、法规、技术规范要求，并通过生态环境部主管部门组织的专家评审。</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四、违约处理及解决办法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1、违约处理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任何一方如提前终止合同，则按合同金额的30%向另一方赔偿经济损失。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如果《环境影响评价报告》质量没有达到生态环境部主管部门组织的专家评审要求，需要增加或补充工作时，其经费由乙方负责。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如甲方改变建设地点、建设规模及其它建设条件的，甲方须增加相应的费用。</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2、争议的解决办法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在合同履行过程中发生争议，双方应协商解决，也可请求各自主管部门调解。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甲乙双方不愿协商、调解或者协商、调解不成的，由三亚市仲裁委员会仲裁解决。</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五、其它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1、本合同未尽事宜，双方协商解决。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2、本合同经双方签字盖章后生效。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3、本合同一式8份，甲方执6份，乙方执2份。</w:t>
      </w:r>
    </w:p>
    <w:p>
      <w:pPr>
        <w:pStyle w:val="15"/>
        <w:ind w:firstLine="480" w:firstLineChars="200"/>
        <w:rPr>
          <w:rFonts w:cs="方正仿宋简体"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                                 乙方：</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                      法定代表人(签字)：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委托代表人(签字):                      委托代表人(签字):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  址：                               地  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  话：                               电  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开户行：                               开户行：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  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  编：                               邮  编：</w:t>
      </w:r>
    </w:p>
    <w:p>
      <w:pPr>
        <w:spacing w:line="360" w:lineRule="auto"/>
        <w:ind w:firstLine="602" w:firstLineChars="200"/>
        <w:jc w:val="center"/>
        <w:outlineLvl w:val="0"/>
        <w:rPr>
          <w:rFonts w:ascii="宋体" w:hAnsi="宋体" w:cs="宋体"/>
          <w:b/>
          <w:bCs/>
          <w:sz w:val="30"/>
          <w:szCs w:val="30"/>
        </w:rPr>
        <w:sectPr>
          <w:pgSz w:w="11907" w:h="16840"/>
          <w:pgMar w:top="1418" w:right="1134" w:bottom="1361" w:left="1134" w:header="794" w:footer="794" w:gutter="0"/>
          <w:cols w:space="720" w:num="1"/>
          <w:docGrid w:linePitch="285" w:charSpace="0"/>
        </w:sectPr>
      </w:pP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第五部分  投标文件格式</w:t>
      </w:r>
      <w:bookmarkEnd w:id="145"/>
      <w:bookmarkEnd w:id="146"/>
    </w:p>
    <w:p>
      <w:bookmarkStart w:id="147" w:name="_Toc500150957"/>
      <w:bookmarkStart w:id="148" w:name="_Toc6671"/>
      <w:bookmarkStart w:id="149" w:name="_Toc468811150"/>
      <w:bookmarkStart w:id="150" w:name="_Toc238907095"/>
      <w:r>
        <w:rPr>
          <w:rFonts w:hint="eastAsia" w:ascii="黑体" w:eastAsia="黑体"/>
          <w:sz w:val="32"/>
          <w:szCs w:val="32"/>
        </w:rPr>
        <w:t>（正本</w:t>
      </w:r>
      <w:r>
        <w:rPr>
          <w:rFonts w:ascii="黑体" w:hAnsi="黑体" w:eastAsia="黑体"/>
          <w:sz w:val="32"/>
          <w:szCs w:val="32"/>
        </w:rPr>
        <w:t>/</w:t>
      </w:r>
      <w:r>
        <w:rPr>
          <w:rFonts w:hint="eastAsia" w:ascii="黑体" w:eastAsia="黑体"/>
          <w:sz w:val="32"/>
          <w:szCs w:val="32"/>
        </w:rPr>
        <w:t>副本）</w:t>
      </w:r>
    </w:p>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深海科考实验研究与岸基保障平台</w:t>
      </w:r>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——三亚深海科考码头项目</w:t>
      </w:r>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环境影响评价</w:t>
      </w:r>
    </w:p>
    <w:p>
      <w:pPr>
        <w:spacing w:line="900" w:lineRule="exact"/>
        <w:ind w:left="-840" w:leftChars="-400" w:right="-840" w:rightChars="-400"/>
        <w:jc w:val="center"/>
        <w:rPr>
          <w:rFonts w:ascii="宋体" w:hAnsi="宋体"/>
          <w:b/>
          <w:sz w:val="44"/>
          <w:szCs w:val="44"/>
        </w:rPr>
      </w:pPr>
    </w:p>
    <w:p>
      <w:pPr>
        <w:spacing w:line="900" w:lineRule="exact"/>
        <w:ind w:left="-840" w:leftChars="-400" w:right="-840" w:rightChars="-400"/>
        <w:jc w:val="center"/>
        <w:rPr>
          <w:rFonts w:ascii="宋体" w:hAnsi="宋体"/>
          <w:b/>
          <w:sz w:val="44"/>
          <w:szCs w:val="44"/>
        </w:rPr>
      </w:pPr>
    </w:p>
    <w:p>
      <w:pPr>
        <w:pStyle w:val="2"/>
        <w:numPr>
          <w:ilvl w:val="0"/>
          <w:numId w:val="0"/>
        </w:numPr>
        <w:ind w:left="2694"/>
      </w:pPr>
    </w:p>
    <w:p>
      <w:pPr>
        <w:spacing w:line="900" w:lineRule="exact"/>
        <w:ind w:left="-840" w:leftChars="-400" w:right="-840" w:rightChars="-400"/>
        <w:jc w:val="center"/>
        <w:rPr>
          <w:rFonts w:ascii="宋体" w:hAnsi="宋体"/>
          <w:b/>
          <w:sz w:val="44"/>
          <w:szCs w:val="44"/>
        </w:rPr>
      </w:pPr>
      <w:r>
        <w:rPr>
          <w:rFonts w:hint="eastAsia" w:ascii="宋体" w:hAnsi="宋体"/>
          <w:b/>
          <w:sz w:val="44"/>
          <w:szCs w:val="44"/>
        </w:rPr>
        <w:t>投标文件</w:t>
      </w:r>
    </w:p>
    <w:p>
      <w:pPr>
        <w:snapToGrid w:val="0"/>
        <w:spacing w:line="760" w:lineRule="exact"/>
        <w:jc w:val="center"/>
        <w:rPr>
          <w:rFonts w:ascii="宋体" w:hAnsi="宋体"/>
          <w:sz w:val="32"/>
        </w:rPr>
      </w:pPr>
      <w:r>
        <w:rPr>
          <w:rFonts w:hint="eastAsia" w:ascii="宋体" w:hAnsi="宋体"/>
          <w:sz w:val="32"/>
        </w:rPr>
        <w:t>（商务及技术文件）</w:t>
      </w: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Lines="50" w:afterLines="50"/>
        <w:ind w:left="1560"/>
        <w:rPr>
          <w:rFonts w:ascii="Times New Roman" w:hAnsi="Times New Roman"/>
          <w:sz w:val="32"/>
        </w:rPr>
      </w:pPr>
    </w:p>
    <w:p>
      <w:pPr>
        <w:snapToGrid w:val="0"/>
        <w:spacing w:line="760" w:lineRule="exact"/>
        <w:jc w:val="center"/>
        <w:rPr>
          <w:rFonts w:ascii="宋体" w:hAnsi="宋体"/>
          <w:sz w:val="28"/>
          <w:u w:val="single"/>
        </w:rPr>
      </w:pPr>
      <w:r>
        <w:rPr>
          <w:rFonts w:hint="eastAsia" w:ascii="宋体" w:hAnsi="宋体"/>
          <w:sz w:val="28"/>
        </w:rPr>
        <w:t>投标人：</w:t>
      </w:r>
      <w:r>
        <w:rPr>
          <w:rFonts w:hint="eastAsia" w:ascii="宋体" w:hAnsi="宋体"/>
          <w:sz w:val="28"/>
          <w:u w:val="single"/>
        </w:rPr>
        <w:t xml:space="preserve">                （盖法人单位公章 ）</w:t>
      </w:r>
    </w:p>
    <w:p>
      <w:pPr>
        <w:snapToGrid w:val="0"/>
        <w:spacing w:line="760" w:lineRule="exact"/>
        <w:ind w:firstLine="1120" w:firstLineChars="400"/>
        <w:rPr>
          <w:rFonts w:ascii="宋体" w:hAnsi="宋体"/>
          <w:sz w:val="28"/>
          <w:u w:val="single"/>
        </w:rPr>
      </w:pPr>
      <w:r>
        <w:rPr>
          <w:rFonts w:hint="eastAsia" w:ascii="宋体" w:hAnsi="宋体"/>
          <w:sz w:val="28"/>
        </w:rPr>
        <w:t xml:space="preserve">法定代表人或其委托代理人: </w:t>
      </w:r>
      <w:r>
        <w:rPr>
          <w:rFonts w:hint="eastAsia" w:ascii="宋体" w:hAnsi="宋体"/>
          <w:sz w:val="28"/>
          <w:u w:val="single"/>
        </w:rPr>
        <w:t xml:space="preserve">          （签名或盖章）</w:t>
      </w:r>
    </w:p>
    <w:p>
      <w:pPr>
        <w:snapToGrid w:val="0"/>
        <w:spacing w:line="760" w:lineRule="exact"/>
        <w:jc w:val="center"/>
        <w:rPr>
          <w:rFonts w:ascii="宋体" w:hAnsi="宋体"/>
          <w:b/>
          <w:sz w:val="32"/>
        </w:rPr>
      </w:pPr>
      <w:r>
        <w:rPr>
          <w:rFonts w:hint="eastAsia" w:ascii="宋体" w:hAnsi="宋体"/>
          <w:sz w:val="32"/>
        </w:rPr>
        <w:t>日期：    年   月   日</w:t>
      </w:r>
    </w:p>
    <w:p>
      <w:pPr>
        <w:jc w:val="center"/>
        <w:rPr>
          <w:b/>
        </w:rPr>
      </w:pPr>
      <w:r>
        <w:rPr>
          <w:rFonts w:hint="eastAsia"/>
          <w:b/>
        </w:rPr>
        <w:t>目录</w:t>
      </w:r>
    </w:p>
    <w:p>
      <w:pPr>
        <w:spacing w:line="360" w:lineRule="auto"/>
        <w:rPr>
          <w:rFonts w:ascii="宋体" w:hAnsi="宋体"/>
        </w:rPr>
      </w:pPr>
      <w:r>
        <w:rPr>
          <w:rFonts w:hint="eastAsia" w:ascii="宋体" w:hAnsi="宋体"/>
        </w:rPr>
        <w:t>（一）商务部分</w:t>
      </w:r>
    </w:p>
    <w:p>
      <w:pPr>
        <w:spacing w:line="360" w:lineRule="auto"/>
        <w:rPr>
          <w:rFonts w:ascii="宋体" w:hAnsi="宋体"/>
        </w:rPr>
      </w:pPr>
      <w:r>
        <w:rPr>
          <w:rFonts w:hint="eastAsia" w:ascii="宋体" w:hAnsi="宋体"/>
        </w:rPr>
        <w:t>一、投标函</w:t>
      </w:r>
    </w:p>
    <w:p>
      <w:pPr>
        <w:spacing w:line="360" w:lineRule="auto"/>
        <w:rPr>
          <w:rFonts w:ascii="宋体" w:hAnsi="宋体"/>
        </w:rPr>
      </w:pPr>
      <w:r>
        <w:rPr>
          <w:rFonts w:hint="eastAsia" w:ascii="宋体" w:hAnsi="宋体"/>
        </w:rPr>
        <w:t>二、报价一览表</w:t>
      </w:r>
    </w:p>
    <w:p>
      <w:pPr>
        <w:spacing w:line="360" w:lineRule="auto"/>
        <w:rPr>
          <w:rFonts w:ascii="宋体" w:hAnsi="宋体"/>
        </w:rPr>
      </w:pPr>
      <w:r>
        <w:rPr>
          <w:rFonts w:hint="eastAsia" w:ascii="宋体" w:hAnsi="宋体"/>
        </w:rPr>
        <w:t>三、法定代表人授权委托书</w:t>
      </w:r>
    </w:p>
    <w:p>
      <w:pPr>
        <w:spacing w:line="360" w:lineRule="auto"/>
        <w:rPr>
          <w:rFonts w:ascii="宋体" w:hAnsi="宋体"/>
        </w:rPr>
      </w:pPr>
      <w:r>
        <w:rPr>
          <w:rFonts w:hint="eastAsia" w:ascii="宋体" w:hAnsi="宋体"/>
        </w:rPr>
        <w:t>四、投标人基本情况表</w:t>
      </w:r>
    </w:p>
    <w:p>
      <w:pPr>
        <w:spacing w:line="360" w:lineRule="auto"/>
        <w:rPr>
          <w:rFonts w:ascii="宋体" w:hAnsi="宋体"/>
        </w:rPr>
      </w:pPr>
      <w:r>
        <w:rPr>
          <w:rFonts w:hint="eastAsia" w:ascii="宋体" w:hAnsi="宋体"/>
        </w:rPr>
        <w:t>五、投标人类似业绩一览表</w:t>
      </w:r>
    </w:p>
    <w:p>
      <w:pPr>
        <w:spacing w:line="360" w:lineRule="auto"/>
        <w:rPr>
          <w:rFonts w:ascii="宋体" w:hAnsi="宋体"/>
        </w:rPr>
      </w:pPr>
      <w:r>
        <w:rPr>
          <w:rFonts w:hint="eastAsia" w:ascii="宋体" w:hAnsi="宋体"/>
        </w:rPr>
        <w:t>六、项目管理人员配备及执行本合同的主要管理人员资格和经历</w:t>
      </w:r>
    </w:p>
    <w:p>
      <w:pPr>
        <w:spacing w:line="360" w:lineRule="auto"/>
        <w:rPr>
          <w:rFonts w:ascii="宋体" w:hAnsi="宋体"/>
        </w:rPr>
      </w:pPr>
      <w:r>
        <w:rPr>
          <w:rFonts w:hint="eastAsia" w:ascii="宋体" w:hAnsi="宋体"/>
        </w:rPr>
        <w:t>七、项目负责人资历及业绩表</w:t>
      </w:r>
    </w:p>
    <w:p>
      <w:pPr>
        <w:spacing w:line="360" w:lineRule="auto"/>
        <w:rPr>
          <w:rFonts w:ascii="宋体" w:hAnsi="宋体"/>
        </w:rPr>
      </w:pPr>
      <w:r>
        <w:rPr>
          <w:rFonts w:hint="eastAsia" w:ascii="宋体" w:hAnsi="宋体"/>
        </w:rPr>
        <w:t>八、其他材料</w:t>
      </w:r>
    </w:p>
    <w:p>
      <w:pPr>
        <w:spacing w:line="360" w:lineRule="auto"/>
        <w:rPr>
          <w:rFonts w:ascii="宋体" w:hAnsi="宋体"/>
        </w:rPr>
      </w:pPr>
      <w:r>
        <w:rPr>
          <w:rFonts w:hint="eastAsia" w:ascii="宋体" w:hAnsi="宋体"/>
        </w:rPr>
        <w:t>（二）技术部分</w:t>
      </w:r>
    </w:p>
    <w:p>
      <w:pPr>
        <w:spacing w:line="360" w:lineRule="auto"/>
        <w:rPr>
          <w:rFonts w:ascii="宋体" w:hAnsi="宋体"/>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sectPr>
          <w:pgSz w:w="11906" w:h="16838"/>
          <w:pgMar w:top="1418" w:right="1361" w:bottom="1418" w:left="1474" w:header="851" w:footer="851" w:gutter="0"/>
          <w:cols w:space="720" w:num="1"/>
          <w:titlePg/>
          <w:docGrid w:type="lines" w:linePitch="312" w:charSpace="0"/>
        </w:sectPr>
      </w:pPr>
    </w:p>
    <w:p>
      <w:pPr>
        <w:pStyle w:val="2"/>
        <w:keepNext w:val="0"/>
        <w:keepLines w:val="0"/>
        <w:numPr>
          <w:ilvl w:val="0"/>
          <w:numId w:val="0"/>
        </w:numPr>
        <w:jc w:val="left"/>
        <w:rPr>
          <w:rFonts w:ascii="Times New Roman" w:hAnsi="Times New Roman"/>
          <w:sz w:val="32"/>
        </w:rPr>
      </w:pPr>
      <w:r>
        <w:rPr>
          <w:rFonts w:hint="eastAsia" w:ascii="Times New Roman" w:hAnsi="Times New Roman"/>
          <w:sz w:val="32"/>
        </w:rPr>
        <w:t>（一）商务部分</w:t>
      </w:r>
    </w:p>
    <w:p>
      <w:pPr>
        <w:pStyle w:val="15"/>
        <w:overflowPunct w:val="0"/>
        <w:spacing w:line="560" w:lineRule="exact"/>
        <w:ind w:firstLine="0"/>
        <w:jc w:val="center"/>
        <w:rPr>
          <w:b/>
          <w:sz w:val="32"/>
          <w:szCs w:val="36"/>
        </w:rPr>
      </w:pPr>
      <w:r>
        <w:rPr>
          <w:rFonts w:hint="eastAsia"/>
          <w:b/>
          <w:sz w:val="32"/>
          <w:szCs w:val="36"/>
        </w:rPr>
        <w:t>1、投  标  函</w:t>
      </w:r>
    </w:p>
    <w:p>
      <w:pPr>
        <w:pStyle w:val="15"/>
        <w:overflowPunct w:val="0"/>
        <w:spacing w:line="560" w:lineRule="exact"/>
        <w:ind w:firstLine="0"/>
        <w:jc w:val="center"/>
        <w:rPr>
          <w:b/>
          <w:sz w:val="32"/>
          <w:szCs w:val="36"/>
        </w:rPr>
      </w:pPr>
    </w:p>
    <w:p>
      <w:pPr>
        <w:spacing w:line="360" w:lineRule="auto"/>
        <w:rPr>
          <w:sz w:val="24"/>
        </w:rPr>
      </w:pPr>
      <w:r>
        <w:rPr>
          <w:rFonts w:hint="eastAsia" w:ascii="Times New Roman" w:hAnsi="Times New Roman" w:cs="Times New Roman"/>
          <w:b/>
          <w:bCs/>
          <w:sz w:val="24"/>
          <w:szCs w:val="24"/>
          <w:lang w:val="en-GB"/>
        </w:rPr>
        <w:t>中国科学院深海科学与工程研究所</w:t>
      </w:r>
      <w:r>
        <w:rPr>
          <w:rFonts w:hint="eastAsia"/>
          <w:sz w:val="24"/>
        </w:rPr>
        <w:t>：</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我们仔细阅读并全面研究了</w:t>
      </w:r>
      <w:r>
        <w:rPr>
          <w:rFonts w:hint="eastAsia" w:ascii="Times New Roman" w:hAnsi="Times New Roman" w:eastAsia="宋体"/>
          <w:iCs/>
          <w:sz w:val="24"/>
          <w:szCs w:val="21"/>
          <w:u w:val="single"/>
        </w:rPr>
        <w:t>（招标项目名称和编号）</w:t>
      </w:r>
      <w:r>
        <w:rPr>
          <w:rFonts w:hint="eastAsia" w:ascii="Times New Roman" w:hAnsi="Times New Roman" w:eastAsia="宋体"/>
          <w:sz w:val="24"/>
          <w:szCs w:val="24"/>
        </w:rPr>
        <w:t>招标文件，决定响应招标文件的邀请，参加本项目投标。</w:t>
      </w:r>
    </w:p>
    <w:p>
      <w:pPr>
        <w:spacing w:line="440" w:lineRule="exact"/>
        <w:ind w:firstLine="480" w:firstLineChars="200"/>
        <w:rPr>
          <w:sz w:val="24"/>
        </w:rPr>
      </w:pPr>
      <w:r>
        <w:rPr>
          <w:sz w:val="24"/>
        </w:rPr>
        <w:t>1</w:t>
      </w:r>
      <w:r>
        <w:rPr>
          <w:rFonts w:hint="eastAsia"/>
          <w:sz w:val="24"/>
        </w:rPr>
        <w:t>、</w:t>
      </w:r>
      <w:r>
        <w:rPr>
          <w:sz w:val="24"/>
        </w:rPr>
        <w:t>按照贵方提供的招标文件的要求，我方愿以总价元</w:t>
      </w:r>
      <w:r>
        <w:rPr>
          <w:rFonts w:hint="eastAsia"/>
          <w:bCs/>
          <w:kern w:val="0"/>
        </w:rPr>
        <w:t>，</w:t>
      </w:r>
      <w:r>
        <w:rPr>
          <w:sz w:val="24"/>
        </w:rPr>
        <w:t>作为本项目报价，</w:t>
      </w:r>
      <w:r>
        <w:rPr>
          <w:rFonts w:hint="eastAsia"/>
          <w:sz w:val="24"/>
        </w:rPr>
        <w:t>投标报价一次报定。</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2、我们同意按招标文件中的规定，本投标文件的有效期限为开标之日起</w:t>
      </w:r>
      <w:r>
        <w:rPr>
          <w:rFonts w:hint="eastAsia" w:ascii="Times New Roman" w:hAnsi="Times New Roman" w:eastAsia="宋体"/>
          <w:b/>
          <w:sz w:val="24"/>
          <w:szCs w:val="24"/>
          <w:u w:val="single"/>
        </w:rPr>
        <w:t>90</w:t>
      </w:r>
      <w:r>
        <w:rPr>
          <w:rFonts w:hint="eastAsia" w:ascii="Times New Roman" w:hAnsi="Times New Roman" w:eastAsia="宋体"/>
          <w:sz w:val="24"/>
          <w:szCs w:val="24"/>
        </w:rPr>
        <w:t>天，服务周期：日历天。</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3、我们愿意提供招标方在招标文件中要求的所有资料。</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4、我们承诺该项投标在开标后至投标有效期截止前保持有效，不作任何更改和变动。</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5、我方已经详细阅读招标文件，包括修改文件（如有的话）以及全部参考资料和有关附件，将自行承担因对招标文件不明或误解而产生的相应后果。同时，投标人充分理解招标人本次招投标活动所采取的程序性办法及相应安排。</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6、我方同意投标文件递交截止期起投标有效期内，严格遵守本投标文件中列明的各项承诺，在期满前本投标对我方始终有约束力。本投标文件同贵方的招标文件、中标通知书、双方签订的补充、修改文件、答疑文件和附件均将成为约束双方的、用于合同签订的法律依据文件。</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7、如你方接受我们的投标，我方保证在接到中标通知书后，在招标文件规定的期限内签署合同、完成并交付合同规定的全部工作成果。</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8、我方声</w:t>
      </w:r>
      <w:r>
        <w:rPr>
          <w:rFonts w:ascii="Times New Roman" w:hAnsi="Times New Roman" w:eastAsia="宋体"/>
          <w:sz w:val="24"/>
          <w:szCs w:val="24"/>
        </w:rPr>
        <w:t>明与招标人聘请的为本项目提供服务的公司及任何附属机构无关联。</w:t>
      </w: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投标人：</w:t>
      </w:r>
      <w:r>
        <w:rPr>
          <w:rFonts w:hint="eastAsia" w:ascii="Times New Roman" w:hAnsi="Times New Roman" w:eastAsia="宋体"/>
          <w:iCs/>
          <w:sz w:val="24"/>
          <w:szCs w:val="21"/>
        </w:rPr>
        <w:t>（单位盖章）</w:t>
      </w:r>
    </w:p>
    <w:p>
      <w:pPr>
        <w:pStyle w:val="233"/>
        <w:spacing w:line="440" w:lineRule="exact"/>
        <w:rPr>
          <w:rFonts w:ascii="Times New Roman" w:hAnsi="Times New Roman" w:eastAsia="宋体"/>
          <w:sz w:val="21"/>
          <w:szCs w:val="21"/>
        </w:rPr>
      </w:pP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法定代表人或授权委托人：</w:t>
      </w:r>
      <w:r>
        <w:rPr>
          <w:rFonts w:hint="eastAsia" w:ascii="Times New Roman" w:hAnsi="Times New Roman" w:eastAsia="宋体"/>
          <w:iCs/>
          <w:sz w:val="24"/>
          <w:szCs w:val="21"/>
        </w:rPr>
        <w:t>（签字或盖章）</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地址：</w:t>
      </w:r>
      <w:r>
        <w:rPr>
          <w:rFonts w:hint="eastAsia" w:ascii="Times New Roman" w:hAnsi="Times New Roman" w:eastAsia="宋体"/>
          <w:sz w:val="24"/>
          <w:szCs w:val="24"/>
        </w:rPr>
        <w:tab/>
      </w:r>
      <w:r>
        <w:rPr>
          <w:rFonts w:hint="eastAsia" w:ascii="Times New Roman" w:hAnsi="Times New Roman" w:eastAsia="宋体"/>
          <w:sz w:val="24"/>
          <w:szCs w:val="24"/>
        </w:rPr>
        <w:t>邮政编码：</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联系人：</w:t>
      </w:r>
      <w:r>
        <w:rPr>
          <w:rFonts w:hint="eastAsia" w:ascii="Times New Roman" w:hAnsi="Times New Roman" w:eastAsia="宋体"/>
          <w:sz w:val="24"/>
          <w:szCs w:val="24"/>
        </w:rPr>
        <w:tab/>
      </w:r>
      <w:r>
        <w:rPr>
          <w:rFonts w:hint="eastAsia" w:ascii="Times New Roman" w:hAnsi="Times New Roman" w:eastAsia="宋体"/>
          <w:sz w:val="24"/>
          <w:szCs w:val="24"/>
        </w:rPr>
        <w:t>联系电话：</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电子邮件：</w:t>
      </w:r>
      <w:r>
        <w:rPr>
          <w:rFonts w:hint="eastAsia" w:ascii="Times New Roman" w:hAnsi="Times New Roman" w:eastAsia="宋体"/>
          <w:sz w:val="24"/>
          <w:szCs w:val="24"/>
        </w:rPr>
        <w:tab/>
      </w:r>
      <w:r>
        <w:rPr>
          <w:rFonts w:hint="eastAsia" w:ascii="Times New Roman" w:hAnsi="Times New Roman" w:eastAsia="宋体"/>
          <w:sz w:val="24"/>
          <w:szCs w:val="24"/>
        </w:rPr>
        <w:t>传真：</w:t>
      </w:r>
    </w:p>
    <w:p>
      <w:pPr>
        <w:pStyle w:val="233"/>
        <w:spacing w:line="440" w:lineRule="exact"/>
        <w:rPr>
          <w:rFonts w:ascii="Times New Roman" w:hAnsi="Times New Roman" w:eastAsia="宋体"/>
          <w:sz w:val="24"/>
          <w:szCs w:val="24"/>
        </w:rPr>
        <w:sectPr>
          <w:pgSz w:w="11906" w:h="16838"/>
          <w:pgMar w:top="1418" w:right="1361" w:bottom="1418" w:left="1474" w:header="851" w:footer="851" w:gutter="0"/>
          <w:cols w:space="720" w:num="1"/>
          <w:titlePg/>
          <w:docGrid w:type="lines" w:linePitch="312" w:charSpace="0"/>
        </w:sectPr>
      </w:pPr>
      <w:r>
        <w:rPr>
          <w:rFonts w:hint="eastAsia" w:ascii="Times New Roman" w:hAnsi="Times New Roman" w:eastAsia="宋体"/>
          <w:sz w:val="24"/>
          <w:szCs w:val="24"/>
        </w:rPr>
        <w:t>日期：2018年月日</w:t>
      </w:r>
    </w:p>
    <w:p>
      <w:pPr>
        <w:pStyle w:val="15"/>
        <w:overflowPunct w:val="0"/>
        <w:spacing w:line="560" w:lineRule="exact"/>
        <w:ind w:firstLine="0"/>
        <w:jc w:val="center"/>
        <w:rPr>
          <w:b/>
          <w:sz w:val="32"/>
          <w:szCs w:val="36"/>
        </w:rPr>
      </w:pPr>
      <w:bookmarkStart w:id="151" w:name="_Toc16619"/>
      <w:bookmarkStart w:id="152" w:name="_Toc394922034"/>
      <w:bookmarkStart w:id="153" w:name="_Toc441740805"/>
      <w:r>
        <w:rPr>
          <w:rFonts w:hint="eastAsia"/>
          <w:b/>
          <w:sz w:val="32"/>
          <w:szCs w:val="36"/>
        </w:rPr>
        <w:t>2、报价一览表格式</w:t>
      </w:r>
      <w:bookmarkEnd w:id="151"/>
      <w:bookmarkEnd w:id="152"/>
      <w:bookmarkEnd w:id="153"/>
    </w:p>
    <w:p/>
    <w:p>
      <w:pPr>
        <w:pStyle w:val="15"/>
        <w:overflowPunct w:val="0"/>
        <w:spacing w:line="560" w:lineRule="exact"/>
        <w:ind w:firstLine="0"/>
        <w:jc w:val="center"/>
        <w:rPr>
          <w:b/>
          <w:sz w:val="30"/>
          <w:szCs w:val="30"/>
        </w:rPr>
      </w:pPr>
      <w:r>
        <w:rPr>
          <w:rFonts w:hint="eastAsia"/>
          <w:b/>
          <w:sz w:val="30"/>
          <w:szCs w:val="30"/>
        </w:rPr>
        <w:t>报价一览表</w:t>
      </w:r>
    </w:p>
    <w:p>
      <w:pPr>
        <w:pStyle w:val="233"/>
        <w:rPr>
          <w:rFonts w:ascii="Times New Roman" w:hAnsi="Times New Roman" w:eastAsia="宋体"/>
          <w:sz w:val="21"/>
          <w:szCs w:val="21"/>
        </w:rPr>
      </w:pPr>
    </w:p>
    <w:p>
      <w:pPr>
        <w:pStyle w:val="233"/>
        <w:rPr>
          <w:rFonts w:ascii="Times New Roman" w:hAnsi="Times New Roman" w:eastAsia="宋体"/>
          <w:sz w:val="21"/>
          <w:szCs w:val="21"/>
        </w:rPr>
      </w:pPr>
    </w:p>
    <w:p>
      <w:pPr>
        <w:spacing w:line="360" w:lineRule="auto"/>
        <w:ind w:firstLine="105" w:firstLineChars="50"/>
      </w:pPr>
      <w:r>
        <w:rPr>
          <w:rFonts w:hint="eastAsia"/>
        </w:rPr>
        <w:t>项目名称：三亚深海科考码头工程环境影响评价项目</w:t>
      </w:r>
    </w:p>
    <w:p>
      <w:pPr>
        <w:spacing w:line="360" w:lineRule="auto"/>
      </w:pPr>
      <w:r>
        <w:rPr>
          <w:rFonts w:hint="eastAsia"/>
        </w:rPr>
        <w:t>金额单位：人民币</w:t>
      </w:r>
    </w:p>
    <w:p>
      <w:pPr>
        <w:spacing w:line="360" w:lineRule="auto"/>
      </w:pPr>
      <w:r>
        <w:rPr>
          <w:rFonts w:hint="eastAsia"/>
        </w:rPr>
        <w:t>项目编号：</w:t>
      </w:r>
    </w:p>
    <w:tbl>
      <w:tblPr>
        <w:tblStyle w:val="59"/>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0"/>
        <w:gridCol w:w="6306"/>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trPr>
        <w:tc>
          <w:tcPr>
            <w:tcW w:w="870" w:type="dxa"/>
            <w:vAlign w:val="center"/>
          </w:tcPr>
          <w:p>
            <w:pPr>
              <w:jc w:val="center"/>
            </w:pPr>
            <w:r>
              <w:rPr>
                <w:rFonts w:hint="eastAsia"/>
              </w:rPr>
              <w:t>序号</w:t>
            </w:r>
          </w:p>
        </w:tc>
        <w:tc>
          <w:tcPr>
            <w:tcW w:w="6306" w:type="dxa"/>
            <w:vAlign w:val="center"/>
          </w:tcPr>
          <w:p>
            <w:pPr>
              <w:jc w:val="center"/>
            </w:pPr>
            <w:r>
              <w:rPr>
                <w:rFonts w:hint="eastAsia"/>
              </w:rPr>
              <w:t>投标总价（元）</w:t>
            </w:r>
          </w:p>
        </w:tc>
        <w:tc>
          <w:tcPr>
            <w:tcW w:w="2519" w:type="dxa"/>
            <w:vAlign w:val="center"/>
          </w:tcPr>
          <w:p>
            <w:pPr>
              <w:jc w:val="center"/>
            </w:pPr>
            <w:r>
              <w:rPr>
                <w:rFonts w:hint="eastAsia"/>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07" w:hRule="exact"/>
        </w:trPr>
        <w:tc>
          <w:tcPr>
            <w:tcW w:w="870" w:type="dxa"/>
            <w:vAlign w:val="center"/>
          </w:tcPr>
          <w:p>
            <w:pPr>
              <w:jc w:val="center"/>
            </w:pPr>
            <w:r>
              <w:rPr>
                <w:rFonts w:hint="eastAsia"/>
              </w:rPr>
              <w:t>1</w:t>
            </w:r>
          </w:p>
        </w:tc>
        <w:tc>
          <w:tcPr>
            <w:tcW w:w="6306" w:type="dxa"/>
            <w:vAlign w:val="center"/>
          </w:tcPr>
          <w:p>
            <w:pPr>
              <w:jc w:val="center"/>
            </w:pPr>
          </w:p>
        </w:tc>
        <w:tc>
          <w:tcPr>
            <w:tcW w:w="2519" w:type="dxa"/>
            <w:vAlign w:val="center"/>
          </w:tcPr>
          <w:p>
            <w:pPr>
              <w:jc w:val="center"/>
            </w:pPr>
          </w:p>
        </w:tc>
      </w:tr>
    </w:tbl>
    <w:p>
      <w:pPr>
        <w:spacing w:line="360" w:lineRule="auto"/>
      </w:pPr>
    </w:p>
    <w:p>
      <w:pPr>
        <w:spacing w:line="360" w:lineRule="auto"/>
      </w:pPr>
    </w:p>
    <w:p>
      <w:pPr>
        <w:spacing w:line="360" w:lineRule="auto"/>
      </w:pPr>
      <w:r>
        <w:rPr>
          <w:rFonts w:hint="eastAsia"/>
        </w:rPr>
        <w:t>投标人：（填写名称并盖章）</w:t>
      </w:r>
    </w:p>
    <w:p>
      <w:pPr>
        <w:spacing w:line="360" w:lineRule="auto"/>
      </w:pPr>
    </w:p>
    <w:p>
      <w:pPr>
        <w:spacing w:line="360" w:lineRule="auto"/>
      </w:pPr>
      <w:r>
        <w:rPr>
          <w:rFonts w:hint="eastAsia"/>
        </w:rPr>
        <w:t>法定代表人或授权委托人签字或盖章：</w:t>
      </w:r>
    </w:p>
    <w:p>
      <w:pPr>
        <w:pStyle w:val="233"/>
        <w:rPr>
          <w:rFonts w:ascii="Times New Roman" w:hAnsi="Times New Roman" w:eastAsia="宋体"/>
          <w:sz w:val="24"/>
          <w:szCs w:val="24"/>
        </w:rPr>
      </w:pPr>
    </w:p>
    <w:p>
      <w:pPr>
        <w:pStyle w:val="233"/>
        <w:rPr>
          <w:rFonts w:ascii="Times New Roman" w:hAnsi="Times New Roman" w:eastAsia="宋体"/>
          <w:sz w:val="24"/>
          <w:szCs w:val="24"/>
        </w:rPr>
      </w:pPr>
    </w:p>
    <w:p>
      <w:pPr>
        <w:pStyle w:val="2"/>
        <w:keepNext w:val="0"/>
        <w:keepLines w:val="0"/>
        <w:numPr>
          <w:ilvl w:val="0"/>
          <w:numId w:val="0"/>
        </w:numPr>
        <w:ind w:left="2694"/>
        <w:rPr>
          <w:rFonts w:ascii="Times New Roman" w:hAnsi="Times New Roman"/>
          <w:sz w:val="32"/>
        </w:rPr>
      </w:pPr>
    </w:p>
    <w:p/>
    <w:p/>
    <w:p/>
    <w:p/>
    <w:p/>
    <w:p/>
    <w:p/>
    <w:p/>
    <w:p/>
    <w:p/>
    <w:p>
      <w:pPr>
        <w:pStyle w:val="2"/>
        <w:keepNext w:val="0"/>
        <w:keepLines w:val="0"/>
        <w:numPr>
          <w:ilvl w:val="0"/>
          <w:numId w:val="0"/>
        </w:numPr>
        <w:tabs>
          <w:tab w:val="left" w:pos="360"/>
          <w:tab w:val="left" w:pos="540"/>
        </w:tabs>
        <w:spacing w:beforeLines="50" w:afterLines="50"/>
        <w:ind w:left="2694"/>
        <w:rPr>
          <w:rFonts w:ascii="Times New Roman" w:hAnsi="Times New Roman"/>
          <w:sz w:val="32"/>
        </w:rPr>
      </w:pPr>
      <w:bookmarkStart w:id="154" w:name="_Toc18213"/>
      <w:bookmarkStart w:id="155" w:name="_Toc30947"/>
      <w:bookmarkStart w:id="156" w:name="_Toc10685"/>
      <w:bookmarkStart w:id="157" w:name="_Toc22411"/>
      <w:bookmarkStart w:id="158" w:name="_Toc7086"/>
      <w:bookmarkStart w:id="159" w:name="_Toc317237635"/>
      <w:bookmarkStart w:id="160" w:name="_Toc392583304"/>
      <w:bookmarkStart w:id="161" w:name="_Toc31242"/>
      <w:bookmarkStart w:id="162" w:name="_Toc389164189"/>
      <w:bookmarkStart w:id="163" w:name="_Toc23632"/>
      <w:bookmarkStart w:id="164" w:name="_Toc8117"/>
      <w:bookmarkStart w:id="165" w:name="_Toc26650"/>
      <w:bookmarkStart w:id="166" w:name="_Toc20036"/>
    </w:p>
    <w:p>
      <w:pPr>
        <w:pStyle w:val="15"/>
        <w:overflowPunct w:val="0"/>
        <w:spacing w:line="560" w:lineRule="exact"/>
        <w:ind w:firstLine="0"/>
        <w:jc w:val="center"/>
        <w:rPr>
          <w:b/>
          <w:sz w:val="36"/>
          <w:szCs w:val="36"/>
        </w:rPr>
        <w:sectPr>
          <w:footerReference r:id="rId8" w:type="default"/>
          <w:pgSz w:w="11907" w:h="16840"/>
          <w:pgMar w:top="1418" w:right="1134" w:bottom="1361" w:left="1134" w:header="794" w:footer="794" w:gutter="0"/>
          <w:cols w:space="720" w:num="1"/>
          <w:docGrid w:linePitch="285" w:charSpace="0"/>
        </w:sectPr>
      </w:pPr>
    </w:p>
    <w:p>
      <w:pPr>
        <w:pStyle w:val="15"/>
        <w:overflowPunct w:val="0"/>
        <w:spacing w:line="560" w:lineRule="exact"/>
        <w:ind w:firstLine="0"/>
        <w:jc w:val="center"/>
        <w:rPr>
          <w:b/>
          <w:sz w:val="32"/>
          <w:szCs w:val="36"/>
        </w:rPr>
      </w:pPr>
      <w:r>
        <w:rPr>
          <w:rFonts w:hint="eastAsia"/>
          <w:b/>
          <w:sz w:val="32"/>
          <w:szCs w:val="36"/>
        </w:rPr>
        <w:t>3、法定代表人授权委托书格式</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15"/>
        <w:overflowPunct w:val="0"/>
        <w:spacing w:line="560" w:lineRule="exact"/>
        <w:ind w:firstLine="0"/>
        <w:rPr>
          <w:b/>
          <w:szCs w:val="24"/>
        </w:rPr>
      </w:pPr>
    </w:p>
    <w:p>
      <w:pPr>
        <w:pStyle w:val="15"/>
        <w:overflowPunct w:val="0"/>
        <w:spacing w:line="560" w:lineRule="exact"/>
        <w:ind w:firstLine="0"/>
        <w:jc w:val="center"/>
        <w:rPr>
          <w:b/>
          <w:sz w:val="32"/>
          <w:szCs w:val="32"/>
        </w:rPr>
      </w:pPr>
      <w:r>
        <w:rPr>
          <w:rFonts w:hint="eastAsia"/>
          <w:b/>
          <w:sz w:val="32"/>
          <w:szCs w:val="32"/>
        </w:rPr>
        <w:t>授权委托书</w:t>
      </w:r>
    </w:p>
    <w:p>
      <w:pPr>
        <w:pStyle w:val="15"/>
        <w:overflowPunct w:val="0"/>
        <w:jc w:val="center"/>
        <w:rPr>
          <w:b/>
          <w:szCs w:val="24"/>
        </w:rPr>
      </w:pPr>
    </w:p>
    <w:p>
      <w:pPr>
        <w:pStyle w:val="15"/>
        <w:overflowPunct w:val="0"/>
        <w:ind w:firstLineChars="200"/>
        <w:jc w:val="both"/>
        <w:rPr>
          <w:szCs w:val="24"/>
        </w:rPr>
      </w:pPr>
      <w:r>
        <w:rPr>
          <w:rFonts w:hint="eastAsia"/>
          <w:szCs w:val="24"/>
        </w:rPr>
        <w:t>本授权委托书声明：我</w:t>
      </w:r>
      <w:r>
        <w:rPr>
          <w:rFonts w:hint="eastAsia"/>
          <w:iCs/>
          <w:u w:val="single"/>
        </w:rPr>
        <w:t xml:space="preserve">  （姓名）  </w:t>
      </w:r>
      <w:r>
        <w:rPr>
          <w:rFonts w:hint="eastAsia"/>
          <w:szCs w:val="24"/>
        </w:rPr>
        <w:t>系</w:t>
      </w:r>
      <w:r>
        <w:rPr>
          <w:rFonts w:hint="eastAsia"/>
          <w:iCs/>
          <w:u w:val="single"/>
        </w:rPr>
        <w:t xml:space="preserve">   （投标单位名称）  </w:t>
      </w:r>
      <w:r>
        <w:rPr>
          <w:rFonts w:hint="eastAsia"/>
          <w:szCs w:val="24"/>
        </w:rPr>
        <w:t>的法定代表人，现授权委托</w:t>
      </w:r>
      <w:r>
        <w:rPr>
          <w:rFonts w:hint="eastAsia"/>
          <w:iCs/>
          <w:u w:val="single"/>
        </w:rPr>
        <w:t xml:space="preserve">  （被授权人姓名及身份证号码）  </w:t>
      </w:r>
      <w:r>
        <w:rPr>
          <w:rFonts w:hint="eastAsia"/>
          <w:szCs w:val="24"/>
        </w:rPr>
        <w:t>为我公司的代理人，以本公司的名义参加河南兴建建设管理有限公司组织的编号为</w:t>
      </w:r>
      <w:r>
        <w:rPr>
          <w:rFonts w:hint="eastAsia"/>
          <w:iCs/>
          <w:u w:val="single"/>
        </w:rPr>
        <w:t xml:space="preserve">  （招标项目编号）  </w:t>
      </w:r>
      <w:r>
        <w:rPr>
          <w:rFonts w:hint="eastAsia"/>
          <w:szCs w:val="24"/>
        </w:rPr>
        <w:t>的招标活动，处理与本招标活动有关的一切事务。被授权人在开标、评标、合同签订过程中所签署的一切文件，我均予以承认。</w:t>
      </w:r>
    </w:p>
    <w:p>
      <w:pPr>
        <w:pStyle w:val="15"/>
        <w:overflowPunct w:val="0"/>
        <w:ind w:firstLineChars="200"/>
        <w:jc w:val="both"/>
        <w:rPr>
          <w:szCs w:val="24"/>
        </w:rPr>
      </w:pPr>
      <w:r>
        <w:rPr>
          <w:rFonts w:hint="eastAsia"/>
          <w:szCs w:val="24"/>
        </w:rPr>
        <w:t>与本项目有关的质疑、投诉事项，我将亲自处理或另行特别授权。</w:t>
      </w:r>
    </w:p>
    <w:p>
      <w:pPr>
        <w:pStyle w:val="15"/>
        <w:overflowPunct w:val="0"/>
        <w:ind w:firstLineChars="200"/>
        <w:jc w:val="both"/>
        <w:rPr>
          <w:szCs w:val="24"/>
        </w:rPr>
      </w:pPr>
      <w:r>
        <w:rPr>
          <w:rFonts w:hint="eastAsia"/>
          <w:szCs w:val="24"/>
        </w:rPr>
        <w:t>本授权委托书的效力自签署日起至合同履行完毕止。</w:t>
      </w:r>
    </w:p>
    <w:p>
      <w:pPr>
        <w:pStyle w:val="15"/>
        <w:overflowPunct w:val="0"/>
        <w:ind w:firstLineChars="200"/>
        <w:jc w:val="both"/>
        <w:rPr>
          <w:szCs w:val="24"/>
        </w:rPr>
      </w:pPr>
      <w:r>
        <w:rPr>
          <w:rFonts w:hint="eastAsia"/>
          <w:szCs w:val="24"/>
        </w:rPr>
        <w:t>被授权人无转委托权。特此委托。</w:t>
      </w:r>
    </w:p>
    <w:p>
      <w:pPr>
        <w:pStyle w:val="15"/>
        <w:overflowPunct w:val="0"/>
        <w:spacing w:line="460" w:lineRule="exact"/>
        <w:jc w:val="both"/>
        <w:rPr>
          <w:szCs w:val="24"/>
        </w:rPr>
      </w:pPr>
      <w:r>
        <w:rPr>
          <w:rFonts w:hint="eastAsia"/>
          <w:szCs w:val="24"/>
        </w:rPr>
        <w:t>本授权书于年月日签字生效，特此证明。</w:t>
      </w:r>
    </w:p>
    <w:p>
      <w:pPr>
        <w:pStyle w:val="15"/>
        <w:overflowPunct w:val="0"/>
        <w:spacing w:line="460" w:lineRule="exact"/>
        <w:jc w:val="both"/>
        <w:rPr>
          <w:szCs w:val="24"/>
        </w:rPr>
      </w:pP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投标人：</w:t>
      </w:r>
      <w:r>
        <w:rPr>
          <w:rFonts w:hint="eastAsia"/>
          <w:iCs/>
        </w:rPr>
        <w:t>（单位盖章）</w:t>
      </w: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法定代表人：</w:t>
      </w:r>
      <w:r>
        <w:rPr>
          <w:rFonts w:hint="eastAsia"/>
          <w:iCs/>
        </w:rPr>
        <w:t>（签字或盖章）</w:t>
      </w:r>
    </w:p>
    <w:p>
      <w:pPr>
        <w:pStyle w:val="15"/>
        <w:overflowPunct w:val="0"/>
        <w:spacing w:line="460" w:lineRule="exact"/>
        <w:jc w:val="both"/>
        <w:rPr>
          <w:szCs w:val="24"/>
        </w:rPr>
      </w:pPr>
    </w:p>
    <w:p>
      <w:pPr>
        <w:pStyle w:val="15"/>
        <w:overflowPunct w:val="0"/>
        <w:spacing w:line="460" w:lineRule="exact"/>
        <w:jc w:val="both"/>
        <w:rPr>
          <w:iCs/>
        </w:rPr>
      </w:pPr>
      <w:r>
        <w:rPr>
          <w:rFonts w:hint="eastAsia"/>
          <w:szCs w:val="24"/>
        </w:rPr>
        <w:t>被授权人：</w:t>
      </w:r>
      <w:bookmarkStart w:id="167" w:name="_Toc212102886"/>
      <w:r>
        <w:rPr>
          <w:rFonts w:hint="eastAsia"/>
          <w:iCs/>
        </w:rPr>
        <w:t>（签字或盖章）</w:t>
      </w:r>
    </w:p>
    <w:p>
      <w:pPr>
        <w:pStyle w:val="15"/>
        <w:overflowPunct w:val="0"/>
        <w:spacing w:line="460" w:lineRule="exact"/>
        <w:jc w:val="both"/>
        <w:rPr>
          <w:iCs/>
        </w:rPr>
      </w:pPr>
    </w:p>
    <w:p>
      <w:pPr>
        <w:spacing w:line="360" w:lineRule="auto"/>
        <w:ind w:firstLine="360" w:firstLineChars="150"/>
        <w:rPr>
          <w:sz w:val="24"/>
        </w:rPr>
        <w:sectPr>
          <w:pgSz w:w="11907" w:h="16840"/>
          <w:pgMar w:top="1418" w:right="1134" w:bottom="1361" w:left="1134" w:header="794" w:footer="794" w:gutter="0"/>
          <w:cols w:space="720" w:num="1"/>
          <w:docGrid w:linePitch="285" w:charSpace="0"/>
        </w:sectPr>
      </w:pPr>
      <w:r>
        <w:rPr>
          <w:rFonts w:hint="eastAsia"/>
          <w:sz w:val="24"/>
        </w:rPr>
        <w:t>日期：2018年月</w:t>
      </w:r>
      <w:bookmarkStart w:id="168" w:name="_Toc23540"/>
      <w:bookmarkStart w:id="169" w:name="_Toc12336"/>
      <w:bookmarkStart w:id="170" w:name="_Toc389164191"/>
      <w:bookmarkStart w:id="171" w:name="_Toc9644"/>
      <w:bookmarkStart w:id="172" w:name="_Toc1"/>
      <w:bookmarkStart w:id="173" w:name="_Toc24452"/>
      <w:bookmarkStart w:id="174" w:name="_Toc392583306"/>
      <w:bookmarkStart w:id="175" w:name="_Toc17558"/>
      <w:bookmarkStart w:id="176" w:name="_Toc12590"/>
      <w:bookmarkStart w:id="177" w:name="_Toc19146"/>
      <w:bookmarkStart w:id="178" w:name="_Toc317237638"/>
      <w:bookmarkStart w:id="179" w:name="_Toc15635"/>
      <w:bookmarkStart w:id="180" w:name="_Toc11572"/>
    </w:p>
    <w:p>
      <w:pPr>
        <w:pStyle w:val="15"/>
        <w:overflowPunct w:val="0"/>
        <w:spacing w:line="560" w:lineRule="exact"/>
        <w:ind w:firstLine="0"/>
        <w:jc w:val="center"/>
        <w:rPr>
          <w:b/>
          <w:sz w:val="32"/>
          <w:szCs w:val="36"/>
        </w:rPr>
      </w:pPr>
      <w:r>
        <w:rPr>
          <w:rFonts w:hint="eastAsia"/>
          <w:b/>
          <w:sz w:val="32"/>
          <w:szCs w:val="36"/>
        </w:rPr>
        <w:t>4、投标人基本情况表</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15"/>
        <w:overflowPunct w:val="0"/>
        <w:spacing w:line="560" w:lineRule="exact"/>
        <w:ind w:firstLine="0"/>
        <w:jc w:val="center"/>
        <w:rPr>
          <w:b/>
          <w:sz w:val="32"/>
          <w:szCs w:val="36"/>
        </w:rPr>
      </w:pPr>
    </w:p>
    <w:tbl>
      <w:tblPr>
        <w:tblStyle w:val="59"/>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投标人名称</w:t>
            </w:r>
          </w:p>
        </w:tc>
        <w:tc>
          <w:tcPr>
            <w:tcW w:w="7412" w:type="dxa"/>
            <w:gridSpan w:val="10"/>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kern w:val="0"/>
              </w:rPr>
              <w:t>联系方式</w:t>
            </w:r>
          </w:p>
        </w:tc>
        <w:tc>
          <w:tcPr>
            <w:tcW w:w="1020" w:type="dxa"/>
            <w:gridSpan w:val="2"/>
            <w:vAlign w:val="center"/>
          </w:tcPr>
          <w:p>
            <w:pPr>
              <w:autoSpaceDE w:val="0"/>
              <w:autoSpaceDN w:val="0"/>
              <w:adjustRightInd w:val="0"/>
              <w:spacing w:line="360" w:lineRule="auto"/>
              <w:rPr>
                <w:kern w:val="0"/>
              </w:rPr>
            </w:pPr>
            <w:r>
              <w:rPr>
                <w:rFonts w:hint="eastAsia"/>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法定代表人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技术负责人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kern w:val="0"/>
              </w:rPr>
              <w:t>其中</w:t>
            </w:r>
          </w:p>
        </w:tc>
        <w:tc>
          <w:tcPr>
            <w:tcW w:w="1620" w:type="dxa"/>
            <w:gridSpan w:val="2"/>
            <w:vAlign w:val="center"/>
          </w:tcPr>
          <w:p>
            <w:pPr>
              <w:autoSpaceDE w:val="0"/>
              <w:autoSpaceDN w:val="0"/>
              <w:adjustRightInd w:val="0"/>
              <w:spacing w:line="360" w:lineRule="auto"/>
              <w:rPr>
                <w:kern w:val="0"/>
              </w:rPr>
            </w:pPr>
            <w:r>
              <w:rPr>
                <w:rFonts w:hint="eastAsia"/>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Pr>
          <w:p>
            <w:pPr>
              <w:autoSpaceDE w:val="0"/>
              <w:autoSpaceDN w:val="0"/>
              <w:adjustRightInd w:val="0"/>
              <w:spacing w:line="360" w:lineRule="auto"/>
              <w:rPr>
                <w:kern w:val="0"/>
              </w:rPr>
            </w:pPr>
            <w:r>
              <w:rPr>
                <w:rFonts w:hint="eastAsia"/>
                <w:kern w:val="0"/>
              </w:rPr>
              <w:t>备注</w:t>
            </w:r>
          </w:p>
        </w:tc>
        <w:tc>
          <w:tcPr>
            <w:tcW w:w="7412" w:type="dxa"/>
            <w:gridSpan w:val="10"/>
          </w:tcPr>
          <w:p>
            <w:pPr>
              <w:autoSpaceDE w:val="0"/>
              <w:autoSpaceDN w:val="0"/>
              <w:adjustRightInd w:val="0"/>
              <w:spacing w:line="360" w:lineRule="auto"/>
              <w:rPr>
                <w:kern w:val="0"/>
              </w:rPr>
            </w:pP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rPr>
          <w:sz w:val="24"/>
          <w:u w:val="single"/>
        </w:rPr>
      </w:pPr>
      <w:bookmarkStart w:id="181" w:name="_Toc317237639"/>
    </w:p>
    <w:p>
      <w:pPr>
        <w:pStyle w:val="2"/>
        <w:keepNext w:val="0"/>
        <w:keepLines w:val="0"/>
        <w:numPr>
          <w:ilvl w:val="0"/>
          <w:numId w:val="0"/>
        </w:numPr>
        <w:tabs>
          <w:tab w:val="left" w:pos="360"/>
          <w:tab w:val="left" w:pos="540"/>
        </w:tabs>
        <w:spacing w:beforeLines="50" w:afterLines="50"/>
        <w:ind w:left="2694"/>
        <w:rPr>
          <w:rFonts w:ascii="Times New Roman" w:hAnsi="Times New Roman"/>
          <w:szCs w:val="36"/>
        </w:rPr>
        <w:sectPr>
          <w:pgSz w:w="11907" w:h="16840"/>
          <w:pgMar w:top="1418" w:right="1134" w:bottom="1361" w:left="1134" w:header="794" w:footer="794" w:gutter="0"/>
          <w:cols w:space="720" w:num="1"/>
          <w:docGrid w:linePitch="285" w:charSpace="0"/>
        </w:sectPr>
      </w:pPr>
      <w:bookmarkStart w:id="182" w:name="_Toc17032"/>
      <w:bookmarkStart w:id="183" w:name="_Toc4789"/>
      <w:bookmarkStart w:id="184" w:name="_Toc20354"/>
      <w:bookmarkStart w:id="185" w:name="_Toc23605"/>
      <w:bookmarkStart w:id="186" w:name="_Toc10224"/>
    </w:p>
    <w:p>
      <w:pPr>
        <w:pStyle w:val="15"/>
        <w:overflowPunct w:val="0"/>
        <w:spacing w:line="560" w:lineRule="exact"/>
        <w:ind w:firstLine="0"/>
        <w:jc w:val="center"/>
        <w:rPr>
          <w:b/>
          <w:sz w:val="32"/>
          <w:szCs w:val="36"/>
        </w:rPr>
      </w:pPr>
      <w:r>
        <w:rPr>
          <w:rFonts w:hint="eastAsia"/>
          <w:b/>
          <w:sz w:val="32"/>
          <w:szCs w:val="36"/>
        </w:rPr>
        <w:t>5、投标人类似业绩一览表</w:t>
      </w:r>
      <w:bookmarkEnd w:id="182"/>
      <w:bookmarkEnd w:id="183"/>
      <w:bookmarkEnd w:id="184"/>
      <w:bookmarkEnd w:id="185"/>
      <w:bookmarkEnd w:id="186"/>
    </w:p>
    <w:p>
      <w:pPr>
        <w:pStyle w:val="15"/>
        <w:overflowPunct w:val="0"/>
        <w:spacing w:line="560" w:lineRule="exact"/>
        <w:ind w:firstLine="0"/>
        <w:jc w:val="center"/>
        <w:rPr>
          <w:b/>
          <w:sz w:val="32"/>
          <w:szCs w:val="36"/>
        </w:rPr>
      </w:pPr>
    </w:p>
    <w:tbl>
      <w:tblPr>
        <w:tblStyle w:val="59"/>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cs="Arial"/>
                <w:b/>
              </w:rPr>
            </w:pPr>
            <w:r>
              <w:rPr>
                <w:rFonts w:hint="eastAsia" w:cs="Arial"/>
                <w:b/>
              </w:rPr>
              <w:t>年份</w:t>
            </w:r>
          </w:p>
        </w:tc>
        <w:tc>
          <w:tcPr>
            <w:tcW w:w="1440" w:type="dxa"/>
            <w:vAlign w:val="center"/>
          </w:tcPr>
          <w:p>
            <w:pPr>
              <w:spacing w:line="360" w:lineRule="auto"/>
              <w:jc w:val="center"/>
              <w:rPr>
                <w:rFonts w:cs="Arial"/>
                <w:b/>
              </w:rPr>
            </w:pPr>
            <w:r>
              <w:rPr>
                <w:rFonts w:hint="eastAsia" w:cs="Arial"/>
                <w:b/>
              </w:rPr>
              <w:t>用户名称</w:t>
            </w:r>
          </w:p>
        </w:tc>
        <w:tc>
          <w:tcPr>
            <w:tcW w:w="1320" w:type="dxa"/>
            <w:vAlign w:val="center"/>
          </w:tcPr>
          <w:p>
            <w:pPr>
              <w:spacing w:line="360" w:lineRule="auto"/>
              <w:jc w:val="center"/>
              <w:rPr>
                <w:rFonts w:cs="Arial"/>
                <w:b/>
              </w:rPr>
            </w:pPr>
            <w:r>
              <w:rPr>
                <w:rFonts w:cs="Arial"/>
                <w:b/>
              </w:rPr>
              <w:t>项目名称</w:t>
            </w:r>
          </w:p>
        </w:tc>
        <w:tc>
          <w:tcPr>
            <w:tcW w:w="1161" w:type="dxa"/>
            <w:vAlign w:val="center"/>
          </w:tcPr>
          <w:p>
            <w:pPr>
              <w:spacing w:line="360" w:lineRule="auto"/>
              <w:jc w:val="center"/>
              <w:rPr>
                <w:rFonts w:cs="Arial"/>
                <w:b/>
              </w:rPr>
            </w:pPr>
            <w:r>
              <w:rPr>
                <w:rFonts w:cs="Arial"/>
                <w:b/>
              </w:rPr>
              <w:t>完成时间</w:t>
            </w:r>
          </w:p>
        </w:tc>
        <w:tc>
          <w:tcPr>
            <w:tcW w:w="1260" w:type="dxa"/>
          </w:tcPr>
          <w:p>
            <w:pPr>
              <w:spacing w:line="360" w:lineRule="auto"/>
              <w:ind w:firstLine="105" w:firstLineChars="50"/>
              <w:jc w:val="center"/>
              <w:rPr>
                <w:rFonts w:cs="Arial"/>
                <w:b/>
              </w:rPr>
            </w:pPr>
            <w:r>
              <w:rPr>
                <w:rFonts w:hint="eastAsia" w:cs="Arial"/>
                <w:b/>
              </w:rPr>
              <w:t>总建筑面积</w:t>
            </w:r>
          </w:p>
        </w:tc>
        <w:tc>
          <w:tcPr>
            <w:tcW w:w="1260" w:type="dxa"/>
            <w:vAlign w:val="center"/>
          </w:tcPr>
          <w:p>
            <w:pPr>
              <w:spacing w:line="360" w:lineRule="auto"/>
              <w:ind w:firstLine="105" w:firstLineChars="50"/>
              <w:jc w:val="center"/>
              <w:rPr>
                <w:rFonts w:cs="Arial"/>
                <w:b/>
              </w:rPr>
            </w:pPr>
            <w:r>
              <w:rPr>
                <w:rFonts w:cs="Arial"/>
                <w:b/>
              </w:rPr>
              <w:t>合同金额</w:t>
            </w:r>
          </w:p>
        </w:tc>
        <w:tc>
          <w:tcPr>
            <w:tcW w:w="1374" w:type="dxa"/>
            <w:gridSpan w:val="3"/>
            <w:vAlign w:val="center"/>
          </w:tcPr>
          <w:p>
            <w:pPr>
              <w:spacing w:line="360" w:lineRule="auto"/>
              <w:jc w:val="center"/>
              <w:rPr>
                <w:rFonts w:cs="Arial"/>
                <w:b/>
              </w:rPr>
            </w:pPr>
            <w:r>
              <w:rPr>
                <w:rFonts w:hint="eastAsia" w:cs="Arial"/>
                <w:b/>
              </w:rPr>
              <w:t>完成项目质量</w:t>
            </w:r>
          </w:p>
        </w:tc>
        <w:tc>
          <w:tcPr>
            <w:tcW w:w="1025" w:type="dxa"/>
            <w:vAlign w:val="center"/>
          </w:tcPr>
          <w:p>
            <w:pPr>
              <w:spacing w:line="360" w:lineRule="auto"/>
              <w:jc w:val="center"/>
              <w:rPr>
                <w:rFonts w:cs="Arial"/>
                <w:b/>
              </w:rPr>
            </w:pPr>
            <w:r>
              <w:rPr>
                <w:rFonts w:hint="eastAsia" w:cs="Arial"/>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65" w:type="dxa"/>
            <w:gridSpan w:val="2"/>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bl>
    <w:p>
      <w:r>
        <w:rPr>
          <w:sz w:val="24"/>
        </w:rPr>
        <w:br w:type="page"/>
      </w:r>
    </w:p>
    <w:bookmarkEnd w:id="181"/>
    <w:p>
      <w:pPr>
        <w:pStyle w:val="15"/>
        <w:overflowPunct w:val="0"/>
        <w:spacing w:line="560" w:lineRule="exact"/>
        <w:ind w:firstLine="0"/>
        <w:jc w:val="center"/>
        <w:rPr>
          <w:b/>
          <w:sz w:val="32"/>
          <w:szCs w:val="36"/>
        </w:rPr>
      </w:pPr>
      <w:r>
        <w:rPr>
          <w:rFonts w:hint="eastAsia"/>
          <w:b/>
          <w:sz w:val="32"/>
          <w:szCs w:val="36"/>
        </w:rPr>
        <w:t>6. 项目管理人员配备及执行本合同的主要管理人员资格和经历</w:t>
      </w:r>
    </w:p>
    <w:p>
      <w:pPr>
        <w:spacing w:line="320" w:lineRule="exact"/>
        <w:ind w:firstLine="562" w:firstLineChars="200"/>
        <w:jc w:val="center"/>
        <w:textAlignment w:val="baseline"/>
        <w:rPr>
          <w:rFonts w:ascii="宋体" w:hAnsi="宋体"/>
          <w:b/>
          <w:sz w:val="28"/>
          <w:szCs w:val="28"/>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1"/>
        <w:gridCol w:w="727"/>
        <w:gridCol w:w="1451"/>
        <w:gridCol w:w="1054"/>
        <w:gridCol w:w="1403"/>
        <w:gridCol w:w="140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r>
              <w:rPr>
                <w:rFonts w:hint="eastAsia" w:ascii="宋体" w:hAnsi="宋体"/>
              </w:rPr>
              <w:t>姓名</w:t>
            </w:r>
          </w:p>
        </w:tc>
        <w:tc>
          <w:tcPr>
            <w:tcW w:w="721" w:type="dxa"/>
            <w:vAlign w:val="center"/>
          </w:tcPr>
          <w:p>
            <w:pPr>
              <w:spacing w:line="320" w:lineRule="exact"/>
              <w:jc w:val="center"/>
              <w:textAlignment w:val="baseline"/>
              <w:rPr>
                <w:rFonts w:ascii="宋体" w:hAnsi="宋体"/>
              </w:rPr>
            </w:pPr>
            <w:r>
              <w:rPr>
                <w:rFonts w:hint="eastAsia" w:ascii="宋体" w:hAnsi="宋体"/>
              </w:rPr>
              <w:t>性别</w:t>
            </w:r>
          </w:p>
        </w:tc>
        <w:tc>
          <w:tcPr>
            <w:tcW w:w="727" w:type="dxa"/>
            <w:vAlign w:val="center"/>
          </w:tcPr>
          <w:p>
            <w:pPr>
              <w:spacing w:line="320" w:lineRule="exact"/>
              <w:jc w:val="center"/>
              <w:textAlignment w:val="baseline"/>
              <w:rPr>
                <w:rFonts w:ascii="宋体" w:hAnsi="宋体"/>
              </w:rPr>
            </w:pPr>
            <w:r>
              <w:rPr>
                <w:rFonts w:hint="eastAsia" w:ascii="宋体" w:hAnsi="宋体"/>
              </w:rPr>
              <w:t>年龄</w:t>
            </w:r>
          </w:p>
        </w:tc>
        <w:tc>
          <w:tcPr>
            <w:tcW w:w="1451" w:type="dxa"/>
            <w:vAlign w:val="center"/>
          </w:tcPr>
          <w:p>
            <w:pPr>
              <w:spacing w:line="320" w:lineRule="exact"/>
              <w:jc w:val="center"/>
              <w:textAlignment w:val="baseline"/>
              <w:rPr>
                <w:rFonts w:ascii="宋体" w:hAnsi="宋体"/>
              </w:rPr>
            </w:pPr>
            <w:r>
              <w:rPr>
                <w:rFonts w:hint="eastAsia" w:ascii="宋体" w:hAnsi="宋体"/>
              </w:rPr>
              <w:t>本项目中担任的职务或岗位</w:t>
            </w:r>
          </w:p>
        </w:tc>
        <w:tc>
          <w:tcPr>
            <w:tcW w:w="1054" w:type="dxa"/>
            <w:vAlign w:val="center"/>
          </w:tcPr>
          <w:p>
            <w:pPr>
              <w:spacing w:line="320" w:lineRule="exact"/>
              <w:jc w:val="center"/>
              <w:textAlignment w:val="baseline"/>
              <w:rPr>
                <w:rFonts w:ascii="宋体" w:hAnsi="宋体"/>
              </w:rPr>
            </w:pPr>
            <w:r>
              <w:rPr>
                <w:rFonts w:hint="eastAsia" w:ascii="宋体" w:hAnsi="宋体"/>
              </w:rPr>
              <w:t>职称</w:t>
            </w:r>
          </w:p>
        </w:tc>
        <w:tc>
          <w:tcPr>
            <w:tcW w:w="1403" w:type="dxa"/>
            <w:vAlign w:val="center"/>
          </w:tcPr>
          <w:p>
            <w:pPr>
              <w:spacing w:line="320" w:lineRule="exact"/>
              <w:jc w:val="center"/>
              <w:textAlignment w:val="baseline"/>
              <w:rPr>
                <w:rFonts w:ascii="宋体" w:hAnsi="宋体"/>
              </w:rPr>
            </w:pPr>
            <w:r>
              <w:rPr>
                <w:rFonts w:hint="eastAsia" w:ascii="宋体" w:hAnsi="宋体"/>
              </w:rPr>
              <w:t>执业资格</w:t>
            </w:r>
          </w:p>
        </w:tc>
        <w:tc>
          <w:tcPr>
            <w:tcW w:w="1405" w:type="dxa"/>
            <w:vAlign w:val="center"/>
          </w:tcPr>
          <w:p>
            <w:pPr>
              <w:spacing w:line="320" w:lineRule="exact"/>
              <w:jc w:val="center"/>
              <w:textAlignment w:val="baseline"/>
              <w:rPr>
                <w:rFonts w:ascii="宋体" w:hAnsi="宋体"/>
              </w:rPr>
            </w:pPr>
            <w:r>
              <w:rPr>
                <w:rFonts w:hint="eastAsia" w:ascii="宋体" w:hAnsi="宋体"/>
              </w:rPr>
              <w:t>从事</w:t>
            </w:r>
          </w:p>
          <w:p>
            <w:pPr>
              <w:spacing w:line="320" w:lineRule="exact"/>
              <w:jc w:val="center"/>
              <w:textAlignment w:val="baseline"/>
              <w:rPr>
                <w:rFonts w:ascii="宋体" w:hAnsi="宋体"/>
              </w:rPr>
            </w:pPr>
            <w:r>
              <w:rPr>
                <w:rFonts w:hint="eastAsia" w:ascii="宋体" w:hAnsi="宋体"/>
              </w:rPr>
              <w:t>工作年限</w:t>
            </w:r>
          </w:p>
        </w:tc>
        <w:tc>
          <w:tcPr>
            <w:tcW w:w="2365" w:type="dxa"/>
            <w:vAlign w:val="center"/>
          </w:tcPr>
          <w:p>
            <w:pPr>
              <w:spacing w:line="320" w:lineRule="exact"/>
              <w:jc w:val="center"/>
              <w:textAlignment w:val="baseline"/>
              <w:rPr>
                <w:rFonts w:ascii="宋体" w:hAnsi="宋体"/>
              </w:rPr>
            </w:pPr>
            <w:r>
              <w:rPr>
                <w:rFonts w:hint="eastAsia" w:ascii="宋体" w:hAnsi="宋体"/>
              </w:rPr>
              <w:t>资格经历（项目名称及其项目担任的职务）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bl>
    <w:p>
      <w:pPr>
        <w:spacing w:line="320" w:lineRule="exact"/>
        <w:jc w:val="center"/>
        <w:textAlignment w:val="baseline"/>
        <w:rPr>
          <w:rFonts w:ascii="宋体" w:hAnsi="宋体"/>
          <w:b/>
          <w:sz w:val="28"/>
          <w:szCs w:val="28"/>
        </w:rPr>
      </w:pPr>
    </w:p>
    <w:p>
      <w:pPr>
        <w:spacing w:line="320" w:lineRule="exact"/>
        <w:textAlignment w:val="baseline"/>
        <w:rPr>
          <w:rFonts w:ascii="宋体" w:hAnsi="宋体"/>
          <w:b/>
          <w:sz w:val="28"/>
          <w:szCs w:val="28"/>
        </w:rPr>
      </w:pPr>
      <w:r>
        <w:rPr>
          <w:rFonts w:hint="eastAsia" w:ascii="宋体" w:hAnsi="宋体"/>
          <w:b/>
        </w:rPr>
        <w:t>注：附相关证书复印件加盖公章</w:t>
      </w:r>
      <w:r>
        <w:rPr>
          <w:rFonts w:ascii="宋体" w:hAnsi="宋体"/>
          <w:b/>
          <w:sz w:val="28"/>
          <w:szCs w:val="28"/>
        </w:rPr>
        <w:br w:type="page"/>
      </w:r>
    </w:p>
    <w:p>
      <w:pPr>
        <w:pStyle w:val="15"/>
        <w:overflowPunct w:val="0"/>
        <w:spacing w:line="560" w:lineRule="exact"/>
        <w:ind w:firstLine="0"/>
        <w:jc w:val="center"/>
        <w:rPr>
          <w:b/>
          <w:sz w:val="32"/>
          <w:szCs w:val="36"/>
        </w:rPr>
      </w:pPr>
      <w:r>
        <w:rPr>
          <w:rFonts w:hint="eastAsia"/>
          <w:b/>
          <w:sz w:val="32"/>
          <w:szCs w:val="36"/>
        </w:rPr>
        <w:t>7、项目负责人资历及业绩表</w:t>
      </w:r>
    </w:p>
    <w:p>
      <w:pPr>
        <w:spacing w:line="320" w:lineRule="exact"/>
        <w:jc w:val="center"/>
        <w:textAlignment w:val="baseline"/>
        <w:rPr>
          <w:rFonts w:ascii="宋体" w:hAnsi="宋体"/>
          <w:b/>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259"/>
        <w:gridCol w:w="999"/>
        <w:gridCol w:w="1385"/>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姓名</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年龄</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项目承担职务</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性别</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职称</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专业</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资质</w:t>
            </w:r>
          </w:p>
        </w:tc>
        <w:tc>
          <w:tcPr>
            <w:tcW w:w="3643" w:type="dxa"/>
            <w:gridSpan w:val="3"/>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证书编号</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作为项目负责人完成的同类型工程项目情况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作为项目负责人目前正在承担的同类型工程项目情况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教育与培训</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说明</w:t>
            </w:r>
          </w:p>
        </w:tc>
        <w:tc>
          <w:tcPr>
            <w:tcW w:w="7585" w:type="dxa"/>
            <w:gridSpan w:val="5"/>
            <w:vAlign w:val="center"/>
          </w:tcPr>
          <w:p>
            <w:pPr>
              <w:spacing w:line="320" w:lineRule="exact"/>
              <w:jc w:val="center"/>
              <w:textAlignment w:val="baseline"/>
              <w:rPr>
                <w:rFonts w:ascii="宋体" w:hAnsi="宋体"/>
              </w:rPr>
            </w:pPr>
          </w:p>
        </w:tc>
      </w:tr>
    </w:tbl>
    <w:p>
      <w:pPr>
        <w:spacing w:line="320" w:lineRule="exact"/>
        <w:textAlignment w:val="baseline"/>
        <w:rPr>
          <w:rFonts w:ascii="宋体" w:hAnsi="宋体"/>
          <w:b/>
        </w:rPr>
      </w:pPr>
      <w:r>
        <w:rPr>
          <w:rFonts w:hint="eastAsia" w:ascii="宋体" w:hAnsi="宋体"/>
          <w:b/>
        </w:rPr>
        <w:t>注：本表后附项目负责人相关证书复印件加盖公章。</w:t>
      </w:r>
    </w:p>
    <w:bookmarkEnd w:id="167"/>
    <w:p>
      <w:pPr>
        <w:spacing w:line="400" w:lineRule="exact"/>
        <w:ind w:firstLine="3488" w:firstLineChars="1090"/>
        <w:textAlignment w:val="baseline"/>
        <w:rPr>
          <w:rFonts w:ascii="Times New Roman" w:hAnsi="Times New Roman"/>
          <w:sz w:val="32"/>
        </w:rPr>
        <w:sectPr>
          <w:pgSz w:w="11907" w:h="16840"/>
          <w:pgMar w:top="1418" w:right="1134" w:bottom="1361" w:left="1134" w:header="794" w:footer="794" w:gutter="0"/>
          <w:cols w:space="720" w:num="1"/>
          <w:docGrid w:linePitch="285" w:charSpace="0"/>
        </w:sectPr>
      </w:pPr>
      <w:bookmarkStart w:id="187" w:name="_Toc317237647"/>
      <w:bookmarkStart w:id="188" w:name="_Toc389164202"/>
      <w:bookmarkStart w:id="189" w:name="_Toc392583317"/>
      <w:bookmarkStart w:id="190" w:name="_Toc2484"/>
      <w:bookmarkStart w:id="191" w:name="_Toc541"/>
      <w:bookmarkStart w:id="192" w:name="_Toc21177"/>
      <w:bookmarkStart w:id="193" w:name="_Toc28929"/>
      <w:bookmarkStart w:id="194" w:name="_Toc12404"/>
      <w:bookmarkStart w:id="195" w:name="_Toc6568"/>
      <w:bookmarkStart w:id="196" w:name="_Toc12508"/>
      <w:bookmarkStart w:id="197" w:name="_Toc664"/>
      <w:bookmarkStart w:id="198" w:name="_Toc25863"/>
      <w:bookmarkStart w:id="199" w:name="_Toc3955"/>
    </w:p>
    <w:p>
      <w:pPr>
        <w:pStyle w:val="15"/>
        <w:overflowPunct w:val="0"/>
        <w:spacing w:line="560" w:lineRule="exact"/>
        <w:ind w:firstLine="0"/>
        <w:jc w:val="center"/>
        <w:rPr>
          <w:b/>
          <w:sz w:val="32"/>
          <w:szCs w:val="36"/>
        </w:rPr>
      </w:pPr>
      <w:r>
        <w:rPr>
          <w:rFonts w:hint="eastAsia"/>
          <w:b/>
          <w:sz w:val="32"/>
          <w:szCs w:val="36"/>
        </w:rPr>
        <w:t>8、其它</w:t>
      </w:r>
      <w:bookmarkEnd w:id="187"/>
      <w:r>
        <w:rPr>
          <w:rFonts w:hint="eastAsia"/>
          <w:b/>
          <w:sz w:val="32"/>
          <w:szCs w:val="36"/>
        </w:rPr>
        <w:t>材料</w:t>
      </w:r>
      <w:bookmarkEnd w:id="188"/>
      <w:bookmarkEnd w:id="189"/>
      <w:bookmarkEnd w:id="190"/>
      <w:bookmarkEnd w:id="191"/>
      <w:bookmarkEnd w:id="192"/>
      <w:bookmarkEnd w:id="193"/>
      <w:bookmarkEnd w:id="194"/>
      <w:bookmarkEnd w:id="195"/>
      <w:bookmarkEnd w:id="196"/>
      <w:bookmarkEnd w:id="197"/>
      <w:bookmarkEnd w:id="198"/>
      <w:bookmarkEnd w:id="199"/>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pStyle w:val="2"/>
        <w:keepNext w:val="0"/>
        <w:keepLines w:val="0"/>
        <w:numPr>
          <w:ilvl w:val="0"/>
          <w:numId w:val="0"/>
        </w:numPr>
        <w:jc w:val="left"/>
        <w:rPr>
          <w:rFonts w:ascii="Times New Roman" w:hAnsi="Times New Roman"/>
          <w:sz w:val="32"/>
        </w:rPr>
        <w:sectPr>
          <w:pgSz w:w="11907" w:h="16840"/>
          <w:pgMar w:top="1418" w:right="1134" w:bottom="1361" w:left="1134" w:header="794" w:footer="794" w:gutter="0"/>
          <w:cols w:space="720" w:num="1"/>
          <w:docGrid w:linePitch="285" w:charSpace="0"/>
        </w:sectPr>
      </w:pPr>
      <w:bookmarkStart w:id="200" w:name="_Toc394922046"/>
      <w:bookmarkStart w:id="201" w:name="_Toc6627"/>
      <w:bookmarkStart w:id="202" w:name="_Toc317237644"/>
      <w:bookmarkStart w:id="203" w:name="_Toc2440"/>
    </w:p>
    <w:p>
      <w:pPr>
        <w:pStyle w:val="2"/>
        <w:keepNext w:val="0"/>
        <w:keepLines w:val="0"/>
        <w:numPr>
          <w:ilvl w:val="0"/>
          <w:numId w:val="0"/>
        </w:numPr>
        <w:jc w:val="center"/>
        <w:rPr>
          <w:rFonts w:ascii="Times New Roman" w:hAnsi="Times New Roman"/>
          <w:sz w:val="32"/>
        </w:rPr>
      </w:pPr>
      <w:r>
        <w:rPr>
          <w:rFonts w:hint="eastAsia" w:ascii="Times New Roman" w:hAnsi="Times New Roman"/>
          <w:sz w:val="32"/>
        </w:rPr>
        <w:t>（二）技术部分</w:t>
      </w:r>
      <w:bookmarkEnd w:id="200"/>
      <w:bookmarkEnd w:id="201"/>
      <w:bookmarkEnd w:id="202"/>
      <w:bookmarkEnd w:id="203"/>
    </w:p>
    <w:p/>
    <w:p>
      <w:pPr>
        <w:spacing w:line="600" w:lineRule="exact"/>
        <w:ind w:right="482"/>
        <w:outlineLvl w:val="1"/>
        <w:rPr>
          <w:b/>
          <w:bCs/>
          <w:sz w:val="32"/>
          <w:szCs w:val="32"/>
        </w:rPr>
      </w:pPr>
      <w:r>
        <w:rPr>
          <w:rFonts w:hint="eastAsia"/>
          <w:b/>
          <w:bCs/>
          <w:sz w:val="32"/>
          <w:szCs w:val="32"/>
        </w:rPr>
        <w:t>1、项目实施方案</w:t>
      </w:r>
    </w:p>
    <w:p>
      <w:pPr>
        <w:pStyle w:val="162"/>
        <w:rPr>
          <w:bCs/>
          <w:sz w:val="24"/>
          <w:szCs w:val="24"/>
        </w:rPr>
      </w:pPr>
    </w:p>
    <w:p>
      <w:pPr>
        <w:pStyle w:val="162"/>
        <w:spacing w:line="360" w:lineRule="auto"/>
        <w:ind w:firstLine="360" w:firstLineChars="150"/>
        <w:rPr>
          <w:rFonts w:ascii="黑体" w:hAnsi="黑体" w:eastAsia="黑体"/>
          <w:bCs/>
          <w:sz w:val="24"/>
          <w:szCs w:val="24"/>
        </w:rPr>
      </w:pPr>
    </w:p>
    <w:p>
      <w:pPr>
        <w:pStyle w:val="162"/>
        <w:spacing w:line="360" w:lineRule="auto"/>
        <w:rPr>
          <w:rFonts w:ascii="黑体" w:hAnsi="黑体" w:eastAsia="黑体"/>
          <w:bCs/>
          <w:sz w:val="24"/>
          <w:szCs w:val="24"/>
        </w:rPr>
      </w:pPr>
      <w:r>
        <w:rPr>
          <w:rFonts w:hint="eastAsia" w:ascii="黑体" w:hAnsi="黑体" w:eastAsia="黑体"/>
          <w:bCs/>
          <w:sz w:val="24"/>
          <w:szCs w:val="24"/>
        </w:rPr>
        <w:t>包括但不限于：</w:t>
      </w:r>
    </w:p>
    <w:p>
      <w:pPr>
        <w:pStyle w:val="162"/>
        <w:spacing w:line="360" w:lineRule="auto"/>
        <w:rPr>
          <w:rFonts w:ascii="黑体" w:hAnsi="黑体" w:eastAsia="黑体"/>
          <w:sz w:val="24"/>
          <w:szCs w:val="24"/>
        </w:rPr>
      </w:pPr>
      <w:r>
        <w:rPr>
          <w:rFonts w:hint="eastAsia" w:ascii="黑体" w:hAnsi="黑体" w:eastAsia="黑体"/>
          <w:bCs/>
          <w:sz w:val="24"/>
          <w:szCs w:val="24"/>
        </w:rPr>
        <w:t>1、</w:t>
      </w:r>
      <w:r>
        <w:rPr>
          <w:rFonts w:hint="eastAsia" w:ascii="黑体" w:hAnsi="黑体" w:eastAsia="黑体"/>
          <w:sz w:val="24"/>
          <w:szCs w:val="22"/>
        </w:rPr>
        <w:t>环境监测（大气、噪声、海水水质、沉淀物、海洋生物、岸滩冲淤等）</w:t>
      </w:r>
    </w:p>
    <w:p>
      <w:pPr>
        <w:pStyle w:val="162"/>
        <w:spacing w:line="360" w:lineRule="auto"/>
        <w:rPr>
          <w:rFonts w:ascii="黑体" w:hAnsi="黑体" w:eastAsia="黑体"/>
          <w:sz w:val="24"/>
          <w:szCs w:val="24"/>
        </w:rPr>
      </w:pPr>
      <w:r>
        <w:rPr>
          <w:rFonts w:hint="eastAsia" w:ascii="黑体" w:hAnsi="黑体" w:eastAsia="黑体"/>
          <w:sz w:val="24"/>
          <w:szCs w:val="24"/>
        </w:rPr>
        <w:t>2、</w:t>
      </w:r>
      <w:r>
        <w:rPr>
          <w:rFonts w:hint="eastAsia" w:ascii="黑体" w:hAnsi="黑体" w:eastAsia="黑体"/>
          <w:sz w:val="24"/>
        </w:rPr>
        <w:t>环境评价的主要内容、重点</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3、</w:t>
      </w:r>
      <w:r>
        <w:rPr>
          <w:rFonts w:hint="eastAsia" w:ascii="黑体" w:hAnsi="黑体" w:eastAsia="黑体"/>
          <w:sz w:val="24"/>
        </w:rPr>
        <w:t>质量控制</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4、进度管理；</w:t>
      </w:r>
    </w:p>
    <w:p>
      <w:pPr>
        <w:pStyle w:val="162"/>
        <w:spacing w:line="360" w:lineRule="auto"/>
        <w:rPr>
          <w:rFonts w:ascii="黑体" w:hAnsi="黑体" w:eastAsia="黑体"/>
          <w:sz w:val="24"/>
          <w:szCs w:val="24"/>
        </w:rPr>
      </w:pPr>
      <w:r>
        <w:rPr>
          <w:rFonts w:hint="eastAsia" w:ascii="黑体" w:hAnsi="黑体" w:eastAsia="黑体"/>
          <w:sz w:val="24"/>
          <w:szCs w:val="24"/>
        </w:rPr>
        <w:t>5、项目组织及项目协调。</w:t>
      </w:r>
    </w:p>
    <w:p>
      <w:pPr>
        <w:pStyle w:val="162"/>
        <w:rPr>
          <w:rFonts w:ascii="黑体" w:hAnsi="黑体" w:eastAsia="黑体"/>
          <w:sz w:val="24"/>
          <w:szCs w:val="24"/>
        </w:rPr>
        <w:sectPr>
          <w:pgSz w:w="11907" w:h="16840"/>
          <w:pgMar w:top="1418" w:right="1134" w:bottom="1361" w:left="1134" w:header="794" w:footer="794" w:gutter="0"/>
          <w:cols w:space="720" w:num="1"/>
          <w:docGrid w:linePitch="285" w:charSpace="0"/>
        </w:sectPr>
      </w:pPr>
    </w:p>
    <w:p>
      <w:pPr>
        <w:pStyle w:val="162"/>
        <w:rPr>
          <w:rFonts w:ascii="黑体" w:hAnsi="黑体" w:eastAsia="黑体"/>
          <w:sz w:val="24"/>
          <w:szCs w:val="24"/>
        </w:rPr>
      </w:pPr>
    </w:p>
    <w:p>
      <w:pPr>
        <w:numPr>
          <w:ilvl w:val="0"/>
          <w:numId w:val="8"/>
        </w:numPr>
        <w:tabs>
          <w:tab w:val="left" w:pos="4680"/>
        </w:tabs>
        <w:snapToGrid w:val="0"/>
        <w:spacing w:line="360" w:lineRule="auto"/>
        <w:ind w:firstLine="723" w:firstLineChars="200"/>
        <w:jc w:val="center"/>
        <w:outlineLvl w:val="0"/>
        <w:rPr>
          <w:rFonts w:ascii="宋体" w:hAnsi="宋体" w:cs="宋体"/>
          <w:b/>
          <w:bCs/>
          <w:sz w:val="36"/>
          <w:szCs w:val="36"/>
        </w:rPr>
      </w:pPr>
      <w:r>
        <w:rPr>
          <w:rFonts w:hint="eastAsia" w:ascii="宋体" w:hAnsi="宋体" w:cs="宋体"/>
          <w:b/>
          <w:bCs/>
          <w:sz w:val="36"/>
          <w:szCs w:val="36"/>
        </w:rPr>
        <w:t>分评标办法</w:t>
      </w:r>
      <w:bookmarkEnd w:id="147"/>
      <w:bookmarkEnd w:id="148"/>
      <w:bookmarkEnd w:id="149"/>
      <w:bookmarkEnd w:id="150"/>
    </w:p>
    <w:p>
      <w:pPr>
        <w:pStyle w:val="2"/>
        <w:numPr>
          <w:ilvl w:val="1"/>
          <w:numId w:val="0"/>
        </w:numPr>
        <w:ind w:left="227"/>
      </w:pPr>
    </w:p>
    <w:p>
      <w:pPr>
        <w:tabs>
          <w:tab w:val="left" w:pos="4680"/>
        </w:tabs>
        <w:snapToGrid w:val="0"/>
        <w:spacing w:line="360" w:lineRule="auto"/>
        <w:ind w:firstLine="562" w:firstLineChars="200"/>
        <w:jc w:val="center"/>
        <w:outlineLvl w:val="0"/>
        <w:rPr>
          <w:rFonts w:ascii="宋体" w:cs="Times New Roman"/>
          <w:b/>
          <w:bCs/>
          <w:sz w:val="28"/>
          <w:szCs w:val="28"/>
        </w:rPr>
      </w:pPr>
      <w:bookmarkStart w:id="204" w:name="_Toc500150958"/>
      <w:bookmarkStart w:id="205" w:name="_Toc6353"/>
      <w:r>
        <w:rPr>
          <w:rFonts w:hint="eastAsia" w:ascii="宋体" w:hAnsi="宋体" w:cs="宋体"/>
          <w:b/>
          <w:bCs/>
          <w:sz w:val="28"/>
          <w:szCs w:val="28"/>
        </w:rPr>
        <w:t>（一）初步审查表</w:t>
      </w:r>
      <w:bookmarkEnd w:id="204"/>
      <w:bookmarkEnd w:id="205"/>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保证金</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Times New Roman"/>
              </w:rPr>
            </w:pPr>
            <w:r>
              <w:rPr>
                <w:rFonts w:hint="eastAsia" w:ascii="宋体" w:hAnsi="宋体" w:cs="宋体"/>
              </w:rPr>
              <w:t>是否提交保证金的</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投标有效期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服务周期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备注：经初步审查，投标人数量须不少于三家，否则项目招标失败。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6" w:name="_Toc500150959"/>
      <w:r>
        <w:rPr>
          <w:rFonts w:hint="eastAsia" w:ascii="宋体" w:cs="Times New Roman"/>
          <w:sz w:val="24"/>
          <w:szCs w:val="24"/>
        </w:rPr>
        <w:t>招标人：                                    招标代理机构：</w:t>
      </w:r>
      <w:bookmarkEnd w:id="206"/>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4680"/>
        </w:tabs>
        <w:snapToGrid w:val="0"/>
        <w:spacing w:line="360" w:lineRule="auto"/>
        <w:ind w:firstLine="562" w:firstLineChars="200"/>
        <w:jc w:val="center"/>
        <w:outlineLvl w:val="0"/>
        <w:rPr>
          <w:rFonts w:ascii="宋体" w:cs="Times New Roman"/>
          <w:b/>
          <w:bCs/>
          <w:sz w:val="28"/>
          <w:szCs w:val="28"/>
        </w:rPr>
      </w:pPr>
      <w:bookmarkStart w:id="207" w:name="_Toc500150960"/>
      <w:bookmarkStart w:id="208" w:name="_Toc14546"/>
      <w:r>
        <w:rPr>
          <w:rFonts w:hint="eastAsia" w:ascii="宋体" w:hAnsi="宋体" w:cs="宋体"/>
          <w:b/>
          <w:bCs/>
          <w:sz w:val="28"/>
          <w:szCs w:val="28"/>
        </w:rPr>
        <w:t>（二）符合性审查表</w:t>
      </w:r>
      <w:bookmarkEnd w:id="207"/>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ascii="宋体" w:hAnsi="宋体" w:cs="宋体"/>
              </w:rPr>
              <w:t>1</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ahoma" w:hAnsi="Tahoma" w:cs="宋体"/>
              </w:rPr>
            </w:pPr>
            <w:r>
              <w:rPr>
                <w:rFonts w:hint="eastAsia" w:ascii="Tahoma" w:hAnsi="Tahoma" w:cs="宋体"/>
              </w:rPr>
              <w:t>投标人</w:t>
            </w:r>
            <w:r>
              <w:rPr>
                <w:rFonts w:hint="eastAsia" w:ascii="宋体" w:hAnsi="宋体" w:cs="宋体"/>
              </w:rPr>
              <w:t>的资格</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ahoma" w:hAnsi="Tahoma" w:cs="宋体"/>
              </w:rPr>
            </w:pPr>
            <w:r>
              <w:rPr>
                <w:rFonts w:hint="eastAsia" w:ascii="宋体" w:hAnsi="宋体" w:cs="宋体"/>
              </w:rPr>
              <w:t>是否符合投标</w:t>
            </w:r>
            <w:r>
              <w:rPr>
                <w:rFonts w:hint="eastAsia" w:ascii="Tahoma" w:hAnsi="Tahoma" w:cs="宋体"/>
              </w:rPr>
              <w:t>人</w:t>
            </w:r>
            <w:r>
              <w:rPr>
                <w:rFonts w:hint="eastAsia" w:ascii="宋体" w:hAnsi="宋体" w:cs="宋体"/>
              </w:rPr>
              <w:t>资格要求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宋体"/>
              </w:rPr>
            </w:pPr>
            <w:r>
              <w:rPr>
                <w:rFonts w:hint="eastAsia" w:ascii="Tahoma" w:hAnsi="Tahoma" w:cs="宋体"/>
              </w:rPr>
              <w:t>投标文件的有效性、完整性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宋体"/>
              </w:rPr>
            </w:pPr>
            <w:r>
              <w:rPr>
                <w:rFonts w:hint="eastAsia" w:ascii="Tahoma" w:hAnsi="Tahoma" w:cs="宋体"/>
              </w:rPr>
              <w:t>是否符合招标文件的式样和签署要求且内容完整无缺漏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5"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报价项目完整性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Tahoma"/>
              </w:rPr>
            </w:pPr>
            <w:r>
              <w:rPr>
                <w:rFonts w:hint="eastAsia" w:ascii="Tahoma" w:hAnsi="Tahoma" w:cs="宋体"/>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3"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信用记录</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rPr>
            </w:pPr>
            <w:r>
              <w:rPr>
                <w:rFonts w:hint="eastAsia" w:ascii="Tahoma" w:hAnsi="Tahoma" w:cs="宋体"/>
              </w:rPr>
              <w:t>提供“信用中国”网站(www.creditchina.gov.cn)或中国政府采购网(www.ccgp.gov.cn)查询的企业信用记录</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备注：经符合性审查，投标人数量须不少于三家，否则项目招标失败。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9" w:name="_Toc500150961"/>
      <w:r>
        <w:rPr>
          <w:rFonts w:hint="eastAsia" w:ascii="宋体" w:cs="Times New Roman"/>
          <w:sz w:val="24"/>
          <w:szCs w:val="24"/>
        </w:rPr>
        <w:t>评委签字：</w:t>
      </w:r>
      <w:bookmarkEnd w:id="209"/>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jc w:val="center"/>
        <w:rPr>
          <w:rFonts w:ascii="宋体" w:hAnsi="宋体" w:cs="宋体"/>
          <w:b/>
          <w:sz w:val="36"/>
          <w:szCs w:val="36"/>
        </w:rPr>
      </w:pPr>
      <w:r>
        <w:rPr>
          <w:rFonts w:hint="eastAsia" w:ascii="宋体" w:hAnsi="宋体" w:cs="宋体"/>
          <w:b/>
          <w:sz w:val="36"/>
          <w:szCs w:val="36"/>
        </w:rPr>
        <w:t>（三）评分标准</w:t>
      </w:r>
    </w:p>
    <w:p>
      <w:pPr>
        <w:spacing w:line="480" w:lineRule="exact"/>
        <w:ind w:firstLine="484" w:firstLineChars="202"/>
        <w:rPr>
          <w:rFonts w:ascii="宋体" w:hAnsi="宋体" w:cs="宋体"/>
          <w:sz w:val="24"/>
        </w:rPr>
      </w:pPr>
      <w:r>
        <w:rPr>
          <w:rFonts w:hint="eastAsia" w:ascii="宋体" w:hAnsi="宋体" w:cs="宋体"/>
          <w:sz w:val="24"/>
        </w:rPr>
        <w:t>本招标项目的评标办法采用综合评分法。满分为100分，其中：价格分30分，商务分35分，技术分35分。综合得分最高者为第一中标候选人。</w:t>
      </w:r>
    </w:p>
    <w:p>
      <w:pPr>
        <w:spacing w:line="480" w:lineRule="exact"/>
        <w:ind w:firstLine="482" w:firstLineChars="200"/>
        <w:outlineLvl w:val="1"/>
        <w:rPr>
          <w:rFonts w:ascii="宋体" w:hAnsi="宋体" w:cs="宋体"/>
          <w:b/>
          <w:bCs/>
          <w:sz w:val="24"/>
        </w:rPr>
      </w:pPr>
      <w:bookmarkStart w:id="210" w:name="_Toc500150962"/>
      <w:r>
        <w:rPr>
          <w:rFonts w:hint="eastAsia" w:ascii="宋体" w:hAnsi="宋体" w:cs="宋体"/>
          <w:b/>
          <w:bCs/>
          <w:sz w:val="24"/>
        </w:rPr>
        <w:t>一、价格优惠资格说明</w:t>
      </w:r>
      <w:bookmarkEnd w:id="210"/>
    </w:p>
    <w:p>
      <w:pPr>
        <w:spacing w:line="480" w:lineRule="exact"/>
        <w:ind w:firstLine="480" w:firstLineChars="200"/>
        <w:outlineLvl w:val="1"/>
        <w:rPr>
          <w:rFonts w:ascii="宋体" w:hAnsi="宋体"/>
          <w:sz w:val="24"/>
        </w:rPr>
      </w:pPr>
      <w:r>
        <w:rPr>
          <w:rFonts w:hint="eastAsia" w:ascii="宋体" w:hAnsi="宋体"/>
          <w:sz w:val="24"/>
        </w:rPr>
        <w:t xml:space="preserve">1、所投分包(如不分包则指本项目)的所有投标产品进入当期节能清单的，按2%的优惠折算后计算投标报价得分。投标人所投产品满足此规定的，必须与《唱标表》一并提供声明函及相关证明文件。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r>
        <w:rPr>
          <w:rFonts w:hint="eastAsia" w:ascii="宋体" w:hAnsi="宋体"/>
          <w:sz w:val="24"/>
        </w:rPr>
        <w:t xml:space="preserve">2、所投分包(如不分包则指本项目)的所有投标产品进入当期环保清单的，按1%的优惠折算后计算投标报价得分。投标人所投产品满足此规定的，必须与《唱标表》一并提供声明函及相关证明文件。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bookmarkStart w:id="211" w:name="_Toc500150963"/>
      <w:r>
        <w:rPr>
          <w:rFonts w:hint="eastAsia" w:ascii="宋体" w:hAnsi="宋体"/>
          <w:sz w:val="24"/>
        </w:rPr>
        <w:t>3、投标人为小型和微型企业，按6%的优惠折算后计算投标报价得分。投标人所投产品满足此规定的，必须提供与《唱标表》一并提供“中小企业声明函”。</w:t>
      </w:r>
      <w:bookmarkEnd w:id="211"/>
    </w:p>
    <w:p>
      <w:pPr>
        <w:spacing w:line="480" w:lineRule="exact"/>
        <w:ind w:firstLine="480" w:firstLineChars="200"/>
        <w:outlineLvl w:val="1"/>
        <w:rPr>
          <w:rFonts w:ascii="宋体" w:hAnsi="宋体"/>
          <w:sz w:val="24"/>
        </w:rPr>
      </w:pPr>
      <w:bookmarkStart w:id="212" w:name="_Toc500150964"/>
      <w:r>
        <w:rPr>
          <w:rFonts w:hint="eastAsia" w:ascii="宋体" w:hAnsi="宋体"/>
          <w:sz w:val="24"/>
        </w:rPr>
        <w:t>4、投标人同时满足一项及以上优惠资格者，其价格优惠折扣可累加。</w:t>
      </w:r>
      <w:bookmarkEnd w:id="212"/>
    </w:p>
    <w:p>
      <w:pPr>
        <w:spacing w:line="480" w:lineRule="exact"/>
        <w:ind w:firstLine="482" w:firstLineChars="200"/>
        <w:outlineLvl w:val="1"/>
        <w:rPr>
          <w:rFonts w:ascii="宋体" w:cs="Times New Roman"/>
          <w:b/>
          <w:bCs/>
          <w:sz w:val="24"/>
          <w:szCs w:val="24"/>
        </w:rPr>
      </w:pPr>
      <w:bookmarkStart w:id="213" w:name="_Toc500150965"/>
      <w:r>
        <w:rPr>
          <w:rFonts w:hint="eastAsia" w:ascii="宋体" w:hAnsi="宋体" w:cs="宋体"/>
          <w:b/>
          <w:bCs/>
          <w:sz w:val="24"/>
        </w:rPr>
        <w:t>二、技术、商务评分表</w:t>
      </w:r>
      <w:bookmarkEnd w:id="208"/>
      <w:bookmarkEnd w:id="213"/>
    </w:p>
    <w:tbl>
      <w:tblPr>
        <w:tblStyle w:val="59"/>
        <w:tblW w:w="9278" w:type="dxa"/>
        <w:jc w:val="center"/>
        <w:tblInd w:w="0" w:type="dxa"/>
        <w:tblLayout w:type="fixed"/>
        <w:tblCellMar>
          <w:top w:w="0" w:type="dxa"/>
          <w:left w:w="108" w:type="dxa"/>
          <w:bottom w:w="0" w:type="dxa"/>
          <w:right w:w="108" w:type="dxa"/>
        </w:tblCellMar>
      </w:tblPr>
      <w:tblGrid>
        <w:gridCol w:w="706"/>
        <w:gridCol w:w="1638"/>
        <w:gridCol w:w="6934"/>
      </w:tblGrid>
      <w:tr>
        <w:tblPrEx>
          <w:tblLayout w:type="fixed"/>
          <w:tblCellMar>
            <w:top w:w="0" w:type="dxa"/>
            <w:left w:w="108" w:type="dxa"/>
            <w:bottom w:w="0" w:type="dxa"/>
            <w:right w:w="108" w:type="dxa"/>
          </w:tblCellMar>
        </w:tblPrEx>
        <w:trPr>
          <w:trHeight w:val="5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序号</w:t>
            </w:r>
          </w:p>
        </w:tc>
        <w:tc>
          <w:tcPr>
            <w:tcW w:w="1638"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评审内容</w:t>
            </w:r>
          </w:p>
        </w:tc>
        <w:tc>
          <w:tcPr>
            <w:tcW w:w="6934"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评分标准</w:t>
            </w:r>
          </w:p>
        </w:tc>
      </w:tr>
      <w:tr>
        <w:tblPrEx>
          <w:tblLayout w:type="fixed"/>
          <w:tblCellMar>
            <w:top w:w="0" w:type="dxa"/>
            <w:left w:w="108" w:type="dxa"/>
            <w:bottom w:w="0" w:type="dxa"/>
            <w:right w:w="108" w:type="dxa"/>
          </w:tblCellMar>
        </w:tblPrEx>
        <w:trPr>
          <w:trHeight w:val="56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价格部分（30分）</w:t>
            </w:r>
          </w:p>
        </w:tc>
      </w:tr>
      <w:tr>
        <w:tblPrEx>
          <w:tblLayout w:type="fixed"/>
          <w:tblCellMar>
            <w:top w:w="0" w:type="dxa"/>
            <w:left w:w="108" w:type="dxa"/>
            <w:bottom w:w="0" w:type="dxa"/>
            <w:right w:w="108" w:type="dxa"/>
          </w:tblCellMar>
        </w:tblPrEx>
        <w:trPr>
          <w:trHeight w:val="21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投标报价</w:t>
            </w:r>
          </w:p>
          <w:p>
            <w:pPr>
              <w:tabs>
                <w:tab w:val="left" w:pos="0"/>
                <w:tab w:val="left" w:pos="360"/>
              </w:tabs>
              <w:spacing w:line="276" w:lineRule="auto"/>
              <w:jc w:val="center"/>
            </w:pPr>
            <w:r>
              <w:rPr>
                <w:rFonts w:hint="eastAsia"/>
              </w:rPr>
              <w:t>（30分）</w:t>
            </w:r>
          </w:p>
        </w:tc>
        <w:tc>
          <w:tcPr>
            <w:tcW w:w="6934"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综合评分法中的价格分统一采用低价优先法计算，即满足招标文件要求且最后报价最低的供应商的价格为评标基准价，其价格分为满分。其他供应商的价格分统一按照下列公式计算：</w:t>
            </w:r>
          </w:p>
          <w:p>
            <w:pPr>
              <w:tabs>
                <w:tab w:val="left" w:pos="0"/>
                <w:tab w:val="left" w:pos="360"/>
              </w:tabs>
              <w:spacing w:line="276" w:lineRule="auto"/>
              <w:rPr>
                <w:rFonts w:ascii="宋体" w:hAnsi="宋体" w:cs="宋体"/>
              </w:rPr>
            </w:pPr>
            <w:r>
              <w:rPr>
                <w:rFonts w:hint="eastAsia" w:ascii="宋体" w:hAnsi="宋体" w:cs="宋体"/>
              </w:rPr>
              <w:t xml:space="preserve">   投标报价得分=（评价基准价/投标人报价）×30%×100</w:t>
            </w:r>
          </w:p>
          <w:p>
            <w:pPr>
              <w:tabs>
                <w:tab w:val="left" w:pos="0"/>
                <w:tab w:val="left" w:pos="360"/>
              </w:tabs>
              <w:spacing w:line="276" w:lineRule="auto"/>
              <w:rPr>
                <w:rFonts w:ascii="宋体" w:hAnsi="宋体" w:cs="宋体"/>
              </w:rPr>
            </w:pPr>
            <w:r>
              <w:rPr>
                <w:rFonts w:hint="eastAsia" w:ascii="宋体" w:hAnsi="宋体" w:cs="宋体"/>
              </w:rPr>
              <w:t>评标委员会若认为供应商的投标报价明显低于其他通过符合性审查供应商的报价，有可能影响产品质量或者不能诚信履约的，应当要求其在评审现场合理的时间内提供书面说明，必要时提交相关证明材料；供应商不能证明其报价合理性的，评标委员会应当将其作为无效投标处理。</w:t>
            </w:r>
          </w:p>
        </w:tc>
      </w:tr>
      <w:tr>
        <w:tblPrEx>
          <w:tblLayout w:type="fixed"/>
          <w:tblCellMar>
            <w:top w:w="0" w:type="dxa"/>
            <w:left w:w="108" w:type="dxa"/>
            <w:bottom w:w="0" w:type="dxa"/>
            <w:right w:w="108" w:type="dxa"/>
          </w:tblCellMar>
        </w:tblPrEx>
        <w:trPr>
          <w:trHeight w:val="50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b/>
                <w:kern w:val="0"/>
              </w:rPr>
            </w:pPr>
            <w:r>
              <w:rPr>
                <w:rFonts w:hint="eastAsia"/>
                <w:b/>
                <w:kern w:val="0"/>
              </w:rPr>
              <w:t>商务部分（35分）</w:t>
            </w:r>
          </w:p>
        </w:tc>
      </w:tr>
      <w:tr>
        <w:tblPrEx>
          <w:tblLayout w:type="fixed"/>
          <w:tblCellMar>
            <w:top w:w="0" w:type="dxa"/>
            <w:left w:w="108" w:type="dxa"/>
            <w:bottom w:w="0" w:type="dxa"/>
            <w:right w:w="108" w:type="dxa"/>
          </w:tblCellMar>
        </w:tblPrEx>
        <w:trPr>
          <w:trHeight w:val="821" w:hRule="atLeast"/>
          <w:jc w:val="center"/>
        </w:trPr>
        <w:tc>
          <w:tcPr>
            <w:tcW w:w="706" w:type="dxa"/>
            <w:tcBorders>
              <w:left w:val="single" w:color="000000" w:sz="4" w:space="0"/>
              <w:bottom w:val="single" w:color="auto" w:sz="4" w:space="0"/>
              <w:right w:val="single" w:color="000000" w:sz="4" w:space="0"/>
            </w:tcBorders>
            <w:vAlign w:val="center"/>
          </w:tcPr>
          <w:p>
            <w:pPr>
              <w:widowControl/>
              <w:jc w:val="center"/>
              <w:rPr>
                <w:kern w:val="0"/>
              </w:rPr>
            </w:pPr>
            <w:r>
              <w:rPr>
                <w:rFonts w:hint="eastAsia"/>
                <w:kern w:val="0"/>
              </w:rPr>
              <w:t>2</w:t>
            </w:r>
          </w:p>
        </w:tc>
        <w:tc>
          <w:tcPr>
            <w:tcW w:w="1638" w:type="dxa"/>
            <w:tcBorders>
              <w:top w:val="single" w:color="auto" w:sz="4" w:space="0"/>
              <w:left w:val="nil"/>
              <w:bottom w:val="single" w:color="auto" w:sz="4" w:space="0"/>
              <w:right w:val="single" w:color="000000" w:sz="4" w:space="0"/>
            </w:tcBorders>
            <w:vAlign w:val="center"/>
          </w:tcPr>
          <w:p>
            <w:pPr>
              <w:widowControl/>
              <w:jc w:val="center"/>
              <w:rPr>
                <w:rFonts w:ascii="宋体" w:hAnsi="宋体"/>
                <w:szCs w:val="20"/>
              </w:rPr>
            </w:pPr>
            <w:r>
              <w:rPr>
                <w:rFonts w:hint="eastAsia" w:ascii="宋体" w:hAnsi="宋体"/>
                <w:szCs w:val="20"/>
              </w:rPr>
              <w:t>资质</w:t>
            </w:r>
          </w:p>
          <w:p>
            <w:pPr>
              <w:widowControl/>
              <w:jc w:val="center"/>
              <w:rPr>
                <w:rFonts w:ascii="宋体" w:hAnsi="宋体"/>
              </w:rPr>
            </w:pPr>
            <w:r>
              <w:rPr>
                <w:rFonts w:hint="eastAsia" w:ascii="宋体" w:hAnsi="宋体"/>
              </w:rPr>
              <w:t>（5分）</w:t>
            </w:r>
          </w:p>
        </w:tc>
        <w:tc>
          <w:tcPr>
            <w:tcW w:w="6934" w:type="dxa"/>
            <w:tcBorders>
              <w:top w:val="single" w:color="000000" w:sz="4" w:space="0"/>
              <w:left w:val="nil"/>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投标人具有国家环保部颁发的</w:t>
            </w:r>
            <w:r>
              <w:rPr>
                <w:rFonts w:hint="eastAsia" w:hAnsi="宋体"/>
              </w:rPr>
              <w:t>具备建设项目环境影响评价（交通运输）甲级资质</w:t>
            </w:r>
            <w:r>
              <w:rPr>
                <w:rFonts w:hint="eastAsia" w:ascii="宋体" w:hAnsi="宋体" w:cs="宋体"/>
              </w:rPr>
              <w:t>，得5分。（须提供资质证书原件核查</w:t>
            </w:r>
            <w:r>
              <w:rPr>
                <w:rFonts w:hint="eastAsia" w:ascii="宋体" w:hAnsi="宋体"/>
              </w:rPr>
              <w:t>或复印件盖章</w:t>
            </w:r>
            <w:r>
              <w:rPr>
                <w:rFonts w:hint="eastAsia" w:ascii="宋体" w:hAnsi="宋体" w:cs="宋体"/>
              </w:rPr>
              <w:t>）</w:t>
            </w:r>
          </w:p>
        </w:tc>
      </w:tr>
      <w:tr>
        <w:tblPrEx>
          <w:tblLayout w:type="fixed"/>
          <w:tblCellMar>
            <w:top w:w="0" w:type="dxa"/>
            <w:left w:w="108" w:type="dxa"/>
            <w:bottom w:w="0" w:type="dxa"/>
            <w:right w:w="108" w:type="dxa"/>
          </w:tblCellMar>
        </w:tblPrEx>
        <w:trPr>
          <w:trHeight w:val="81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kern w:val="0"/>
              </w:rPr>
              <w:t>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业绩</w:t>
            </w:r>
          </w:p>
          <w:p>
            <w:pPr>
              <w:jc w:val="center"/>
              <w:rPr>
                <w:rFonts w:ascii="宋体" w:hAnsi="宋体"/>
              </w:rPr>
            </w:pPr>
            <w:r>
              <w:rPr>
                <w:rFonts w:hint="eastAsia" w:ascii="宋体" w:hAnsi="宋体"/>
              </w:rPr>
              <w:t>（10分）</w:t>
            </w:r>
          </w:p>
        </w:tc>
        <w:tc>
          <w:tcPr>
            <w:tcW w:w="6934" w:type="dxa"/>
            <w:tcBorders>
              <w:top w:val="single" w:color="000000" w:sz="4" w:space="0"/>
              <w:left w:val="single" w:color="auto" w:sz="4" w:space="0"/>
              <w:bottom w:val="single" w:color="auto" w:sz="4" w:space="0"/>
              <w:right w:val="single" w:color="000000" w:sz="4" w:space="0"/>
            </w:tcBorders>
            <w:vAlign w:val="center"/>
          </w:tcPr>
          <w:p>
            <w:pPr>
              <w:spacing w:line="276" w:lineRule="auto"/>
              <w:ind w:left="8" w:leftChars="4"/>
              <w:jc w:val="left"/>
            </w:pPr>
            <w:r>
              <w:rPr>
                <w:rFonts w:hint="eastAsia" w:ascii="宋体" w:hAnsi="宋体" w:cs="宋体"/>
              </w:rPr>
              <w:t>近年</w:t>
            </w:r>
            <w:r>
              <w:rPr>
                <w:rFonts w:ascii="宋体" w:hAnsi="宋体" w:cs="宋体"/>
              </w:rPr>
              <w:t>(2012</w:t>
            </w:r>
            <w:r>
              <w:rPr>
                <w:rFonts w:hint="eastAsia" w:ascii="宋体" w:hAnsi="宋体" w:cs="宋体"/>
              </w:rPr>
              <w:t>年1月1日至今</w:t>
            </w:r>
            <w:r>
              <w:rPr>
                <w:rFonts w:ascii="宋体" w:hAnsi="宋体" w:cs="宋体"/>
              </w:rPr>
              <w:t>)</w:t>
            </w:r>
            <w:r>
              <w:rPr>
                <w:rFonts w:hint="eastAsia" w:ascii="宋体" w:hAnsi="宋体" w:cs="宋体"/>
              </w:rPr>
              <w:t>承担过国家环保部审批的项目每个得</w:t>
            </w:r>
            <w:r>
              <w:rPr>
                <w:rFonts w:ascii="宋体" w:hAnsi="宋体" w:cs="宋体"/>
              </w:rPr>
              <w:t>4</w:t>
            </w:r>
            <w:r>
              <w:rPr>
                <w:rFonts w:hint="eastAsia" w:ascii="宋体" w:hAnsi="宋体" w:cs="宋体"/>
              </w:rPr>
              <w:t>分，省级环保厅审批的项目每个得</w:t>
            </w:r>
            <w:r>
              <w:rPr>
                <w:rFonts w:ascii="宋体" w:hAnsi="宋体" w:cs="宋体"/>
              </w:rPr>
              <w:t>2</w:t>
            </w:r>
            <w:r>
              <w:rPr>
                <w:rFonts w:hint="eastAsia" w:ascii="宋体" w:hAnsi="宋体" w:cs="宋体"/>
              </w:rPr>
              <w:t>分。本项最高得</w:t>
            </w:r>
            <w:r>
              <w:rPr>
                <w:rFonts w:ascii="宋体" w:hAnsi="宋体" w:cs="宋体"/>
              </w:rPr>
              <w:t>10</w:t>
            </w:r>
            <w:r>
              <w:rPr>
                <w:rFonts w:hint="eastAsia" w:ascii="宋体" w:hAnsi="宋体" w:cs="宋体"/>
              </w:rPr>
              <w:t>分。（不重复累计得分）。（须提供合同复印件）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4</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pPr>
            <w:r>
              <w:rPr>
                <w:rFonts w:hint="eastAsia"/>
              </w:rPr>
              <w:t>获奖情况、信誉（8分）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投标人获得省级以上海洋相关奖项的得8分；获得市级相关奖项的得4分；本项满分8分。（须提供获奖证书原件核查或复印件盖章）</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5</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项目负责人</w:t>
            </w:r>
          </w:p>
          <w:p>
            <w:pPr>
              <w:widowControl/>
              <w:jc w:val="center"/>
              <w:rPr>
                <w:rFonts w:ascii="宋体" w:hAnsi="宋体"/>
              </w:rPr>
            </w:pPr>
            <w:r>
              <w:rPr>
                <w:rFonts w:hint="eastAsia" w:ascii="宋体" w:hAnsi="宋体"/>
              </w:rPr>
              <w:t>（8分）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拟派往该项目的项目负责人2013年以来具有一项类似业绩（以合同签订日期为准）的得3分，具有两项以上（含两项）的加2分；具有本专业高级技术职称的加3分；本项满分8分。（须提供合同、职称证复印件）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6</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其他技术人员</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其他技术人员具有本专业高级技术职称的每人得2分；具有工程师职称的每人得1分。本项满分4分。（须提供职称证书复印件）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9278" w:type="dxa"/>
            <w:gridSpan w:val="3"/>
            <w:vAlign w:val="center"/>
          </w:tcPr>
          <w:p>
            <w:pPr>
              <w:spacing w:line="300" w:lineRule="exact"/>
              <w:jc w:val="center"/>
              <w:rPr>
                <w:b/>
                <w:kern w:val="0"/>
              </w:rPr>
            </w:pPr>
            <w:r>
              <w:rPr>
                <w:rFonts w:hint="eastAsia"/>
                <w:b/>
                <w:kern w:val="0"/>
              </w:rPr>
              <w:t>技术部分（35分）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kern w:val="0"/>
              </w:rPr>
            </w:pPr>
            <w:r>
              <w:rPr>
                <w:rFonts w:hint="eastAsia"/>
                <w:kern w:val="0"/>
              </w:rPr>
              <w:t>7</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对采购项目的理解和总体开展思路</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（7分）</w:t>
            </w:r>
          </w:p>
        </w:tc>
        <w:tc>
          <w:tcPr>
            <w:tcW w:w="6934" w:type="dxa"/>
            <w:vAlign w:val="center"/>
          </w:tcPr>
          <w:p>
            <w:pPr>
              <w:spacing w:line="300" w:lineRule="auto"/>
              <w:rPr>
                <w:rFonts w:ascii="宋体" w:hAnsi="宋体"/>
              </w:rPr>
            </w:pPr>
            <w:r>
              <w:rPr>
                <w:rFonts w:hint="eastAsia" w:ascii="宋体" w:hAnsi="宋体"/>
              </w:rPr>
              <w:t>对招标项目的理解：</w:t>
            </w:r>
          </w:p>
          <w:p>
            <w:pPr>
              <w:spacing w:line="300" w:lineRule="auto"/>
              <w:rPr>
                <w:rFonts w:ascii="宋体" w:hAnsi="宋体"/>
              </w:rPr>
            </w:pPr>
            <w:r>
              <w:rPr>
                <w:rFonts w:hint="eastAsia" w:ascii="宋体" w:hAnsi="宋体"/>
              </w:rPr>
              <w:t>项目的地理位置、项目的功能与作用的理解深刻、到位。0～3分。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autoSpaceDE w:val="0"/>
              <w:autoSpaceDN w:val="0"/>
              <w:adjustRightInd w:val="0"/>
              <w:spacing w:line="380" w:lineRule="exact"/>
              <w:jc w:val="center"/>
            </w:pPr>
          </w:p>
        </w:tc>
        <w:tc>
          <w:tcPr>
            <w:tcW w:w="1638" w:type="dxa"/>
            <w:vMerge w:val="continue"/>
            <w:vAlign w:val="center"/>
          </w:tcPr>
          <w:p>
            <w:pPr>
              <w:autoSpaceDE w:val="0"/>
              <w:autoSpaceDN w:val="0"/>
              <w:adjustRightInd w:val="0"/>
              <w:spacing w:line="380" w:lineRule="exact"/>
            </w:pPr>
          </w:p>
        </w:tc>
        <w:tc>
          <w:tcPr>
            <w:tcW w:w="6934" w:type="dxa"/>
            <w:vAlign w:val="center"/>
          </w:tcPr>
          <w:p>
            <w:pPr>
              <w:spacing w:line="300" w:lineRule="auto"/>
              <w:rPr>
                <w:rFonts w:ascii="宋体" w:hAnsi="宋体"/>
              </w:rPr>
            </w:pPr>
            <w:r>
              <w:rPr>
                <w:rFonts w:hint="eastAsia" w:ascii="宋体" w:hAnsi="宋体"/>
              </w:rPr>
              <w:t>对项目所在地规划发展与建设条件认识：</w:t>
            </w:r>
          </w:p>
          <w:p>
            <w:pPr>
              <w:spacing w:line="300" w:lineRule="auto"/>
            </w:pPr>
            <w:r>
              <w:rPr>
                <w:rFonts w:hint="eastAsia" w:ascii="宋体" w:hAnsi="宋体"/>
              </w:rPr>
              <w:t>对项目周边自然条件、现状基本情况、规划概况、空间环境等方面人士的程度。0～4分。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8</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采购项目的特点、关键技术问题的分析及其对策措施</w:t>
            </w:r>
          </w:p>
          <w:p>
            <w:pPr>
              <w:autoSpaceDE w:val="0"/>
              <w:autoSpaceDN w:val="0"/>
              <w:adjustRightInd w:val="0"/>
              <w:spacing w:line="380" w:lineRule="exact"/>
              <w:jc w:val="center"/>
              <w:rPr>
                <w:rFonts w:ascii="宋体" w:hAnsi="宋体" w:cs="宋体"/>
                <w:kern w:val="0"/>
                <w:sz w:val="24"/>
              </w:rPr>
            </w:pPr>
            <w:r>
              <w:rPr>
                <w:rFonts w:hint="eastAsia" w:ascii="宋体" w:hAnsi="宋体" w:cs="宋体"/>
                <w:kern w:val="0"/>
              </w:rPr>
              <w:t>（4分）</w:t>
            </w:r>
          </w:p>
        </w:tc>
        <w:tc>
          <w:tcPr>
            <w:tcW w:w="6934" w:type="dxa"/>
            <w:vAlign w:val="center"/>
          </w:tcPr>
          <w:p>
            <w:pPr>
              <w:spacing w:line="300" w:lineRule="auto"/>
              <w:rPr>
                <w:rFonts w:ascii="宋体" w:hAnsi="宋体"/>
              </w:rPr>
            </w:pPr>
            <w:r>
              <w:rPr>
                <w:rFonts w:hint="eastAsia" w:ascii="宋体" w:hAnsi="宋体"/>
              </w:rPr>
              <w:t>对项目特点描述准确、到位。0～2分。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对关键技术问题有深入的表述，解决方案完整、经济、安全、切实可行，措施得力。0～2分。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9</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项目开展方案及计划安排</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技术标准符合国家颁布的有关技术标准要求。0～2分。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06" w:type="dxa"/>
            <w:vMerge w:val="continue"/>
            <w:vAlign w:val="center"/>
          </w:tcPr>
          <w:p>
            <w:pPr>
              <w:spacing w:line="300" w:lineRule="auto"/>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1、对海洋监测、调查、水文调查全面了解得2分，一般得1分，较差不得分。</w:t>
            </w:r>
          </w:p>
          <w:p>
            <w:pPr>
              <w:spacing w:line="300" w:lineRule="auto"/>
              <w:rPr>
                <w:rFonts w:ascii="宋体" w:hAnsi="宋体"/>
              </w:rPr>
            </w:pPr>
            <w:r>
              <w:rPr>
                <w:rFonts w:hint="eastAsia" w:ascii="宋体" w:hAnsi="宋体"/>
              </w:rPr>
              <w:t>2、工作时间计划合理、可靠得2分，一般得1分，较差不得分。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706" w:type="dxa"/>
            <w:vMerge w:val="continue"/>
            <w:vAlign w:val="center"/>
          </w:tcPr>
          <w:p>
            <w:pPr>
              <w:spacing w:line="300" w:lineRule="auto"/>
              <w:rPr>
                <w:rFonts w:ascii="宋体" w:hAnsi="宋体"/>
              </w:rPr>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计划编制合理、可行；科学、合理布置各阶段的工作任务。0～3分。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10</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招标项目的质量保证措施、进度保证措施</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质量保证措施：质量标准符合招标文件要求，明确质量目标，项目整体及分项工程有完整的质量保证体系；对可能出现的质量偏差有应对措施等。0～4分。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进度保证措施：承诺的工期满足招标文件要求；总体进度计划和各阶段进度计划是否合理可行、保障措施是否可靠。0～5分。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706"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1638" w:type="dxa"/>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拟投入设备</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（6分）</w:t>
            </w:r>
          </w:p>
        </w:tc>
        <w:tc>
          <w:tcPr>
            <w:tcW w:w="6934" w:type="dxa"/>
            <w:vAlign w:val="center"/>
          </w:tcPr>
          <w:p>
            <w:pPr>
              <w:spacing w:line="300" w:lineRule="auto"/>
              <w:rPr>
                <w:rFonts w:ascii="宋体" w:hAnsi="宋体"/>
              </w:rPr>
            </w:pPr>
            <w:r>
              <w:rPr>
                <w:rFonts w:hint="eastAsia" w:ascii="宋体" w:hAnsi="宋体"/>
              </w:rPr>
              <w:t>拟投入设备全面、合理得6分，一般得3分，较差不得分。</w:t>
            </w:r>
          </w:p>
        </w:tc>
      </w:tr>
    </w:tbl>
    <w:p>
      <w:pPr>
        <w:tabs>
          <w:tab w:val="left" w:pos="1050"/>
        </w:tabs>
        <w:spacing w:line="360" w:lineRule="auto"/>
        <w:outlineLvl w:val="1"/>
        <w:rPr>
          <w:b/>
          <w:sz w:val="24"/>
        </w:rPr>
      </w:pPr>
      <w:r>
        <w:rPr>
          <w:rFonts w:hint="eastAsia"/>
          <w:b/>
          <w:sz w:val="24"/>
        </w:rPr>
        <w:t>备注：投标人提供的相关材料必须是真实有效的，如一旦经核查发现投标人弄虚作假，将取消投标人的中标资格，并没收投标保证金，报行政主管部门网上通报.</w:t>
      </w:r>
    </w:p>
    <w:p>
      <w:pPr>
        <w:tabs>
          <w:tab w:val="left" w:pos="1050"/>
        </w:tabs>
        <w:spacing w:line="360" w:lineRule="auto"/>
        <w:outlineLvl w:val="1"/>
        <w:rPr>
          <w:b/>
          <w:sz w:val="24"/>
        </w:rPr>
      </w:pPr>
    </w:p>
    <w:p>
      <w:pPr>
        <w:numPr>
          <w:ilvl w:val="0"/>
          <w:numId w:val="9"/>
        </w:numPr>
        <w:tabs>
          <w:tab w:val="left" w:pos="1050"/>
          <w:tab w:val="clear" w:pos="960"/>
        </w:tabs>
        <w:spacing w:line="360" w:lineRule="auto"/>
        <w:ind w:left="964" w:hanging="482"/>
        <w:outlineLvl w:val="1"/>
        <w:rPr>
          <w:b/>
          <w:sz w:val="24"/>
        </w:rPr>
      </w:pPr>
      <w:bookmarkStart w:id="214" w:name="_Toc317237623"/>
      <w:bookmarkStart w:id="215" w:name="_Toc389164182"/>
      <w:bookmarkStart w:id="216" w:name="_Toc27910"/>
      <w:bookmarkStart w:id="217" w:name="_Toc392583297"/>
      <w:bookmarkStart w:id="218" w:name="_Toc14813"/>
      <w:bookmarkStart w:id="219" w:name="_Toc1449"/>
      <w:bookmarkStart w:id="220" w:name="_Toc6730"/>
      <w:bookmarkStart w:id="221" w:name="_Toc22471"/>
      <w:bookmarkStart w:id="222" w:name="_Toc14645"/>
      <w:bookmarkStart w:id="223" w:name="_Toc30436"/>
      <w:bookmarkStart w:id="224" w:name="_Toc19746"/>
      <w:bookmarkStart w:id="225" w:name="_Toc26494"/>
      <w:bookmarkStart w:id="226" w:name="_Toc15452"/>
      <w:r>
        <w:rPr>
          <w:rFonts w:hint="eastAsia"/>
          <w:b/>
          <w:sz w:val="24"/>
        </w:rPr>
        <w:t>总则</w:t>
      </w:r>
      <w:bookmarkEnd w:id="214"/>
      <w:bookmarkEnd w:id="215"/>
      <w:bookmarkEnd w:id="216"/>
      <w:bookmarkEnd w:id="217"/>
      <w:bookmarkEnd w:id="218"/>
      <w:bookmarkEnd w:id="219"/>
      <w:bookmarkEnd w:id="220"/>
      <w:bookmarkEnd w:id="221"/>
      <w:bookmarkEnd w:id="222"/>
      <w:bookmarkEnd w:id="223"/>
      <w:bookmarkEnd w:id="224"/>
      <w:bookmarkEnd w:id="225"/>
      <w:bookmarkEnd w:id="226"/>
    </w:p>
    <w:p>
      <w:pPr>
        <w:tabs>
          <w:tab w:val="left" w:pos="1050"/>
        </w:tabs>
        <w:spacing w:line="360" w:lineRule="auto"/>
        <w:outlineLvl w:val="1"/>
        <w:rPr>
          <w:b/>
          <w:sz w:val="24"/>
        </w:rPr>
      </w:pPr>
    </w:p>
    <w:p>
      <w:pPr>
        <w:spacing w:line="360" w:lineRule="auto"/>
        <w:ind w:firstLine="480" w:firstLineChars="200"/>
        <w:rPr>
          <w:sz w:val="24"/>
        </w:rPr>
      </w:pPr>
      <w:r>
        <w:rPr>
          <w:rFonts w:hint="eastAsia"/>
          <w:sz w:val="24"/>
        </w:rPr>
        <w:t>1.1 评标工作由招标采购单位负责组织，具体评标事务由招标采购单位依法组建的评审委员会负责。评审委员会由招标人代表和有关技术、经济等方面的专家组成。</w:t>
      </w:r>
    </w:p>
    <w:p>
      <w:pPr>
        <w:spacing w:line="360" w:lineRule="auto"/>
        <w:ind w:firstLine="480" w:firstLineChars="200"/>
        <w:rPr>
          <w:sz w:val="24"/>
        </w:rPr>
      </w:pPr>
      <w:r>
        <w:rPr>
          <w:rFonts w:hint="eastAsia"/>
          <w:sz w:val="24"/>
        </w:rPr>
        <w:t>1.2遵循公平、公正、科学、择优的原则，以相同的评审程序和标准对待所有的投标人。</w:t>
      </w:r>
    </w:p>
    <w:p>
      <w:pPr>
        <w:spacing w:line="360" w:lineRule="auto"/>
        <w:ind w:firstLine="480" w:firstLineChars="200"/>
        <w:rPr>
          <w:sz w:val="24"/>
        </w:rPr>
      </w:pPr>
      <w:r>
        <w:rPr>
          <w:rFonts w:hint="eastAsia"/>
          <w:sz w:val="24"/>
        </w:rPr>
        <w:t>1.3反对不正当竞争，反对恶意压低投标价格。</w:t>
      </w:r>
    </w:p>
    <w:p>
      <w:pPr>
        <w:spacing w:line="360" w:lineRule="auto"/>
        <w:ind w:firstLine="480" w:firstLineChars="200"/>
        <w:rPr>
          <w:sz w:val="24"/>
        </w:rPr>
      </w:pPr>
      <w:r>
        <w:rPr>
          <w:rFonts w:hint="eastAsia"/>
          <w:sz w:val="24"/>
        </w:rPr>
        <w:t>1.4评审委员会按照招标文件规定的评标方法和标准进行评标，并独立履行下列职责：</w:t>
      </w:r>
    </w:p>
    <w:p>
      <w:pPr>
        <w:spacing w:line="360" w:lineRule="auto"/>
        <w:ind w:firstLine="480" w:firstLineChars="200"/>
        <w:rPr>
          <w:sz w:val="24"/>
        </w:rPr>
      </w:pPr>
      <w:r>
        <w:rPr>
          <w:rFonts w:hint="eastAsia"/>
          <w:sz w:val="24"/>
        </w:rPr>
        <w:t>（1）审查投标文件是否符合招标文件要求，并作出评价；</w:t>
      </w:r>
    </w:p>
    <w:p>
      <w:pPr>
        <w:spacing w:line="360" w:lineRule="auto"/>
        <w:ind w:firstLine="480" w:firstLineChars="200"/>
        <w:rPr>
          <w:sz w:val="24"/>
        </w:rPr>
      </w:pPr>
      <w:r>
        <w:rPr>
          <w:rFonts w:hint="eastAsia"/>
          <w:sz w:val="24"/>
        </w:rPr>
        <w:t>（2）要求投标供应商对投标文件有关事项作出解释或者澄清；</w:t>
      </w:r>
    </w:p>
    <w:p>
      <w:pPr>
        <w:spacing w:line="360" w:lineRule="auto"/>
        <w:ind w:firstLine="480" w:firstLineChars="200"/>
        <w:rPr>
          <w:sz w:val="24"/>
        </w:rPr>
      </w:pPr>
      <w:r>
        <w:rPr>
          <w:rFonts w:hint="eastAsia"/>
          <w:sz w:val="24"/>
        </w:rPr>
        <w:t>（3）推荐中标候选供应商名单，或者受招标人委托按照事先确定的办法直接确定中标供应商；</w:t>
      </w:r>
    </w:p>
    <w:p>
      <w:pPr>
        <w:spacing w:line="360" w:lineRule="auto"/>
        <w:ind w:firstLine="480" w:firstLineChars="200"/>
        <w:rPr>
          <w:sz w:val="24"/>
        </w:rPr>
      </w:pPr>
      <w:r>
        <w:rPr>
          <w:rFonts w:hint="eastAsia"/>
          <w:sz w:val="24"/>
        </w:rPr>
        <w:t>（4）向招标采购单位或者有关部门报告非法干预评审工作的行为。</w:t>
      </w:r>
    </w:p>
    <w:p>
      <w:pPr>
        <w:spacing w:line="360" w:lineRule="auto"/>
        <w:ind w:firstLine="480" w:firstLineChars="200"/>
        <w:rPr>
          <w:sz w:val="24"/>
        </w:rPr>
      </w:pPr>
      <w:r>
        <w:rPr>
          <w:rFonts w:hint="eastAsia"/>
          <w:sz w:val="24"/>
        </w:rPr>
        <w:t>1.5评标过程严格保密。投标人对评审委员会的评标过程或合同授予决定施加影响的任何行为都可能导致其投标被拒绝。</w:t>
      </w:r>
    </w:p>
    <w:p>
      <w:pPr>
        <w:spacing w:line="360" w:lineRule="auto"/>
        <w:ind w:firstLine="480" w:firstLineChars="200"/>
        <w:rPr>
          <w:sz w:val="24"/>
        </w:rPr>
      </w:pPr>
      <w:r>
        <w:rPr>
          <w:rFonts w:hint="eastAsia"/>
          <w:sz w:val="24"/>
        </w:rPr>
        <w:t>1.6评审委员会决定投标文件的响应性依据投标文件本身的内容，而不寻求外部的证据。</w:t>
      </w:r>
    </w:p>
    <w:p>
      <w:pPr>
        <w:spacing w:line="360" w:lineRule="auto"/>
        <w:ind w:firstLine="480" w:firstLineChars="200"/>
        <w:rPr>
          <w:sz w:val="24"/>
        </w:rPr>
      </w:pPr>
      <w:r>
        <w:rPr>
          <w:rFonts w:hint="eastAsia"/>
          <w:sz w:val="24"/>
        </w:rPr>
        <w:t>1.7评审委员会发现招标文件表述不明确或需要说明的事项，可提请招标采购单位书面解释说明。</w:t>
      </w:r>
    </w:p>
    <w:p>
      <w:pPr>
        <w:numPr>
          <w:ilvl w:val="0"/>
          <w:numId w:val="9"/>
        </w:numPr>
        <w:tabs>
          <w:tab w:val="left" w:pos="1050"/>
          <w:tab w:val="clear" w:pos="960"/>
        </w:tabs>
        <w:spacing w:line="360" w:lineRule="auto"/>
        <w:ind w:left="964" w:hanging="482"/>
        <w:outlineLvl w:val="1"/>
        <w:rPr>
          <w:b/>
          <w:sz w:val="24"/>
        </w:rPr>
      </w:pPr>
      <w:bookmarkStart w:id="227" w:name="_Toc26180"/>
      <w:bookmarkStart w:id="228" w:name="_Toc22293"/>
      <w:bookmarkStart w:id="229" w:name="_Toc17693"/>
      <w:bookmarkStart w:id="230" w:name="_Toc11078"/>
      <w:bookmarkStart w:id="231" w:name="_Toc10887"/>
      <w:bookmarkStart w:id="232" w:name="_Toc10725"/>
      <w:bookmarkStart w:id="233" w:name="_Toc15627"/>
      <w:bookmarkStart w:id="234" w:name="_Toc389164183"/>
      <w:bookmarkStart w:id="235" w:name="_Toc27403"/>
      <w:bookmarkStart w:id="236" w:name="_Toc392583298"/>
      <w:bookmarkStart w:id="237" w:name="_Toc2009"/>
      <w:bookmarkStart w:id="238" w:name="_Toc21483"/>
      <w:bookmarkStart w:id="239" w:name="_Toc317237624"/>
      <w:r>
        <w:rPr>
          <w:rFonts w:hint="eastAsia"/>
          <w:b/>
          <w:sz w:val="24"/>
        </w:rPr>
        <w:t>评标方法</w:t>
      </w:r>
      <w:bookmarkEnd w:id="227"/>
      <w:bookmarkEnd w:id="228"/>
      <w:bookmarkEnd w:id="229"/>
      <w:bookmarkEnd w:id="230"/>
      <w:bookmarkEnd w:id="231"/>
      <w:bookmarkEnd w:id="232"/>
      <w:bookmarkEnd w:id="233"/>
      <w:bookmarkEnd w:id="234"/>
      <w:bookmarkEnd w:id="235"/>
      <w:bookmarkEnd w:id="236"/>
      <w:bookmarkEnd w:id="237"/>
      <w:bookmarkEnd w:id="238"/>
      <w:bookmarkEnd w:id="239"/>
    </w:p>
    <w:p>
      <w:pPr>
        <w:spacing w:line="360" w:lineRule="auto"/>
        <w:ind w:firstLine="482" w:firstLineChars="200"/>
        <w:rPr>
          <w:b/>
          <w:sz w:val="24"/>
        </w:rPr>
      </w:pPr>
      <w:r>
        <w:rPr>
          <w:rFonts w:hint="eastAsia"/>
          <w:b/>
          <w:sz w:val="24"/>
        </w:rPr>
        <w:t>（一）评审规则</w:t>
      </w:r>
    </w:p>
    <w:p>
      <w:pPr>
        <w:spacing w:line="360" w:lineRule="auto"/>
        <w:ind w:firstLine="480" w:firstLineChars="200"/>
        <w:rPr>
          <w:sz w:val="24"/>
        </w:rPr>
      </w:pPr>
      <w:r>
        <w:rPr>
          <w:rFonts w:hint="eastAsia"/>
          <w:sz w:val="24"/>
        </w:rPr>
        <w:t>2.1.1、本招标项目的评审办法采用综合评分法，满分为100分。</w:t>
      </w:r>
    </w:p>
    <w:p>
      <w:pPr>
        <w:spacing w:line="360" w:lineRule="auto"/>
        <w:ind w:firstLine="480" w:firstLineChars="200"/>
        <w:rPr>
          <w:sz w:val="24"/>
        </w:rPr>
      </w:pPr>
      <w:r>
        <w:rPr>
          <w:rFonts w:hint="eastAsia"/>
          <w:sz w:val="24"/>
        </w:rPr>
        <w:t>2.1.2、综合评分的因素包括以下内容：价格、业绩、人员配备、方案等。</w:t>
      </w:r>
    </w:p>
    <w:p>
      <w:pPr>
        <w:spacing w:line="360" w:lineRule="auto"/>
        <w:ind w:firstLine="480" w:firstLineChars="200"/>
        <w:rPr>
          <w:sz w:val="24"/>
        </w:rPr>
      </w:pPr>
      <w:r>
        <w:rPr>
          <w:rFonts w:hint="eastAsia"/>
          <w:sz w:val="24"/>
        </w:rPr>
        <w:t>2.1.3、评审</w:t>
      </w:r>
      <w:r>
        <w:rPr>
          <w:sz w:val="24"/>
        </w:rPr>
        <w:t>程序</w:t>
      </w:r>
      <w:r>
        <w:rPr>
          <w:rFonts w:hint="eastAsia"/>
          <w:sz w:val="24"/>
        </w:rPr>
        <w:t>：</w:t>
      </w:r>
    </w:p>
    <w:p>
      <w:pPr>
        <w:spacing w:line="360" w:lineRule="auto"/>
        <w:ind w:firstLine="480" w:firstLineChars="200"/>
        <w:rPr>
          <w:sz w:val="24"/>
        </w:rPr>
      </w:pPr>
      <w:r>
        <w:rPr>
          <w:rFonts w:hint="eastAsia"/>
          <w:sz w:val="24"/>
        </w:rPr>
        <w:t>评审步骤：先进行初步评审，再进行详细评审。初步评审包括资格评审和形式评审，详细评审是对技术、商务及价格因素的评审。只有通过初步初审的投标人才能进入详细评审。</w:t>
      </w:r>
    </w:p>
    <w:p>
      <w:pPr>
        <w:spacing w:line="360" w:lineRule="auto"/>
        <w:ind w:firstLine="480" w:firstLineChars="200"/>
        <w:rPr>
          <w:sz w:val="24"/>
        </w:rPr>
      </w:pPr>
      <w:r>
        <w:rPr>
          <w:rFonts w:hint="eastAsia"/>
          <w:sz w:val="24"/>
        </w:rPr>
        <w:t>2.1.4、综合评分及其统计：按照评审程序、评分标准以及权重分配的规定，评审委员会成员分别就各个投标人的承销方案、商务情况、对招标文件要求的响应情况等进行评议和比较，赋予技术方案分和商务分。各评委赋分的算术平均值，即为该投标人的方案得分或商务得分。按综合评分法的报价计算方法计算各投标人的价格得分。将技术得分、商务得分和价格得分相加得出每个投标人的综合得分。</w:t>
      </w:r>
    </w:p>
    <w:p>
      <w:pPr>
        <w:spacing w:line="360" w:lineRule="auto"/>
        <w:ind w:firstLine="480" w:firstLineChars="200"/>
        <w:rPr>
          <w:sz w:val="24"/>
        </w:rPr>
      </w:pPr>
      <w:r>
        <w:rPr>
          <w:rFonts w:hint="eastAsia"/>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sz w:val="24"/>
        </w:rPr>
      </w:pPr>
      <w:r>
        <w:rPr>
          <w:rFonts w:hint="eastAsia"/>
          <w:sz w:val="24"/>
        </w:rPr>
        <w:t>2.1.6、综合得分最高的投标人为第一中标候选人，综合得分次高的投标人为第二中标候选人，依次类推。</w:t>
      </w:r>
    </w:p>
    <w:p>
      <w:pPr>
        <w:spacing w:line="360" w:lineRule="auto"/>
        <w:ind w:firstLine="482" w:firstLineChars="200"/>
        <w:rPr>
          <w:b/>
          <w:sz w:val="24"/>
        </w:rPr>
      </w:pPr>
      <w:r>
        <w:rPr>
          <w:rFonts w:hint="eastAsia"/>
          <w:b/>
          <w:sz w:val="24"/>
        </w:rPr>
        <w:t>（二）初步评审</w:t>
      </w:r>
    </w:p>
    <w:p>
      <w:pPr>
        <w:spacing w:line="360" w:lineRule="auto"/>
        <w:ind w:firstLine="480" w:firstLineChars="200"/>
        <w:rPr>
          <w:sz w:val="24"/>
        </w:rPr>
      </w:pPr>
      <w:r>
        <w:rPr>
          <w:rFonts w:hint="eastAsia"/>
          <w:sz w:val="24"/>
        </w:rPr>
        <w:t>1、评审委员会根据招标文件要求，对投标人的资格和投标文件的符合性进行评审。</w:t>
      </w:r>
    </w:p>
    <w:p>
      <w:pPr>
        <w:spacing w:line="360" w:lineRule="auto"/>
        <w:ind w:firstLine="480" w:firstLineChars="200"/>
        <w:rPr>
          <w:sz w:val="24"/>
        </w:rPr>
      </w:pPr>
      <w:r>
        <w:rPr>
          <w:rFonts w:hint="eastAsia"/>
          <w:sz w:val="24"/>
        </w:rPr>
        <w:t>2、评审委员会将审查投标文件是否完整、有关资料证明文件是否真实有效、是否提交投标保证金、投标有效期是否满足要求、投标文件的总体编排是否基本有序等。</w:t>
      </w:r>
    </w:p>
    <w:p>
      <w:pPr>
        <w:spacing w:line="360" w:lineRule="auto"/>
        <w:ind w:firstLine="480" w:firstLineChars="200"/>
        <w:rPr>
          <w:sz w:val="24"/>
        </w:rPr>
      </w:pPr>
      <w:r>
        <w:rPr>
          <w:rFonts w:hint="eastAsia"/>
          <w:sz w:val="24"/>
        </w:rPr>
        <w:t>3、无效投标的认定</w:t>
      </w:r>
    </w:p>
    <w:p>
      <w:pPr>
        <w:spacing w:line="360" w:lineRule="auto"/>
        <w:ind w:left="480"/>
        <w:rPr>
          <w:sz w:val="24"/>
        </w:rPr>
      </w:pPr>
      <w:r>
        <w:rPr>
          <w:rFonts w:hint="eastAsia"/>
          <w:sz w:val="24"/>
        </w:rPr>
        <w:t>评审过程中，投标文件出现（但不限于）下列情况的，将被认定为无效投标：</w:t>
      </w:r>
    </w:p>
    <w:p>
      <w:pPr>
        <w:numPr>
          <w:ilvl w:val="0"/>
          <w:numId w:val="10"/>
        </w:numPr>
        <w:spacing w:line="360" w:lineRule="auto"/>
        <w:rPr>
          <w:sz w:val="24"/>
        </w:rPr>
      </w:pPr>
      <w:r>
        <w:rPr>
          <w:rFonts w:hint="eastAsia"/>
          <w:sz w:val="24"/>
        </w:rPr>
        <w:t>投标人未提交投标保证金或投标保证金金额不足的；</w:t>
      </w:r>
    </w:p>
    <w:p>
      <w:pPr>
        <w:numPr>
          <w:ilvl w:val="0"/>
          <w:numId w:val="10"/>
        </w:numPr>
        <w:spacing w:line="360" w:lineRule="auto"/>
        <w:rPr>
          <w:sz w:val="24"/>
        </w:rPr>
      </w:pPr>
      <w:r>
        <w:rPr>
          <w:rFonts w:hint="eastAsia"/>
          <w:sz w:val="24"/>
        </w:rPr>
        <w:t>投标报价超过了报价控制范围的；</w:t>
      </w:r>
    </w:p>
    <w:p>
      <w:pPr>
        <w:spacing w:line="360" w:lineRule="auto"/>
        <w:ind w:firstLine="482" w:firstLineChars="200"/>
        <w:rPr>
          <w:b/>
          <w:sz w:val="24"/>
        </w:rPr>
      </w:pPr>
      <w:r>
        <w:rPr>
          <w:rFonts w:hint="eastAsia"/>
          <w:b/>
          <w:sz w:val="24"/>
        </w:rPr>
        <w:t>（三）详细评审</w:t>
      </w:r>
    </w:p>
    <w:p>
      <w:pPr>
        <w:spacing w:line="360" w:lineRule="auto"/>
        <w:ind w:firstLine="480" w:firstLineChars="200"/>
        <w:rPr>
          <w:sz w:val="24"/>
        </w:rPr>
      </w:pPr>
      <w:r>
        <w:rPr>
          <w:rFonts w:hint="eastAsia"/>
          <w:sz w:val="24"/>
        </w:rPr>
        <w:t>详细评审是对通过初步评审的投标进行技术、商务和价格的评审。</w:t>
      </w:r>
    </w:p>
    <w:p>
      <w:pPr>
        <w:numPr>
          <w:ilvl w:val="0"/>
          <w:numId w:val="11"/>
        </w:numPr>
        <w:tabs>
          <w:tab w:val="left" w:pos="945"/>
          <w:tab w:val="clear" w:pos="840"/>
        </w:tabs>
        <w:spacing w:line="360" w:lineRule="auto"/>
        <w:ind w:left="0" w:firstLine="482" w:firstLineChars="200"/>
        <w:rPr>
          <w:b/>
          <w:sz w:val="24"/>
        </w:rPr>
      </w:pPr>
      <w:r>
        <w:rPr>
          <w:rFonts w:hint="eastAsia"/>
          <w:b/>
          <w:sz w:val="24"/>
        </w:rPr>
        <w:t>价格评审</w:t>
      </w:r>
    </w:p>
    <w:p>
      <w:pPr>
        <w:tabs>
          <w:tab w:val="left" w:pos="945"/>
        </w:tabs>
        <w:spacing w:line="360" w:lineRule="auto"/>
        <w:ind w:firstLine="480" w:firstLineChars="200"/>
        <w:rPr>
          <w:sz w:val="24"/>
        </w:rPr>
      </w:pPr>
      <w:r>
        <w:rPr>
          <w:rFonts w:hint="eastAsia"/>
          <w:sz w:val="24"/>
        </w:rPr>
        <w:t>详见评标前附表。</w:t>
      </w:r>
    </w:p>
    <w:p>
      <w:pPr>
        <w:numPr>
          <w:ilvl w:val="0"/>
          <w:numId w:val="11"/>
        </w:numPr>
        <w:tabs>
          <w:tab w:val="left" w:pos="945"/>
          <w:tab w:val="clear" w:pos="840"/>
        </w:tabs>
        <w:spacing w:line="360" w:lineRule="auto"/>
        <w:ind w:left="0" w:firstLine="482" w:firstLineChars="200"/>
        <w:rPr>
          <w:b/>
          <w:sz w:val="24"/>
        </w:rPr>
      </w:pPr>
      <w:r>
        <w:rPr>
          <w:rFonts w:hint="eastAsia"/>
          <w:b/>
          <w:sz w:val="24"/>
        </w:rPr>
        <w:t>商务评审</w:t>
      </w:r>
    </w:p>
    <w:p>
      <w:pPr>
        <w:tabs>
          <w:tab w:val="left" w:pos="945"/>
        </w:tabs>
        <w:spacing w:line="360" w:lineRule="auto"/>
        <w:ind w:firstLine="480" w:firstLineChars="200"/>
        <w:rPr>
          <w:b/>
          <w:sz w:val="24"/>
        </w:rPr>
      </w:pPr>
      <w:r>
        <w:rPr>
          <w:rFonts w:hint="eastAsia"/>
          <w:sz w:val="24"/>
        </w:rPr>
        <w:t>评审委员会对投标人的资格、信誉和业绩合同等情况进行比较和评价。</w:t>
      </w:r>
    </w:p>
    <w:p>
      <w:pPr>
        <w:numPr>
          <w:ilvl w:val="0"/>
          <w:numId w:val="11"/>
        </w:numPr>
        <w:tabs>
          <w:tab w:val="left" w:pos="945"/>
          <w:tab w:val="clear" w:pos="840"/>
        </w:tabs>
        <w:spacing w:line="360" w:lineRule="auto"/>
        <w:ind w:left="0" w:firstLine="482" w:firstLineChars="200"/>
        <w:rPr>
          <w:b/>
          <w:sz w:val="24"/>
        </w:rPr>
      </w:pPr>
      <w:r>
        <w:rPr>
          <w:rFonts w:hint="eastAsia"/>
          <w:b/>
          <w:sz w:val="24"/>
        </w:rPr>
        <w:t>技术方案评审</w:t>
      </w:r>
    </w:p>
    <w:p>
      <w:pPr>
        <w:spacing w:line="360" w:lineRule="auto"/>
        <w:ind w:firstLine="480" w:firstLineChars="200"/>
        <w:rPr>
          <w:sz w:val="24"/>
        </w:rPr>
      </w:pPr>
      <w:r>
        <w:rPr>
          <w:rFonts w:hint="eastAsia"/>
          <w:sz w:val="24"/>
        </w:rPr>
        <w:t>评审委员会将根据投标人所提供的实施方案进行综合评价。</w:t>
      </w:r>
    </w:p>
    <w:p>
      <w:pPr>
        <w:spacing w:line="360" w:lineRule="auto"/>
        <w:ind w:firstLine="480" w:firstLineChars="200"/>
        <w:rPr>
          <w:sz w:val="24"/>
        </w:rPr>
      </w:pPr>
      <w:r>
        <w:rPr>
          <w:rFonts w:hint="eastAsia"/>
          <w:sz w:val="24"/>
        </w:rPr>
        <w:t>注：商务评标因素和实施方案评标因素的分值取小数点后2位，小数点后第三位四舍五入。</w:t>
      </w:r>
    </w:p>
    <w:p>
      <w:pPr>
        <w:numPr>
          <w:ilvl w:val="0"/>
          <w:numId w:val="11"/>
        </w:numPr>
        <w:tabs>
          <w:tab w:val="left" w:pos="945"/>
          <w:tab w:val="clear" w:pos="840"/>
        </w:tabs>
        <w:spacing w:line="360" w:lineRule="auto"/>
        <w:ind w:left="0" w:firstLine="482" w:firstLineChars="200"/>
        <w:rPr>
          <w:b/>
          <w:sz w:val="24"/>
        </w:rPr>
      </w:pPr>
      <w:r>
        <w:rPr>
          <w:rFonts w:hint="eastAsia"/>
          <w:b/>
          <w:sz w:val="24"/>
        </w:rPr>
        <w:t>编写评审报告</w:t>
      </w:r>
    </w:p>
    <w:p>
      <w:pPr>
        <w:spacing w:line="360" w:lineRule="auto"/>
        <w:ind w:firstLine="480" w:firstLineChars="200"/>
        <w:rPr>
          <w:sz w:val="24"/>
        </w:rPr>
      </w:pPr>
      <w:r>
        <w:rPr>
          <w:rFonts w:hint="eastAsia"/>
          <w:sz w:val="24"/>
        </w:rPr>
        <w:t>评审报告是评审委员会根据全体评标成员签字的原始评标记录和评标结果编写的报告，其主要内容包括：</w:t>
      </w:r>
    </w:p>
    <w:p>
      <w:pPr>
        <w:spacing w:line="360" w:lineRule="auto"/>
        <w:ind w:firstLine="480" w:firstLineChars="200"/>
        <w:rPr>
          <w:sz w:val="24"/>
        </w:rPr>
      </w:pPr>
      <w:r>
        <w:rPr>
          <w:rFonts w:hint="eastAsia"/>
          <w:sz w:val="24"/>
        </w:rPr>
        <w:t>（1）招标公告刊登的媒体名称、开标日期和地点；</w:t>
      </w:r>
    </w:p>
    <w:p>
      <w:pPr>
        <w:spacing w:line="360" w:lineRule="auto"/>
        <w:ind w:firstLine="480" w:firstLineChars="200"/>
        <w:rPr>
          <w:sz w:val="24"/>
        </w:rPr>
      </w:pPr>
      <w:r>
        <w:rPr>
          <w:rFonts w:hint="eastAsia"/>
          <w:sz w:val="24"/>
        </w:rPr>
        <w:t>（2）获取招标文件的投标人名单和评审委员会成员名单；</w:t>
      </w:r>
    </w:p>
    <w:p>
      <w:pPr>
        <w:spacing w:line="360" w:lineRule="auto"/>
        <w:ind w:firstLine="480" w:firstLineChars="200"/>
        <w:rPr>
          <w:sz w:val="24"/>
        </w:rPr>
      </w:pPr>
      <w:r>
        <w:rPr>
          <w:rFonts w:hint="eastAsia"/>
          <w:sz w:val="24"/>
        </w:rPr>
        <w:t>（3）评标方法和标准；</w:t>
      </w:r>
    </w:p>
    <w:p>
      <w:pPr>
        <w:spacing w:line="360" w:lineRule="auto"/>
        <w:ind w:firstLine="480" w:firstLineChars="200"/>
        <w:rPr>
          <w:sz w:val="24"/>
        </w:rPr>
      </w:pPr>
      <w:r>
        <w:rPr>
          <w:rFonts w:hint="eastAsia"/>
          <w:sz w:val="24"/>
        </w:rPr>
        <w:t>（4）开标记录和评标情况及说明，包括投标无效投标人名单及原因；</w:t>
      </w:r>
    </w:p>
    <w:p>
      <w:pPr>
        <w:spacing w:line="360" w:lineRule="auto"/>
        <w:ind w:firstLine="480" w:firstLineChars="200"/>
        <w:rPr>
          <w:sz w:val="24"/>
        </w:rPr>
      </w:pPr>
      <w:r>
        <w:rPr>
          <w:rFonts w:hint="eastAsia"/>
          <w:sz w:val="24"/>
        </w:rPr>
        <w:t>（5）评审结果和中标候选供应商排序表；</w:t>
      </w:r>
    </w:p>
    <w:p>
      <w:pPr>
        <w:spacing w:line="360" w:lineRule="auto"/>
        <w:ind w:firstLine="480" w:firstLineChars="200"/>
        <w:rPr>
          <w:sz w:val="24"/>
        </w:rPr>
      </w:pPr>
      <w:r>
        <w:rPr>
          <w:rFonts w:hint="eastAsia"/>
          <w:sz w:val="24"/>
        </w:rPr>
        <w:t>（6）评审委员会的授标建议。</w:t>
      </w:r>
    </w:p>
    <w:p>
      <w:pPr>
        <w:numPr>
          <w:ilvl w:val="0"/>
          <w:numId w:val="11"/>
        </w:numPr>
        <w:tabs>
          <w:tab w:val="left" w:pos="945"/>
          <w:tab w:val="clear" w:pos="840"/>
        </w:tabs>
        <w:spacing w:line="360" w:lineRule="auto"/>
        <w:ind w:left="0" w:firstLine="482" w:firstLineChars="200"/>
        <w:rPr>
          <w:b/>
          <w:sz w:val="24"/>
        </w:rPr>
      </w:pPr>
      <w:r>
        <w:rPr>
          <w:rFonts w:hint="eastAsia"/>
          <w:b/>
          <w:sz w:val="24"/>
        </w:rPr>
        <w:t>废标</w:t>
      </w:r>
    </w:p>
    <w:p>
      <w:pPr>
        <w:spacing w:line="360" w:lineRule="auto"/>
        <w:ind w:firstLine="480" w:firstLineChars="200"/>
        <w:rPr>
          <w:sz w:val="24"/>
        </w:rPr>
      </w:pPr>
      <w:r>
        <w:rPr>
          <w:sz w:val="24"/>
        </w:rPr>
        <w:t>投标文件出现以下情况的将被宣布为废标或不合格：</w:t>
      </w:r>
    </w:p>
    <w:p>
      <w:pPr>
        <w:spacing w:line="360" w:lineRule="auto"/>
        <w:ind w:firstLine="480" w:firstLineChars="200"/>
        <w:rPr>
          <w:sz w:val="24"/>
        </w:rPr>
      </w:pPr>
      <w:r>
        <w:rPr>
          <w:sz w:val="24"/>
        </w:rPr>
        <w:t>（1）投标人的资格、条件不符合招标文件要求的；</w:t>
      </w:r>
    </w:p>
    <w:p>
      <w:pPr>
        <w:spacing w:line="360" w:lineRule="auto"/>
        <w:ind w:firstLine="480" w:firstLineChars="200"/>
        <w:rPr>
          <w:sz w:val="24"/>
        </w:rPr>
      </w:pPr>
      <w:r>
        <w:rPr>
          <w:sz w:val="24"/>
        </w:rPr>
        <w:t>（</w:t>
      </w:r>
      <w:r>
        <w:rPr>
          <w:rFonts w:hint="eastAsia"/>
          <w:sz w:val="24"/>
        </w:rPr>
        <w:t>2</w:t>
      </w:r>
      <w:r>
        <w:rPr>
          <w:sz w:val="24"/>
        </w:rPr>
        <w:t>）以联合体形式投标的；</w:t>
      </w:r>
    </w:p>
    <w:p>
      <w:pPr>
        <w:spacing w:line="360" w:lineRule="auto"/>
        <w:ind w:firstLine="480" w:firstLineChars="200"/>
        <w:rPr>
          <w:sz w:val="24"/>
        </w:rPr>
      </w:pPr>
      <w:r>
        <w:rPr>
          <w:sz w:val="24"/>
        </w:rPr>
        <w:t>（</w:t>
      </w:r>
      <w:r>
        <w:rPr>
          <w:rFonts w:hint="eastAsia"/>
          <w:sz w:val="24"/>
        </w:rPr>
        <w:t>3</w:t>
      </w:r>
      <w:r>
        <w:rPr>
          <w:sz w:val="24"/>
        </w:rPr>
        <w:t>）投标文件报价不在有效报价范围的；</w:t>
      </w:r>
    </w:p>
    <w:p>
      <w:pPr>
        <w:numPr>
          <w:ilvl w:val="0"/>
          <w:numId w:val="11"/>
        </w:numPr>
        <w:tabs>
          <w:tab w:val="left" w:pos="945"/>
          <w:tab w:val="clear" w:pos="840"/>
        </w:tabs>
        <w:spacing w:line="360" w:lineRule="auto"/>
        <w:ind w:left="0" w:firstLine="482" w:firstLineChars="200"/>
        <w:rPr>
          <w:b/>
          <w:sz w:val="24"/>
        </w:rPr>
      </w:pPr>
      <w:r>
        <w:rPr>
          <w:rFonts w:hint="eastAsia"/>
          <w:b/>
          <w:sz w:val="24"/>
        </w:rPr>
        <w:t>定标</w:t>
      </w:r>
    </w:p>
    <w:p>
      <w:pPr>
        <w:spacing w:line="360" w:lineRule="auto"/>
        <w:ind w:firstLine="480" w:firstLineChars="200"/>
        <w:rPr>
          <w:sz w:val="24"/>
        </w:rPr>
      </w:pPr>
      <w:r>
        <w:rPr>
          <w:rFonts w:hint="eastAsia"/>
          <w:sz w:val="24"/>
        </w:rPr>
        <w:t>6.1. 定标原则：评审委员会依据评审结论推荐3名中标候选人。</w:t>
      </w:r>
    </w:p>
    <w:p>
      <w:pPr>
        <w:spacing w:line="360" w:lineRule="auto"/>
        <w:ind w:firstLine="480" w:firstLineChars="200"/>
        <w:rPr>
          <w:sz w:val="24"/>
        </w:rPr>
      </w:pPr>
      <w:r>
        <w:rPr>
          <w:rFonts w:hint="eastAsia"/>
          <w:sz w:val="24"/>
        </w:rPr>
        <w:t>6.2. 定标程序</w:t>
      </w:r>
    </w:p>
    <w:p>
      <w:pPr>
        <w:spacing w:line="360" w:lineRule="auto"/>
        <w:ind w:firstLine="480" w:firstLineChars="200"/>
        <w:rPr>
          <w:sz w:val="24"/>
        </w:rPr>
      </w:pPr>
      <w:r>
        <w:rPr>
          <w:rFonts w:hint="eastAsia"/>
          <w:sz w:val="24"/>
        </w:rPr>
        <w:t>6.2.1 评审委员会将评审情况写出书面报告，推荐中标候选人，并按照综合得分高低标明排列顺序。综合得分相同的，按投标报价由低到高顺序排列。得分且投标报价相同的，按技术指标优劣顺序排列。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sz w:val="24"/>
        </w:rPr>
      </w:pPr>
      <w:r>
        <w:rPr>
          <w:rFonts w:hint="eastAsia"/>
          <w:sz w:val="24"/>
        </w:rPr>
        <w:t>6.2.2 招标代理机构在评标结束后五个工作日内将评审报告送招标人。</w:t>
      </w:r>
    </w:p>
    <w:p>
      <w:pPr>
        <w:spacing w:line="360" w:lineRule="auto"/>
        <w:ind w:firstLine="480" w:firstLineChars="200"/>
        <w:rPr>
          <w:sz w:val="24"/>
        </w:rPr>
      </w:pPr>
      <w:r>
        <w:rPr>
          <w:rFonts w:hint="eastAsia"/>
          <w:sz w:val="24"/>
        </w:rPr>
        <w:t>6.2.3 招标人在收到评审报告后，按照财政部87号令的规定确定中标人。</w:t>
      </w:r>
    </w:p>
    <w:p>
      <w:pPr>
        <w:spacing w:line="360" w:lineRule="auto"/>
        <w:ind w:firstLine="480" w:firstLineChars="200"/>
        <w:rPr>
          <w:sz w:val="24"/>
        </w:rPr>
      </w:pPr>
      <w:r>
        <w:rPr>
          <w:rFonts w:hint="eastAsia"/>
          <w:sz w:val="24"/>
        </w:rPr>
        <w:t>6.2.4 根据招标人确定的中标人，招标代理机构在网上发布中标公示，同时向中标人发出中标通知书。</w:t>
      </w:r>
    </w:p>
    <w:p>
      <w:pPr>
        <w:spacing w:line="360" w:lineRule="auto"/>
        <w:ind w:firstLine="480" w:firstLineChars="200"/>
        <w:rPr>
          <w:sz w:val="24"/>
        </w:rPr>
      </w:pPr>
      <w:r>
        <w:rPr>
          <w:rFonts w:hint="eastAsia"/>
          <w:sz w:val="24"/>
        </w:rPr>
        <w:t>6.2.5 招标采购单位不解释中标或落标原因，不退回投标文件和其他投标资料。</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评审委员承担以下义务：</w:t>
      </w:r>
    </w:p>
    <w:p>
      <w:pPr>
        <w:spacing w:line="360" w:lineRule="auto"/>
        <w:ind w:firstLine="480" w:firstLineChars="200"/>
        <w:rPr>
          <w:sz w:val="24"/>
        </w:rPr>
      </w:pPr>
      <w:r>
        <w:rPr>
          <w:rFonts w:hint="eastAsia"/>
          <w:sz w:val="24"/>
        </w:rPr>
        <w:t>7.1 遵纪守法，客观、公正、廉洁地履行职责。</w:t>
      </w:r>
    </w:p>
    <w:p>
      <w:pPr>
        <w:spacing w:line="360" w:lineRule="auto"/>
        <w:ind w:firstLine="480" w:firstLineChars="200"/>
        <w:rPr>
          <w:sz w:val="24"/>
        </w:rPr>
      </w:pPr>
      <w:r>
        <w:rPr>
          <w:rFonts w:hint="eastAsia"/>
          <w:sz w:val="24"/>
        </w:rPr>
        <w:t>7.2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sz w:val="24"/>
        </w:rPr>
      </w:pPr>
      <w:r>
        <w:rPr>
          <w:rFonts w:hint="eastAsia"/>
          <w:sz w:val="24"/>
        </w:rPr>
        <w:t>7.3 保守秘密。不得透露采购文件咨询情况，不得泄漏供应商的投标文件及知悉的商业秘密，不得向供应商透露评审情况。</w:t>
      </w:r>
    </w:p>
    <w:p>
      <w:pPr>
        <w:spacing w:line="360" w:lineRule="auto"/>
        <w:ind w:firstLine="480" w:firstLineChars="200"/>
        <w:rPr>
          <w:sz w:val="24"/>
        </w:rPr>
      </w:pPr>
      <w:r>
        <w:rPr>
          <w:rFonts w:hint="eastAsia"/>
          <w:sz w:val="24"/>
        </w:rPr>
        <w:t>7.4 发现供应商在政府采购活动中有不正当竞争或恶意串通等违规行为，及时向政府采购评审工作的组织者或财政部门报告并加以制止。</w:t>
      </w:r>
    </w:p>
    <w:p>
      <w:pPr>
        <w:spacing w:line="360" w:lineRule="auto"/>
        <w:ind w:firstLine="480" w:firstLineChars="200"/>
        <w:rPr>
          <w:sz w:val="24"/>
        </w:rPr>
      </w:pPr>
      <w:r>
        <w:rPr>
          <w:rFonts w:hint="eastAsia"/>
          <w:sz w:val="24"/>
        </w:rPr>
        <w:t>发现招标人、政府招标代理机构及其工作人员在政府采购活动中有干预评审、发表倾向性和歧视性言论、受贿或者接受供应商的其他好处及其他违法违规行为，及时向财政部门报告。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sz w:val="24"/>
        </w:rPr>
      </w:pPr>
      <w:r>
        <w:rPr>
          <w:rFonts w:hint="eastAsia"/>
          <w:sz w:val="24"/>
        </w:rPr>
        <w:t>7.5 解答有关方面对政府采购评审工作中有关问题的询问，配合招标人或者政府招标代理机构答复供应商质疑，配合投诉处理工作等事宜。</w:t>
      </w:r>
    </w:p>
    <w:p>
      <w:pPr>
        <w:spacing w:line="360" w:lineRule="auto"/>
        <w:ind w:firstLine="480" w:firstLineChars="200"/>
        <w:rPr>
          <w:sz w:val="24"/>
        </w:rPr>
      </w:pPr>
      <w:r>
        <w:rPr>
          <w:rFonts w:hint="eastAsia"/>
          <w:sz w:val="24"/>
        </w:rPr>
        <w:t>7.6 法律、法规和规章规定的其他义务。</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评审委员应当遵守以下工作纪律：</w:t>
      </w:r>
    </w:p>
    <w:p>
      <w:pPr>
        <w:spacing w:line="360" w:lineRule="auto"/>
        <w:ind w:firstLine="480" w:firstLineChars="200"/>
        <w:rPr>
          <w:sz w:val="24"/>
        </w:rPr>
      </w:pPr>
      <w:r>
        <w:rPr>
          <w:rFonts w:hint="eastAsia"/>
          <w:sz w:val="24"/>
        </w:rPr>
        <w:t>8.1 应邀按时参加评审和咨询活动。遇特殊情况不能出席或途中遇阻不能按时参加评审或咨询的，应及时告知财政部门或者招标人或者招标代理机构，不得私自转托他人。</w:t>
      </w:r>
    </w:p>
    <w:p>
      <w:pPr>
        <w:spacing w:line="360" w:lineRule="auto"/>
        <w:ind w:firstLine="480" w:firstLineChars="200"/>
        <w:rPr>
          <w:sz w:val="24"/>
        </w:rPr>
      </w:pPr>
      <w:r>
        <w:rPr>
          <w:rFonts w:hint="eastAsia"/>
          <w:sz w:val="24"/>
        </w:rPr>
        <w:t>8.2 不得参加与自己有利害关系的政府采购项目的评审活动。对与自己有利害关系的评审项目，如受到邀请，应主动提出回避。财政部门、招标人或招标代理机构也可要求该评审专家回避。</w:t>
      </w:r>
    </w:p>
    <w:p>
      <w:pPr>
        <w:spacing w:line="360" w:lineRule="auto"/>
        <w:ind w:firstLine="480" w:firstLineChars="200"/>
        <w:rPr>
          <w:sz w:val="24"/>
        </w:rPr>
      </w:pPr>
      <w:r>
        <w:rPr>
          <w:rFonts w:hint="eastAsia"/>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sz w:val="24"/>
        </w:rPr>
      </w:pPr>
      <w:r>
        <w:rPr>
          <w:rFonts w:hint="eastAsia"/>
          <w:sz w:val="24"/>
        </w:rPr>
        <w:t>8.3 评审或咨询过程中关闭通讯设备，不得与外界联系。因发生不可预见情况，确实需要与外界联系的，应当在现场工作人员陪同下联系。</w:t>
      </w:r>
    </w:p>
    <w:p>
      <w:pPr>
        <w:spacing w:line="360" w:lineRule="auto"/>
        <w:ind w:firstLine="480" w:firstLineChars="200"/>
        <w:rPr>
          <w:sz w:val="24"/>
        </w:rPr>
      </w:pPr>
      <w:r>
        <w:rPr>
          <w:rFonts w:hint="eastAsia"/>
          <w:sz w:val="24"/>
        </w:rPr>
        <w:t>8.4 评审过程中，不得发表影响评审公正的倾向性、歧视性言论；不得征询或者接受招标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sz w:val="24"/>
        </w:rPr>
      </w:pPr>
      <w:r>
        <w:rPr>
          <w:rFonts w:hint="eastAsia"/>
          <w:sz w:val="24"/>
        </w:rPr>
        <w:t>8.5 有关部门规定的其他评审工作纪律。</w:t>
      </w:r>
    </w:p>
    <w:p>
      <w:pPr>
        <w:rPr>
          <w:rFonts w:cs="Times New Roman"/>
        </w:rPr>
      </w:pPr>
    </w:p>
    <w:sectPr>
      <w:pgSz w:w="11907" w:h="16840"/>
      <w:pgMar w:top="2098" w:right="1474" w:bottom="1985" w:left="1588" w:header="794" w:footer="79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Fonts w:cs="Times New Roman"/>
      </w:rPr>
    </w:pPr>
    <w:r>
      <w:rPr>
        <w:rStyle w:val="46"/>
      </w:rPr>
      <w:fldChar w:fldCharType="begin"/>
    </w:r>
    <w:r>
      <w:rPr>
        <w:rStyle w:val="46"/>
      </w:rPr>
      <w:instrText xml:space="preserve">PAGE  </w:instrText>
    </w:r>
    <w:r>
      <w:rPr>
        <w:rStyle w:val="46"/>
      </w:rPr>
      <w:fldChar w:fldCharType="separate"/>
    </w:r>
    <w:r>
      <w:rPr>
        <w:rStyle w:val="46"/>
      </w:rPr>
      <w:t>3</w:t>
    </w:r>
    <w:r>
      <w:rPr>
        <w:rStyle w:val="46"/>
      </w:rPr>
      <w:fldChar w:fldCharType="end"/>
    </w:r>
  </w:p>
  <w:p>
    <w:pPr>
      <w:pStyle w:val="28"/>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5</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39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525" w:firstLineChars="25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3"/>
        </w:tabs>
        <w:ind w:left="993" w:hanging="567"/>
      </w:pPr>
      <w:rPr>
        <w:rFonts w:hint="default" w:ascii="Times New Roman" w:hAnsi="Times New Roman" w:cs="Times New Roman"/>
      </w:rPr>
    </w:lvl>
    <w:lvl w:ilvl="2" w:tentative="0">
      <w:start w:val="1"/>
      <w:numFmt w:val="decimal"/>
      <w:lvlText w:val="%1.%2.%3"/>
      <w:lvlJc w:val="left"/>
      <w:pPr>
        <w:tabs>
          <w:tab w:val="left" w:pos="1134"/>
        </w:tabs>
        <w:ind w:left="1134"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9"/>
    <w:multiLevelType w:val="multilevel"/>
    <w:tmpl w:val="00000009"/>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E"/>
    <w:multiLevelType w:val="multilevel"/>
    <w:tmpl w:val="0000000E"/>
    <w:lvl w:ilvl="0" w:tentative="0">
      <w:start w:val="1"/>
      <w:numFmt w:val="decimal"/>
      <w:pStyle w:val="217"/>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multilevel"/>
    <w:tmpl w:val="0000000F"/>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3"/>
    <w:multiLevelType w:val="multilevel"/>
    <w:tmpl w:val="00000013"/>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14"/>
    <w:multiLevelType w:val="multilevel"/>
    <w:tmpl w:val="0000001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3054E09"/>
    <w:multiLevelType w:val="multilevel"/>
    <w:tmpl w:val="43054E09"/>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411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3"/>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9F30436"/>
    <w:multiLevelType w:val="singleLevel"/>
    <w:tmpl w:val="59F30436"/>
    <w:lvl w:ilvl="0" w:tentative="0">
      <w:start w:val="6"/>
      <w:numFmt w:val="chineseCounting"/>
      <w:suff w:val="nothing"/>
      <w:lvlText w:val="第%1部"/>
      <w:lvlJc w:val="left"/>
    </w:lvl>
  </w:abstractNum>
  <w:abstractNum w:abstractNumId="10">
    <w:nsid w:val="6B060A6C"/>
    <w:multiLevelType w:val="multilevel"/>
    <w:tmpl w:val="6B060A6C"/>
    <w:lvl w:ilvl="0" w:tentative="0">
      <w:start w:val="1"/>
      <w:numFmt w:val="chineseCountingThousand"/>
      <w:pStyle w:val="4"/>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7"/>
  </w:num>
  <w:num w:numId="3">
    <w:abstractNumId w:val="8"/>
  </w:num>
  <w:num w:numId="4">
    <w:abstractNumId w:val="2"/>
  </w:num>
  <w:num w:numId="5">
    <w:abstractNumId w:val="4"/>
  </w:num>
  <w:num w:numId="6">
    <w:abstractNumId w:val="0"/>
  </w:num>
  <w:num w:numId="7">
    <w:abstractNumId w:val="6"/>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06084A"/>
    <w:rsid w:val="000022CD"/>
    <w:rsid w:val="00002506"/>
    <w:rsid w:val="00022604"/>
    <w:rsid w:val="000229E3"/>
    <w:rsid w:val="000424A4"/>
    <w:rsid w:val="000448A4"/>
    <w:rsid w:val="00052955"/>
    <w:rsid w:val="000565B4"/>
    <w:rsid w:val="000567CD"/>
    <w:rsid w:val="00057D68"/>
    <w:rsid w:val="0006084A"/>
    <w:rsid w:val="00060CDF"/>
    <w:rsid w:val="00071488"/>
    <w:rsid w:val="000815AC"/>
    <w:rsid w:val="0008167C"/>
    <w:rsid w:val="0009038C"/>
    <w:rsid w:val="00094DE4"/>
    <w:rsid w:val="00094FE4"/>
    <w:rsid w:val="000A31C1"/>
    <w:rsid w:val="000A3A67"/>
    <w:rsid w:val="000A4C16"/>
    <w:rsid w:val="000B0ABC"/>
    <w:rsid w:val="000C137D"/>
    <w:rsid w:val="000C1D16"/>
    <w:rsid w:val="000C2FD7"/>
    <w:rsid w:val="000C6D98"/>
    <w:rsid w:val="000E35CE"/>
    <w:rsid w:val="000F07A7"/>
    <w:rsid w:val="000F13C3"/>
    <w:rsid w:val="000F1DE2"/>
    <w:rsid w:val="000F4910"/>
    <w:rsid w:val="000F7C2F"/>
    <w:rsid w:val="00115A1C"/>
    <w:rsid w:val="00136D41"/>
    <w:rsid w:val="0014600C"/>
    <w:rsid w:val="0014631D"/>
    <w:rsid w:val="001710FE"/>
    <w:rsid w:val="0018060E"/>
    <w:rsid w:val="00185E00"/>
    <w:rsid w:val="00187C2E"/>
    <w:rsid w:val="001D2531"/>
    <w:rsid w:val="001D3FFC"/>
    <w:rsid w:val="001E1363"/>
    <w:rsid w:val="001E3EE3"/>
    <w:rsid w:val="001E4E3E"/>
    <w:rsid w:val="001F3C1A"/>
    <w:rsid w:val="001F7543"/>
    <w:rsid w:val="00201A63"/>
    <w:rsid w:val="00205390"/>
    <w:rsid w:val="00212064"/>
    <w:rsid w:val="002135B4"/>
    <w:rsid w:val="0022193B"/>
    <w:rsid w:val="00223C6F"/>
    <w:rsid w:val="00227954"/>
    <w:rsid w:val="00242862"/>
    <w:rsid w:val="00246C2B"/>
    <w:rsid w:val="00257472"/>
    <w:rsid w:val="00263CC6"/>
    <w:rsid w:val="00270412"/>
    <w:rsid w:val="00281E38"/>
    <w:rsid w:val="00282273"/>
    <w:rsid w:val="0028428E"/>
    <w:rsid w:val="00284907"/>
    <w:rsid w:val="00286521"/>
    <w:rsid w:val="00291A79"/>
    <w:rsid w:val="002A2BE7"/>
    <w:rsid w:val="002A57F5"/>
    <w:rsid w:val="002A761A"/>
    <w:rsid w:val="002B678B"/>
    <w:rsid w:val="002B7AD9"/>
    <w:rsid w:val="002C2E7E"/>
    <w:rsid w:val="002C4BF0"/>
    <w:rsid w:val="002D6A1E"/>
    <w:rsid w:val="002E2721"/>
    <w:rsid w:val="002F7CB4"/>
    <w:rsid w:val="0030402C"/>
    <w:rsid w:val="00310CDF"/>
    <w:rsid w:val="003136AF"/>
    <w:rsid w:val="00314B5B"/>
    <w:rsid w:val="00315889"/>
    <w:rsid w:val="003256BD"/>
    <w:rsid w:val="0033670B"/>
    <w:rsid w:val="00343DFC"/>
    <w:rsid w:val="0034539B"/>
    <w:rsid w:val="00352911"/>
    <w:rsid w:val="00365BE0"/>
    <w:rsid w:val="00367A13"/>
    <w:rsid w:val="00370747"/>
    <w:rsid w:val="00372B45"/>
    <w:rsid w:val="00380EA4"/>
    <w:rsid w:val="00381F97"/>
    <w:rsid w:val="00397760"/>
    <w:rsid w:val="003B00E1"/>
    <w:rsid w:val="003B5775"/>
    <w:rsid w:val="003C1F07"/>
    <w:rsid w:val="003C6680"/>
    <w:rsid w:val="003D01BE"/>
    <w:rsid w:val="003D144D"/>
    <w:rsid w:val="003D3840"/>
    <w:rsid w:val="003D431E"/>
    <w:rsid w:val="003D691D"/>
    <w:rsid w:val="003E5735"/>
    <w:rsid w:val="003E5818"/>
    <w:rsid w:val="003F2384"/>
    <w:rsid w:val="003F273C"/>
    <w:rsid w:val="003F323F"/>
    <w:rsid w:val="003F56F6"/>
    <w:rsid w:val="00415A1E"/>
    <w:rsid w:val="00421F67"/>
    <w:rsid w:val="004228AD"/>
    <w:rsid w:val="00423AAA"/>
    <w:rsid w:val="004332B7"/>
    <w:rsid w:val="00437E13"/>
    <w:rsid w:val="004436EE"/>
    <w:rsid w:val="004574EF"/>
    <w:rsid w:val="004611BE"/>
    <w:rsid w:val="00475CFA"/>
    <w:rsid w:val="00486120"/>
    <w:rsid w:val="00490D9A"/>
    <w:rsid w:val="004C7173"/>
    <w:rsid w:val="004D1B12"/>
    <w:rsid w:val="004D2998"/>
    <w:rsid w:val="004E3D95"/>
    <w:rsid w:val="004E6B6A"/>
    <w:rsid w:val="004F0BB1"/>
    <w:rsid w:val="00516068"/>
    <w:rsid w:val="005236C4"/>
    <w:rsid w:val="00527135"/>
    <w:rsid w:val="00527C21"/>
    <w:rsid w:val="0054014E"/>
    <w:rsid w:val="0054158E"/>
    <w:rsid w:val="00542DA2"/>
    <w:rsid w:val="00546B09"/>
    <w:rsid w:val="00552912"/>
    <w:rsid w:val="00553C95"/>
    <w:rsid w:val="00553D76"/>
    <w:rsid w:val="005552C0"/>
    <w:rsid w:val="00556899"/>
    <w:rsid w:val="00572854"/>
    <w:rsid w:val="00573F35"/>
    <w:rsid w:val="0057435B"/>
    <w:rsid w:val="00585D75"/>
    <w:rsid w:val="005B1136"/>
    <w:rsid w:val="005B281B"/>
    <w:rsid w:val="005C299D"/>
    <w:rsid w:val="005C4A99"/>
    <w:rsid w:val="005C7B89"/>
    <w:rsid w:val="005D26FA"/>
    <w:rsid w:val="005D74AF"/>
    <w:rsid w:val="005D7994"/>
    <w:rsid w:val="005F0C72"/>
    <w:rsid w:val="005F3618"/>
    <w:rsid w:val="00603419"/>
    <w:rsid w:val="00605EB8"/>
    <w:rsid w:val="00617041"/>
    <w:rsid w:val="00622767"/>
    <w:rsid w:val="00624C4D"/>
    <w:rsid w:val="00632344"/>
    <w:rsid w:val="0064068F"/>
    <w:rsid w:val="00642006"/>
    <w:rsid w:val="00643C63"/>
    <w:rsid w:val="00644DB2"/>
    <w:rsid w:val="00646867"/>
    <w:rsid w:val="00657CA3"/>
    <w:rsid w:val="0066017D"/>
    <w:rsid w:val="00670C58"/>
    <w:rsid w:val="00691E20"/>
    <w:rsid w:val="006A39CB"/>
    <w:rsid w:val="006A53F8"/>
    <w:rsid w:val="006A5459"/>
    <w:rsid w:val="006B626E"/>
    <w:rsid w:val="006C01A6"/>
    <w:rsid w:val="006C2A50"/>
    <w:rsid w:val="006C2D08"/>
    <w:rsid w:val="006C7C5E"/>
    <w:rsid w:val="006D3C7D"/>
    <w:rsid w:val="006F214B"/>
    <w:rsid w:val="006F4394"/>
    <w:rsid w:val="006F6446"/>
    <w:rsid w:val="006F6657"/>
    <w:rsid w:val="007042FD"/>
    <w:rsid w:val="00706D70"/>
    <w:rsid w:val="007119EC"/>
    <w:rsid w:val="00715DEC"/>
    <w:rsid w:val="00720E49"/>
    <w:rsid w:val="0072375F"/>
    <w:rsid w:val="00736148"/>
    <w:rsid w:val="0074178A"/>
    <w:rsid w:val="00754E61"/>
    <w:rsid w:val="00790009"/>
    <w:rsid w:val="007909A9"/>
    <w:rsid w:val="007939C0"/>
    <w:rsid w:val="007A7931"/>
    <w:rsid w:val="007B2204"/>
    <w:rsid w:val="007B7B0A"/>
    <w:rsid w:val="007C091D"/>
    <w:rsid w:val="007D20CC"/>
    <w:rsid w:val="007D4261"/>
    <w:rsid w:val="007E1CD8"/>
    <w:rsid w:val="007E60A2"/>
    <w:rsid w:val="007E7F34"/>
    <w:rsid w:val="007F2C8E"/>
    <w:rsid w:val="007F5E71"/>
    <w:rsid w:val="00803A1F"/>
    <w:rsid w:val="00807B2A"/>
    <w:rsid w:val="0081322A"/>
    <w:rsid w:val="0081412B"/>
    <w:rsid w:val="0081432A"/>
    <w:rsid w:val="00821EE5"/>
    <w:rsid w:val="0082251E"/>
    <w:rsid w:val="0082776F"/>
    <w:rsid w:val="00830CE1"/>
    <w:rsid w:val="00850C4D"/>
    <w:rsid w:val="00852709"/>
    <w:rsid w:val="008604A9"/>
    <w:rsid w:val="00872CA8"/>
    <w:rsid w:val="00873D19"/>
    <w:rsid w:val="008B0986"/>
    <w:rsid w:val="008B6596"/>
    <w:rsid w:val="008C0995"/>
    <w:rsid w:val="008C3017"/>
    <w:rsid w:val="008C51F8"/>
    <w:rsid w:val="008C5420"/>
    <w:rsid w:val="008C5D08"/>
    <w:rsid w:val="008E6AB9"/>
    <w:rsid w:val="008F6616"/>
    <w:rsid w:val="009211CC"/>
    <w:rsid w:val="009220F4"/>
    <w:rsid w:val="00925D33"/>
    <w:rsid w:val="00930FE9"/>
    <w:rsid w:val="00931250"/>
    <w:rsid w:val="00934E44"/>
    <w:rsid w:val="009444DC"/>
    <w:rsid w:val="00956B7C"/>
    <w:rsid w:val="009621C6"/>
    <w:rsid w:val="00962AD9"/>
    <w:rsid w:val="00964BDC"/>
    <w:rsid w:val="00972AF8"/>
    <w:rsid w:val="009743DA"/>
    <w:rsid w:val="009754B9"/>
    <w:rsid w:val="00975AD2"/>
    <w:rsid w:val="00986A10"/>
    <w:rsid w:val="00992AA5"/>
    <w:rsid w:val="009976B3"/>
    <w:rsid w:val="009A2404"/>
    <w:rsid w:val="009A2450"/>
    <w:rsid w:val="009B08D4"/>
    <w:rsid w:val="009B324A"/>
    <w:rsid w:val="009B3F8B"/>
    <w:rsid w:val="009C7B32"/>
    <w:rsid w:val="009E197D"/>
    <w:rsid w:val="009E429C"/>
    <w:rsid w:val="009E6CEB"/>
    <w:rsid w:val="009E7422"/>
    <w:rsid w:val="009F00EF"/>
    <w:rsid w:val="009F2CDA"/>
    <w:rsid w:val="00A01586"/>
    <w:rsid w:val="00A10B3B"/>
    <w:rsid w:val="00A31757"/>
    <w:rsid w:val="00A319D3"/>
    <w:rsid w:val="00A352A1"/>
    <w:rsid w:val="00A3748E"/>
    <w:rsid w:val="00A44133"/>
    <w:rsid w:val="00A45082"/>
    <w:rsid w:val="00A50383"/>
    <w:rsid w:val="00A53290"/>
    <w:rsid w:val="00A565E5"/>
    <w:rsid w:val="00A62E31"/>
    <w:rsid w:val="00A646FF"/>
    <w:rsid w:val="00A71C22"/>
    <w:rsid w:val="00A8199F"/>
    <w:rsid w:val="00A81B63"/>
    <w:rsid w:val="00A84BE1"/>
    <w:rsid w:val="00A90F79"/>
    <w:rsid w:val="00A94A36"/>
    <w:rsid w:val="00AA6BB6"/>
    <w:rsid w:val="00AA6DC8"/>
    <w:rsid w:val="00AB35B8"/>
    <w:rsid w:val="00AB39C1"/>
    <w:rsid w:val="00AC5180"/>
    <w:rsid w:val="00AD337A"/>
    <w:rsid w:val="00AF272F"/>
    <w:rsid w:val="00AF28F1"/>
    <w:rsid w:val="00AF6DE5"/>
    <w:rsid w:val="00B05CD4"/>
    <w:rsid w:val="00B20623"/>
    <w:rsid w:val="00B24D88"/>
    <w:rsid w:val="00B41F9B"/>
    <w:rsid w:val="00B42527"/>
    <w:rsid w:val="00B507F1"/>
    <w:rsid w:val="00B55BDB"/>
    <w:rsid w:val="00B64EA4"/>
    <w:rsid w:val="00B702C6"/>
    <w:rsid w:val="00B70928"/>
    <w:rsid w:val="00B742FD"/>
    <w:rsid w:val="00B74F47"/>
    <w:rsid w:val="00B82586"/>
    <w:rsid w:val="00B85991"/>
    <w:rsid w:val="00B92235"/>
    <w:rsid w:val="00BA3F62"/>
    <w:rsid w:val="00BB084E"/>
    <w:rsid w:val="00BB39F2"/>
    <w:rsid w:val="00BB5092"/>
    <w:rsid w:val="00BC211F"/>
    <w:rsid w:val="00BC40C5"/>
    <w:rsid w:val="00BC71F8"/>
    <w:rsid w:val="00BE6BFE"/>
    <w:rsid w:val="00BF1720"/>
    <w:rsid w:val="00C036C2"/>
    <w:rsid w:val="00C0387D"/>
    <w:rsid w:val="00C0490A"/>
    <w:rsid w:val="00C16BAB"/>
    <w:rsid w:val="00C17E27"/>
    <w:rsid w:val="00C22DB2"/>
    <w:rsid w:val="00C3067F"/>
    <w:rsid w:val="00C35397"/>
    <w:rsid w:val="00C356C5"/>
    <w:rsid w:val="00C36504"/>
    <w:rsid w:val="00C3761B"/>
    <w:rsid w:val="00C425D8"/>
    <w:rsid w:val="00C43119"/>
    <w:rsid w:val="00C51116"/>
    <w:rsid w:val="00C531F0"/>
    <w:rsid w:val="00C535B5"/>
    <w:rsid w:val="00C554D4"/>
    <w:rsid w:val="00C6318A"/>
    <w:rsid w:val="00C71701"/>
    <w:rsid w:val="00C720E8"/>
    <w:rsid w:val="00C8279E"/>
    <w:rsid w:val="00C830C1"/>
    <w:rsid w:val="00C85B6E"/>
    <w:rsid w:val="00C9536A"/>
    <w:rsid w:val="00C958B4"/>
    <w:rsid w:val="00CB0599"/>
    <w:rsid w:val="00CB1C44"/>
    <w:rsid w:val="00CB2CF4"/>
    <w:rsid w:val="00CB365A"/>
    <w:rsid w:val="00CB6249"/>
    <w:rsid w:val="00CD13CE"/>
    <w:rsid w:val="00CD2C51"/>
    <w:rsid w:val="00CE14B1"/>
    <w:rsid w:val="00CE1CF0"/>
    <w:rsid w:val="00CE269A"/>
    <w:rsid w:val="00CE31CE"/>
    <w:rsid w:val="00CE5431"/>
    <w:rsid w:val="00D02006"/>
    <w:rsid w:val="00D11E0F"/>
    <w:rsid w:val="00D13E4F"/>
    <w:rsid w:val="00D152D9"/>
    <w:rsid w:val="00D20595"/>
    <w:rsid w:val="00D20A5F"/>
    <w:rsid w:val="00D25A6E"/>
    <w:rsid w:val="00D26391"/>
    <w:rsid w:val="00D268C9"/>
    <w:rsid w:val="00D425D1"/>
    <w:rsid w:val="00D45203"/>
    <w:rsid w:val="00D47706"/>
    <w:rsid w:val="00D52171"/>
    <w:rsid w:val="00D52B70"/>
    <w:rsid w:val="00D535A3"/>
    <w:rsid w:val="00D62771"/>
    <w:rsid w:val="00D70E25"/>
    <w:rsid w:val="00D73326"/>
    <w:rsid w:val="00D74517"/>
    <w:rsid w:val="00D931FA"/>
    <w:rsid w:val="00D949D4"/>
    <w:rsid w:val="00D962DD"/>
    <w:rsid w:val="00DB4E7C"/>
    <w:rsid w:val="00DD3244"/>
    <w:rsid w:val="00DD3FB2"/>
    <w:rsid w:val="00DD423F"/>
    <w:rsid w:val="00DF5E94"/>
    <w:rsid w:val="00DF6427"/>
    <w:rsid w:val="00E0077F"/>
    <w:rsid w:val="00E05D30"/>
    <w:rsid w:val="00E069C1"/>
    <w:rsid w:val="00E11DCC"/>
    <w:rsid w:val="00E326C9"/>
    <w:rsid w:val="00E33D1B"/>
    <w:rsid w:val="00E62FA5"/>
    <w:rsid w:val="00E64C49"/>
    <w:rsid w:val="00E6766E"/>
    <w:rsid w:val="00E70490"/>
    <w:rsid w:val="00E74A87"/>
    <w:rsid w:val="00E77860"/>
    <w:rsid w:val="00E81636"/>
    <w:rsid w:val="00E84825"/>
    <w:rsid w:val="00E86B7F"/>
    <w:rsid w:val="00EA04BB"/>
    <w:rsid w:val="00EA08FE"/>
    <w:rsid w:val="00EA2AC9"/>
    <w:rsid w:val="00EA522B"/>
    <w:rsid w:val="00EB2136"/>
    <w:rsid w:val="00EC569C"/>
    <w:rsid w:val="00EC7C52"/>
    <w:rsid w:val="00ED641D"/>
    <w:rsid w:val="00ED67B5"/>
    <w:rsid w:val="00ED7F8C"/>
    <w:rsid w:val="00EF4922"/>
    <w:rsid w:val="00F0176F"/>
    <w:rsid w:val="00F01CCA"/>
    <w:rsid w:val="00F03154"/>
    <w:rsid w:val="00F039D8"/>
    <w:rsid w:val="00F112E5"/>
    <w:rsid w:val="00F133F6"/>
    <w:rsid w:val="00F13DE7"/>
    <w:rsid w:val="00F21727"/>
    <w:rsid w:val="00F30993"/>
    <w:rsid w:val="00F31B40"/>
    <w:rsid w:val="00F34796"/>
    <w:rsid w:val="00F46F8C"/>
    <w:rsid w:val="00F55653"/>
    <w:rsid w:val="00F57A96"/>
    <w:rsid w:val="00F638B3"/>
    <w:rsid w:val="00F71F55"/>
    <w:rsid w:val="00F747D0"/>
    <w:rsid w:val="00F9024D"/>
    <w:rsid w:val="00FA698C"/>
    <w:rsid w:val="00FB05F3"/>
    <w:rsid w:val="00FC1CA5"/>
    <w:rsid w:val="00FD1CE4"/>
    <w:rsid w:val="00FE15ED"/>
    <w:rsid w:val="00FE31D1"/>
    <w:rsid w:val="00FF3501"/>
    <w:rsid w:val="01434DAE"/>
    <w:rsid w:val="03C851C1"/>
    <w:rsid w:val="064462F9"/>
    <w:rsid w:val="06CE13D4"/>
    <w:rsid w:val="077B0002"/>
    <w:rsid w:val="07A02055"/>
    <w:rsid w:val="08223EF5"/>
    <w:rsid w:val="082830E9"/>
    <w:rsid w:val="0A373DDC"/>
    <w:rsid w:val="0A4F1BCA"/>
    <w:rsid w:val="0C235A99"/>
    <w:rsid w:val="0E650162"/>
    <w:rsid w:val="10863C65"/>
    <w:rsid w:val="111C3700"/>
    <w:rsid w:val="126E64B4"/>
    <w:rsid w:val="138762CF"/>
    <w:rsid w:val="13E54FE4"/>
    <w:rsid w:val="140E6CBB"/>
    <w:rsid w:val="19405BE2"/>
    <w:rsid w:val="1A900654"/>
    <w:rsid w:val="1B003644"/>
    <w:rsid w:val="1C193EE1"/>
    <w:rsid w:val="1C21024C"/>
    <w:rsid w:val="1CAB6232"/>
    <w:rsid w:val="235777BC"/>
    <w:rsid w:val="24CB6AA1"/>
    <w:rsid w:val="25F61046"/>
    <w:rsid w:val="276D02F9"/>
    <w:rsid w:val="28211F99"/>
    <w:rsid w:val="28343213"/>
    <w:rsid w:val="2869057D"/>
    <w:rsid w:val="298B49FC"/>
    <w:rsid w:val="2AEB6C5B"/>
    <w:rsid w:val="2BC559E4"/>
    <w:rsid w:val="2DCE0013"/>
    <w:rsid w:val="2E0057AE"/>
    <w:rsid w:val="2E9717D3"/>
    <w:rsid w:val="2F982C89"/>
    <w:rsid w:val="335524DE"/>
    <w:rsid w:val="34B138D3"/>
    <w:rsid w:val="358D5122"/>
    <w:rsid w:val="37275EF2"/>
    <w:rsid w:val="37D54EBE"/>
    <w:rsid w:val="38B61A1D"/>
    <w:rsid w:val="38F0761D"/>
    <w:rsid w:val="38F978DA"/>
    <w:rsid w:val="398A3502"/>
    <w:rsid w:val="3A92095B"/>
    <w:rsid w:val="3E097C11"/>
    <w:rsid w:val="401812CF"/>
    <w:rsid w:val="41C02839"/>
    <w:rsid w:val="422B27DB"/>
    <w:rsid w:val="424235BD"/>
    <w:rsid w:val="42BF1349"/>
    <w:rsid w:val="48124783"/>
    <w:rsid w:val="482E45FA"/>
    <w:rsid w:val="4A846BED"/>
    <w:rsid w:val="4C736634"/>
    <w:rsid w:val="4E5E1448"/>
    <w:rsid w:val="4F522C23"/>
    <w:rsid w:val="4FEC7954"/>
    <w:rsid w:val="5206660A"/>
    <w:rsid w:val="524B54ED"/>
    <w:rsid w:val="52FE29BE"/>
    <w:rsid w:val="543E3EEC"/>
    <w:rsid w:val="55785AE5"/>
    <w:rsid w:val="56390A80"/>
    <w:rsid w:val="57110114"/>
    <w:rsid w:val="57D0709E"/>
    <w:rsid w:val="599359C8"/>
    <w:rsid w:val="5A0F5A55"/>
    <w:rsid w:val="5AC93516"/>
    <w:rsid w:val="5CF46A66"/>
    <w:rsid w:val="5E313D4D"/>
    <w:rsid w:val="5E513694"/>
    <w:rsid w:val="5F1C59FD"/>
    <w:rsid w:val="5F8D35D9"/>
    <w:rsid w:val="5F9202CA"/>
    <w:rsid w:val="61306DA0"/>
    <w:rsid w:val="6156148C"/>
    <w:rsid w:val="622731D0"/>
    <w:rsid w:val="63306543"/>
    <w:rsid w:val="63C51C73"/>
    <w:rsid w:val="644E3D06"/>
    <w:rsid w:val="663F0DC2"/>
    <w:rsid w:val="69ED4C9C"/>
    <w:rsid w:val="69F263A9"/>
    <w:rsid w:val="6CE02DF3"/>
    <w:rsid w:val="6D856A81"/>
    <w:rsid w:val="6DF23787"/>
    <w:rsid w:val="6E5627E9"/>
    <w:rsid w:val="6F8C43EB"/>
    <w:rsid w:val="6FC056C4"/>
    <w:rsid w:val="7011255A"/>
    <w:rsid w:val="70145347"/>
    <w:rsid w:val="70F74A15"/>
    <w:rsid w:val="713A674D"/>
    <w:rsid w:val="71C23F15"/>
    <w:rsid w:val="721815F8"/>
    <w:rsid w:val="742C403F"/>
    <w:rsid w:val="75C70755"/>
    <w:rsid w:val="77E71139"/>
    <w:rsid w:val="787B6715"/>
    <w:rsid w:val="79644059"/>
    <w:rsid w:val="7B00773A"/>
    <w:rsid w:val="7F500068"/>
    <w:rsid w:val="7FAF7661"/>
    <w:rsid w:val="7FEC32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qFormat="1" w:unhideWhenUsed="0" w:uiPriority="99" w:semiHidden="0"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nhideWhenUsed="0" w:uiPriority="99" w:semiHidden="0"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61"/>
    <w:qFormat/>
    <w:uiPriority w:val="99"/>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3"/>
    <w:link w:val="98"/>
    <w:qFormat/>
    <w:uiPriority w:val="99"/>
    <w:pPr>
      <w:keepNext/>
      <w:keepLines/>
      <w:numPr>
        <w:ilvl w:val="1"/>
        <w:numId w:val="2"/>
      </w:numPr>
      <w:spacing w:line="360" w:lineRule="auto"/>
      <w:ind w:left="3261"/>
      <w:outlineLvl w:val="1"/>
    </w:pPr>
    <w:rPr>
      <w:rFonts w:ascii="Arial" w:hAnsi="Arial" w:cs="Arial"/>
      <w:b/>
      <w:bCs/>
      <w:sz w:val="28"/>
      <w:szCs w:val="28"/>
    </w:rPr>
  </w:style>
  <w:style w:type="paragraph" w:styleId="3">
    <w:name w:val="heading 3"/>
    <w:basedOn w:val="1"/>
    <w:next w:val="1"/>
    <w:link w:val="99"/>
    <w:qFormat/>
    <w:uiPriority w:val="9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100"/>
    <w:qFormat/>
    <w:uiPriority w:val="99"/>
    <w:pPr>
      <w:keepNext/>
      <w:keepLines/>
      <w:numPr>
        <w:ilvl w:val="3"/>
        <w:numId w:val="3"/>
      </w:numPr>
      <w:spacing w:before="160" w:after="160" w:line="360" w:lineRule="auto"/>
      <w:outlineLvl w:val="3"/>
    </w:pPr>
    <w:rPr>
      <w:rFonts w:ascii="Arial" w:hAnsi="Arial" w:cs="Arial"/>
      <w:b/>
      <w:bCs/>
      <w:sz w:val="24"/>
      <w:szCs w:val="24"/>
    </w:rPr>
  </w:style>
  <w:style w:type="paragraph" w:styleId="6">
    <w:name w:val="heading 5"/>
    <w:basedOn w:val="1"/>
    <w:next w:val="1"/>
    <w:link w:val="65"/>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66"/>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67"/>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68"/>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9"/>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4">
    <w:name w:val="Default Paragraph Font"/>
    <w:semiHidden/>
    <w:unhideWhenUsed/>
    <w:uiPriority w:val="1"/>
  </w:style>
  <w:style w:type="table" w:default="1" w:styleId="5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5"/>
    <w:semiHidden/>
    <w:qFormat/>
    <w:uiPriority w:val="99"/>
    <w:rPr>
      <w:b/>
      <w:bCs/>
    </w:rPr>
  </w:style>
  <w:style w:type="paragraph" w:styleId="12">
    <w:name w:val="annotation text"/>
    <w:basedOn w:val="1"/>
    <w:link w:val="72"/>
    <w:semiHidden/>
    <w:qFormat/>
    <w:uiPriority w:val="99"/>
    <w:pPr>
      <w:spacing w:line="360" w:lineRule="auto"/>
      <w:ind w:firstLine="200" w:firstLineChars="200"/>
      <w:jc w:val="left"/>
    </w:pPr>
    <w:rPr>
      <w:rFonts w:eastAsia="仿宋"/>
      <w:sz w:val="32"/>
      <w:szCs w:val="32"/>
    </w:rPr>
  </w:style>
  <w:style w:type="paragraph" w:styleId="13">
    <w:name w:val="toc 7"/>
    <w:basedOn w:val="1"/>
    <w:next w:val="1"/>
    <w:qFormat/>
    <w:uiPriority w:val="39"/>
    <w:pPr>
      <w:widowControl/>
      <w:ind w:left="1260"/>
      <w:jc w:val="left"/>
    </w:pPr>
    <w:rPr>
      <w:kern w:val="0"/>
      <w:sz w:val="18"/>
      <w:szCs w:val="18"/>
    </w:rPr>
  </w:style>
  <w:style w:type="paragraph" w:styleId="14">
    <w:name w:val="Body Text First Indent"/>
    <w:basedOn w:val="1"/>
    <w:link w:val="74"/>
    <w:qFormat/>
    <w:uiPriority w:val="99"/>
    <w:pPr>
      <w:adjustRightInd w:val="0"/>
      <w:snapToGrid w:val="0"/>
      <w:spacing w:after="120" w:line="400" w:lineRule="exact"/>
      <w:ind w:firstLine="510"/>
    </w:pPr>
    <w:rPr>
      <w:rFonts w:ascii="Times New Roman" w:hAnsi="Times New Roman" w:cs="Times New Roman"/>
      <w:sz w:val="24"/>
      <w:szCs w:val="24"/>
    </w:rPr>
  </w:style>
  <w:style w:type="paragraph" w:styleId="15">
    <w:name w:val="Normal Indent"/>
    <w:basedOn w:val="1"/>
    <w:link w:val="111"/>
    <w:qFormat/>
    <w:uiPriority w:val="99"/>
    <w:pPr>
      <w:widowControl/>
      <w:spacing w:line="360" w:lineRule="auto"/>
      <w:ind w:firstLine="420"/>
      <w:jc w:val="left"/>
    </w:pPr>
    <w:rPr>
      <w:rFonts w:ascii="宋体" w:cs="宋体"/>
    </w:rPr>
  </w:style>
  <w:style w:type="paragraph" w:styleId="16">
    <w:name w:val="caption"/>
    <w:basedOn w:val="1"/>
    <w:next w:val="1"/>
    <w:link w:val="171"/>
    <w:qFormat/>
    <w:uiPriority w:val="99"/>
    <w:pPr>
      <w:jc w:val="center"/>
    </w:pPr>
    <w:rPr>
      <w:rFonts w:ascii="华文彩云" w:hAnsi="Century Gothic" w:cs="Times New Roman"/>
      <w:b/>
      <w:bCs/>
      <w:kern w:val="0"/>
      <w:sz w:val="72"/>
      <w:szCs w:val="72"/>
    </w:rPr>
  </w:style>
  <w:style w:type="paragraph" w:styleId="17">
    <w:name w:val="Document Map"/>
    <w:basedOn w:val="1"/>
    <w:link w:val="92"/>
    <w:semiHidden/>
    <w:qFormat/>
    <w:uiPriority w:val="99"/>
    <w:pPr>
      <w:widowControl/>
      <w:shd w:val="clear" w:color="auto" w:fill="000080"/>
      <w:jc w:val="left"/>
    </w:pPr>
  </w:style>
  <w:style w:type="paragraph" w:styleId="18">
    <w:name w:val="Body Text"/>
    <w:basedOn w:val="1"/>
    <w:link w:val="75"/>
    <w:qFormat/>
    <w:uiPriority w:val="99"/>
    <w:pPr>
      <w:widowControl/>
      <w:spacing w:after="120"/>
      <w:jc w:val="left"/>
    </w:pPr>
  </w:style>
  <w:style w:type="paragraph" w:styleId="19">
    <w:name w:val="Body Text Indent"/>
    <w:basedOn w:val="1"/>
    <w:link w:val="93"/>
    <w:qFormat/>
    <w:uiPriority w:val="99"/>
    <w:pPr>
      <w:widowControl/>
      <w:spacing w:after="120"/>
      <w:ind w:left="420" w:leftChars="200"/>
      <w:jc w:val="left"/>
    </w:pPr>
  </w:style>
  <w:style w:type="paragraph" w:styleId="20">
    <w:name w:val="HTML Address"/>
    <w:basedOn w:val="1"/>
    <w:link w:val="78"/>
    <w:qFormat/>
    <w:locked/>
    <w:uiPriority w:val="99"/>
    <w:rPr>
      <w:i/>
      <w:iCs/>
      <w:kern w:val="0"/>
      <w:sz w:val="20"/>
      <w:szCs w:val="20"/>
    </w:rPr>
  </w:style>
  <w:style w:type="paragraph" w:styleId="21">
    <w:name w:val="toc 5"/>
    <w:basedOn w:val="1"/>
    <w:next w:val="1"/>
    <w:qFormat/>
    <w:uiPriority w:val="39"/>
    <w:pPr>
      <w:widowControl/>
      <w:ind w:left="840"/>
      <w:jc w:val="left"/>
    </w:pPr>
    <w:rPr>
      <w:kern w:val="0"/>
      <w:sz w:val="18"/>
      <w:szCs w:val="18"/>
    </w:rPr>
  </w:style>
  <w:style w:type="paragraph" w:styleId="22">
    <w:name w:val="toc 3"/>
    <w:basedOn w:val="1"/>
    <w:next w:val="1"/>
    <w:qFormat/>
    <w:uiPriority w:val="39"/>
    <w:pPr>
      <w:widowControl/>
      <w:ind w:left="420"/>
      <w:jc w:val="left"/>
    </w:pPr>
    <w:rPr>
      <w:i/>
      <w:iCs/>
      <w:kern w:val="0"/>
      <w:sz w:val="20"/>
      <w:szCs w:val="20"/>
    </w:rPr>
  </w:style>
  <w:style w:type="paragraph" w:styleId="23">
    <w:name w:val="Plain Text"/>
    <w:basedOn w:val="1"/>
    <w:link w:val="79"/>
    <w:qFormat/>
    <w:uiPriority w:val="99"/>
    <w:rPr>
      <w:rFonts w:ascii="宋体" w:hAnsi="Courier New" w:cs="宋体"/>
    </w:rPr>
  </w:style>
  <w:style w:type="paragraph" w:styleId="24">
    <w:name w:val="toc 8"/>
    <w:basedOn w:val="1"/>
    <w:next w:val="1"/>
    <w:qFormat/>
    <w:uiPriority w:val="39"/>
    <w:pPr>
      <w:widowControl/>
      <w:ind w:left="1470"/>
      <w:jc w:val="left"/>
    </w:pPr>
    <w:rPr>
      <w:kern w:val="0"/>
      <w:sz w:val="18"/>
      <w:szCs w:val="18"/>
    </w:rPr>
  </w:style>
  <w:style w:type="paragraph" w:styleId="25">
    <w:name w:val="Date"/>
    <w:basedOn w:val="1"/>
    <w:next w:val="1"/>
    <w:link w:val="80"/>
    <w:qFormat/>
    <w:uiPriority w:val="99"/>
    <w:pPr>
      <w:widowControl/>
      <w:ind w:left="100" w:leftChars="2500"/>
      <w:jc w:val="left"/>
    </w:pPr>
    <w:rPr>
      <w:rFonts w:ascii="Times New Roman" w:hAnsi="Times New Roman" w:cs="Times New Roman"/>
      <w:kern w:val="0"/>
    </w:rPr>
  </w:style>
  <w:style w:type="paragraph" w:styleId="26">
    <w:name w:val="Body Text Indent 2"/>
    <w:basedOn w:val="1"/>
    <w:link w:val="81"/>
    <w:qFormat/>
    <w:uiPriority w:val="99"/>
    <w:pPr>
      <w:spacing w:line="360" w:lineRule="auto"/>
      <w:ind w:firstLine="360"/>
    </w:pPr>
    <w:rPr>
      <w:rFonts w:ascii="宋体" w:hAnsi="Times New Roman" w:cs="宋体"/>
      <w:sz w:val="24"/>
      <w:szCs w:val="24"/>
    </w:rPr>
  </w:style>
  <w:style w:type="paragraph" w:styleId="27">
    <w:name w:val="Balloon Text"/>
    <w:basedOn w:val="1"/>
    <w:link w:val="94"/>
    <w:semiHidden/>
    <w:qFormat/>
    <w:uiPriority w:val="99"/>
    <w:pPr>
      <w:ind w:firstLine="200" w:firstLineChars="200"/>
      <w:jc w:val="left"/>
    </w:pPr>
    <w:rPr>
      <w:rFonts w:eastAsia="仿宋"/>
      <w:sz w:val="18"/>
      <w:szCs w:val="18"/>
    </w:rPr>
  </w:style>
  <w:style w:type="paragraph" w:styleId="28">
    <w:name w:val="footer"/>
    <w:basedOn w:val="1"/>
    <w:link w:val="83"/>
    <w:qFormat/>
    <w:uiPriority w:val="0"/>
    <w:pPr>
      <w:tabs>
        <w:tab w:val="center" w:pos="4153"/>
        <w:tab w:val="right" w:pos="8306"/>
      </w:tabs>
      <w:snapToGrid w:val="0"/>
      <w:jc w:val="left"/>
    </w:pPr>
    <w:rPr>
      <w:sz w:val="18"/>
      <w:szCs w:val="18"/>
    </w:rPr>
  </w:style>
  <w:style w:type="paragraph" w:styleId="29">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95"/>
    <w:qFormat/>
    <w:uiPriority w:val="99"/>
    <w:pPr>
      <w:widowControl/>
      <w:jc w:val="right"/>
    </w:pPr>
  </w:style>
  <w:style w:type="paragraph" w:styleId="31">
    <w:name w:val="toc 1"/>
    <w:basedOn w:val="1"/>
    <w:next w:val="1"/>
    <w:qFormat/>
    <w:uiPriority w:val="39"/>
    <w:pPr>
      <w:widowControl/>
      <w:spacing w:before="120" w:after="120"/>
      <w:jc w:val="left"/>
    </w:pPr>
    <w:rPr>
      <w:b/>
      <w:bCs/>
      <w:caps/>
      <w:kern w:val="0"/>
      <w:sz w:val="20"/>
      <w:szCs w:val="20"/>
    </w:rPr>
  </w:style>
  <w:style w:type="paragraph" w:styleId="32">
    <w:name w:val="toc 4"/>
    <w:basedOn w:val="1"/>
    <w:next w:val="1"/>
    <w:qFormat/>
    <w:uiPriority w:val="39"/>
    <w:pPr>
      <w:widowControl/>
      <w:ind w:left="630"/>
      <w:jc w:val="left"/>
    </w:pPr>
    <w:rPr>
      <w:kern w:val="0"/>
      <w:sz w:val="18"/>
      <w:szCs w:val="18"/>
    </w:rPr>
  </w:style>
  <w:style w:type="paragraph" w:styleId="33">
    <w:name w:val="Subtitle"/>
    <w:basedOn w:val="1"/>
    <w:next w:val="1"/>
    <w:link w:val="96"/>
    <w:qFormat/>
    <w:uiPriority w:val="99"/>
    <w:pPr>
      <w:widowControl/>
      <w:spacing w:before="40" w:after="40"/>
      <w:jc w:val="center"/>
    </w:pPr>
    <w:rPr>
      <w:rFonts w:eastAsia="幼圆"/>
      <w:b/>
      <w:bCs/>
      <w:sz w:val="28"/>
      <w:szCs w:val="28"/>
    </w:rPr>
  </w:style>
  <w:style w:type="paragraph" w:styleId="34">
    <w:name w:val="toc 6"/>
    <w:basedOn w:val="1"/>
    <w:next w:val="1"/>
    <w:qFormat/>
    <w:uiPriority w:val="39"/>
    <w:pPr>
      <w:widowControl/>
      <w:ind w:left="1050"/>
      <w:jc w:val="left"/>
    </w:pPr>
    <w:rPr>
      <w:kern w:val="0"/>
      <w:sz w:val="18"/>
      <w:szCs w:val="18"/>
    </w:rPr>
  </w:style>
  <w:style w:type="paragraph" w:styleId="35">
    <w:name w:val="Body Text Indent 3"/>
    <w:basedOn w:val="1"/>
    <w:link w:val="87"/>
    <w:qFormat/>
    <w:uiPriority w:val="99"/>
    <w:pPr>
      <w:spacing w:line="360" w:lineRule="exact"/>
      <w:ind w:firstLine="420" w:firstLineChars="200"/>
    </w:pPr>
    <w:rPr>
      <w:rFonts w:ascii="Times New Roman" w:hAnsi="Times New Roman" w:cs="Times New Roman"/>
    </w:rPr>
  </w:style>
  <w:style w:type="paragraph" w:styleId="36">
    <w:name w:val="toc 2"/>
    <w:basedOn w:val="1"/>
    <w:next w:val="1"/>
    <w:qFormat/>
    <w:uiPriority w:val="39"/>
    <w:pPr>
      <w:widowControl/>
      <w:ind w:left="210"/>
      <w:jc w:val="left"/>
    </w:pPr>
    <w:rPr>
      <w:smallCaps/>
      <w:kern w:val="0"/>
      <w:sz w:val="20"/>
      <w:szCs w:val="20"/>
    </w:rPr>
  </w:style>
  <w:style w:type="paragraph" w:styleId="37">
    <w:name w:val="toc 9"/>
    <w:basedOn w:val="1"/>
    <w:next w:val="1"/>
    <w:qFormat/>
    <w:uiPriority w:val="39"/>
    <w:pPr>
      <w:widowControl/>
      <w:ind w:left="1680"/>
      <w:jc w:val="left"/>
    </w:pPr>
    <w:rPr>
      <w:kern w:val="0"/>
      <w:sz w:val="18"/>
      <w:szCs w:val="18"/>
    </w:rPr>
  </w:style>
  <w:style w:type="paragraph" w:styleId="38">
    <w:name w:val="Body Text 2"/>
    <w:basedOn w:val="1"/>
    <w:link w:val="88"/>
    <w:qFormat/>
    <w:uiPriority w:val="99"/>
    <w:pPr>
      <w:spacing w:line="280" w:lineRule="exact"/>
    </w:pPr>
    <w:rPr>
      <w:rFonts w:ascii="仿宋_GB2312" w:hAnsi="Times New Roman" w:eastAsia="仿宋_GB2312" w:cs="仿宋_GB2312"/>
      <w:sz w:val="24"/>
      <w:szCs w:val="24"/>
    </w:rPr>
  </w:style>
  <w:style w:type="paragraph" w:styleId="39">
    <w:name w:val="List 4"/>
    <w:basedOn w:val="1"/>
    <w:qFormat/>
    <w:locked/>
    <w:uiPriority w:val="99"/>
    <w:pPr>
      <w:ind w:left="100" w:leftChars="600" w:hanging="200" w:hangingChars="200"/>
    </w:pPr>
    <w:rPr>
      <w:rFonts w:ascii="Times New Roman" w:hAnsi="Times New Roman" w:cs="Times New Roman"/>
    </w:rPr>
  </w:style>
  <w:style w:type="paragraph" w:styleId="40">
    <w:name w:val="Message Header"/>
    <w:basedOn w:val="18"/>
    <w:link w:val="89"/>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41">
    <w:name w:val="HTML Preformatted"/>
    <w:basedOn w:val="1"/>
    <w:link w:val="90"/>
    <w:qFormat/>
    <w:locked/>
    <w:uiPriority w:val="99"/>
    <w:rPr>
      <w:rFonts w:ascii="Courier New" w:hAnsi="Courier New" w:cs="Courier New"/>
      <w:kern w:val="0"/>
      <w:sz w:val="20"/>
      <w:szCs w:val="20"/>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Title"/>
    <w:basedOn w:val="1"/>
    <w:link w:val="97"/>
    <w:qFormat/>
    <w:uiPriority w:val="99"/>
    <w:pPr>
      <w:widowControl/>
      <w:spacing w:before="240" w:after="60"/>
      <w:jc w:val="left"/>
      <w:outlineLvl w:val="0"/>
    </w:pPr>
    <w:rPr>
      <w:rFonts w:eastAsia="仿宋"/>
      <w:b/>
      <w:bCs/>
      <w:sz w:val="32"/>
      <w:szCs w:val="32"/>
    </w:rPr>
  </w:style>
  <w:style w:type="character" w:styleId="45">
    <w:name w:val="Strong"/>
    <w:basedOn w:val="44"/>
    <w:qFormat/>
    <w:uiPriority w:val="99"/>
    <w:rPr>
      <w:b/>
      <w:bCs/>
    </w:rPr>
  </w:style>
  <w:style w:type="character" w:styleId="46">
    <w:name w:val="page number"/>
    <w:basedOn w:val="44"/>
    <w:qFormat/>
    <w:uiPriority w:val="0"/>
  </w:style>
  <w:style w:type="character" w:styleId="47">
    <w:name w:val="FollowedHyperlink"/>
    <w:basedOn w:val="44"/>
    <w:qFormat/>
    <w:uiPriority w:val="99"/>
    <w:rPr>
      <w:color w:val="000000"/>
      <w:u w:val="none"/>
    </w:rPr>
  </w:style>
  <w:style w:type="character" w:styleId="48">
    <w:name w:val="Emphasis"/>
    <w:basedOn w:val="44"/>
    <w:qFormat/>
    <w:locked/>
    <w:uiPriority w:val="20"/>
  </w:style>
  <w:style w:type="character" w:styleId="49">
    <w:name w:val="HTML Definition"/>
    <w:basedOn w:val="44"/>
    <w:unhideWhenUsed/>
    <w:qFormat/>
    <w:locked/>
    <w:uiPriority w:val="99"/>
  </w:style>
  <w:style w:type="character" w:styleId="50">
    <w:name w:val="HTML Typewriter"/>
    <w:basedOn w:val="44"/>
    <w:unhideWhenUsed/>
    <w:qFormat/>
    <w:locked/>
    <w:uiPriority w:val="99"/>
    <w:rPr>
      <w:rFonts w:ascii="Courier New" w:hAnsi="Courier New"/>
      <w:sz w:val="24"/>
      <w:szCs w:val="24"/>
    </w:rPr>
  </w:style>
  <w:style w:type="character" w:styleId="51">
    <w:name w:val="HTML Acronym"/>
    <w:basedOn w:val="44"/>
    <w:unhideWhenUsed/>
    <w:qFormat/>
    <w:locked/>
    <w:uiPriority w:val="99"/>
  </w:style>
  <w:style w:type="character" w:styleId="52">
    <w:name w:val="HTML Variable"/>
    <w:basedOn w:val="44"/>
    <w:unhideWhenUsed/>
    <w:qFormat/>
    <w:locked/>
    <w:uiPriority w:val="99"/>
  </w:style>
  <w:style w:type="character" w:styleId="53">
    <w:name w:val="Hyperlink"/>
    <w:basedOn w:val="44"/>
    <w:qFormat/>
    <w:uiPriority w:val="99"/>
    <w:rPr>
      <w:color w:val="000000"/>
      <w:u w:val="none"/>
    </w:rPr>
  </w:style>
  <w:style w:type="character" w:styleId="54">
    <w:name w:val="HTML Code"/>
    <w:basedOn w:val="44"/>
    <w:unhideWhenUsed/>
    <w:qFormat/>
    <w:locked/>
    <w:uiPriority w:val="99"/>
    <w:rPr>
      <w:rFonts w:hint="eastAsia" w:ascii="Arial" w:hAnsi="Arial" w:cs="Arial"/>
      <w:sz w:val="24"/>
      <w:szCs w:val="24"/>
    </w:rPr>
  </w:style>
  <w:style w:type="character" w:styleId="55">
    <w:name w:val="annotation reference"/>
    <w:basedOn w:val="44"/>
    <w:semiHidden/>
    <w:qFormat/>
    <w:uiPriority w:val="99"/>
    <w:rPr>
      <w:sz w:val="21"/>
      <w:szCs w:val="21"/>
    </w:rPr>
  </w:style>
  <w:style w:type="character" w:styleId="56">
    <w:name w:val="HTML Cite"/>
    <w:basedOn w:val="44"/>
    <w:unhideWhenUsed/>
    <w:qFormat/>
    <w:locked/>
    <w:uiPriority w:val="99"/>
  </w:style>
  <w:style w:type="character" w:styleId="57">
    <w:name w:val="HTML Keyboard"/>
    <w:basedOn w:val="44"/>
    <w:unhideWhenUsed/>
    <w:qFormat/>
    <w:locked/>
    <w:uiPriority w:val="99"/>
    <w:rPr>
      <w:rFonts w:ascii="Courier New" w:hAnsi="Courier New"/>
      <w:sz w:val="24"/>
      <w:szCs w:val="24"/>
    </w:rPr>
  </w:style>
  <w:style w:type="character" w:styleId="58">
    <w:name w:val="HTML Sample"/>
    <w:basedOn w:val="44"/>
    <w:unhideWhenUsed/>
    <w:qFormat/>
    <w:locked/>
    <w:uiPriority w:val="99"/>
    <w:rPr>
      <w:rFonts w:ascii="Courier New" w:hAnsi="Courier New"/>
      <w:sz w:val="24"/>
      <w:szCs w:val="24"/>
    </w:rPr>
  </w:style>
  <w:style w:type="table" w:styleId="60">
    <w:name w:val="Table Grid"/>
    <w:basedOn w:val="5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标题 1 Char"/>
    <w:basedOn w:val="44"/>
    <w:link w:val="4"/>
    <w:qFormat/>
    <w:locked/>
    <w:uiPriority w:val="99"/>
    <w:rPr>
      <w:rFonts w:ascii="Times New Roman" w:hAnsi="Times New Roman" w:eastAsia="宋体" w:cs="Times New Roman"/>
      <w:b/>
      <w:bCs/>
      <w:kern w:val="44"/>
      <w:sz w:val="44"/>
      <w:szCs w:val="44"/>
    </w:rPr>
  </w:style>
  <w:style w:type="character" w:customStyle="1" w:styleId="62">
    <w:name w:val="Heading 2 Char"/>
    <w:basedOn w:val="44"/>
    <w:qFormat/>
    <w:locked/>
    <w:uiPriority w:val="99"/>
    <w:rPr>
      <w:rFonts w:eastAsia="仿宋"/>
      <w:b/>
      <w:bCs/>
      <w:kern w:val="44"/>
      <w:sz w:val="32"/>
      <w:szCs w:val="32"/>
      <w:lang w:val="en-US" w:eastAsia="zh-CN"/>
    </w:rPr>
  </w:style>
  <w:style w:type="character" w:customStyle="1" w:styleId="63">
    <w:name w:val="Heading 3 Char"/>
    <w:basedOn w:val="44"/>
    <w:qFormat/>
    <w:locked/>
    <w:uiPriority w:val="99"/>
    <w:rPr>
      <w:rFonts w:eastAsia="仿宋"/>
      <w:b/>
      <w:bCs/>
      <w:kern w:val="44"/>
      <w:sz w:val="32"/>
      <w:szCs w:val="32"/>
      <w:lang w:val="en-US" w:eastAsia="zh-CN"/>
    </w:rPr>
  </w:style>
  <w:style w:type="character" w:customStyle="1" w:styleId="64">
    <w:name w:val="Heading 4 Char"/>
    <w:basedOn w:val="44"/>
    <w:qFormat/>
    <w:locked/>
    <w:uiPriority w:val="99"/>
    <w:rPr>
      <w:rFonts w:eastAsia="仿宋"/>
      <w:b/>
      <w:bCs/>
      <w:kern w:val="44"/>
      <w:sz w:val="32"/>
      <w:szCs w:val="32"/>
      <w:lang w:val="en-US" w:eastAsia="zh-CN"/>
    </w:rPr>
  </w:style>
  <w:style w:type="character" w:customStyle="1" w:styleId="65">
    <w:name w:val="标题 5 Char"/>
    <w:basedOn w:val="44"/>
    <w:link w:val="6"/>
    <w:qFormat/>
    <w:locked/>
    <w:uiPriority w:val="99"/>
    <w:rPr>
      <w:rFonts w:ascii="Times New Roman" w:hAnsi="Times New Roman" w:eastAsia="宋体" w:cs="Times New Roman"/>
      <w:sz w:val="44"/>
      <w:szCs w:val="44"/>
    </w:rPr>
  </w:style>
  <w:style w:type="character" w:customStyle="1" w:styleId="66">
    <w:name w:val="标题 6 Char"/>
    <w:basedOn w:val="44"/>
    <w:link w:val="7"/>
    <w:qFormat/>
    <w:locked/>
    <w:uiPriority w:val="99"/>
    <w:rPr>
      <w:rFonts w:ascii="Arial" w:hAnsi="Arial" w:eastAsia="宋体" w:cs="Arial"/>
      <w:sz w:val="44"/>
      <w:szCs w:val="44"/>
    </w:rPr>
  </w:style>
  <w:style w:type="character" w:customStyle="1" w:styleId="67">
    <w:name w:val="标题 7 Char"/>
    <w:basedOn w:val="44"/>
    <w:link w:val="8"/>
    <w:qFormat/>
    <w:locked/>
    <w:uiPriority w:val="99"/>
    <w:rPr>
      <w:rFonts w:ascii="Times New Roman" w:hAnsi="Times New Roman" w:eastAsia="宋体" w:cs="Times New Roman"/>
      <w:sz w:val="44"/>
      <w:szCs w:val="44"/>
    </w:rPr>
  </w:style>
  <w:style w:type="character" w:customStyle="1" w:styleId="68">
    <w:name w:val="标题 8 Char"/>
    <w:basedOn w:val="44"/>
    <w:link w:val="9"/>
    <w:qFormat/>
    <w:locked/>
    <w:uiPriority w:val="99"/>
    <w:rPr>
      <w:rFonts w:ascii="Times New Roman" w:hAnsi="Times New Roman" w:eastAsia="宋体" w:cs="Times New Roman"/>
      <w:sz w:val="44"/>
      <w:szCs w:val="44"/>
    </w:rPr>
  </w:style>
  <w:style w:type="character" w:customStyle="1" w:styleId="69">
    <w:name w:val="标题 9 Char"/>
    <w:basedOn w:val="44"/>
    <w:link w:val="10"/>
    <w:qFormat/>
    <w:locked/>
    <w:uiPriority w:val="99"/>
    <w:rPr>
      <w:rFonts w:ascii="Arial" w:hAnsi="Arial" w:eastAsia="宋体" w:cs="Arial"/>
      <w:sz w:val="44"/>
      <w:szCs w:val="44"/>
    </w:rPr>
  </w:style>
  <w:style w:type="character" w:customStyle="1" w:styleId="70">
    <w:name w:val="批注文字 Char"/>
    <w:basedOn w:val="44"/>
    <w:qFormat/>
    <w:locked/>
    <w:uiPriority w:val="99"/>
    <w:rPr>
      <w:rFonts w:eastAsia="仿宋"/>
      <w:sz w:val="32"/>
      <w:szCs w:val="32"/>
    </w:rPr>
  </w:style>
  <w:style w:type="character" w:customStyle="1" w:styleId="71">
    <w:name w:val="Comment Subject Char"/>
    <w:basedOn w:val="72"/>
    <w:semiHidden/>
    <w:qFormat/>
    <w:locked/>
    <w:uiPriority w:val="99"/>
    <w:rPr>
      <w:b/>
      <w:bCs/>
    </w:rPr>
  </w:style>
  <w:style w:type="character" w:customStyle="1" w:styleId="72">
    <w:name w:val="批注文字 Char1"/>
    <w:basedOn w:val="44"/>
    <w:link w:val="12"/>
    <w:semiHidden/>
    <w:qFormat/>
    <w:locked/>
    <w:uiPriority w:val="99"/>
  </w:style>
  <w:style w:type="character" w:customStyle="1" w:styleId="73">
    <w:name w:val="正文文本 Char"/>
    <w:basedOn w:val="44"/>
    <w:qFormat/>
    <w:locked/>
    <w:uiPriority w:val="99"/>
  </w:style>
  <w:style w:type="character" w:customStyle="1" w:styleId="74">
    <w:name w:val="正文首行缩进 Char"/>
    <w:basedOn w:val="75"/>
    <w:link w:val="14"/>
    <w:qFormat/>
    <w:locked/>
    <w:uiPriority w:val="99"/>
    <w:rPr>
      <w:rFonts w:ascii="Times New Roman" w:hAnsi="Times New Roman" w:eastAsia="宋体" w:cs="Times New Roman"/>
      <w:sz w:val="44"/>
      <w:szCs w:val="44"/>
    </w:rPr>
  </w:style>
  <w:style w:type="character" w:customStyle="1" w:styleId="75">
    <w:name w:val="正文文本 Char1"/>
    <w:basedOn w:val="44"/>
    <w:link w:val="18"/>
    <w:semiHidden/>
    <w:qFormat/>
    <w:locked/>
    <w:uiPriority w:val="99"/>
  </w:style>
  <w:style w:type="character" w:customStyle="1" w:styleId="76">
    <w:name w:val="文档结构图 Char"/>
    <w:basedOn w:val="44"/>
    <w:qFormat/>
    <w:locked/>
    <w:uiPriority w:val="99"/>
    <w:rPr>
      <w:shd w:val="clear" w:color="auto" w:fill="000080"/>
    </w:rPr>
  </w:style>
  <w:style w:type="character" w:customStyle="1" w:styleId="77">
    <w:name w:val="正文文本缩进 Char"/>
    <w:basedOn w:val="44"/>
    <w:qFormat/>
    <w:locked/>
    <w:uiPriority w:val="99"/>
  </w:style>
  <w:style w:type="character" w:customStyle="1" w:styleId="78">
    <w:name w:val="HTML 地址 Char1"/>
    <w:basedOn w:val="44"/>
    <w:link w:val="20"/>
    <w:semiHidden/>
    <w:qFormat/>
    <w:locked/>
    <w:uiPriority w:val="99"/>
    <w:rPr>
      <w:i/>
      <w:iCs/>
      <w:kern w:val="2"/>
      <w:sz w:val="22"/>
      <w:szCs w:val="22"/>
    </w:rPr>
  </w:style>
  <w:style w:type="character" w:customStyle="1" w:styleId="79">
    <w:name w:val="纯文本 Char"/>
    <w:basedOn w:val="44"/>
    <w:link w:val="23"/>
    <w:qFormat/>
    <w:locked/>
    <w:uiPriority w:val="99"/>
    <w:rPr>
      <w:rFonts w:ascii="宋体" w:hAnsi="Courier New" w:eastAsia="宋体" w:cs="宋体"/>
      <w:sz w:val="21"/>
      <w:szCs w:val="21"/>
    </w:rPr>
  </w:style>
  <w:style w:type="character" w:customStyle="1" w:styleId="80">
    <w:name w:val="日期 Char"/>
    <w:basedOn w:val="44"/>
    <w:link w:val="25"/>
    <w:qFormat/>
    <w:locked/>
    <w:uiPriority w:val="99"/>
    <w:rPr>
      <w:rFonts w:ascii="Times New Roman" w:hAnsi="Times New Roman" w:eastAsia="宋体" w:cs="Times New Roman"/>
      <w:kern w:val="0"/>
      <w:sz w:val="20"/>
      <w:szCs w:val="20"/>
    </w:rPr>
  </w:style>
  <w:style w:type="character" w:customStyle="1" w:styleId="81">
    <w:name w:val="正文文本缩进 2 Char"/>
    <w:basedOn w:val="44"/>
    <w:link w:val="26"/>
    <w:qFormat/>
    <w:locked/>
    <w:uiPriority w:val="99"/>
    <w:rPr>
      <w:rFonts w:ascii="宋体" w:hAnsi="Times New Roman" w:eastAsia="宋体" w:cs="宋体"/>
      <w:sz w:val="20"/>
      <w:szCs w:val="20"/>
    </w:rPr>
  </w:style>
  <w:style w:type="character" w:customStyle="1" w:styleId="82">
    <w:name w:val="批注框文本 Char"/>
    <w:basedOn w:val="44"/>
    <w:qFormat/>
    <w:locked/>
    <w:uiPriority w:val="99"/>
    <w:rPr>
      <w:rFonts w:eastAsia="仿宋"/>
      <w:sz w:val="18"/>
      <w:szCs w:val="18"/>
    </w:rPr>
  </w:style>
  <w:style w:type="character" w:customStyle="1" w:styleId="83">
    <w:name w:val="页脚 Char"/>
    <w:basedOn w:val="44"/>
    <w:link w:val="28"/>
    <w:qFormat/>
    <w:locked/>
    <w:uiPriority w:val="0"/>
    <w:rPr>
      <w:sz w:val="18"/>
      <w:szCs w:val="18"/>
    </w:rPr>
  </w:style>
  <w:style w:type="character" w:customStyle="1" w:styleId="84">
    <w:name w:val="页眉 Char"/>
    <w:basedOn w:val="44"/>
    <w:link w:val="29"/>
    <w:qFormat/>
    <w:locked/>
    <w:uiPriority w:val="99"/>
    <w:rPr>
      <w:sz w:val="18"/>
      <w:szCs w:val="18"/>
    </w:rPr>
  </w:style>
  <w:style w:type="character" w:customStyle="1" w:styleId="85">
    <w:name w:val="签名 Char"/>
    <w:basedOn w:val="44"/>
    <w:qFormat/>
    <w:locked/>
    <w:uiPriority w:val="99"/>
    <w:rPr>
      <w:sz w:val="21"/>
      <w:szCs w:val="21"/>
    </w:rPr>
  </w:style>
  <w:style w:type="character" w:customStyle="1" w:styleId="86">
    <w:name w:val="副标题 Char"/>
    <w:basedOn w:val="44"/>
    <w:qFormat/>
    <w:locked/>
    <w:uiPriority w:val="99"/>
    <w:rPr>
      <w:rFonts w:eastAsia="幼圆"/>
      <w:b/>
      <w:bCs/>
      <w:sz w:val="28"/>
      <w:szCs w:val="28"/>
    </w:rPr>
  </w:style>
  <w:style w:type="character" w:customStyle="1" w:styleId="87">
    <w:name w:val="正文文本缩进 3 Char"/>
    <w:basedOn w:val="44"/>
    <w:link w:val="35"/>
    <w:qFormat/>
    <w:locked/>
    <w:uiPriority w:val="99"/>
    <w:rPr>
      <w:rFonts w:ascii="Times New Roman" w:hAnsi="Times New Roman" w:eastAsia="宋体" w:cs="Times New Roman"/>
      <w:sz w:val="24"/>
      <w:szCs w:val="24"/>
    </w:rPr>
  </w:style>
  <w:style w:type="character" w:customStyle="1" w:styleId="88">
    <w:name w:val="正文文本 2 Char"/>
    <w:basedOn w:val="44"/>
    <w:link w:val="38"/>
    <w:qFormat/>
    <w:locked/>
    <w:uiPriority w:val="99"/>
    <w:rPr>
      <w:rFonts w:ascii="仿宋_GB2312" w:hAnsi="Times New Roman" w:eastAsia="仿宋_GB2312" w:cs="仿宋_GB2312"/>
      <w:sz w:val="24"/>
      <w:szCs w:val="24"/>
    </w:rPr>
  </w:style>
  <w:style w:type="character" w:customStyle="1" w:styleId="89">
    <w:name w:val="信息标题 Char"/>
    <w:basedOn w:val="44"/>
    <w:link w:val="40"/>
    <w:qFormat/>
    <w:locked/>
    <w:uiPriority w:val="99"/>
    <w:rPr>
      <w:rFonts w:ascii="Arial" w:hAnsi="Arial" w:cs="Arial"/>
      <w:spacing w:val="-5"/>
      <w:sz w:val="20"/>
      <w:szCs w:val="20"/>
    </w:rPr>
  </w:style>
  <w:style w:type="character" w:customStyle="1" w:styleId="90">
    <w:name w:val="HTML 预设格式 Char1"/>
    <w:basedOn w:val="44"/>
    <w:link w:val="41"/>
    <w:semiHidden/>
    <w:qFormat/>
    <w:locked/>
    <w:uiPriority w:val="99"/>
    <w:rPr>
      <w:rFonts w:ascii="Courier New" w:hAnsi="Courier New" w:cs="Courier New"/>
      <w:kern w:val="2"/>
    </w:rPr>
  </w:style>
  <w:style w:type="character" w:customStyle="1" w:styleId="91">
    <w:name w:val="标题 Char"/>
    <w:basedOn w:val="44"/>
    <w:qFormat/>
    <w:locked/>
    <w:uiPriority w:val="99"/>
    <w:rPr>
      <w:rFonts w:eastAsia="仿宋"/>
      <w:b/>
      <w:bCs/>
      <w:sz w:val="32"/>
      <w:szCs w:val="32"/>
    </w:rPr>
  </w:style>
  <w:style w:type="character" w:customStyle="1" w:styleId="92">
    <w:name w:val="文档结构图 Char1"/>
    <w:basedOn w:val="44"/>
    <w:link w:val="17"/>
    <w:semiHidden/>
    <w:qFormat/>
    <w:locked/>
    <w:uiPriority w:val="99"/>
    <w:rPr>
      <w:rFonts w:ascii="宋体" w:eastAsia="宋体" w:cs="宋体"/>
      <w:sz w:val="18"/>
      <w:szCs w:val="18"/>
    </w:rPr>
  </w:style>
  <w:style w:type="character" w:customStyle="1" w:styleId="93">
    <w:name w:val="正文文本缩进 Char1"/>
    <w:basedOn w:val="44"/>
    <w:link w:val="19"/>
    <w:semiHidden/>
    <w:qFormat/>
    <w:locked/>
    <w:uiPriority w:val="99"/>
  </w:style>
  <w:style w:type="character" w:customStyle="1" w:styleId="94">
    <w:name w:val="批注框文本 Char1"/>
    <w:basedOn w:val="44"/>
    <w:link w:val="27"/>
    <w:semiHidden/>
    <w:qFormat/>
    <w:locked/>
    <w:uiPriority w:val="99"/>
    <w:rPr>
      <w:sz w:val="18"/>
      <w:szCs w:val="18"/>
    </w:rPr>
  </w:style>
  <w:style w:type="character" w:customStyle="1" w:styleId="95">
    <w:name w:val="签名 Char1"/>
    <w:basedOn w:val="44"/>
    <w:link w:val="30"/>
    <w:semiHidden/>
    <w:qFormat/>
    <w:locked/>
    <w:uiPriority w:val="99"/>
  </w:style>
  <w:style w:type="character" w:customStyle="1" w:styleId="96">
    <w:name w:val="副标题 Char1"/>
    <w:basedOn w:val="44"/>
    <w:link w:val="33"/>
    <w:qFormat/>
    <w:locked/>
    <w:uiPriority w:val="99"/>
    <w:rPr>
      <w:rFonts w:ascii="Cambria" w:hAnsi="Cambria" w:eastAsia="宋体" w:cs="Cambria"/>
      <w:b/>
      <w:bCs/>
      <w:kern w:val="28"/>
      <w:sz w:val="32"/>
      <w:szCs w:val="32"/>
    </w:rPr>
  </w:style>
  <w:style w:type="character" w:customStyle="1" w:styleId="97">
    <w:name w:val="标题 Char1"/>
    <w:basedOn w:val="44"/>
    <w:link w:val="43"/>
    <w:qFormat/>
    <w:locked/>
    <w:uiPriority w:val="99"/>
    <w:rPr>
      <w:rFonts w:ascii="Cambria" w:hAnsi="Cambria" w:eastAsia="宋体" w:cs="Cambria"/>
      <w:b/>
      <w:bCs/>
      <w:sz w:val="32"/>
      <w:szCs w:val="32"/>
    </w:rPr>
  </w:style>
  <w:style w:type="character" w:customStyle="1" w:styleId="98">
    <w:name w:val="标题 2 Char"/>
    <w:basedOn w:val="44"/>
    <w:link w:val="2"/>
    <w:qFormat/>
    <w:locked/>
    <w:uiPriority w:val="99"/>
    <w:rPr>
      <w:rFonts w:ascii="Arial" w:hAnsi="Arial" w:eastAsia="宋体" w:cs="Arial"/>
      <w:b/>
      <w:bCs/>
      <w:sz w:val="32"/>
      <w:szCs w:val="32"/>
    </w:rPr>
  </w:style>
  <w:style w:type="character" w:customStyle="1" w:styleId="99">
    <w:name w:val="标题 3 Char"/>
    <w:basedOn w:val="44"/>
    <w:link w:val="3"/>
    <w:qFormat/>
    <w:locked/>
    <w:uiPriority w:val="99"/>
    <w:rPr>
      <w:rFonts w:ascii="Times New Roman" w:hAnsi="Times New Roman" w:eastAsia="宋体" w:cs="Times New Roman"/>
      <w:b/>
      <w:bCs/>
      <w:sz w:val="32"/>
      <w:szCs w:val="32"/>
    </w:rPr>
  </w:style>
  <w:style w:type="character" w:customStyle="1" w:styleId="100">
    <w:name w:val="标题 4 Char"/>
    <w:basedOn w:val="44"/>
    <w:link w:val="5"/>
    <w:qFormat/>
    <w:locked/>
    <w:uiPriority w:val="99"/>
    <w:rPr>
      <w:rFonts w:ascii="Arial" w:hAnsi="Arial" w:cs="Arial"/>
      <w:b/>
      <w:bCs/>
      <w:kern w:val="2"/>
      <w:sz w:val="24"/>
      <w:szCs w:val="24"/>
    </w:rPr>
  </w:style>
  <w:style w:type="character" w:customStyle="1" w:styleId="101">
    <w:name w:val="ca-2"/>
    <w:basedOn w:val="44"/>
    <w:qFormat/>
    <w:uiPriority w:val="99"/>
  </w:style>
  <w:style w:type="character" w:customStyle="1" w:styleId="102">
    <w:name w:val="表哥标题居左 Char Char"/>
    <w:link w:val="103"/>
    <w:qFormat/>
    <w:locked/>
    <w:uiPriority w:val="99"/>
    <w:rPr>
      <w:b/>
      <w:bCs/>
      <w:sz w:val="21"/>
      <w:szCs w:val="21"/>
    </w:rPr>
  </w:style>
  <w:style w:type="paragraph" w:customStyle="1" w:styleId="103">
    <w:name w:val="表哥标题居左"/>
    <w:basedOn w:val="104"/>
    <w:link w:val="102"/>
    <w:qFormat/>
    <w:uiPriority w:val="99"/>
    <w:pPr>
      <w:jc w:val="left"/>
    </w:pPr>
    <w:rPr>
      <w:rFonts w:ascii="Calibri" w:hAnsi="Calibri"/>
      <w:sz w:val="21"/>
      <w:szCs w:val="21"/>
    </w:rPr>
  </w:style>
  <w:style w:type="paragraph" w:customStyle="1" w:styleId="104">
    <w:name w:val="表格标题"/>
    <w:link w:val="105"/>
    <w:qFormat/>
    <w:uiPriority w:val="99"/>
    <w:pPr>
      <w:jc w:val="center"/>
    </w:pPr>
    <w:rPr>
      <w:rFonts w:ascii="Times New Roman" w:hAnsi="Times New Roman" w:eastAsia="宋体" w:cs="Times New Roman"/>
      <w:b/>
      <w:bCs/>
      <w:sz w:val="22"/>
      <w:szCs w:val="22"/>
      <w:lang w:val="en-US" w:eastAsia="zh-CN" w:bidi="ar-SA"/>
    </w:rPr>
  </w:style>
  <w:style w:type="character" w:customStyle="1" w:styleId="105">
    <w:name w:val="表格标题 Char Char"/>
    <w:link w:val="104"/>
    <w:qFormat/>
    <w:locked/>
    <w:uiPriority w:val="99"/>
    <w:rPr>
      <w:rFonts w:ascii="Times New Roman" w:hAnsi="Times New Roman"/>
      <w:b/>
      <w:bCs/>
      <w:sz w:val="22"/>
      <w:szCs w:val="22"/>
      <w:lang w:bidi="ar-SA"/>
    </w:rPr>
  </w:style>
  <w:style w:type="character" w:customStyle="1" w:styleId="106">
    <w:name w:val="f12"/>
    <w:basedOn w:val="44"/>
    <w:qFormat/>
    <w:uiPriority w:val="99"/>
  </w:style>
  <w:style w:type="character" w:customStyle="1" w:styleId="107">
    <w:name w:val="Char Char13"/>
    <w:basedOn w:val="44"/>
    <w:qFormat/>
    <w:uiPriority w:val="99"/>
    <w:rPr>
      <w:rFonts w:eastAsia="仿宋"/>
      <w:b/>
      <w:bCs/>
      <w:kern w:val="44"/>
      <w:sz w:val="32"/>
      <w:szCs w:val="32"/>
      <w:lang w:val="en-US" w:eastAsia="zh-CN"/>
    </w:rPr>
  </w:style>
  <w:style w:type="character" w:customStyle="1" w:styleId="108">
    <w:name w:val="clh15"/>
    <w:basedOn w:val="44"/>
    <w:qFormat/>
    <w:uiPriority w:val="99"/>
  </w:style>
  <w:style w:type="character" w:customStyle="1" w:styleId="109">
    <w:name w:val="!我的正文 Ctr+Q Char Char"/>
    <w:link w:val="110"/>
    <w:qFormat/>
    <w:locked/>
    <w:uiPriority w:val="99"/>
    <w:rPr>
      <w:rFonts w:ascii="Arial" w:hAnsi="Arial" w:cs="Arial"/>
      <w:sz w:val="21"/>
      <w:szCs w:val="21"/>
    </w:rPr>
  </w:style>
  <w:style w:type="paragraph" w:customStyle="1" w:styleId="110">
    <w:name w:val="!我的正文 Ctr+Q"/>
    <w:basedOn w:val="1"/>
    <w:link w:val="109"/>
    <w:qFormat/>
    <w:uiPriority w:val="99"/>
    <w:pPr>
      <w:adjustRightInd w:val="0"/>
      <w:snapToGrid w:val="0"/>
      <w:spacing w:line="360" w:lineRule="auto"/>
      <w:ind w:firstLine="480" w:firstLineChars="200"/>
    </w:pPr>
    <w:rPr>
      <w:rFonts w:ascii="Arial" w:hAnsi="Arial" w:cs="Times New Roman"/>
      <w:kern w:val="0"/>
    </w:rPr>
  </w:style>
  <w:style w:type="character" w:customStyle="1" w:styleId="111">
    <w:name w:val="正文缩进 Char"/>
    <w:basedOn w:val="44"/>
    <w:link w:val="15"/>
    <w:qFormat/>
    <w:locked/>
    <w:uiPriority w:val="99"/>
    <w:rPr>
      <w:rFonts w:ascii="宋体" w:cs="宋体"/>
    </w:rPr>
  </w:style>
  <w:style w:type="character" w:customStyle="1" w:styleId="112">
    <w:name w:val="Char Char14"/>
    <w:basedOn w:val="44"/>
    <w:qFormat/>
    <w:uiPriority w:val="99"/>
    <w:rPr>
      <w:rFonts w:eastAsia="仿宋"/>
      <w:b/>
      <w:bCs/>
      <w:kern w:val="44"/>
      <w:sz w:val="32"/>
      <w:szCs w:val="32"/>
      <w:lang w:val="en-US" w:eastAsia="zh-CN"/>
    </w:rPr>
  </w:style>
  <w:style w:type="character" w:customStyle="1" w:styleId="113">
    <w:name w:val="Char Char12"/>
    <w:basedOn w:val="44"/>
    <w:qFormat/>
    <w:uiPriority w:val="99"/>
    <w:rPr>
      <w:rFonts w:eastAsia="仿宋"/>
      <w:b/>
      <w:bCs/>
      <w:kern w:val="44"/>
      <w:sz w:val="32"/>
      <w:szCs w:val="32"/>
      <w:lang w:val="en-US" w:eastAsia="zh-CN"/>
    </w:rPr>
  </w:style>
  <w:style w:type="character" w:customStyle="1" w:styleId="114">
    <w:name w:val="!标题3 Ctrl+3 Char Char"/>
    <w:link w:val="115"/>
    <w:qFormat/>
    <w:locked/>
    <w:uiPriority w:val="99"/>
    <w:rPr>
      <w:rFonts w:ascii="宋体" w:eastAsia="宋体" w:cs="宋体"/>
      <w:b/>
      <w:bCs/>
      <w:sz w:val="28"/>
      <w:szCs w:val="28"/>
    </w:rPr>
  </w:style>
  <w:style w:type="paragraph" w:customStyle="1" w:styleId="115">
    <w:name w:val="!标题3 Ctrl+3"/>
    <w:basedOn w:val="3"/>
    <w:next w:val="1"/>
    <w:link w:val="114"/>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16">
    <w:name w:val="Char Char16"/>
    <w:basedOn w:val="44"/>
    <w:qFormat/>
    <w:uiPriority w:val="99"/>
    <w:rPr>
      <w:rFonts w:eastAsia="仿宋"/>
      <w:b/>
      <w:bCs/>
      <w:kern w:val="44"/>
      <w:sz w:val="32"/>
      <w:szCs w:val="32"/>
      <w:lang w:val="en-US" w:eastAsia="zh-CN"/>
    </w:rPr>
  </w:style>
  <w:style w:type="character" w:customStyle="1" w:styleId="117">
    <w:name w:val="表格字 Char Char"/>
    <w:link w:val="118"/>
    <w:qFormat/>
    <w:locked/>
    <w:uiPriority w:val="99"/>
    <w:rPr>
      <w:rFonts w:cs="Calibri"/>
      <w:kern w:val="2"/>
      <w:sz w:val="21"/>
      <w:szCs w:val="21"/>
      <w:lang w:val="en-US" w:eastAsia="zh-CN" w:bidi="ar-SA"/>
    </w:rPr>
  </w:style>
  <w:style w:type="paragraph" w:customStyle="1" w:styleId="118">
    <w:name w:val="表格字"/>
    <w:link w:val="117"/>
    <w:qFormat/>
    <w:uiPriority w:val="99"/>
    <w:rPr>
      <w:rFonts w:ascii="Calibri" w:hAnsi="Calibri" w:eastAsia="宋体" w:cs="Calibri"/>
      <w:kern w:val="2"/>
      <w:sz w:val="21"/>
      <w:szCs w:val="21"/>
      <w:lang w:val="en-US" w:eastAsia="zh-CN" w:bidi="ar-SA"/>
    </w:rPr>
  </w:style>
  <w:style w:type="character" w:customStyle="1" w:styleId="119">
    <w:name w:val="表格字居中 Char Char"/>
    <w:basedOn w:val="117"/>
    <w:link w:val="120"/>
    <w:qFormat/>
    <w:locked/>
    <w:uiPriority w:val="99"/>
    <w:rPr>
      <w:rFonts w:cs="Calibri"/>
      <w:kern w:val="2"/>
      <w:sz w:val="24"/>
      <w:szCs w:val="24"/>
      <w:lang w:val="en-US" w:eastAsia="zh-CN" w:bidi="ar-SA"/>
    </w:rPr>
  </w:style>
  <w:style w:type="paragraph" w:customStyle="1" w:styleId="120">
    <w:name w:val="表格字居中"/>
    <w:basedOn w:val="118"/>
    <w:link w:val="119"/>
    <w:qFormat/>
    <w:uiPriority w:val="99"/>
    <w:pPr>
      <w:jc w:val="center"/>
    </w:pPr>
    <w:rPr>
      <w:sz w:val="24"/>
      <w:szCs w:val="24"/>
    </w:rPr>
  </w:style>
  <w:style w:type="character" w:customStyle="1" w:styleId="121">
    <w:name w:val="Char Char11"/>
    <w:basedOn w:val="44"/>
    <w:qFormat/>
    <w:uiPriority w:val="99"/>
    <w:rPr>
      <w:rFonts w:eastAsia="宋体"/>
      <w:b/>
      <w:bCs/>
      <w:kern w:val="2"/>
      <w:sz w:val="24"/>
      <w:szCs w:val="24"/>
      <w:lang w:val="en-US" w:eastAsia="zh-CN"/>
    </w:rPr>
  </w:style>
  <w:style w:type="character" w:customStyle="1" w:styleId="122">
    <w:name w:val="Normal Indent Char Char"/>
    <w:basedOn w:val="44"/>
    <w:qFormat/>
    <w:uiPriority w:val="99"/>
    <w:rPr>
      <w:rFonts w:eastAsia="宋体"/>
      <w:sz w:val="24"/>
      <w:szCs w:val="24"/>
      <w:lang w:val="en-US" w:eastAsia="zh-CN"/>
    </w:rPr>
  </w:style>
  <w:style w:type="character" w:customStyle="1" w:styleId="123">
    <w:name w:val="Message Header Label"/>
    <w:qFormat/>
    <w:uiPriority w:val="99"/>
    <w:rPr>
      <w:rFonts w:ascii="Arial Black" w:hAnsi="Arial Black" w:eastAsia="宋体" w:cs="Arial Black"/>
      <w:sz w:val="18"/>
      <w:szCs w:val="18"/>
    </w:rPr>
  </w:style>
  <w:style w:type="character" w:customStyle="1" w:styleId="124">
    <w:name w:val="页眉 Char1"/>
    <w:basedOn w:val="44"/>
    <w:semiHidden/>
    <w:qFormat/>
    <w:uiPriority w:val="99"/>
    <w:rPr>
      <w:sz w:val="18"/>
      <w:szCs w:val="18"/>
    </w:rPr>
  </w:style>
  <w:style w:type="character" w:customStyle="1" w:styleId="125">
    <w:name w:val="批注主题 Char"/>
    <w:basedOn w:val="70"/>
    <w:link w:val="11"/>
    <w:qFormat/>
    <w:locked/>
    <w:uiPriority w:val="99"/>
    <w:rPr>
      <w:rFonts w:eastAsia="仿宋"/>
      <w:b/>
      <w:bCs/>
      <w:sz w:val="32"/>
      <w:szCs w:val="32"/>
    </w:rPr>
  </w:style>
  <w:style w:type="character" w:customStyle="1" w:styleId="126">
    <w:name w:val="页脚 Char1"/>
    <w:basedOn w:val="44"/>
    <w:semiHidden/>
    <w:qFormat/>
    <w:uiPriority w:val="99"/>
    <w:rPr>
      <w:sz w:val="18"/>
      <w:szCs w:val="18"/>
    </w:rPr>
  </w:style>
  <w:style w:type="character" w:customStyle="1" w:styleId="127">
    <w:name w:val="Emphasis1"/>
    <w:qFormat/>
    <w:uiPriority w:val="99"/>
    <w:rPr>
      <w:rFonts w:ascii="Arial Black" w:hAnsi="Arial Black" w:eastAsia="宋体" w:cs="Arial Black"/>
      <w:sz w:val="18"/>
      <w:szCs w:val="18"/>
    </w:rPr>
  </w:style>
  <w:style w:type="character" w:customStyle="1" w:styleId="128">
    <w:name w:val="样式 (符号) 宋体 加粗 下划线"/>
    <w:basedOn w:val="44"/>
    <w:qFormat/>
    <w:uiPriority w:val="99"/>
    <w:rPr>
      <w:b/>
      <w:bCs/>
      <w:u w:val="single"/>
    </w:rPr>
  </w:style>
  <w:style w:type="character" w:customStyle="1" w:styleId="129">
    <w:name w:val="抬头 Char Char"/>
    <w:link w:val="130"/>
    <w:qFormat/>
    <w:locked/>
    <w:uiPriority w:val="99"/>
    <w:rPr>
      <w:rFonts w:eastAsia="楷体" w:cs="Calibri"/>
      <w:b/>
      <w:bCs/>
      <w:kern w:val="2"/>
      <w:sz w:val="24"/>
      <w:szCs w:val="24"/>
      <w:lang w:val="en-US" w:eastAsia="zh-CN" w:bidi="ar-SA"/>
    </w:rPr>
  </w:style>
  <w:style w:type="paragraph" w:customStyle="1" w:styleId="130">
    <w:name w:val="抬头"/>
    <w:link w:val="129"/>
    <w:qFormat/>
    <w:uiPriority w:val="99"/>
    <w:rPr>
      <w:rFonts w:ascii="Calibri" w:hAnsi="Calibri" w:eastAsia="楷体" w:cs="Calibri"/>
      <w:b/>
      <w:bCs/>
      <w:kern w:val="2"/>
      <w:sz w:val="24"/>
      <w:szCs w:val="24"/>
      <w:lang w:val="en-US" w:eastAsia="zh-CN" w:bidi="ar-SA"/>
    </w:rPr>
  </w:style>
  <w:style w:type="character" w:customStyle="1" w:styleId="131">
    <w:name w:val="正文粗体 Char Char"/>
    <w:link w:val="132"/>
    <w:qFormat/>
    <w:locked/>
    <w:uiPriority w:val="99"/>
    <w:rPr>
      <w:rFonts w:eastAsia="仿宋"/>
      <w:b/>
      <w:bCs/>
      <w:sz w:val="32"/>
      <w:szCs w:val="32"/>
    </w:rPr>
  </w:style>
  <w:style w:type="paragraph" w:customStyle="1" w:styleId="132">
    <w:name w:val="正文粗体"/>
    <w:basedOn w:val="1"/>
    <w:link w:val="131"/>
    <w:qFormat/>
    <w:uiPriority w:val="99"/>
    <w:pPr>
      <w:spacing w:line="360" w:lineRule="auto"/>
      <w:ind w:firstLine="560" w:firstLineChars="200"/>
      <w:jc w:val="left"/>
    </w:pPr>
    <w:rPr>
      <w:rFonts w:eastAsia="仿宋" w:cs="Times New Roman"/>
      <w:b/>
      <w:bCs/>
      <w:kern w:val="0"/>
      <w:sz w:val="32"/>
      <w:szCs w:val="32"/>
    </w:rPr>
  </w:style>
  <w:style w:type="character" w:customStyle="1" w:styleId="133">
    <w:name w:val="Char Char15"/>
    <w:basedOn w:val="44"/>
    <w:qFormat/>
    <w:uiPriority w:val="99"/>
    <w:rPr>
      <w:rFonts w:eastAsia="仿宋"/>
      <w:b/>
      <w:bCs/>
      <w:kern w:val="44"/>
      <w:sz w:val="32"/>
      <w:szCs w:val="32"/>
      <w:lang w:val="en-US" w:eastAsia="zh-CN"/>
    </w:rPr>
  </w:style>
  <w:style w:type="character" w:customStyle="1" w:styleId="134">
    <w:name w:val="样式 宋体 小四"/>
    <w:basedOn w:val="44"/>
    <w:qFormat/>
    <w:uiPriority w:val="99"/>
    <w:rPr>
      <w:rFonts w:ascii="宋体" w:eastAsia="宋体" w:cs="宋体"/>
      <w:sz w:val="24"/>
      <w:szCs w:val="24"/>
    </w:rPr>
  </w:style>
  <w:style w:type="character" w:customStyle="1" w:styleId="135">
    <w:name w:val="bord3"/>
    <w:basedOn w:val="44"/>
    <w:qFormat/>
    <w:uiPriority w:val="99"/>
  </w:style>
  <w:style w:type="paragraph" w:customStyle="1" w:styleId="136">
    <w:name w:val="表格"/>
    <w:basedOn w:val="1"/>
    <w:qFormat/>
    <w:uiPriority w:val="99"/>
    <w:rPr>
      <w:rFonts w:ascii="Times New Roman" w:hAnsi="Times New Roman" w:cs="Times New Roman"/>
    </w:rPr>
  </w:style>
  <w:style w:type="paragraph" w:customStyle="1" w:styleId="137">
    <w:name w:val="列出段落1"/>
    <w:basedOn w:val="1"/>
    <w:qFormat/>
    <w:uiPriority w:val="99"/>
    <w:pPr>
      <w:ind w:firstLine="420" w:firstLineChars="200"/>
    </w:pPr>
    <w:rPr>
      <w:rFonts w:ascii="Times New Roman" w:hAnsi="Times New Roman" w:cs="Times New Roman"/>
    </w:rPr>
  </w:style>
  <w:style w:type="paragraph" w:customStyle="1" w:styleId="138">
    <w:name w:val="前面加点"/>
    <w:basedOn w:val="1"/>
    <w:qFormat/>
    <w:uiPriority w:val="99"/>
    <w:pPr>
      <w:tabs>
        <w:tab w:val="left" w:pos="720"/>
      </w:tabs>
      <w:ind w:left="760" w:firstLine="200"/>
    </w:pPr>
    <w:rPr>
      <w:rFonts w:ascii="Times New Roman" w:hAnsi="Times New Roman" w:cs="Times New Roman"/>
    </w:rPr>
  </w:style>
  <w:style w:type="paragraph" w:customStyle="1" w:styleId="139">
    <w:name w:val="正文加黑"/>
    <w:basedOn w:val="1"/>
    <w:qFormat/>
    <w:uiPriority w:val="99"/>
    <w:rPr>
      <w:rFonts w:ascii="Times New Roman" w:hAnsi="Times New Roman" w:cs="Times New Roman"/>
      <w:b/>
      <w:bCs/>
    </w:rPr>
  </w:style>
  <w:style w:type="paragraph" w:customStyle="1" w:styleId="140">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41">
    <w:name w:val="表格注释"/>
    <w:basedOn w:val="1"/>
    <w:qFormat/>
    <w:uiPriority w:val="99"/>
    <w:rPr>
      <w:rFonts w:ascii="Times New Roman" w:hAnsi="Times New Roman" w:cs="Times New Roman"/>
    </w:rPr>
  </w:style>
  <w:style w:type="paragraph" w:customStyle="1" w:styleId="142">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43">
    <w:name w:val="Message Header First"/>
    <w:basedOn w:val="40"/>
    <w:next w:val="40"/>
    <w:qFormat/>
    <w:uiPriority w:val="99"/>
  </w:style>
  <w:style w:type="paragraph" w:customStyle="1" w:styleId="144">
    <w:name w:val="样式2"/>
    <w:basedOn w:val="1"/>
    <w:qFormat/>
    <w:uiPriority w:val="99"/>
    <w:pPr>
      <w:tabs>
        <w:tab w:val="left" w:pos="720"/>
      </w:tabs>
      <w:ind w:left="760" w:firstLine="200"/>
    </w:pPr>
    <w:rPr>
      <w:rFonts w:ascii="Times New Roman" w:hAnsi="Times New Roman" w:cs="Times New Roman"/>
    </w:rPr>
  </w:style>
  <w:style w:type="paragraph" w:customStyle="1" w:styleId="145">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6">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7">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48">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9">
    <w:name w:val="黑体标题"/>
    <w:basedOn w:val="1"/>
    <w:qFormat/>
    <w:uiPriority w:val="99"/>
    <w:pPr>
      <w:ind w:firstLine="200" w:firstLineChars="200"/>
    </w:pPr>
    <w:rPr>
      <w:rFonts w:ascii="Times New Roman" w:hAnsi="Times New Roman" w:eastAsia="黑体" w:cs="Times New Roman"/>
      <w:b/>
      <w:bCs/>
    </w:rPr>
  </w:style>
  <w:style w:type="paragraph" w:customStyle="1" w:styleId="150">
    <w:name w:val="样式 左侧:  2 字符"/>
    <w:basedOn w:val="1"/>
    <w:qFormat/>
    <w:uiPriority w:val="99"/>
    <w:pPr>
      <w:ind w:firstLine="200" w:firstLineChars="200"/>
    </w:pPr>
    <w:rPr>
      <w:rFonts w:ascii="Times New Roman" w:hAnsi="Times New Roman" w:cs="Times New Roman"/>
    </w:rPr>
  </w:style>
  <w:style w:type="paragraph" w:customStyle="1" w:styleId="151">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52">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5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54">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55">
    <w:name w:val="列出段落11"/>
    <w:basedOn w:val="1"/>
    <w:qFormat/>
    <w:uiPriority w:val="99"/>
    <w:pPr>
      <w:ind w:firstLine="420" w:firstLineChars="200"/>
    </w:pPr>
  </w:style>
  <w:style w:type="paragraph" w:customStyle="1" w:styleId="156">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57">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58">
    <w:name w:val="Char Char Char Char Char Char Char"/>
    <w:basedOn w:val="17"/>
    <w:qFormat/>
    <w:uiPriority w:val="99"/>
    <w:pPr>
      <w:widowControl w:val="0"/>
      <w:jc w:val="both"/>
    </w:pPr>
    <w:rPr>
      <w:rFonts w:ascii="Tahoma" w:hAnsi="Tahoma" w:cs="Tahoma"/>
      <w:sz w:val="24"/>
      <w:szCs w:val="24"/>
    </w:rPr>
  </w:style>
  <w:style w:type="paragraph" w:customStyle="1" w:styleId="159">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60">
    <w:name w:val="正文图标题"/>
    <w:next w:val="148"/>
    <w:qFormat/>
    <w:uiPriority w:val="99"/>
    <w:pPr>
      <w:jc w:val="center"/>
    </w:pPr>
    <w:rPr>
      <w:rFonts w:ascii="黑体" w:hAnsi="Times New Roman" w:eastAsia="黑体" w:cs="黑体"/>
      <w:sz w:val="21"/>
      <w:szCs w:val="21"/>
      <w:lang w:val="en-US" w:eastAsia="zh-CN" w:bidi="ar-SA"/>
    </w:rPr>
  </w:style>
  <w:style w:type="paragraph" w:customStyle="1" w:styleId="161">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62">
    <w:name w:val="p0"/>
    <w:basedOn w:val="1"/>
    <w:qFormat/>
    <w:uiPriority w:val="0"/>
    <w:pPr>
      <w:widowControl/>
    </w:pPr>
    <w:rPr>
      <w:rFonts w:ascii="Times New Roman" w:hAnsi="Times New Roman" w:cs="Times New Roman"/>
      <w:kern w:val="0"/>
    </w:rPr>
  </w:style>
  <w:style w:type="paragraph" w:customStyle="1" w:styleId="163">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4">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65">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6">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7">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8">
    <w:name w:val="apple-converted-space"/>
    <w:basedOn w:val="44"/>
    <w:qFormat/>
    <w:uiPriority w:val="99"/>
  </w:style>
  <w:style w:type="paragraph" w:customStyle="1" w:styleId="169">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70">
    <w:name w:val="标题 3 Char2"/>
    <w:qFormat/>
    <w:uiPriority w:val="99"/>
    <w:rPr>
      <w:b/>
      <w:bCs/>
      <w:kern w:val="2"/>
      <w:sz w:val="32"/>
      <w:szCs w:val="32"/>
    </w:rPr>
  </w:style>
  <w:style w:type="character" w:customStyle="1" w:styleId="171">
    <w:name w:val="题注 Char"/>
    <w:link w:val="16"/>
    <w:qFormat/>
    <w:locked/>
    <w:uiPriority w:val="99"/>
    <w:rPr>
      <w:rFonts w:ascii="华文彩云" w:hAnsi="Century Gothic" w:eastAsia="宋体" w:cs="华文彩云"/>
      <w:b/>
      <w:bCs/>
      <w:sz w:val="72"/>
      <w:szCs w:val="72"/>
    </w:rPr>
  </w:style>
  <w:style w:type="paragraph" w:customStyle="1" w:styleId="172">
    <w:name w:val="列出段落2"/>
    <w:basedOn w:val="1"/>
    <w:qFormat/>
    <w:uiPriority w:val="99"/>
    <w:pPr>
      <w:ind w:firstLine="420" w:firstLineChars="200"/>
    </w:pPr>
  </w:style>
  <w:style w:type="paragraph" w:customStyle="1" w:styleId="173">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4">
    <w:name w:val="_Style 1"/>
    <w:basedOn w:val="1"/>
    <w:qFormat/>
    <w:uiPriority w:val="99"/>
    <w:pPr>
      <w:ind w:firstLine="420" w:firstLineChars="200"/>
    </w:pPr>
  </w:style>
  <w:style w:type="paragraph" w:customStyle="1" w:styleId="175">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6">
    <w:name w:val="font"/>
    <w:basedOn w:val="44"/>
    <w:qFormat/>
    <w:uiPriority w:val="99"/>
    <w:rPr>
      <w:rFonts w:ascii="Times New Roman" w:cs="Times New Roman"/>
    </w:rPr>
  </w:style>
  <w:style w:type="paragraph" w:customStyle="1" w:styleId="177">
    <w:name w:val="样式 正文（首行缩进两字） + 宋体 小四"/>
    <w:basedOn w:val="15"/>
    <w:qFormat/>
    <w:uiPriority w:val="99"/>
  </w:style>
  <w:style w:type="paragraph" w:customStyle="1" w:styleId="178">
    <w:name w:val="列出段落21"/>
    <w:basedOn w:val="1"/>
    <w:qFormat/>
    <w:uiPriority w:val="99"/>
    <w:pPr>
      <w:ind w:firstLine="420" w:firstLineChars="200"/>
    </w:pPr>
  </w:style>
  <w:style w:type="paragraph" w:customStyle="1" w:styleId="179">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80">
    <w:name w:val="一级条标题 Char"/>
    <w:link w:val="181"/>
    <w:qFormat/>
    <w:locked/>
    <w:uiPriority w:val="99"/>
    <w:rPr>
      <w:rFonts w:ascii="黑体" w:eastAsia="黑体" w:cs="黑体"/>
    </w:rPr>
  </w:style>
  <w:style w:type="paragraph" w:customStyle="1" w:styleId="181">
    <w:name w:val="一级条标题"/>
    <w:basedOn w:val="182"/>
    <w:next w:val="148"/>
    <w:link w:val="180"/>
    <w:qFormat/>
    <w:uiPriority w:val="99"/>
    <w:pPr>
      <w:outlineLvl w:val="2"/>
    </w:pPr>
    <w:rPr>
      <w:rFonts w:hAnsi="Calibri"/>
      <w:sz w:val="20"/>
      <w:szCs w:val="20"/>
    </w:rPr>
  </w:style>
  <w:style w:type="paragraph" w:customStyle="1" w:styleId="182">
    <w:name w:val="章标题"/>
    <w:next w:val="148"/>
    <w:link w:val="183"/>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83">
    <w:name w:val="章标题 Char"/>
    <w:link w:val="182"/>
    <w:qFormat/>
    <w:locked/>
    <w:uiPriority w:val="99"/>
    <w:rPr>
      <w:rFonts w:ascii="黑体" w:hAnsi="Times New Roman" w:eastAsia="黑体"/>
      <w:sz w:val="21"/>
      <w:szCs w:val="21"/>
      <w:lang w:bidi="ar-SA"/>
    </w:rPr>
  </w:style>
  <w:style w:type="character" w:customStyle="1" w:styleId="184">
    <w:name w:val="表内居两端对齐 Char"/>
    <w:basedOn w:val="185"/>
    <w:link w:val="187"/>
    <w:qFormat/>
    <w:locked/>
    <w:uiPriority w:val="99"/>
    <w:rPr>
      <w:sz w:val="18"/>
      <w:szCs w:val="18"/>
    </w:rPr>
  </w:style>
  <w:style w:type="character" w:customStyle="1" w:styleId="185">
    <w:name w:val="表内居中小五 Char"/>
    <w:link w:val="186"/>
    <w:qFormat/>
    <w:locked/>
    <w:uiPriority w:val="99"/>
    <w:rPr>
      <w:sz w:val="18"/>
      <w:szCs w:val="18"/>
    </w:rPr>
  </w:style>
  <w:style w:type="paragraph" w:customStyle="1" w:styleId="186">
    <w:name w:val="表内居中小五"/>
    <w:basedOn w:val="1"/>
    <w:link w:val="185"/>
    <w:qFormat/>
    <w:uiPriority w:val="99"/>
    <w:pPr>
      <w:jc w:val="center"/>
    </w:pPr>
    <w:rPr>
      <w:rFonts w:cs="Times New Roman"/>
      <w:kern w:val="0"/>
      <w:sz w:val="18"/>
      <w:szCs w:val="18"/>
    </w:rPr>
  </w:style>
  <w:style w:type="paragraph" w:customStyle="1" w:styleId="187">
    <w:name w:val="表内居两端对齐"/>
    <w:basedOn w:val="186"/>
    <w:link w:val="184"/>
    <w:qFormat/>
    <w:uiPriority w:val="99"/>
    <w:pPr>
      <w:jc w:val="both"/>
    </w:pPr>
  </w:style>
  <w:style w:type="character" w:customStyle="1" w:styleId="188">
    <w:name w:val="样式 标题 4 + (符号) 宋体 Char"/>
    <w:basedOn w:val="100"/>
    <w:link w:val="189"/>
    <w:qFormat/>
    <w:locked/>
    <w:uiPriority w:val="99"/>
    <w:rPr>
      <w:rFonts w:ascii="宋体" w:hAnsi="Arial" w:eastAsia="宋体" w:cs="宋体"/>
      <w:kern w:val="2"/>
      <w:sz w:val="21"/>
      <w:szCs w:val="21"/>
    </w:rPr>
  </w:style>
  <w:style w:type="paragraph" w:customStyle="1" w:styleId="189">
    <w:name w:val="样式 标题 4 + (符号) 宋体"/>
    <w:basedOn w:val="5"/>
    <w:link w:val="188"/>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90">
    <w:name w:val="HTML 预设格式 Char"/>
    <w:qFormat/>
    <w:uiPriority w:val="99"/>
    <w:rPr>
      <w:rFonts w:ascii="Courier New" w:hAnsi="Courier New" w:cs="Courier New"/>
    </w:rPr>
  </w:style>
  <w:style w:type="character" w:customStyle="1" w:styleId="191">
    <w:name w:val="二级条标题 Char"/>
    <w:link w:val="192"/>
    <w:qFormat/>
    <w:locked/>
    <w:uiPriority w:val="99"/>
    <w:rPr>
      <w:rFonts w:ascii="黑体" w:eastAsia="黑体" w:cs="黑体"/>
    </w:rPr>
  </w:style>
  <w:style w:type="paragraph" w:customStyle="1" w:styleId="192">
    <w:name w:val="二级条标题"/>
    <w:basedOn w:val="1"/>
    <w:next w:val="148"/>
    <w:link w:val="191"/>
    <w:qFormat/>
    <w:uiPriority w:val="99"/>
    <w:pPr>
      <w:widowControl/>
      <w:outlineLvl w:val="3"/>
    </w:pPr>
    <w:rPr>
      <w:rFonts w:ascii="黑体" w:eastAsia="黑体" w:cs="Times New Roman"/>
      <w:kern w:val="0"/>
      <w:sz w:val="20"/>
      <w:szCs w:val="20"/>
    </w:rPr>
  </w:style>
  <w:style w:type="character" w:customStyle="1" w:styleId="193">
    <w:name w:val="样式 标题 3 + 宋体 Char"/>
    <w:link w:val="194"/>
    <w:qFormat/>
    <w:locked/>
    <w:uiPriority w:val="99"/>
    <w:rPr>
      <w:rFonts w:ascii="宋体" w:eastAsia="宋体" w:cs="宋体"/>
      <w:kern w:val="2"/>
      <w:sz w:val="21"/>
      <w:szCs w:val="21"/>
    </w:rPr>
  </w:style>
  <w:style w:type="paragraph" w:customStyle="1" w:styleId="194">
    <w:name w:val="样式 标题 3 + 宋体"/>
    <w:basedOn w:val="3"/>
    <w:link w:val="193"/>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95">
    <w:name w:val="HTML 地址 Char"/>
    <w:qFormat/>
    <w:uiPriority w:val="99"/>
    <w:rPr>
      <w:i/>
      <w:iCs/>
      <w:sz w:val="24"/>
      <w:szCs w:val="24"/>
    </w:rPr>
  </w:style>
  <w:style w:type="character" w:customStyle="1" w:styleId="196">
    <w:name w:val="三级条标题 Char"/>
    <w:basedOn w:val="191"/>
    <w:link w:val="197"/>
    <w:qFormat/>
    <w:locked/>
    <w:uiPriority w:val="99"/>
    <w:rPr>
      <w:rFonts w:ascii="黑体" w:eastAsia="黑体" w:cs="黑体"/>
    </w:rPr>
  </w:style>
  <w:style w:type="paragraph" w:customStyle="1" w:styleId="197">
    <w:name w:val="三级条标题"/>
    <w:basedOn w:val="192"/>
    <w:next w:val="148"/>
    <w:link w:val="196"/>
    <w:qFormat/>
    <w:uiPriority w:val="99"/>
    <w:pPr>
      <w:tabs>
        <w:tab w:val="left" w:pos="360"/>
      </w:tabs>
      <w:ind w:left="-180"/>
      <w:outlineLvl w:val="4"/>
    </w:pPr>
  </w:style>
  <w:style w:type="character" w:customStyle="1" w:styleId="198">
    <w:name w:val="首行缩进 Char"/>
    <w:link w:val="199"/>
    <w:qFormat/>
    <w:locked/>
    <w:uiPriority w:val="99"/>
    <w:rPr>
      <w:rFonts w:eastAsia="方正书宋简体"/>
    </w:rPr>
  </w:style>
  <w:style w:type="paragraph" w:customStyle="1" w:styleId="199">
    <w:name w:val="首行缩进"/>
    <w:basedOn w:val="1"/>
    <w:link w:val="198"/>
    <w:qFormat/>
    <w:uiPriority w:val="99"/>
    <w:pPr>
      <w:spacing w:line="300" w:lineRule="auto"/>
      <w:ind w:firstLine="420" w:firstLineChars="200"/>
    </w:pPr>
    <w:rPr>
      <w:rFonts w:eastAsia="方正书宋简体" w:cs="Times New Roman"/>
      <w:kern w:val="0"/>
      <w:sz w:val="20"/>
      <w:szCs w:val="20"/>
    </w:rPr>
  </w:style>
  <w:style w:type="paragraph" w:customStyle="1" w:styleId="200">
    <w:name w:val="附录标识"/>
    <w:basedOn w:val="201"/>
    <w:qFormat/>
    <w:uiPriority w:val="99"/>
  </w:style>
  <w:style w:type="paragraph" w:customStyle="1" w:styleId="201">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202">
    <w:name w:val="一级无标题条"/>
    <w:basedOn w:val="1"/>
    <w:qFormat/>
    <w:uiPriority w:val="99"/>
    <w:pPr>
      <w:ind w:left="851" w:hanging="397"/>
    </w:pPr>
    <w:rPr>
      <w:rFonts w:ascii="Times New Roman" w:hAnsi="Times New Roman" w:cs="Times New Roman"/>
    </w:rPr>
  </w:style>
  <w:style w:type="paragraph" w:customStyle="1" w:styleId="203">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204">
    <w:name w:val="二级无标题条"/>
    <w:basedOn w:val="1"/>
    <w:qFormat/>
    <w:uiPriority w:val="99"/>
    <w:pPr>
      <w:ind w:left="1418" w:hanging="709"/>
    </w:pPr>
    <w:rPr>
      <w:rFonts w:ascii="Times New Roman" w:hAnsi="Times New Roman" w:cs="Times New Roman"/>
    </w:rPr>
  </w:style>
  <w:style w:type="paragraph" w:customStyle="1" w:styleId="205">
    <w:name w:val="附录三级条标题"/>
    <w:basedOn w:val="206"/>
    <w:next w:val="148"/>
    <w:qFormat/>
    <w:uiPriority w:val="99"/>
    <w:pPr>
      <w:ind w:left="2551" w:hanging="850"/>
      <w:outlineLvl w:val="4"/>
    </w:pPr>
  </w:style>
  <w:style w:type="paragraph" w:customStyle="1" w:styleId="206">
    <w:name w:val="附录二级条标题"/>
    <w:basedOn w:val="207"/>
    <w:next w:val="148"/>
    <w:qFormat/>
    <w:uiPriority w:val="99"/>
    <w:pPr>
      <w:autoSpaceDN w:val="0"/>
      <w:ind w:left="1984" w:hanging="708"/>
      <w:outlineLvl w:val="3"/>
    </w:pPr>
  </w:style>
  <w:style w:type="paragraph" w:customStyle="1" w:styleId="207">
    <w:name w:val="附录一级条标题"/>
    <w:basedOn w:val="208"/>
    <w:next w:val="148"/>
    <w:qFormat/>
    <w:uiPriority w:val="99"/>
    <w:pPr>
      <w:ind w:left="1418"/>
    </w:pPr>
  </w:style>
  <w:style w:type="paragraph" w:customStyle="1" w:styleId="208">
    <w:name w:val="附录章标题"/>
    <w:next w:val="148"/>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9">
    <w:name w:val="附录四级条标题"/>
    <w:basedOn w:val="205"/>
    <w:next w:val="148"/>
    <w:qFormat/>
    <w:uiPriority w:val="99"/>
    <w:pPr>
      <w:outlineLvl w:val="5"/>
    </w:pPr>
  </w:style>
  <w:style w:type="paragraph" w:customStyle="1" w:styleId="210">
    <w:name w:val="示例"/>
    <w:next w:val="148"/>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11">
    <w:name w:val="三级无标题条"/>
    <w:basedOn w:val="1"/>
    <w:qFormat/>
    <w:uiPriority w:val="99"/>
    <w:pPr>
      <w:ind w:left="1418" w:hanging="567"/>
    </w:pPr>
    <w:rPr>
      <w:rFonts w:ascii="Times New Roman" w:hAnsi="Times New Roman" w:cs="Times New Roman"/>
    </w:rPr>
  </w:style>
  <w:style w:type="paragraph" w:customStyle="1" w:styleId="212">
    <w:name w:val="五级无标题条"/>
    <w:basedOn w:val="1"/>
    <w:qFormat/>
    <w:uiPriority w:val="99"/>
    <w:pPr>
      <w:ind w:left="3827" w:hanging="1276"/>
    </w:pPr>
    <w:rPr>
      <w:rFonts w:ascii="Times New Roman" w:hAnsi="Times New Roman" w:cs="Times New Roman"/>
    </w:rPr>
  </w:style>
  <w:style w:type="paragraph" w:customStyle="1" w:styleId="213">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14">
    <w:name w:val="附录五级条标题"/>
    <w:basedOn w:val="209"/>
    <w:next w:val="148"/>
    <w:qFormat/>
    <w:uiPriority w:val="99"/>
    <w:pPr>
      <w:outlineLvl w:val="6"/>
    </w:pPr>
  </w:style>
  <w:style w:type="paragraph" w:customStyle="1" w:styleId="215">
    <w:name w:val="四级条标题"/>
    <w:basedOn w:val="197"/>
    <w:next w:val="148"/>
    <w:qFormat/>
    <w:uiPriority w:val="99"/>
    <w:pPr>
      <w:tabs>
        <w:tab w:val="clear" w:pos="360"/>
      </w:tabs>
      <w:ind w:left="0"/>
      <w:outlineLvl w:val="5"/>
    </w:pPr>
  </w:style>
  <w:style w:type="paragraph" w:customStyle="1" w:styleId="216">
    <w:name w:val="四级无标题条"/>
    <w:basedOn w:val="1"/>
    <w:qFormat/>
    <w:uiPriority w:val="99"/>
    <w:pPr>
      <w:ind w:left="3260" w:hanging="1134"/>
    </w:pPr>
    <w:rPr>
      <w:rFonts w:ascii="Times New Roman" w:hAnsi="Times New Roman" w:cs="Times New Roman"/>
    </w:rPr>
  </w:style>
  <w:style w:type="paragraph" w:customStyle="1" w:styleId="217">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18">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9">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2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1">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22">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23">
    <w:name w:val="列出段落3"/>
    <w:basedOn w:val="1"/>
    <w:unhideWhenUsed/>
    <w:qFormat/>
    <w:uiPriority w:val="99"/>
    <w:pPr>
      <w:ind w:firstLine="420" w:firstLineChars="200"/>
    </w:pPr>
  </w:style>
  <w:style w:type="character" w:customStyle="1" w:styleId="224">
    <w:name w:val="Unresolved Mention"/>
    <w:basedOn w:val="44"/>
    <w:unhideWhenUsed/>
    <w:qFormat/>
    <w:uiPriority w:val="99"/>
    <w:rPr>
      <w:color w:val="808080"/>
      <w:shd w:val="clear" w:color="auto" w:fill="E6E6E6"/>
    </w:rPr>
  </w:style>
  <w:style w:type="character" w:customStyle="1" w:styleId="225">
    <w:name w:val="current"/>
    <w:basedOn w:val="44"/>
    <w:qFormat/>
    <w:uiPriority w:val="0"/>
    <w:rPr>
      <w:b/>
      <w:color w:val="0030CE"/>
    </w:rPr>
  </w:style>
  <w:style w:type="character" w:customStyle="1" w:styleId="226">
    <w:name w:val="allp"/>
    <w:basedOn w:val="44"/>
    <w:qFormat/>
    <w:uiPriority w:val="0"/>
    <w:rPr>
      <w:color w:val="0030CE"/>
    </w:rPr>
  </w:style>
  <w:style w:type="character" w:customStyle="1" w:styleId="227">
    <w:name w:val="dangq"/>
    <w:basedOn w:val="44"/>
    <w:qFormat/>
    <w:uiPriority w:val="0"/>
    <w:rPr>
      <w:b/>
      <w:color w:val="288094"/>
    </w:rPr>
  </w:style>
  <w:style w:type="table" w:customStyle="1" w:styleId="228">
    <w:name w:val="��ͨ���"/>
    <w:basedOn w:val="59"/>
    <w:semiHidden/>
    <w:qFormat/>
    <w:uiPriority w:val="0"/>
    <w:tblPr>
      <w:tblLayout w:type="fixed"/>
      <w:tblCellMar>
        <w:top w:w="0" w:type="dxa"/>
        <w:left w:w="108" w:type="dxa"/>
        <w:bottom w:w="0" w:type="dxa"/>
        <w:right w:w="108" w:type="dxa"/>
      </w:tblCellMar>
    </w:tblPr>
  </w:style>
  <w:style w:type="paragraph" w:customStyle="1" w:styleId="229">
    <w:name w:val="_Style 219"/>
    <w:basedOn w:val="1"/>
    <w:next w:val="1"/>
    <w:qFormat/>
    <w:uiPriority w:val="0"/>
    <w:pPr>
      <w:pBdr>
        <w:bottom w:val="single" w:color="auto" w:sz="6" w:space="1"/>
      </w:pBdr>
      <w:jc w:val="center"/>
    </w:pPr>
    <w:rPr>
      <w:rFonts w:ascii="Arial"/>
      <w:vanish/>
      <w:sz w:val="16"/>
    </w:rPr>
  </w:style>
  <w:style w:type="paragraph" w:customStyle="1" w:styleId="230">
    <w:name w:val="_Style 220"/>
    <w:basedOn w:val="1"/>
    <w:next w:val="1"/>
    <w:qFormat/>
    <w:uiPriority w:val="0"/>
    <w:pPr>
      <w:pBdr>
        <w:top w:val="single" w:color="auto" w:sz="6" w:space="1"/>
      </w:pBdr>
      <w:jc w:val="center"/>
    </w:pPr>
    <w:rPr>
      <w:rFonts w:ascii="Arial"/>
      <w:vanish/>
      <w:sz w:val="16"/>
    </w:rPr>
  </w:style>
  <w:style w:type="character" w:customStyle="1" w:styleId="231">
    <w:name w:val="inp1501"/>
    <w:basedOn w:val="44"/>
    <w:qFormat/>
    <w:uiPriority w:val="0"/>
  </w:style>
  <w:style w:type="character" w:customStyle="1" w:styleId="232">
    <w:name w:val="inp4001"/>
    <w:basedOn w:val="44"/>
    <w:qFormat/>
    <w:uiPriority w:val="0"/>
  </w:style>
  <w:style w:type="paragraph" w:customStyle="1" w:styleId="233">
    <w:name w:val="纯文本1"/>
    <w:basedOn w:val="1"/>
    <w:qFormat/>
    <w:uiPriority w:val="0"/>
    <w:pPr>
      <w:adjustRightInd w:val="0"/>
      <w:textAlignment w:val="baseline"/>
    </w:pPr>
    <w:rPr>
      <w:rFonts w:ascii="宋体" w:hAnsi="Courier New" w:eastAsia="楷体_GB2312" w:cs="Times New Roman"/>
      <w:sz w:val="28"/>
      <w:szCs w:val="20"/>
    </w:rPr>
  </w:style>
  <w:style w:type="character" w:customStyle="1" w:styleId="234">
    <w:name w:val="c6ui-widget-btn-single"/>
    <w:basedOn w:val="44"/>
    <w:qFormat/>
    <w:uiPriority w:val="0"/>
  </w:style>
  <w:style w:type="character" w:customStyle="1" w:styleId="235">
    <w:name w:val="tab_close"/>
    <w:basedOn w:val="44"/>
    <w:qFormat/>
    <w:uiPriority w:val="0"/>
    <w:rPr>
      <w:vanish/>
      <w:color w:val="FFFFFF"/>
    </w:rPr>
  </w:style>
  <w:style w:type="character" w:customStyle="1" w:styleId="236">
    <w:name w:val="tab_close1"/>
    <w:basedOn w:val="44"/>
    <w:qFormat/>
    <w:uiPriority w:val="0"/>
    <w:rPr>
      <w:b/>
      <w:color w:val="333333"/>
    </w:rPr>
  </w:style>
  <w:style w:type="character" w:customStyle="1" w:styleId="237">
    <w:name w:val="m"/>
    <w:basedOn w:val="44"/>
    <w:qFormat/>
    <w:uiPriority w:val="0"/>
  </w:style>
  <w:style w:type="character" w:customStyle="1" w:styleId="238">
    <w:name w:val="widget-btn-left-h"/>
    <w:basedOn w:val="44"/>
    <w:qFormat/>
    <w:uiPriority w:val="0"/>
  </w:style>
  <w:style w:type="character" w:customStyle="1" w:styleId="239">
    <w:name w:val="c6ui-widget-btn-single-c"/>
    <w:basedOn w:val="44"/>
    <w:qFormat/>
    <w:uiPriority w:val="0"/>
  </w:style>
  <w:style w:type="character" w:customStyle="1" w:styleId="240">
    <w:name w:val="widget-btn-left"/>
    <w:basedOn w:val="44"/>
    <w:qFormat/>
    <w:uiPriority w:val="0"/>
    <w:rPr>
      <w:color w:val="FFFFFF"/>
    </w:rPr>
  </w:style>
  <w:style w:type="character" w:customStyle="1" w:styleId="241">
    <w:name w:val="active7"/>
    <w:basedOn w:val="44"/>
    <w:qFormat/>
    <w:uiPriority w:val="0"/>
    <w:rPr>
      <w:b/>
    </w:rPr>
  </w:style>
  <w:style w:type="character" w:customStyle="1" w:styleId="242">
    <w:name w:val="tab_title"/>
    <w:basedOn w:val="44"/>
    <w:qFormat/>
    <w:uiPriority w:val="0"/>
    <w:rPr>
      <w:color w:val="FFFFFF"/>
    </w:rPr>
  </w:style>
  <w:style w:type="character" w:customStyle="1" w:styleId="243">
    <w:name w:val="tab_title1"/>
    <w:basedOn w:val="44"/>
    <w:qFormat/>
    <w:uiPriority w:val="0"/>
    <w:rPr>
      <w:b/>
      <w:color w:val="333333"/>
    </w:rPr>
  </w:style>
  <w:style w:type="character" w:customStyle="1" w:styleId="244">
    <w:name w:val="widget-btn-plus-h"/>
    <w:basedOn w:val="44"/>
    <w:qFormat/>
    <w:uiPriority w:val="0"/>
  </w:style>
  <w:style w:type="character" w:customStyle="1" w:styleId="245">
    <w:name w:val="widget-btn-left-c"/>
    <w:basedOn w:val="44"/>
    <w:qFormat/>
    <w:uiPriority w:val="0"/>
  </w:style>
  <w:style w:type="character" w:customStyle="1" w:styleId="246">
    <w:name w:val="widget-btn-plus-c"/>
    <w:basedOn w:val="44"/>
    <w:qFormat/>
    <w:uiPriority w:val="0"/>
  </w:style>
  <w:style w:type="character" w:customStyle="1" w:styleId="247">
    <w:name w:val="widget-btn-plus"/>
    <w:basedOn w:val="44"/>
    <w:qFormat/>
    <w:uiPriority w:val="0"/>
  </w:style>
  <w:style w:type="character" w:customStyle="1" w:styleId="248">
    <w:name w:val="c6ui-widget-btn-single-h"/>
    <w:basedOn w:val="44"/>
    <w:qFormat/>
    <w:uiPriority w:val="0"/>
  </w:style>
  <w:style w:type="character" w:customStyle="1" w:styleId="249">
    <w:name w:val="r"/>
    <w:basedOn w:val="44"/>
    <w:qFormat/>
    <w:uiPriority w:val="0"/>
  </w:style>
  <w:style w:type="character" w:customStyle="1" w:styleId="250">
    <w:name w:val="triangle"/>
    <w:basedOn w:val="44"/>
    <w:qFormat/>
    <w:uiPriority w:val="0"/>
    <w:rPr>
      <w:sz w:val="1"/>
      <w:szCs w:val="1"/>
    </w:rPr>
  </w:style>
  <w:style w:type="character" w:customStyle="1" w:styleId="251">
    <w:name w:val="c6ui-widget-btn-single1"/>
    <w:basedOn w:val="44"/>
    <w:qFormat/>
    <w:uiPriority w:val="0"/>
  </w:style>
  <w:style w:type="character" w:customStyle="1" w:styleId="252">
    <w:name w:val="r4"/>
    <w:basedOn w:val="44"/>
    <w:qFormat/>
    <w:uiPriority w:val="0"/>
  </w:style>
  <w:style w:type="character" w:customStyle="1" w:styleId="253">
    <w:name w:val="active5"/>
    <w:basedOn w:val="44"/>
    <w:qFormat/>
    <w:uiPriority w:val="0"/>
    <w:rPr>
      <w:b/>
    </w:rPr>
  </w:style>
  <w:style w:type="paragraph" w:customStyle="1" w:styleId="254">
    <w:name w:val="p16"/>
    <w:basedOn w:val="1"/>
    <w:qFormat/>
    <w:uiPriority w:val="0"/>
    <w:pPr>
      <w:widowControl/>
      <w:spacing w:after="156"/>
      <w:ind w:firstLine="570"/>
    </w:pPr>
    <w:rPr>
      <w:rFonts w:ascii="宋体" w:hAnsi="宋体" w:cs="宋体"/>
      <w:kern w:val="0"/>
      <w:sz w:val="28"/>
      <w:szCs w:val="28"/>
    </w:rPr>
  </w:style>
  <w:style w:type="paragraph" w:customStyle="1" w:styleId="255">
    <w:name w:val="列出段落4"/>
    <w:basedOn w:val="1"/>
    <w:unhideWhenUsed/>
    <w:qFormat/>
    <w:uiPriority w:val="99"/>
    <w:pPr>
      <w:ind w:firstLine="420" w:firstLineChars="200"/>
    </w:pPr>
  </w:style>
  <w:style w:type="paragraph" w:styleId="25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51927-B1E2-474E-8E42-1ACC40330B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2982</Words>
  <Characters>17004</Characters>
  <Lines>141</Lines>
  <Paragraphs>39</Paragraphs>
  <TotalTime>0</TotalTime>
  <ScaleCrop>false</ScaleCrop>
  <LinksUpToDate>false</LinksUpToDate>
  <CharactersWithSpaces>19947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2017-08-17T01:35:00Z</dcterms:created>
  <dc:creator>微软用户</dc:creator>
  <cp:lastModifiedBy>Faded</cp:lastModifiedBy>
  <cp:lastPrinted>2017-11-07T08:12:00Z</cp:lastPrinted>
  <dcterms:modified xsi:type="dcterms:W3CDTF">2018-05-28T09:13:34Z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