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56" w:beforeLines="50" w:after="156" w:afterLines="50" w:line="360" w:lineRule="auto"/>
        <w:ind w:firstLine="3092" w:firstLineChars="700"/>
        <w:jc w:val="both"/>
        <w:rPr>
          <w:rFonts w:hint="eastAsia"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用户需求书</w:t>
      </w:r>
    </w:p>
    <w:p>
      <w:pPr>
        <w:pStyle w:val="2"/>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bookmarkStart w:id="0" w:name="_Toc464229443"/>
      <w:r>
        <w:rPr>
          <w:rFonts w:hint="eastAsia" w:ascii="宋体" w:hAnsi="宋体" w:eastAsia="宋体"/>
          <w:bCs w:val="0"/>
          <w:color w:val="000000" w:themeColor="text1"/>
          <w:sz w:val="24"/>
          <w:szCs w:val="24"/>
          <w:highlight w:val="yellow"/>
          <w14:textFill>
            <w14:solidFill>
              <w14:schemeClr w14:val="tx1"/>
            </w14:solidFill>
          </w14:textFill>
        </w:rPr>
        <w:t>一、需求概述</w:t>
      </w:r>
      <w:bookmarkEnd w:id="0"/>
    </w:p>
    <w:p>
      <w:pPr>
        <w:pStyle w:val="7"/>
        <w:numPr>
          <w:ilvl w:val="0"/>
          <w:numId w:val="1"/>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履约服务商（指本项目的中标供应商，下同）建立其管理的覆盖全区的服务终端，利用“互联网+”技术，构建“管理平</w:t>
      </w:r>
      <w:bookmarkStart w:id="11" w:name="_GoBack"/>
      <w:bookmarkEnd w:id="11"/>
      <w:r>
        <w:rPr>
          <w:rFonts w:hint="eastAsia" w:ascii="宋体" w:hAnsi="宋体"/>
          <w:color w:val="000000" w:themeColor="text1"/>
          <w:kern w:val="28"/>
          <w:sz w:val="24"/>
          <w:highlight w:val="yellow"/>
          <w14:textFill>
            <w14:solidFill>
              <w14:schemeClr w14:val="tx1"/>
            </w14:solidFill>
          </w14:textFill>
        </w:rPr>
        <w:t xml:space="preserve">台+服务终端”的履约服务保障体系，为海口市琼山区中小学教育事业做好配套服务。 </w:t>
      </w:r>
    </w:p>
    <w:p>
      <w:pPr>
        <w:pStyle w:val="7"/>
        <w:numPr>
          <w:ilvl w:val="0"/>
          <w:numId w:val="1"/>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履约服务商可募集服务终端提供配套服务，通过其中央管理平台对服务终端进行扁平化管理，实现资源共享、统筹兼顾、就近安排、快速上门的服务。</w:t>
      </w:r>
    </w:p>
    <w:p>
      <w:pPr>
        <w:pStyle w:val="7"/>
        <w:numPr>
          <w:ilvl w:val="0"/>
          <w:numId w:val="1"/>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 xml:space="preserve">在工作中厘清各当事人之间的工作界面和职责，发生异常情况时优先保障学校及老师的利益。 </w:t>
      </w:r>
    </w:p>
    <w:p>
      <w:pPr>
        <w:pStyle w:val="2"/>
        <w:numPr>
          <w:ilvl w:val="0"/>
          <w:numId w:val="2"/>
        </w:numPr>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bookmarkStart w:id="1" w:name="_Toc464229444"/>
      <w:r>
        <w:rPr>
          <w:rFonts w:hint="eastAsia" w:ascii="宋体" w:hAnsi="宋体" w:eastAsia="宋体"/>
          <w:bCs w:val="0"/>
          <w:color w:val="000000" w:themeColor="text1"/>
          <w:sz w:val="24"/>
          <w:szCs w:val="24"/>
          <w:highlight w:val="yellow"/>
          <w14:textFill>
            <w14:solidFill>
              <w14:schemeClr w14:val="tx1"/>
            </w14:solidFill>
          </w14:textFill>
        </w:rPr>
        <w:t>服务内容</w:t>
      </w:r>
      <w:bookmarkEnd w:id="1"/>
    </w:p>
    <w:p>
      <w:pPr>
        <w:pStyle w:val="7"/>
        <w:numPr>
          <w:ilvl w:val="0"/>
          <w:numId w:val="3"/>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服务范围</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 xml:space="preserve">1.1涉及品目: </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教师机（台式机）、教师机（笔记本）、学生机（台式机）、学校服务器设备；学校多媒体设备、学校打印机设备、学校复印机设备、校园局域网设备、校园监控设备、校园广播设备、LED电子屏十一种设备。</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1.2服务对象：</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海南省海口市琼山区中小学校及幼儿园</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1.3服务期限：签订合同生效之日起1年。</w:t>
      </w:r>
    </w:p>
    <w:p>
      <w:pPr>
        <w:pStyle w:val="7"/>
        <w:numPr>
          <w:ilvl w:val="0"/>
          <w:numId w:val="3"/>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 xml:space="preserve">前期准备 </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sz w:val="24"/>
          <w:highlight w:val="yellow"/>
          <w14:textFill>
            <w14:solidFill>
              <w14:schemeClr w14:val="tx1"/>
            </w14:solidFill>
          </w14:textFill>
        </w:rPr>
        <w:t xml:space="preserve">履约服务商应将海口市琼山区服务范围内的学校、设备、设备负责人等信息统一分类管理，形成服务保障基础“数据库”。 </w:t>
      </w:r>
    </w:p>
    <w:p>
      <w:pPr>
        <w:pStyle w:val="7"/>
        <w:numPr>
          <w:ilvl w:val="0"/>
          <w:numId w:val="3"/>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服务列表</w:t>
      </w:r>
    </w:p>
    <w:p>
      <w:pPr>
        <w:pStyle w:val="7"/>
        <w:shd w:val="clear" w:color="auto" w:fill="FFFFFF"/>
        <w:snapToGrid w:val="0"/>
        <w:spacing w:line="360" w:lineRule="auto"/>
        <w:ind w:left="510" w:firstLine="0" w:firstLineChars="0"/>
        <w:rPr>
          <w:rFonts w:ascii="宋体" w:hAnsi="宋体"/>
          <w:color w:val="000000" w:themeColor="text1"/>
          <w:sz w:val="24"/>
          <w:highlight w:val="yellow"/>
          <w14:textFill>
            <w14:solidFill>
              <w14:schemeClr w14:val="tx1"/>
            </w14:solidFill>
          </w14:textFill>
        </w:rPr>
      </w:pPr>
      <w:r>
        <w:rPr>
          <w:rFonts w:ascii="宋体" w:hAnsi="宋体"/>
          <w:color w:val="000000" w:themeColor="text1"/>
          <w:kern w:val="28"/>
          <w:sz w:val="24"/>
          <w:highlight w:val="yellow"/>
          <w14:textFill>
            <w14:solidFill>
              <w14:schemeClr w14:val="tx1"/>
            </w14:solidFill>
          </w14:textFill>
        </w:rPr>
        <w:t>3.1</w:t>
      </w:r>
      <w:r>
        <w:rPr>
          <w:rFonts w:ascii="宋体" w:hAnsi="宋体"/>
          <w:color w:val="000000" w:themeColor="text1"/>
          <w:sz w:val="24"/>
          <w:highlight w:val="yellow"/>
          <w14:textFill>
            <w14:solidFill>
              <w14:schemeClr w14:val="tx1"/>
            </w14:solidFill>
          </w14:textFill>
        </w:rPr>
        <w:t>协助学校资产管理</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如</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协助采购</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交付验收等</w:t>
      </w:r>
      <w:r>
        <w:rPr>
          <w:rFonts w:hint="eastAsia" w:ascii="宋体" w:hAnsi="宋体"/>
          <w:color w:val="000000" w:themeColor="text1"/>
          <w:sz w:val="24"/>
          <w:highlight w:val="yellow"/>
          <w14:textFill>
            <w14:solidFill>
              <w14:schemeClr w14:val="tx1"/>
            </w14:solidFill>
          </w14:textFill>
        </w:rPr>
        <w:t>；</w:t>
      </w:r>
    </w:p>
    <w:p>
      <w:pPr>
        <w:pStyle w:val="7"/>
        <w:shd w:val="clear" w:color="auto" w:fill="FFFFFF"/>
        <w:snapToGrid w:val="0"/>
        <w:spacing w:line="360" w:lineRule="auto"/>
        <w:ind w:left="510" w:firstLine="0" w:firstLineChars="0"/>
        <w:rPr>
          <w:rFonts w:ascii="宋体" w:hAnsi="宋体"/>
          <w:color w:val="000000" w:themeColor="text1"/>
          <w:sz w:val="24"/>
          <w:highlight w:val="yellow"/>
          <w14:textFill>
            <w14:solidFill>
              <w14:schemeClr w14:val="tx1"/>
            </w14:solidFill>
          </w14:textFill>
        </w:rPr>
      </w:pPr>
      <w:r>
        <w:rPr>
          <w:rFonts w:ascii="宋体" w:hAnsi="宋体"/>
          <w:color w:val="000000" w:themeColor="text1"/>
          <w:sz w:val="24"/>
          <w:highlight w:val="yellow"/>
          <w14:textFill>
            <w14:solidFill>
              <w14:schemeClr w14:val="tx1"/>
            </w14:solidFill>
          </w14:textFill>
        </w:rPr>
        <w:t>3.2现场故障排查服务</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如</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热线服务</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上门服务</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桌面电子设备日常维护保养等</w:t>
      </w:r>
      <w:r>
        <w:rPr>
          <w:rFonts w:hint="eastAsia" w:ascii="宋体" w:hAnsi="宋体"/>
          <w:color w:val="000000" w:themeColor="text1"/>
          <w:sz w:val="24"/>
          <w:highlight w:val="yellow"/>
          <w14:textFill>
            <w14:solidFill>
              <w14:schemeClr w14:val="tx1"/>
            </w14:solidFill>
          </w14:textFill>
        </w:rPr>
        <w:t>；</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ascii="宋体" w:hAnsi="宋体"/>
          <w:color w:val="000000" w:themeColor="text1"/>
          <w:sz w:val="24"/>
          <w:highlight w:val="yellow"/>
          <w14:textFill>
            <w14:solidFill>
              <w14:schemeClr w14:val="tx1"/>
            </w14:solidFill>
          </w14:textFill>
        </w:rPr>
        <w:t>3.3防病毒软件支持</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如</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信息安全管理</w:t>
      </w:r>
      <w:r>
        <w:rPr>
          <w:rFonts w:hint="eastAsia" w:ascii="宋体" w:hAnsi="宋体"/>
          <w:color w:val="000000" w:themeColor="text1"/>
          <w:sz w:val="24"/>
          <w:highlight w:val="yellow"/>
          <w14:textFill>
            <w14:solidFill>
              <w14:schemeClr w14:val="tx1"/>
            </w14:solidFill>
          </w14:textFill>
        </w:rPr>
        <w:t>、</w:t>
      </w:r>
      <w:r>
        <w:rPr>
          <w:rFonts w:ascii="宋体" w:hAnsi="宋体"/>
          <w:color w:val="000000" w:themeColor="text1"/>
          <w:sz w:val="24"/>
          <w:highlight w:val="yellow"/>
          <w14:textFill>
            <w14:solidFill>
              <w14:schemeClr w14:val="tx1"/>
            </w14:solidFill>
          </w14:textFill>
        </w:rPr>
        <w:t>病毒防治等</w:t>
      </w:r>
      <w:r>
        <w:rPr>
          <w:rFonts w:hint="eastAsia" w:ascii="宋体" w:hAnsi="宋体"/>
          <w:color w:val="000000" w:themeColor="text1"/>
          <w:sz w:val="24"/>
          <w:highlight w:val="yellow"/>
          <w14:textFill>
            <w14:solidFill>
              <w14:schemeClr w14:val="tx1"/>
            </w14:solidFill>
          </w14:textFill>
        </w:rPr>
        <w:t>；</w:t>
      </w:r>
    </w:p>
    <w:p>
      <w:pPr>
        <w:pStyle w:val="2"/>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bookmarkStart w:id="2" w:name="_Toc464229445"/>
      <w:r>
        <w:rPr>
          <w:rFonts w:ascii="宋体" w:hAnsi="宋体" w:eastAsia="宋体"/>
          <w:bCs w:val="0"/>
          <w:color w:val="000000" w:themeColor="text1"/>
          <w:sz w:val="24"/>
          <w:szCs w:val="24"/>
          <w:highlight w:val="yellow"/>
          <w14:textFill>
            <w14:solidFill>
              <w14:schemeClr w14:val="tx1"/>
            </w14:solidFill>
          </w14:textFill>
        </w:rPr>
        <w:t>三</w:t>
      </w:r>
      <w:r>
        <w:rPr>
          <w:rFonts w:hint="eastAsia" w:ascii="宋体" w:hAnsi="宋体" w:eastAsia="宋体"/>
          <w:bCs w:val="0"/>
          <w:color w:val="000000" w:themeColor="text1"/>
          <w:sz w:val="24"/>
          <w:szCs w:val="24"/>
          <w:highlight w:val="yellow"/>
          <w14:textFill>
            <w14:solidFill>
              <w14:schemeClr w14:val="tx1"/>
            </w14:solidFill>
          </w14:textFill>
        </w:rPr>
        <w:t>、</w:t>
      </w:r>
      <w:r>
        <w:rPr>
          <w:rFonts w:ascii="宋体" w:hAnsi="宋体" w:eastAsia="宋体"/>
          <w:bCs w:val="0"/>
          <w:color w:val="000000" w:themeColor="text1"/>
          <w:sz w:val="24"/>
          <w:szCs w:val="24"/>
          <w:highlight w:val="yellow"/>
          <w14:textFill>
            <w14:solidFill>
              <w14:schemeClr w14:val="tx1"/>
            </w14:solidFill>
          </w14:textFill>
        </w:rPr>
        <w:t>服务</w:t>
      </w:r>
      <w:r>
        <w:rPr>
          <w:rFonts w:hint="eastAsia" w:ascii="宋体" w:hAnsi="宋体" w:eastAsia="宋体"/>
          <w:bCs w:val="0"/>
          <w:color w:val="000000" w:themeColor="text1"/>
          <w:sz w:val="24"/>
          <w:szCs w:val="24"/>
          <w:highlight w:val="yellow"/>
          <w14:textFill>
            <w14:solidFill>
              <w14:schemeClr w14:val="tx1"/>
            </w14:solidFill>
          </w14:textFill>
        </w:rPr>
        <w:t>承诺</w:t>
      </w:r>
      <w:bookmarkEnd w:id="2"/>
    </w:p>
    <w:p>
      <w:pPr>
        <w:pStyle w:val="7"/>
        <w:numPr>
          <w:ilvl w:val="0"/>
          <w:numId w:val="4"/>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bookmarkStart w:id="3" w:name="_Toc420424054"/>
      <w:r>
        <w:rPr>
          <w:rFonts w:hint="eastAsia" w:ascii="宋体" w:hAnsi="宋体"/>
          <w:color w:val="000000" w:themeColor="text1"/>
          <w:kern w:val="28"/>
          <w:sz w:val="24"/>
          <w:highlight w:val="yellow"/>
          <w14:textFill>
            <w14:solidFill>
              <w14:schemeClr w14:val="tx1"/>
            </w14:solidFill>
          </w14:textFill>
        </w:rPr>
        <w:t>提供上门服务，服务态度好，提供7*8小时服务（含节假日）。</w:t>
      </w:r>
    </w:p>
    <w:p>
      <w:pPr>
        <w:pStyle w:val="7"/>
        <w:numPr>
          <w:ilvl w:val="0"/>
          <w:numId w:val="4"/>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响应时间要求：</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bCs/>
          <w:color w:val="000000" w:themeColor="text1"/>
          <w:sz w:val="24"/>
          <w:highlight w:val="yellow"/>
          <w14:textFill>
            <w14:solidFill>
              <w14:schemeClr w14:val="tx1"/>
            </w14:solidFill>
          </w14:textFill>
        </w:rPr>
        <w:t>2.1响应时间是指收到学校通知开始至服务人员到达指定地点时间；</w:t>
      </w:r>
    </w:p>
    <w:p>
      <w:pPr>
        <w:pStyle w:val="7"/>
        <w:shd w:val="clear" w:color="auto" w:fill="FFFFFF"/>
        <w:snapToGrid w:val="0"/>
        <w:spacing w:line="360" w:lineRule="auto"/>
        <w:ind w:left="510" w:firstLine="0" w:firstLineChars="0"/>
        <w:rPr>
          <w:rFonts w:ascii="宋体" w:hAnsi="宋体"/>
          <w:bCs/>
          <w:color w:val="000000" w:themeColor="text1"/>
          <w:sz w:val="24"/>
          <w:highlight w:val="yellow"/>
          <w14:textFill>
            <w14:solidFill>
              <w14:schemeClr w14:val="tx1"/>
            </w14:solidFill>
          </w14:textFill>
        </w:rPr>
      </w:pPr>
      <w:r>
        <w:rPr>
          <w:rFonts w:ascii="宋体" w:hAnsi="宋体"/>
          <w:bCs/>
          <w:color w:val="000000" w:themeColor="text1"/>
          <w:sz w:val="24"/>
          <w:highlight w:val="yellow"/>
          <w14:textFill>
            <w14:solidFill>
              <w14:schemeClr w14:val="tx1"/>
            </w14:solidFill>
          </w14:textFill>
        </w:rPr>
        <w:t>2.2</w:t>
      </w:r>
      <w:r>
        <w:rPr>
          <w:rFonts w:hint="eastAsia" w:ascii="宋体" w:hAnsi="宋体"/>
          <w:bCs/>
          <w:color w:val="000000" w:themeColor="text1"/>
          <w:sz w:val="24"/>
          <w:highlight w:val="yellow"/>
          <w14:textFill>
            <w14:solidFill>
              <w14:schemeClr w14:val="tx1"/>
            </w14:solidFill>
          </w14:textFill>
        </w:rPr>
        <w:t>响应时间为2小时；</w:t>
      </w:r>
    </w:p>
    <w:p>
      <w:pPr>
        <w:pStyle w:val="7"/>
        <w:shd w:val="clear" w:color="auto" w:fill="FFFFFF"/>
        <w:snapToGrid w:val="0"/>
        <w:spacing w:line="360" w:lineRule="auto"/>
        <w:ind w:left="510" w:firstLine="0" w:firstLineChars="0"/>
        <w:rPr>
          <w:rFonts w:ascii="宋体" w:hAnsi="宋体"/>
          <w:bCs/>
          <w:color w:val="000000" w:themeColor="text1"/>
          <w:sz w:val="24"/>
          <w:highlight w:val="yellow"/>
          <w14:textFill>
            <w14:solidFill>
              <w14:schemeClr w14:val="tx1"/>
            </w14:solidFill>
          </w14:textFill>
        </w:rPr>
      </w:pPr>
      <w:r>
        <w:rPr>
          <w:rFonts w:hint="eastAsia" w:ascii="宋体" w:hAnsi="宋体"/>
          <w:bCs/>
          <w:color w:val="000000" w:themeColor="text1"/>
          <w:sz w:val="24"/>
          <w:highlight w:val="yellow"/>
          <w14:textFill>
            <w14:solidFill>
              <w14:schemeClr w14:val="tx1"/>
            </w14:solidFill>
          </w14:textFill>
        </w:rPr>
        <w:t>2.3接到维修通知后48小时内修复；</w:t>
      </w:r>
    </w:p>
    <w:p>
      <w:pPr>
        <w:pStyle w:val="7"/>
        <w:shd w:val="clear" w:color="auto" w:fill="FFFFFF"/>
        <w:snapToGrid w:val="0"/>
        <w:spacing w:line="360" w:lineRule="auto"/>
        <w:ind w:left="510" w:firstLine="0" w:firstLineChars="0"/>
        <w:rPr>
          <w:rFonts w:ascii="宋体" w:hAnsi="宋体"/>
          <w:bCs/>
          <w:color w:val="000000" w:themeColor="text1"/>
          <w:sz w:val="24"/>
          <w:highlight w:val="yellow"/>
          <w14:textFill>
            <w14:solidFill>
              <w14:schemeClr w14:val="tx1"/>
            </w14:solidFill>
          </w14:textFill>
        </w:rPr>
      </w:pPr>
      <w:r>
        <w:rPr>
          <w:rFonts w:ascii="宋体" w:hAnsi="宋体"/>
          <w:bCs/>
          <w:color w:val="000000" w:themeColor="text1"/>
          <w:sz w:val="24"/>
          <w:highlight w:val="yellow"/>
          <w14:textFill>
            <w14:solidFill>
              <w14:schemeClr w14:val="tx1"/>
            </w14:solidFill>
          </w14:textFill>
        </w:rPr>
        <w:t>2.4</w:t>
      </w:r>
      <w:r>
        <w:rPr>
          <w:rFonts w:hint="eastAsia" w:ascii="宋体" w:hAnsi="宋体"/>
          <w:bCs/>
          <w:color w:val="000000" w:themeColor="text1"/>
          <w:sz w:val="24"/>
          <w:highlight w:val="yellow"/>
          <w14:textFill>
            <w14:solidFill>
              <w14:schemeClr w14:val="tx1"/>
            </w14:solidFill>
          </w14:textFill>
        </w:rPr>
        <w:t>如报修时间为16点以后或离市区较远地区14点后报修的并经校方同意，可顺延至次日早上9点起算。</w:t>
      </w:r>
    </w:p>
    <w:p>
      <w:pPr>
        <w:pStyle w:val="7"/>
        <w:numPr>
          <w:ilvl w:val="0"/>
          <w:numId w:val="4"/>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故障设备取走和交还时应提供单据，单据内容包含设备资产信息、故障现象、设备外观情况、交接日期、交接人等信息。</w:t>
      </w:r>
    </w:p>
    <w:p>
      <w:pPr>
        <w:pStyle w:val="7"/>
        <w:numPr>
          <w:ilvl w:val="0"/>
          <w:numId w:val="4"/>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维修检测过程中不得损毁设备资产标签。维修过程中造成设备新的故障，维修商应免费修复。</w:t>
      </w:r>
      <w:bookmarkStart w:id="4" w:name="_Toc452978395"/>
    </w:p>
    <w:p>
      <w:pPr>
        <w:pStyle w:val="2"/>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bookmarkStart w:id="5" w:name="_Toc464229446"/>
      <w:r>
        <w:rPr>
          <w:rFonts w:hint="eastAsia" w:ascii="宋体" w:hAnsi="宋体" w:eastAsia="宋体"/>
          <w:bCs w:val="0"/>
          <w:color w:val="000000" w:themeColor="text1"/>
          <w:sz w:val="24"/>
          <w:szCs w:val="24"/>
          <w:highlight w:val="yellow"/>
          <w14:textFill>
            <w14:solidFill>
              <w14:schemeClr w14:val="tx1"/>
            </w14:solidFill>
          </w14:textFill>
        </w:rPr>
        <w:t>四、能力要求</w:t>
      </w:r>
      <w:bookmarkEnd w:id="3"/>
      <w:bookmarkEnd w:id="4"/>
      <w:bookmarkEnd w:id="5"/>
    </w:p>
    <w:p>
      <w:pPr>
        <w:pStyle w:val="7"/>
        <w:numPr>
          <w:ilvl w:val="0"/>
          <w:numId w:val="5"/>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履约服务商应具备完善的组织架构和培训体系，可募集具备售后服务能力的服务终端并组织服务培训，确保工程师具备良好的服务素质；平台成立初期建议其有国家认可的服务类高级人才作为体系支撑。</w:t>
      </w:r>
    </w:p>
    <w:p>
      <w:pPr>
        <w:pStyle w:val="7"/>
        <w:numPr>
          <w:ilvl w:val="0"/>
          <w:numId w:val="5"/>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 xml:space="preserve">履约服务商向学校单位提供自助服务平台，满足学校单位向服务终端下达任务派单并和学校单位预约上门服务时间。 </w:t>
      </w:r>
    </w:p>
    <w:p>
      <w:pPr>
        <w:pStyle w:val="7"/>
        <w:numPr>
          <w:ilvl w:val="0"/>
          <w:numId w:val="5"/>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履约服务商应尽可能多的具备服务内容中涉及的十一类产品的服务授权认证以充分保障多学校、多类型服务需求。</w:t>
      </w:r>
    </w:p>
    <w:p>
      <w:pPr>
        <w:pStyle w:val="2"/>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bookmarkStart w:id="6" w:name="_Toc464229447"/>
      <w:r>
        <w:rPr>
          <w:rFonts w:hint="eastAsia" w:ascii="宋体" w:hAnsi="宋体" w:eastAsia="宋体"/>
          <w:bCs w:val="0"/>
          <w:color w:val="000000" w:themeColor="text1"/>
          <w:sz w:val="24"/>
          <w:szCs w:val="24"/>
          <w:highlight w:val="yellow"/>
          <w14:textFill>
            <w14:solidFill>
              <w14:schemeClr w14:val="tx1"/>
            </w14:solidFill>
          </w14:textFill>
        </w:rPr>
        <w:t>五、现场演示内容</w:t>
      </w:r>
      <w:bookmarkEnd w:id="6"/>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“互联网+”传统服务理念和信息化系统应用</w:t>
      </w:r>
    </w:p>
    <w:p>
      <w:pPr>
        <w:pStyle w:val="2"/>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bookmarkStart w:id="7" w:name="_Toc464229448"/>
      <w:r>
        <w:rPr>
          <w:rFonts w:hint="eastAsia" w:ascii="宋体" w:hAnsi="宋体" w:eastAsia="宋体"/>
          <w:bCs w:val="0"/>
          <w:color w:val="000000" w:themeColor="text1"/>
          <w:sz w:val="24"/>
          <w:szCs w:val="24"/>
          <w:highlight w:val="yellow"/>
          <w14:textFill>
            <w14:solidFill>
              <w14:schemeClr w14:val="tx1"/>
            </w14:solidFill>
          </w14:textFill>
        </w:rPr>
        <w:t>六、运维公司考核机制</w:t>
      </w:r>
      <w:bookmarkEnd w:id="7"/>
    </w:p>
    <w:p>
      <w:pPr>
        <w:pStyle w:val="7"/>
        <w:numPr>
          <w:ilvl w:val="0"/>
          <w:numId w:val="6"/>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履约服务商于每月第1周工作日内提交上一月服务报告，对上一月的报障、维护及处理情况进行汇报，内容应包括以往未解决的问题，并说明原因，采购人将履约服务商进行监控，并对每月用户满意度、用户投诉等情况通报反馈给中标供应商，由</w:t>
      </w:r>
      <w:r>
        <w:rPr>
          <w:rFonts w:ascii="宋体" w:hAnsi="宋体"/>
          <w:color w:val="000000" w:themeColor="text1"/>
          <w:kern w:val="28"/>
          <w:sz w:val="24"/>
          <w:highlight w:val="yellow"/>
          <w14:textFill>
            <w14:solidFill>
              <w14:schemeClr w14:val="tx1"/>
            </w14:solidFill>
          </w14:textFill>
        </w:rPr>
        <w:t>中标供应商</w:t>
      </w:r>
      <w:r>
        <w:rPr>
          <w:rFonts w:hint="eastAsia" w:ascii="宋体" w:hAnsi="宋体"/>
          <w:color w:val="000000" w:themeColor="text1"/>
          <w:kern w:val="28"/>
          <w:sz w:val="24"/>
          <w:highlight w:val="yellow"/>
          <w14:textFill>
            <w14:solidFill>
              <w14:schemeClr w14:val="tx1"/>
            </w14:solidFill>
          </w14:textFill>
        </w:rPr>
        <w:t>负责人和采购责任人签字并备案，作为考核依据。</w:t>
      </w:r>
    </w:p>
    <w:p>
      <w:pPr>
        <w:pStyle w:val="7"/>
        <w:numPr>
          <w:ilvl w:val="0"/>
          <w:numId w:val="6"/>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采购人依据合同要求对</w:t>
      </w:r>
      <w:r>
        <w:rPr>
          <w:rFonts w:ascii="宋体" w:hAnsi="宋体"/>
          <w:color w:val="000000" w:themeColor="text1"/>
          <w:kern w:val="28"/>
          <w:sz w:val="24"/>
          <w:highlight w:val="yellow"/>
          <w14:textFill>
            <w14:solidFill>
              <w14:schemeClr w14:val="tx1"/>
            </w14:solidFill>
          </w14:textFill>
        </w:rPr>
        <w:t>中标供应商</w:t>
      </w:r>
      <w:r>
        <w:rPr>
          <w:rFonts w:hint="eastAsia" w:ascii="宋体" w:hAnsi="宋体"/>
          <w:color w:val="000000" w:themeColor="text1"/>
          <w:kern w:val="28"/>
          <w:sz w:val="24"/>
          <w:highlight w:val="yellow"/>
          <w14:textFill>
            <w14:solidFill>
              <w14:schemeClr w14:val="tx1"/>
            </w14:solidFill>
          </w14:textFill>
        </w:rPr>
        <w:t>进行考核，考核满意度如连续三次不符合要求，采购人有权书面通知</w:t>
      </w:r>
      <w:r>
        <w:rPr>
          <w:rFonts w:ascii="宋体" w:hAnsi="宋体"/>
          <w:color w:val="000000" w:themeColor="text1"/>
          <w:kern w:val="28"/>
          <w:sz w:val="24"/>
          <w:highlight w:val="yellow"/>
          <w14:textFill>
            <w14:solidFill>
              <w14:schemeClr w14:val="tx1"/>
            </w14:solidFill>
          </w14:textFill>
        </w:rPr>
        <w:t>中标供应商</w:t>
      </w:r>
      <w:r>
        <w:rPr>
          <w:rFonts w:hint="eastAsia" w:ascii="宋体" w:hAnsi="宋体"/>
          <w:color w:val="000000" w:themeColor="text1"/>
          <w:kern w:val="28"/>
          <w:sz w:val="24"/>
          <w:highlight w:val="yellow"/>
          <w14:textFill>
            <w14:solidFill>
              <w14:schemeClr w14:val="tx1"/>
            </w14:solidFill>
          </w14:textFill>
        </w:rPr>
        <w:t>并终止合同履行。</w:t>
      </w:r>
    </w:p>
    <w:p>
      <w:pPr>
        <w:pStyle w:val="7"/>
        <w:numPr>
          <w:ilvl w:val="0"/>
          <w:numId w:val="6"/>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在服务期内，如履约服务</w:t>
      </w:r>
      <w:r>
        <w:rPr>
          <w:rFonts w:ascii="宋体" w:hAnsi="宋体"/>
          <w:color w:val="000000" w:themeColor="text1"/>
          <w:kern w:val="28"/>
          <w:sz w:val="24"/>
          <w:highlight w:val="yellow"/>
          <w14:textFill>
            <w14:solidFill>
              <w14:schemeClr w14:val="tx1"/>
            </w14:solidFill>
          </w14:textFill>
        </w:rPr>
        <w:t>商</w:t>
      </w:r>
      <w:r>
        <w:rPr>
          <w:rFonts w:hint="eastAsia" w:ascii="宋体" w:hAnsi="宋体"/>
          <w:color w:val="000000" w:themeColor="text1"/>
          <w:kern w:val="28"/>
          <w:sz w:val="24"/>
          <w:highlight w:val="yellow"/>
          <w14:textFill>
            <w14:solidFill>
              <w14:schemeClr w14:val="tx1"/>
            </w14:solidFill>
          </w14:textFill>
        </w:rPr>
        <w:t>服务人员连续受到同一单位投诉3次或不同单位累计出现投诉10次，经采购人核实后，将扣除项目中标金额的2%服务费，如</w:t>
      </w:r>
      <w:r>
        <w:rPr>
          <w:rFonts w:ascii="宋体" w:hAnsi="宋体"/>
          <w:color w:val="000000" w:themeColor="text1"/>
          <w:kern w:val="28"/>
          <w:sz w:val="24"/>
          <w:highlight w:val="yellow"/>
          <w14:textFill>
            <w14:solidFill>
              <w14:schemeClr w14:val="tx1"/>
            </w14:solidFill>
          </w14:textFill>
        </w:rPr>
        <w:t>有</w:t>
      </w:r>
      <w:r>
        <w:rPr>
          <w:rFonts w:hint="eastAsia" w:ascii="宋体" w:hAnsi="宋体"/>
          <w:color w:val="000000" w:themeColor="text1"/>
          <w:kern w:val="28"/>
          <w:sz w:val="24"/>
          <w:highlight w:val="yellow"/>
          <w14:textFill>
            <w14:solidFill>
              <w14:schemeClr w14:val="tx1"/>
            </w14:solidFill>
          </w14:textFill>
        </w:rPr>
        <w:t>同一单位投诉累计出现10次，将扣除项目中标金额的10%服务费，如本年度投诉次数超过50次，采购人有（单方面）终止合同履行的权利。</w:t>
      </w:r>
    </w:p>
    <w:p>
      <w:pPr>
        <w:pStyle w:val="7"/>
        <w:numPr>
          <w:ilvl w:val="0"/>
          <w:numId w:val="6"/>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对</w:t>
      </w:r>
      <w:r>
        <w:rPr>
          <w:rFonts w:ascii="宋体" w:hAnsi="宋体"/>
          <w:color w:val="000000" w:themeColor="text1"/>
          <w:kern w:val="28"/>
          <w:sz w:val="24"/>
          <w:highlight w:val="yellow"/>
          <w14:textFill>
            <w14:solidFill>
              <w14:schemeClr w14:val="tx1"/>
            </w14:solidFill>
          </w14:textFill>
        </w:rPr>
        <w:t>中标供应商</w:t>
      </w:r>
      <w:r>
        <w:rPr>
          <w:rFonts w:hint="eastAsia" w:ascii="宋体" w:hAnsi="宋体"/>
          <w:color w:val="000000" w:themeColor="text1"/>
          <w:kern w:val="28"/>
          <w:sz w:val="24"/>
          <w:highlight w:val="yellow"/>
          <w14:textFill>
            <w14:solidFill>
              <w14:schemeClr w14:val="tx1"/>
            </w14:solidFill>
          </w14:textFill>
        </w:rPr>
        <w:t>的服务质量和效果的评估、监督和考核由海口市琼山区教育局电教站负责。</w:t>
      </w:r>
    </w:p>
    <w:p>
      <w:pPr>
        <w:pStyle w:val="2"/>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bookmarkStart w:id="8" w:name="_Toc464229449"/>
      <w:r>
        <w:rPr>
          <w:rFonts w:hint="eastAsia" w:ascii="宋体" w:hAnsi="宋体" w:eastAsia="宋体"/>
          <w:bCs w:val="0"/>
          <w:color w:val="000000" w:themeColor="text1"/>
          <w:sz w:val="24"/>
          <w:szCs w:val="24"/>
          <w:highlight w:val="yellow"/>
          <w14:textFill>
            <w14:solidFill>
              <w14:schemeClr w14:val="tx1"/>
            </w14:solidFill>
          </w14:textFill>
        </w:rPr>
        <w:t>七、项目清单</w:t>
      </w:r>
      <w:bookmarkEnd w:id="8"/>
    </w:p>
    <w:tbl>
      <w:tblPr>
        <w:tblStyle w:val="6"/>
        <w:tblW w:w="8522" w:type="dxa"/>
        <w:tblInd w:w="0" w:type="dxa"/>
        <w:tblLayout w:type="fixed"/>
        <w:tblCellMar>
          <w:top w:w="0" w:type="dxa"/>
          <w:left w:w="108" w:type="dxa"/>
          <w:bottom w:w="0" w:type="dxa"/>
          <w:right w:w="108" w:type="dxa"/>
        </w:tblCellMar>
      </w:tblPr>
      <w:tblGrid>
        <w:gridCol w:w="1454"/>
        <w:gridCol w:w="2250"/>
        <w:gridCol w:w="3136"/>
        <w:gridCol w:w="1682"/>
      </w:tblGrid>
      <w:tr>
        <w:tblPrEx>
          <w:tblLayout w:type="fixed"/>
          <w:tblCellMar>
            <w:top w:w="0" w:type="dxa"/>
            <w:left w:w="108" w:type="dxa"/>
            <w:bottom w:w="0" w:type="dxa"/>
            <w:right w:w="108" w:type="dxa"/>
          </w:tblCellMar>
        </w:tblPrEx>
        <w:trPr>
          <w:trHeight w:val="437" w:hRule="atLeast"/>
        </w:trPr>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序号</w:t>
            </w:r>
          </w:p>
        </w:tc>
        <w:tc>
          <w:tcPr>
            <w:tcW w:w="22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学校数量</w:t>
            </w:r>
          </w:p>
        </w:tc>
        <w:tc>
          <w:tcPr>
            <w:tcW w:w="313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学生人数</w:t>
            </w:r>
          </w:p>
        </w:tc>
        <w:tc>
          <w:tcPr>
            <w:tcW w:w="168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备注</w:t>
            </w:r>
          </w:p>
        </w:tc>
      </w:tr>
      <w:tr>
        <w:tblPrEx>
          <w:tblLayout w:type="fixed"/>
          <w:tblCellMar>
            <w:top w:w="0" w:type="dxa"/>
            <w:left w:w="108" w:type="dxa"/>
            <w:bottom w:w="0" w:type="dxa"/>
            <w:right w:w="108" w:type="dxa"/>
          </w:tblCellMar>
        </w:tblPrEx>
        <w:trPr>
          <w:trHeight w:val="420" w:hRule="atLeast"/>
        </w:trPr>
        <w:tc>
          <w:tcPr>
            <w:tcW w:w="145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1</w:t>
            </w:r>
          </w:p>
        </w:tc>
        <w:tc>
          <w:tcPr>
            <w:tcW w:w="2250" w:type="dxa"/>
            <w:tcBorders>
              <w:top w:val="nil"/>
              <w:left w:val="nil"/>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2</w:t>
            </w:r>
          </w:p>
        </w:tc>
        <w:tc>
          <w:tcPr>
            <w:tcW w:w="3136"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5000以上</w:t>
            </w:r>
          </w:p>
        </w:tc>
        <w:tc>
          <w:tcPr>
            <w:tcW w:w="1682"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p>
        </w:tc>
      </w:tr>
      <w:tr>
        <w:tblPrEx>
          <w:tblLayout w:type="fixed"/>
          <w:tblCellMar>
            <w:top w:w="0" w:type="dxa"/>
            <w:left w:w="108" w:type="dxa"/>
            <w:bottom w:w="0" w:type="dxa"/>
            <w:right w:w="108" w:type="dxa"/>
          </w:tblCellMar>
        </w:tblPrEx>
        <w:trPr>
          <w:trHeight w:val="413" w:hRule="atLeast"/>
        </w:trPr>
        <w:tc>
          <w:tcPr>
            <w:tcW w:w="145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2</w:t>
            </w:r>
          </w:p>
        </w:tc>
        <w:tc>
          <w:tcPr>
            <w:tcW w:w="2250" w:type="dxa"/>
            <w:tcBorders>
              <w:top w:val="nil"/>
              <w:left w:val="nil"/>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3</w:t>
            </w:r>
          </w:p>
        </w:tc>
        <w:tc>
          <w:tcPr>
            <w:tcW w:w="3136"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3000-4000以内</w:t>
            </w:r>
          </w:p>
        </w:tc>
        <w:tc>
          <w:tcPr>
            <w:tcW w:w="1682"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p>
        </w:tc>
      </w:tr>
      <w:tr>
        <w:tblPrEx>
          <w:tblLayout w:type="fixed"/>
          <w:tblCellMar>
            <w:top w:w="0" w:type="dxa"/>
            <w:left w:w="108" w:type="dxa"/>
            <w:bottom w:w="0" w:type="dxa"/>
            <w:right w:w="108" w:type="dxa"/>
          </w:tblCellMar>
        </w:tblPrEx>
        <w:trPr>
          <w:trHeight w:val="419" w:hRule="atLeast"/>
        </w:trPr>
        <w:tc>
          <w:tcPr>
            <w:tcW w:w="145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3</w:t>
            </w:r>
          </w:p>
        </w:tc>
        <w:tc>
          <w:tcPr>
            <w:tcW w:w="2250" w:type="dxa"/>
            <w:tcBorders>
              <w:top w:val="nil"/>
              <w:left w:val="nil"/>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4</w:t>
            </w:r>
          </w:p>
        </w:tc>
        <w:tc>
          <w:tcPr>
            <w:tcW w:w="3136"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2000-3000以内</w:t>
            </w:r>
          </w:p>
        </w:tc>
        <w:tc>
          <w:tcPr>
            <w:tcW w:w="1682"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p>
        </w:tc>
      </w:tr>
      <w:tr>
        <w:tblPrEx>
          <w:tblLayout w:type="fixed"/>
          <w:tblCellMar>
            <w:top w:w="0" w:type="dxa"/>
            <w:left w:w="108" w:type="dxa"/>
            <w:bottom w:w="0" w:type="dxa"/>
            <w:right w:w="108" w:type="dxa"/>
          </w:tblCellMar>
        </w:tblPrEx>
        <w:trPr>
          <w:trHeight w:val="419" w:hRule="atLeast"/>
        </w:trPr>
        <w:tc>
          <w:tcPr>
            <w:tcW w:w="145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4</w:t>
            </w:r>
          </w:p>
        </w:tc>
        <w:tc>
          <w:tcPr>
            <w:tcW w:w="2250" w:type="dxa"/>
            <w:tcBorders>
              <w:top w:val="nil"/>
              <w:left w:val="nil"/>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5</w:t>
            </w:r>
          </w:p>
        </w:tc>
        <w:tc>
          <w:tcPr>
            <w:tcW w:w="3136"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1000-2000以内</w:t>
            </w:r>
          </w:p>
        </w:tc>
        <w:tc>
          <w:tcPr>
            <w:tcW w:w="1682"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p>
        </w:tc>
      </w:tr>
      <w:tr>
        <w:tblPrEx>
          <w:tblLayout w:type="fixed"/>
          <w:tblCellMar>
            <w:top w:w="0" w:type="dxa"/>
            <w:left w:w="108" w:type="dxa"/>
            <w:bottom w:w="0" w:type="dxa"/>
            <w:right w:w="108" w:type="dxa"/>
          </w:tblCellMar>
        </w:tblPrEx>
        <w:trPr>
          <w:trHeight w:val="419" w:hRule="atLeast"/>
        </w:trPr>
        <w:tc>
          <w:tcPr>
            <w:tcW w:w="1454" w:type="dxa"/>
            <w:tcBorders>
              <w:top w:val="nil"/>
              <w:left w:val="single" w:color="auto" w:sz="4" w:space="0"/>
              <w:bottom w:val="nil"/>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5</w:t>
            </w:r>
          </w:p>
        </w:tc>
        <w:tc>
          <w:tcPr>
            <w:tcW w:w="2250" w:type="dxa"/>
            <w:tcBorders>
              <w:top w:val="nil"/>
              <w:left w:val="nil"/>
              <w:bottom w:val="nil"/>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8</w:t>
            </w:r>
          </w:p>
        </w:tc>
        <w:tc>
          <w:tcPr>
            <w:tcW w:w="3136" w:type="dxa"/>
            <w:tcBorders>
              <w:top w:val="nil"/>
              <w:left w:val="nil"/>
              <w:bottom w:val="nil"/>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500-1000以内</w:t>
            </w:r>
          </w:p>
        </w:tc>
        <w:tc>
          <w:tcPr>
            <w:tcW w:w="1682" w:type="dxa"/>
            <w:tcBorders>
              <w:top w:val="nil"/>
              <w:left w:val="nil"/>
              <w:bottom w:val="nil"/>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p>
        </w:tc>
      </w:tr>
      <w:tr>
        <w:tblPrEx>
          <w:tblLayout w:type="fixed"/>
          <w:tblCellMar>
            <w:top w:w="0" w:type="dxa"/>
            <w:left w:w="108" w:type="dxa"/>
            <w:bottom w:w="0" w:type="dxa"/>
            <w:right w:w="108" w:type="dxa"/>
          </w:tblCellMar>
        </w:tblPrEx>
        <w:trPr>
          <w:trHeight w:val="419" w:hRule="atLeast"/>
        </w:trPr>
        <w:tc>
          <w:tcPr>
            <w:tcW w:w="1454" w:type="dxa"/>
            <w:tcBorders>
              <w:top w:val="nil"/>
              <w:left w:val="single" w:color="auto" w:sz="4" w:space="0"/>
              <w:bottom w:val="nil"/>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6</w:t>
            </w:r>
          </w:p>
        </w:tc>
        <w:tc>
          <w:tcPr>
            <w:tcW w:w="2250" w:type="dxa"/>
            <w:tcBorders>
              <w:top w:val="nil"/>
              <w:left w:val="nil"/>
              <w:bottom w:val="nil"/>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22</w:t>
            </w:r>
          </w:p>
        </w:tc>
        <w:tc>
          <w:tcPr>
            <w:tcW w:w="3136" w:type="dxa"/>
            <w:tcBorders>
              <w:top w:val="nil"/>
              <w:left w:val="nil"/>
              <w:bottom w:val="nil"/>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100-500以内</w:t>
            </w:r>
          </w:p>
        </w:tc>
        <w:tc>
          <w:tcPr>
            <w:tcW w:w="1682" w:type="dxa"/>
            <w:tcBorders>
              <w:top w:val="nil"/>
              <w:left w:val="nil"/>
              <w:bottom w:val="nil"/>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p>
        </w:tc>
      </w:tr>
      <w:tr>
        <w:tblPrEx>
          <w:tblLayout w:type="fixed"/>
          <w:tblCellMar>
            <w:top w:w="0" w:type="dxa"/>
            <w:left w:w="108" w:type="dxa"/>
            <w:bottom w:w="0" w:type="dxa"/>
            <w:right w:w="108" w:type="dxa"/>
          </w:tblCellMar>
        </w:tblPrEx>
        <w:trPr>
          <w:trHeight w:val="419" w:hRule="atLeast"/>
        </w:trPr>
        <w:tc>
          <w:tcPr>
            <w:tcW w:w="1454"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7</w:t>
            </w:r>
          </w:p>
        </w:tc>
        <w:tc>
          <w:tcPr>
            <w:tcW w:w="2250" w:type="dxa"/>
            <w:tcBorders>
              <w:top w:val="nil"/>
              <w:left w:val="nil"/>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28</w:t>
            </w:r>
          </w:p>
        </w:tc>
        <w:tc>
          <w:tcPr>
            <w:tcW w:w="3136" w:type="dxa"/>
            <w:tcBorders>
              <w:top w:val="nil"/>
              <w:left w:val="nil"/>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14:textFill>
                  <w14:solidFill>
                    <w14:schemeClr w14:val="tx1"/>
                  </w14:solidFill>
                </w14:textFill>
              </w:rPr>
              <w:t>1-100以内</w:t>
            </w:r>
          </w:p>
        </w:tc>
        <w:tc>
          <w:tcPr>
            <w:tcW w:w="1682" w:type="dxa"/>
            <w:tcBorders>
              <w:top w:val="nil"/>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yellow"/>
                <w14:textFill>
                  <w14:solidFill>
                    <w14:schemeClr w14:val="tx1"/>
                  </w14:solidFill>
                </w14:textFill>
              </w:rPr>
            </w:pPr>
          </w:p>
        </w:tc>
      </w:tr>
    </w:tbl>
    <w:p>
      <w:pPr>
        <w:pStyle w:val="2"/>
        <w:snapToGrid w:val="0"/>
        <w:spacing w:before="0" w:after="0" w:line="360" w:lineRule="auto"/>
        <w:rPr>
          <w:rFonts w:ascii="宋体" w:hAnsi="宋体" w:eastAsia="宋体"/>
          <w:bCs w:val="0"/>
          <w:color w:val="000000" w:themeColor="text1"/>
          <w:sz w:val="24"/>
          <w:szCs w:val="24"/>
          <w:highlight w:val="yellow"/>
          <w14:textFill>
            <w14:solidFill>
              <w14:schemeClr w14:val="tx1"/>
            </w14:solidFill>
          </w14:textFill>
        </w:rPr>
      </w:pPr>
    </w:p>
    <w:p>
      <w:pPr>
        <w:pStyle w:val="2"/>
        <w:numPr>
          <w:ilvl w:val="0"/>
          <w:numId w:val="7"/>
        </w:numPr>
        <w:snapToGrid w:val="0"/>
        <w:spacing w:before="0" w:after="0" w:line="360" w:lineRule="auto"/>
        <w:rPr>
          <w:color w:val="000000" w:themeColor="text1"/>
          <w:highlight w:val="yellow"/>
          <w14:textFill>
            <w14:solidFill>
              <w14:schemeClr w14:val="tx1"/>
            </w14:solidFill>
          </w14:textFill>
        </w:rPr>
      </w:pPr>
      <w:bookmarkStart w:id="9" w:name="_Toc464229450"/>
      <w:r>
        <w:rPr>
          <w:rFonts w:hint="eastAsia" w:ascii="宋体" w:hAnsi="宋体" w:eastAsia="宋体"/>
          <w:bCs w:val="0"/>
          <w:color w:val="000000" w:themeColor="text1"/>
          <w:sz w:val="24"/>
          <w:szCs w:val="24"/>
          <w:highlight w:val="yellow"/>
          <w14:textFill>
            <w14:solidFill>
              <w14:schemeClr w14:val="tx1"/>
            </w14:solidFill>
          </w14:textFill>
        </w:rPr>
        <w:t>其他要求</w:t>
      </w:r>
      <w:bookmarkEnd w:id="9"/>
      <w:bookmarkStart w:id="10" w:name="_Toc173213163"/>
    </w:p>
    <w:bookmarkEnd w:id="10"/>
    <w:p>
      <w:pPr>
        <w:pStyle w:val="7"/>
        <w:numPr>
          <w:ilvl w:val="0"/>
          <w:numId w:val="8"/>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服务人员</w:t>
      </w:r>
      <w:r>
        <w:rPr>
          <w:rFonts w:ascii="宋体" w:hAnsi="宋体"/>
          <w:color w:val="000000" w:themeColor="text1"/>
          <w:kern w:val="28"/>
          <w:sz w:val="24"/>
          <w:highlight w:val="yellow"/>
          <w14:textFill>
            <w14:solidFill>
              <w14:schemeClr w14:val="tx1"/>
            </w14:solidFill>
          </w14:textFill>
        </w:rPr>
        <w:t>要求</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履约服务</w:t>
      </w:r>
      <w:r>
        <w:rPr>
          <w:rFonts w:ascii="宋体" w:hAnsi="宋体"/>
          <w:color w:val="000000" w:themeColor="text1"/>
          <w:kern w:val="28"/>
          <w:sz w:val="24"/>
          <w:highlight w:val="yellow"/>
          <w14:textFill>
            <w14:solidFill>
              <w14:schemeClr w14:val="tx1"/>
            </w14:solidFill>
          </w14:textFill>
        </w:rPr>
        <w:t>商</w:t>
      </w:r>
      <w:r>
        <w:rPr>
          <w:rFonts w:hint="eastAsia" w:ascii="宋体" w:hAnsi="宋体"/>
          <w:color w:val="000000" w:themeColor="text1"/>
          <w:kern w:val="28"/>
          <w:sz w:val="24"/>
          <w:highlight w:val="yellow"/>
          <w14:textFill>
            <w14:solidFill>
              <w14:schemeClr w14:val="tx1"/>
            </w14:solidFill>
          </w14:textFill>
        </w:rPr>
        <w:t>工作</w:t>
      </w:r>
      <w:r>
        <w:rPr>
          <w:rFonts w:ascii="宋体" w:hAnsi="宋体"/>
          <w:color w:val="000000" w:themeColor="text1"/>
          <w:kern w:val="28"/>
          <w:sz w:val="24"/>
          <w:highlight w:val="yellow"/>
          <w14:textFill>
            <w14:solidFill>
              <w14:schemeClr w14:val="tx1"/>
            </w14:solidFill>
          </w14:textFill>
        </w:rPr>
        <w:t>人员</w:t>
      </w:r>
      <w:r>
        <w:rPr>
          <w:rFonts w:hint="eastAsia" w:ascii="宋体" w:hAnsi="宋体"/>
          <w:color w:val="000000" w:themeColor="text1"/>
          <w:kern w:val="28"/>
          <w:sz w:val="24"/>
          <w:highlight w:val="yellow"/>
          <w14:textFill>
            <w14:solidFill>
              <w14:schemeClr w14:val="tx1"/>
            </w14:solidFill>
          </w14:textFill>
        </w:rPr>
        <w:t>必须</w:t>
      </w:r>
      <w:r>
        <w:rPr>
          <w:rFonts w:ascii="宋体" w:hAnsi="宋体"/>
          <w:color w:val="000000" w:themeColor="text1"/>
          <w:kern w:val="28"/>
          <w:sz w:val="24"/>
          <w:highlight w:val="yellow"/>
          <w14:textFill>
            <w14:solidFill>
              <w14:schemeClr w14:val="tx1"/>
            </w14:solidFill>
          </w14:textFill>
        </w:rPr>
        <w:t>在中标公示结束后2个工作日内</w:t>
      </w:r>
      <w:r>
        <w:rPr>
          <w:rFonts w:hint="eastAsia" w:ascii="宋体" w:hAnsi="宋体"/>
          <w:color w:val="000000" w:themeColor="text1"/>
          <w:kern w:val="28"/>
          <w:sz w:val="24"/>
          <w:highlight w:val="yellow"/>
          <w14:textFill>
            <w14:solidFill>
              <w14:schemeClr w14:val="tx1"/>
            </w14:solidFill>
          </w14:textFill>
        </w:rPr>
        <w:t>到岗，</w:t>
      </w:r>
      <w:r>
        <w:rPr>
          <w:rFonts w:ascii="宋体" w:hAnsi="宋体"/>
          <w:color w:val="000000" w:themeColor="text1"/>
          <w:kern w:val="28"/>
          <w:sz w:val="24"/>
          <w:highlight w:val="yellow"/>
          <w14:textFill>
            <w14:solidFill>
              <w14:schemeClr w14:val="tx1"/>
            </w14:solidFill>
          </w14:textFill>
        </w:rPr>
        <w:t>采</w:t>
      </w:r>
      <w:r>
        <w:rPr>
          <w:rFonts w:hint="eastAsia" w:ascii="宋体" w:hAnsi="宋体"/>
          <w:color w:val="000000" w:themeColor="text1"/>
          <w:kern w:val="28"/>
          <w:sz w:val="24"/>
          <w:highlight w:val="yellow"/>
          <w14:textFill>
            <w14:solidFill>
              <w14:schemeClr w14:val="tx1"/>
            </w14:solidFill>
          </w14:textFill>
        </w:rPr>
        <w:t>购</w:t>
      </w:r>
      <w:r>
        <w:rPr>
          <w:rFonts w:ascii="宋体" w:hAnsi="宋体"/>
          <w:color w:val="000000" w:themeColor="text1"/>
          <w:kern w:val="28"/>
          <w:sz w:val="24"/>
          <w:highlight w:val="yellow"/>
          <w14:textFill>
            <w14:solidFill>
              <w14:schemeClr w14:val="tx1"/>
            </w14:solidFill>
          </w14:textFill>
        </w:rPr>
        <w:t>人查验完毕后方可签署合同，</w:t>
      </w:r>
      <w:r>
        <w:rPr>
          <w:rFonts w:hint="eastAsia" w:ascii="宋体" w:hAnsi="宋体"/>
          <w:color w:val="000000" w:themeColor="text1"/>
          <w:kern w:val="28"/>
          <w:sz w:val="24"/>
          <w:highlight w:val="yellow"/>
          <w14:textFill>
            <w14:solidFill>
              <w14:schemeClr w14:val="tx1"/>
            </w14:solidFill>
          </w14:textFill>
        </w:rPr>
        <w:t>否则采购</w:t>
      </w:r>
      <w:r>
        <w:rPr>
          <w:rFonts w:ascii="宋体" w:hAnsi="宋体"/>
          <w:color w:val="000000" w:themeColor="text1"/>
          <w:kern w:val="28"/>
          <w:sz w:val="24"/>
          <w:highlight w:val="yellow"/>
          <w14:textFill>
            <w14:solidFill>
              <w14:schemeClr w14:val="tx1"/>
            </w14:solidFill>
          </w14:textFill>
        </w:rPr>
        <w:t>人有权</w:t>
      </w:r>
      <w:r>
        <w:rPr>
          <w:rFonts w:hint="eastAsia" w:ascii="宋体" w:hAnsi="宋体"/>
          <w:color w:val="000000" w:themeColor="text1"/>
          <w:kern w:val="28"/>
          <w:sz w:val="24"/>
          <w:highlight w:val="yellow"/>
          <w14:textFill>
            <w14:solidFill>
              <w14:schemeClr w14:val="tx1"/>
            </w14:solidFill>
          </w14:textFill>
        </w:rPr>
        <w:t>单</w:t>
      </w:r>
      <w:r>
        <w:rPr>
          <w:rFonts w:ascii="宋体" w:hAnsi="宋体"/>
          <w:color w:val="000000" w:themeColor="text1"/>
          <w:kern w:val="28"/>
          <w:sz w:val="24"/>
          <w:highlight w:val="yellow"/>
          <w14:textFill>
            <w14:solidFill>
              <w14:schemeClr w14:val="tx1"/>
            </w14:solidFill>
          </w14:textFill>
        </w:rPr>
        <w:t>方面终止</w:t>
      </w:r>
      <w:r>
        <w:rPr>
          <w:rFonts w:hint="eastAsia" w:ascii="宋体" w:hAnsi="宋体"/>
          <w:color w:val="000000" w:themeColor="text1"/>
          <w:kern w:val="28"/>
          <w:sz w:val="24"/>
          <w:highlight w:val="yellow"/>
          <w14:textFill>
            <w14:solidFill>
              <w14:schemeClr w14:val="tx1"/>
            </w14:solidFill>
          </w14:textFill>
        </w:rPr>
        <w:t>本项目</w:t>
      </w:r>
      <w:r>
        <w:rPr>
          <w:rFonts w:ascii="宋体" w:hAnsi="宋体"/>
          <w:color w:val="000000" w:themeColor="text1"/>
          <w:kern w:val="28"/>
          <w:sz w:val="24"/>
          <w:highlight w:val="yellow"/>
          <w14:textFill>
            <w14:solidFill>
              <w14:schemeClr w14:val="tx1"/>
            </w14:solidFill>
          </w14:textFill>
        </w:rPr>
        <w:t>并</w:t>
      </w:r>
      <w:r>
        <w:rPr>
          <w:rFonts w:hint="eastAsia" w:ascii="宋体" w:hAnsi="宋体"/>
          <w:color w:val="000000" w:themeColor="text1"/>
          <w:kern w:val="28"/>
          <w:sz w:val="24"/>
          <w:highlight w:val="yellow"/>
          <w14:textFill>
            <w14:solidFill>
              <w14:schemeClr w14:val="tx1"/>
            </w14:solidFill>
          </w14:textFill>
        </w:rPr>
        <w:t>报主管部门严肃处理，追究</w:t>
      </w:r>
      <w:r>
        <w:rPr>
          <w:rFonts w:ascii="宋体" w:hAnsi="宋体"/>
          <w:color w:val="000000" w:themeColor="text1"/>
          <w:kern w:val="28"/>
          <w:sz w:val="24"/>
          <w:highlight w:val="yellow"/>
          <w14:textFill>
            <w14:solidFill>
              <w14:schemeClr w14:val="tx1"/>
            </w14:solidFill>
          </w14:textFill>
        </w:rPr>
        <w:t>本次招标及</w:t>
      </w:r>
      <w:r>
        <w:rPr>
          <w:rFonts w:hint="eastAsia" w:ascii="宋体" w:hAnsi="宋体"/>
          <w:color w:val="000000" w:themeColor="text1"/>
          <w:kern w:val="28"/>
          <w:sz w:val="24"/>
          <w:highlight w:val="yellow"/>
          <w14:textFill>
            <w14:solidFill>
              <w14:schemeClr w14:val="tx1"/>
            </w14:solidFill>
          </w14:textFill>
        </w:rPr>
        <w:t>项目</w:t>
      </w:r>
      <w:r>
        <w:rPr>
          <w:rFonts w:ascii="宋体" w:hAnsi="宋体"/>
          <w:color w:val="000000" w:themeColor="text1"/>
          <w:kern w:val="28"/>
          <w:sz w:val="24"/>
          <w:highlight w:val="yellow"/>
          <w14:textFill>
            <w14:solidFill>
              <w14:schemeClr w14:val="tx1"/>
            </w14:solidFill>
          </w14:textFill>
        </w:rPr>
        <w:t>延误造成的全部损失。</w:t>
      </w:r>
    </w:p>
    <w:p>
      <w:pPr>
        <w:pStyle w:val="7"/>
        <w:numPr>
          <w:ilvl w:val="0"/>
          <w:numId w:val="8"/>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服务报告要求</w:t>
      </w:r>
    </w:p>
    <w:p>
      <w:pPr>
        <w:pStyle w:val="7"/>
        <w:numPr>
          <w:ilvl w:val="0"/>
          <w:numId w:val="9"/>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每月提交一份本月服务报告，包括但不仅限于本月服务总结（包括已解决的问题、未解决的问题等）、每次巡检及应急服务记录、接报处理情况、案例分析.用户满意度、用户投诉等，由采购责任人签字并备案。</w:t>
      </w:r>
    </w:p>
    <w:p>
      <w:pPr>
        <w:pStyle w:val="7"/>
        <w:numPr>
          <w:ilvl w:val="0"/>
          <w:numId w:val="9"/>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每季度提供服务单位各类设备使用情况报告以及对于待解决问题的建议等。</w:t>
      </w:r>
    </w:p>
    <w:p>
      <w:pPr>
        <w:pStyle w:val="7"/>
        <w:numPr>
          <w:ilvl w:val="0"/>
          <w:numId w:val="8"/>
        </w:numPr>
        <w:shd w:val="clear" w:color="auto" w:fill="FFFFFF"/>
        <w:snapToGrid w:val="0"/>
        <w:spacing w:line="360" w:lineRule="auto"/>
        <w:ind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 xml:space="preserve">投标报价 </w:t>
      </w:r>
    </w:p>
    <w:p>
      <w:pPr>
        <w:pStyle w:val="7"/>
        <w:shd w:val="clear" w:color="auto" w:fill="FFFFFF"/>
        <w:snapToGrid w:val="0"/>
        <w:spacing w:line="360" w:lineRule="auto"/>
        <w:ind w:left="510" w:firstLine="0" w:firstLineChars="0"/>
        <w:rPr>
          <w:rFonts w:ascii="宋体" w:hAnsi="宋体"/>
          <w:color w:val="000000" w:themeColor="text1"/>
          <w:kern w:val="28"/>
          <w:sz w:val="24"/>
          <w:highlight w:val="yellow"/>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投标人不能低于成本价恶意报价，如中标人的报价过低（低于预算金额的80%），明显不符合市场价格，则采购人有权要求中标人提供预算金额的</w:t>
      </w:r>
      <w:r>
        <w:rPr>
          <w:rFonts w:ascii="宋体" w:hAnsi="宋体"/>
          <w:color w:val="000000" w:themeColor="text1"/>
          <w:kern w:val="28"/>
          <w:sz w:val="24"/>
          <w:highlight w:val="yellow"/>
          <w14:textFill>
            <w14:solidFill>
              <w14:schemeClr w14:val="tx1"/>
            </w14:solidFill>
          </w14:textFill>
        </w:rPr>
        <w:t>2</w:t>
      </w:r>
      <w:r>
        <w:rPr>
          <w:rFonts w:hint="eastAsia" w:ascii="宋体" w:hAnsi="宋体"/>
          <w:color w:val="000000" w:themeColor="text1"/>
          <w:kern w:val="28"/>
          <w:sz w:val="24"/>
          <w:highlight w:val="yellow"/>
          <w14:textFill>
            <w14:solidFill>
              <w14:schemeClr w14:val="tx1"/>
            </w14:solidFill>
          </w14:textFill>
        </w:rPr>
        <w:t>0%作为履约保证金，同时预付款比例调整为0%。如中标人在实施过程中偷工减料、不按工期完成项目，则采购人有权终止合同，没收履约保证金，并报主管部门严肃处理。</w:t>
      </w:r>
    </w:p>
    <w:p>
      <w:pPr>
        <w:pStyle w:val="7"/>
        <w:numPr>
          <w:ilvl w:val="0"/>
          <w:numId w:val="8"/>
        </w:numPr>
        <w:shd w:val="clear" w:color="auto" w:fill="FFFFFF"/>
        <w:snapToGrid w:val="0"/>
        <w:spacing w:line="360" w:lineRule="auto"/>
        <w:ind w:firstLineChars="0"/>
        <w:rPr>
          <w:rFonts w:hint="eastAsia" w:ascii="宋体" w:hAnsi="宋体" w:cs="宋体"/>
          <w:b/>
          <w:bCs/>
          <w:color w:val="000000" w:themeColor="text1"/>
          <w:sz w:val="28"/>
          <w:szCs w:val="28"/>
          <w14:textFill>
            <w14:solidFill>
              <w14:schemeClr w14:val="tx1"/>
            </w14:solidFill>
          </w14:textFill>
        </w:rPr>
      </w:pPr>
      <w:r>
        <w:rPr>
          <w:rFonts w:hint="eastAsia" w:ascii="宋体" w:hAnsi="宋体"/>
          <w:color w:val="000000" w:themeColor="text1"/>
          <w:kern w:val="28"/>
          <w:sz w:val="24"/>
          <w:highlight w:val="yellow"/>
          <w14:textFill>
            <w14:solidFill>
              <w14:schemeClr w14:val="tx1"/>
            </w14:solidFill>
          </w14:textFill>
        </w:rPr>
        <w:t>履约服务商能够为本项目提供的其它增值服务。</w:t>
      </w:r>
    </w:p>
    <w:p>
      <w:pPr>
        <w:rPr>
          <w:color w:val="000000" w:themeColor="text1"/>
          <w14:textFill>
            <w14:solidFill>
              <w14:schemeClr w14:val="tx1"/>
            </w14:solidFill>
          </w14:textFill>
        </w:rPr>
      </w:pPr>
    </w:p>
    <w:sectPr>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50C"/>
    <w:multiLevelType w:val="multilevel"/>
    <w:tmpl w:val="156E550C"/>
    <w:lvl w:ilvl="0" w:tentative="0">
      <w:start w:val="1"/>
      <w:numFmt w:val="decimal"/>
      <w:lvlText w:val="%1)"/>
      <w:lvlJc w:val="left"/>
      <w:pPr>
        <w:ind w:left="930" w:hanging="420"/>
      </w:pPr>
      <w:rPr>
        <w:rFonts w:hint="eastAsia"/>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
    <w:nsid w:val="1C0C29C4"/>
    <w:multiLevelType w:val="multilevel"/>
    <w:tmpl w:val="1C0C29C4"/>
    <w:lvl w:ilvl="0" w:tentative="0">
      <w:start w:val="1"/>
      <w:numFmt w:val="decimal"/>
      <w:lvlText w:val="%1."/>
      <w:lvlJc w:val="left"/>
      <w:pPr>
        <w:ind w:left="510" w:hanging="51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536526"/>
    <w:multiLevelType w:val="multilevel"/>
    <w:tmpl w:val="1C536526"/>
    <w:lvl w:ilvl="0" w:tentative="0">
      <w:start w:val="1"/>
      <w:numFmt w:val="decimal"/>
      <w:lvlText w:val="%1."/>
      <w:lvlJc w:val="left"/>
      <w:pPr>
        <w:ind w:left="510" w:hanging="51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E90CC4"/>
    <w:multiLevelType w:val="multilevel"/>
    <w:tmpl w:val="22E90CC4"/>
    <w:lvl w:ilvl="0" w:tentative="0">
      <w:start w:val="1"/>
      <w:numFmt w:val="decimal"/>
      <w:lvlText w:val="%1."/>
      <w:lvlJc w:val="left"/>
      <w:pPr>
        <w:ind w:left="510" w:hanging="51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895D56"/>
    <w:multiLevelType w:val="multilevel"/>
    <w:tmpl w:val="36895D56"/>
    <w:lvl w:ilvl="0" w:tentative="0">
      <w:start w:val="1"/>
      <w:numFmt w:val="decimal"/>
      <w:lvlText w:val="%1."/>
      <w:lvlJc w:val="left"/>
      <w:pPr>
        <w:ind w:left="510" w:hanging="51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5F4EC9"/>
    <w:multiLevelType w:val="multilevel"/>
    <w:tmpl w:val="525F4EC9"/>
    <w:lvl w:ilvl="0" w:tentative="0">
      <w:start w:val="1"/>
      <w:numFmt w:val="decimal"/>
      <w:lvlText w:val="%1."/>
      <w:lvlJc w:val="left"/>
      <w:pPr>
        <w:ind w:left="510" w:hanging="51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552035D"/>
    <w:multiLevelType w:val="multilevel"/>
    <w:tmpl w:val="5552035D"/>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979F949"/>
    <w:multiLevelType w:val="singleLevel"/>
    <w:tmpl w:val="5979F949"/>
    <w:lvl w:ilvl="0" w:tentative="0">
      <w:start w:val="8"/>
      <w:numFmt w:val="chineseCounting"/>
      <w:suff w:val="nothing"/>
      <w:lvlText w:val="%1、"/>
      <w:lvlJc w:val="left"/>
    </w:lvl>
  </w:abstractNum>
  <w:abstractNum w:abstractNumId="8">
    <w:nsid w:val="5D3C1A65"/>
    <w:multiLevelType w:val="multilevel"/>
    <w:tmpl w:val="5D3C1A65"/>
    <w:lvl w:ilvl="0" w:tentative="0">
      <w:start w:val="1"/>
      <w:numFmt w:val="decimal"/>
      <w:lvlText w:val="%1."/>
      <w:lvlJc w:val="left"/>
      <w:pPr>
        <w:ind w:left="510" w:hanging="51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8"/>
  </w:num>
  <w:num w:numId="4">
    <w:abstractNumId w:val="4"/>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27FBB"/>
    <w:rsid w:val="6D535020"/>
    <w:rsid w:val="7752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2018-03-26T01:40:00Z</dcterms:created>
  <dc:creator>Administrator</dc:creator>
  <cp:lastModifiedBy>Administrator</cp:lastModifiedBy>
  <dcterms:modified xsi:type="dcterms:W3CDTF">2018-03-26T01:40:52Z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