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240" w:lineRule="auto"/>
        <w:ind w:left="420"/>
        <w:rPr>
          <w:rFonts w:hint="eastAsia" w:ascii="宋体" w:hAnsi="宋体" w:eastAsia="宋体"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采购需求</w:t>
      </w:r>
    </w:p>
    <w:p>
      <w:pPr>
        <w:spacing w:before="240" w:line="560" w:lineRule="exact"/>
        <w:rPr>
          <w:rFonts w:hint="eastAsia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hAnsi="宋体" w:cs="宋体"/>
          <w:b/>
          <w:color w:val="auto"/>
          <w:sz w:val="28"/>
          <w:szCs w:val="28"/>
          <w:highlight w:val="none"/>
        </w:rPr>
        <w:t>一、项目概况</w:t>
      </w:r>
    </w:p>
    <w:p>
      <w:pPr>
        <w:spacing w:before="240" w:line="360" w:lineRule="auto"/>
        <w:rPr>
          <w:rFonts w:hint="eastAsia" w:hAnsi="宋体" w:cs="宋体"/>
          <w:b/>
          <w:color w:val="auto"/>
          <w:sz w:val="24"/>
          <w:highlight w:val="none"/>
        </w:rPr>
      </w:pPr>
      <w:r>
        <w:rPr>
          <w:rFonts w:hint="eastAsia" w:hAnsi="宋体" w:cs="宋体"/>
          <w:b/>
          <w:color w:val="auto"/>
          <w:sz w:val="24"/>
          <w:highlight w:val="none"/>
        </w:rPr>
        <w:t xml:space="preserve">1.项目名称：主副食品采购     </w:t>
      </w:r>
    </w:p>
    <w:p>
      <w:pPr>
        <w:spacing w:before="240" w:line="360" w:lineRule="auto"/>
        <w:rPr>
          <w:rFonts w:hint="eastAsia" w:hAnsi="宋体" w:cs="宋体"/>
          <w:b/>
          <w:color w:val="auto"/>
          <w:sz w:val="24"/>
          <w:highlight w:val="none"/>
        </w:rPr>
      </w:pPr>
      <w:r>
        <w:rPr>
          <w:rFonts w:hint="eastAsia" w:hAnsi="宋体" w:cs="宋体"/>
          <w:b/>
          <w:color w:val="auto"/>
          <w:sz w:val="24"/>
          <w:highlight w:val="none"/>
        </w:rPr>
        <w:t>2.预算金额：人民币￥219.81128万元，超过预算金额为无效报价。</w:t>
      </w:r>
    </w:p>
    <w:p>
      <w:pPr>
        <w:spacing w:before="240" w:line="360" w:lineRule="auto"/>
        <w:rPr>
          <w:rFonts w:hint="eastAsia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hAnsi="宋体" w:cs="宋体"/>
          <w:b/>
          <w:color w:val="auto"/>
          <w:sz w:val="28"/>
          <w:szCs w:val="28"/>
          <w:highlight w:val="none"/>
        </w:rPr>
        <w:t>二、采购清单：</w:t>
      </w:r>
    </w:p>
    <w:tbl>
      <w:tblPr>
        <w:tblStyle w:val="5"/>
        <w:tblW w:w="80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4182"/>
        <w:gridCol w:w="1615"/>
        <w:gridCol w:w="1318"/>
      </w:tblGrid>
      <w:tr>
        <w:tblPrEx>
          <w:tblLayout w:type="fixed"/>
        </w:tblPrEx>
        <w:trPr>
          <w:trHeight w:val="47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hAnsi="宋体" w:cs="宋体"/>
                <w:b/>
                <w:color w:val="auto"/>
                <w:sz w:val="22"/>
                <w:szCs w:val="22"/>
                <w:highlight w:val="none"/>
                <w:lang w:bidi="ar"/>
              </w:rPr>
              <w:t>序号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hAnsi="宋体" w:cs="宋体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>采购品目名称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>数量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hAnsi="宋体" w:cs="宋体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>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大米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839500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面粉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78000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食油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48000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highlight w:val="none"/>
                <w:lang w:bidi="ar"/>
              </w:rPr>
              <w:t>斤</w:t>
            </w:r>
          </w:p>
        </w:tc>
      </w:tr>
    </w:tbl>
    <w:p>
      <w:pPr>
        <w:spacing w:before="240" w:line="560" w:lineRule="exact"/>
        <w:rPr>
          <w:rFonts w:hint="eastAsia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hAnsi="宋体" w:cs="宋体"/>
          <w:b/>
          <w:color w:val="auto"/>
          <w:sz w:val="28"/>
          <w:szCs w:val="28"/>
          <w:highlight w:val="none"/>
        </w:rPr>
        <w:t>三、技术参数要求：</w:t>
      </w:r>
    </w:p>
    <w:p>
      <w:pPr>
        <w:pStyle w:val="3"/>
        <w:numPr>
          <w:ilvl w:val="0"/>
          <w:numId w:val="2"/>
        </w:numPr>
        <w:snapToGrid w:val="0"/>
        <w:spacing w:line="480" w:lineRule="auto"/>
        <w:rPr>
          <w:rFonts w:hint="eastAsia" w:hAnsi="宋体"/>
          <w:b/>
          <w:color w:val="auto"/>
          <w:sz w:val="28"/>
          <w:szCs w:val="28"/>
          <w:highlight w:val="none"/>
        </w:rPr>
      </w:pPr>
      <w:r>
        <w:rPr>
          <w:rFonts w:hint="eastAsia" w:hAnsi="宋体"/>
          <w:b/>
          <w:color w:val="auto"/>
          <w:sz w:val="28"/>
          <w:szCs w:val="28"/>
          <w:highlight w:val="none"/>
        </w:rPr>
        <w:t>技术参数：</w:t>
      </w:r>
    </w:p>
    <w:tbl>
      <w:tblPr>
        <w:tblStyle w:val="5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46"/>
        <w:gridCol w:w="957"/>
        <w:gridCol w:w="2418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05" w:type="dxa"/>
            <w:vAlign w:val="center"/>
          </w:tcPr>
          <w:p>
            <w:pPr>
              <w:pStyle w:val="3"/>
              <w:snapToGrid w:val="0"/>
              <w:spacing w:line="36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pStyle w:val="3"/>
              <w:snapToGrid w:val="0"/>
              <w:spacing w:line="36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采购品目名称</w:t>
            </w:r>
          </w:p>
        </w:tc>
        <w:tc>
          <w:tcPr>
            <w:tcW w:w="7074" w:type="dxa"/>
            <w:gridSpan w:val="3"/>
            <w:vAlign w:val="center"/>
          </w:tcPr>
          <w:p>
            <w:pPr>
              <w:pStyle w:val="3"/>
              <w:snapToGrid w:val="0"/>
              <w:spacing w:line="36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大米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等级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GB 1354-2009 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加工精度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背沟有皮，粒面皮层残留不超过1/5的占80%以上。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不完善粒（%）≤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5" w:type="dxa"/>
            <w:vMerge w:val="continue"/>
            <w:textDirection w:val="tbRlV"/>
            <w:vAlign w:val="center"/>
          </w:tcPr>
          <w:p>
            <w:pPr>
              <w:pStyle w:val="3"/>
              <w:snapToGrid w:val="0"/>
              <w:spacing w:line="480" w:lineRule="auto"/>
              <w:ind w:left="113" w:right="113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textDirection w:val="tbRlV"/>
            <w:vAlign w:val="center"/>
          </w:tcPr>
          <w:p>
            <w:pPr>
              <w:pStyle w:val="3"/>
              <w:snapToGrid w:val="0"/>
              <w:spacing w:line="480" w:lineRule="auto"/>
              <w:ind w:left="113" w:right="113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Merge w:val="restart"/>
            <w:textDirection w:val="tbRlV"/>
            <w:vAlign w:val="center"/>
          </w:tcPr>
          <w:p>
            <w:pPr>
              <w:pStyle w:val="3"/>
              <w:snapToGrid w:val="0"/>
              <w:spacing w:line="480" w:lineRule="auto"/>
              <w:ind w:left="113" w:right="113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杂 质 最 大 限 量</w:t>
            </w: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总量（%）≤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其中：糠粉（%）≤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矿物质（%）≤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numPr>
                <w:ilvl w:val="1"/>
                <w:numId w:val="0"/>
              </w:numPr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带壳稗粒（%）≤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稻谷粒（粒/㎏）≤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Merge w:val="restart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碎米（%）</w:t>
            </w: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总量≤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其中：小碎米≤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水分（%）≤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14.5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黄粒米（%）≤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互混（%）≤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重量（斤/袋）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色泽、气味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无异味色泽和气味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面粉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等级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GB1355-86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面粉灰分%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≤0.7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水分%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≤14.5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精细度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全部通过CB36号筛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含砂量%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≤0.02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磁性金属物（g/kg）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气味口味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降落数值（秒）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≥250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食油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等级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BG15680-2009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色泽（罗维朋比色槽）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黄≤35 红≤7.0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水分及挥发物%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≤0.20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不溶性杂质%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≤0.05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酸值（KOH）mg/g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≤3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折光指数（n40）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1.465—1.469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相对密度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0.910—0.920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食用油纯度定性检验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不得掺入其它食用油或非食用油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黄曲霉毒素B1（ug/kg）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≤10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总砷mg/kg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≤0.1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铅（Pb）/（mg/kg）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≤0.1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溶剂残留量（mg/kg）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浸出油≤50；压榨油：不得检出。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熔点（℃）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≤24℃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过氧化值g/100g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≤0.25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重量（升/箱）</w:t>
            </w:r>
          </w:p>
        </w:tc>
        <w:tc>
          <w:tcPr>
            <w:tcW w:w="3699" w:type="dxa"/>
            <w:vAlign w:val="center"/>
          </w:tcPr>
          <w:p>
            <w:pPr>
              <w:pStyle w:val="3"/>
              <w:snapToGrid w:val="0"/>
              <w:spacing w:line="480" w:lineRule="auto"/>
              <w:jc w:val="center"/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auto"/>
                <w:sz w:val="24"/>
                <w:szCs w:val="24"/>
                <w:highlight w:val="none"/>
              </w:rPr>
              <w:t>22</w:t>
            </w:r>
          </w:p>
        </w:tc>
      </w:tr>
    </w:tbl>
    <w:p>
      <w:pPr>
        <w:pStyle w:val="3"/>
        <w:snapToGrid w:val="0"/>
        <w:spacing w:line="276" w:lineRule="auto"/>
        <w:rPr>
          <w:rFonts w:hint="eastAsia" w:hAnsi="宋体"/>
          <w:b/>
          <w:color w:val="auto"/>
          <w:sz w:val="22"/>
          <w:szCs w:val="28"/>
          <w:highlight w:val="none"/>
        </w:rPr>
      </w:pPr>
    </w:p>
    <w:p>
      <w:pPr>
        <w:pStyle w:val="3"/>
        <w:snapToGrid w:val="0"/>
        <w:spacing w:line="480" w:lineRule="auto"/>
        <w:rPr>
          <w:rFonts w:hint="eastAsia" w:hAnsi="宋体"/>
          <w:b/>
          <w:color w:val="auto"/>
          <w:sz w:val="28"/>
          <w:szCs w:val="28"/>
          <w:highlight w:val="none"/>
        </w:rPr>
      </w:pPr>
      <w:r>
        <w:rPr>
          <w:rFonts w:hint="eastAsia" w:hAnsi="宋体"/>
          <w:b/>
          <w:color w:val="auto"/>
          <w:sz w:val="28"/>
          <w:szCs w:val="28"/>
          <w:highlight w:val="none"/>
        </w:rPr>
        <w:t>2、其他要求：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/>
          <w:color w:val="auto"/>
          <w:sz w:val="28"/>
          <w:szCs w:val="28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2.1具备项目地第三方出具的产品质量检验报告（提供检验报告复印件）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2.2样品提交要求：半斤装大米、半斤装面粉、500 克瓶装食油。</w:t>
      </w:r>
    </w:p>
    <w:p>
      <w:pPr>
        <w:pStyle w:val="3"/>
        <w:numPr>
          <w:ilvl w:val="0"/>
          <w:numId w:val="3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样品外包装必须密封，并提供单独的纸质样品清单，注明项目名称、谈判编号、样品名称及数量、供应商名称，与投标样品摆放在一起。样品表面包装上不得看见可以识别供应商的任何标志与标识。评审采用盲样，由现场监督在评标前随机编号进入评审。样品未按照要求提供的，其无效响应。</w:t>
      </w:r>
    </w:p>
    <w:p>
      <w:pPr>
        <w:pStyle w:val="3"/>
        <w:numPr>
          <w:ilvl w:val="0"/>
          <w:numId w:val="3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评审结束以后，由监督老师现场监督，对全部投标样品进行封样，封样后电话通知各投标人自行取回。成交结果公布后由成交人自行将封存样品送至采购人处，其余未成交人自行处理。</w:t>
      </w:r>
    </w:p>
    <w:p>
      <w:pPr>
        <w:pStyle w:val="3"/>
        <w:numPr>
          <w:ilvl w:val="0"/>
          <w:numId w:val="3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供应商须自备评审结束以后样品封样的纸箱和封箱带等所需物品。</w:t>
      </w:r>
    </w:p>
    <w:p>
      <w:pPr>
        <w:pStyle w:val="3"/>
        <w:numPr>
          <w:ilvl w:val="0"/>
          <w:numId w:val="3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样品的生产、安装、运输费、保管费等一切费用由供应商自理。</w:t>
      </w:r>
    </w:p>
    <w:p>
      <w:pPr>
        <w:pStyle w:val="3"/>
        <w:numPr>
          <w:ilvl w:val="0"/>
          <w:numId w:val="3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送样时间：投标截止时间前摆放完毕；</w:t>
      </w:r>
    </w:p>
    <w:p>
      <w:pPr>
        <w:pStyle w:val="3"/>
        <w:numPr>
          <w:ilvl w:val="0"/>
          <w:numId w:val="3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送样地点：如无特别通知送样至开标地点，并按现场工作人员指示摆放。</w:t>
      </w:r>
    </w:p>
    <w:p>
      <w:pPr>
        <w:spacing w:before="240" w:line="460" w:lineRule="exact"/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 w:hAnsi="宋体" w:cs="宋体"/>
          <w:b/>
          <w:color w:val="auto"/>
          <w:sz w:val="28"/>
          <w:szCs w:val="28"/>
          <w:highlight w:val="none"/>
        </w:rPr>
        <w:t>三、</w:t>
      </w:r>
      <w:r>
        <w:rPr>
          <w:rFonts w:hint="eastAsia"/>
          <w:b/>
          <w:color w:val="auto"/>
          <w:sz w:val="28"/>
          <w:szCs w:val="28"/>
          <w:highlight w:val="none"/>
        </w:rPr>
        <w:t>商务要求</w:t>
      </w:r>
    </w:p>
    <w:p>
      <w:pPr>
        <w:pStyle w:val="3"/>
        <w:snapToGrid w:val="0"/>
        <w:spacing w:line="480" w:lineRule="auto"/>
        <w:rPr>
          <w:rFonts w:hint="eastAsia" w:hAnsi="宋体"/>
          <w:b/>
          <w:color w:val="auto"/>
          <w:sz w:val="24"/>
          <w:szCs w:val="24"/>
          <w:highlight w:val="none"/>
        </w:rPr>
      </w:pPr>
      <w:r>
        <w:rPr>
          <w:rFonts w:hint="eastAsia" w:hAnsi="宋体"/>
          <w:b/>
          <w:color w:val="auto"/>
          <w:sz w:val="24"/>
          <w:szCs w:val="24"/>
          <w:highlight w:val="none"/>
        </w:rPr>
        <w:t>（一）质量保证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1、所有货物必须是在中国范围内合法销售的全新产品，符合国家及该产品的出厂标准。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2、所有货物出厂标准及国家有关要求进行包装及运输。货物外包装上有注册商标，有检验合格证、生产日期和保质期。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3、供应商应保证所提供的产品是合格安全的产品，一旦发现伪劣假冒产品、以次充好产品或替代产品，由供应商承担一切责任，并赔偿所造成的损失。</w:t>
      </w:r>
    </w:p>
    <w:p>
      <w:pPr>
        <w:pStyle w:val="3"/>
        <w:numPr>
          <w:ilvl w:val="0"/>
          <w:numId w:val="4"/>
        </w:numPr>
        <w:snapToGrid w:val="0"/>
        <w:spacing w:line="480" w:lineRule="auto"/>
        <w:rPr>
          <w:rFonts w:hint="eastAsia" w:hAnsi="宋体"/>
          <w:b/>
          <w:color w:val="auto"/>
          <w:sz w:val="24"/>
          <w:szCs w:val="24"/>
          <w:highlight w:val="none"/>
        </w:rPr>
      </w:pPr>
      <w:r>
        <w:rPr>
          <w:rFonts w:hint="eastAsia" w:hAnsi="宋体"/>
          <w:b/>
          <w:color w:val="auto"/>
          <w:sz w:val="24"/>
          <w:szCs w:val="24"/>
          <w:highlight w:val="none"/>
        </w:rPr>
        <w:t>交货时间和地点及付款方式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1、交货期：签订合同后，按月供货。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2、交货地点：采购人指定地点。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3、付款方式：根据每月供货量，凭发票及签收单按月结算。（具体以签订合同为准）</w:t>
      </w:r>
    </w:p>
    <w:p>
      <w:pPr>
        <w:pStyle w:val="3"/>
        <w:numPr>
          <w:ilvl w:val="0"/>
          <w:numId w:val="5"/>
        </w:numPr>
        <w:snapToGrid w:val="0"/>
        <w:spacing w:line="480" w:lineRule="auto"/>
        <w:rPr>
          <w:rFonts w:hint="eastAsia" w:hAnsi="宋体"/>
          <w:b/>
          <w:color w:val="auto"/>
          <w:sz w:val="24"/>
          <w:szCs w:val="24"/>
          <w:highlight w:val="none"/>
        </w:rPr>
      </w:pPr>
      <w:r>
        <w:rPr>
          <w:rFonts w:hint="eastAsia" w:hAnsi="宋体"/>
          <w:b/>
          <w:color w:val="auto"/>
          <w:sz w:val="24"/>
          <w:szCs w:val="24"/>
          <w:highlight w:val="none"/>
        </w:rPr>
        <w:t>售后服务要求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1、保证货物到达使用单位完好无损，如有缺漏、损坏，由投标人负责调换、补齐。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2、质保期半年，质保期自货物验收之日起计算。从验收合格之日起半年内有质量问题，投标人负责免费更换。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3、提供的中标产品须经过使用单位验收人员的感官检验、外观检验和试用检验，若产品外观、包装、形式不符合要求、感官检验不能达到食品卫生要求，当即拒收;供应商不能满足食品的质量及售后服务要求时，供应商应承担全部责任。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4、须按照使用单位人员通知的时间、数量、品种、品质要求准时送货，经验收合格后签字确认，不能以任何理由推托，一旦造成影响，投标人应承担相应的经济赔偿。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5、采购人提出的质量异议，保证在20分钟以内作出答复，并妥善商处。无法在20分钟内解决的，应在1个小时内提供备用产品，使采购人能够正常使用。</w:t>
      </w:r>
    </w:p>
    <w:p>
      <w:pPr>
        <w:pStyle w:val="3"/>
        <w:numPr>
          <w:ilvl w:val="1"/>
          <w:numId w:val="0"/>
        </w:numPr>
        <w:snapToGrid w:val="0"/>
        <w:spacing w:line="480" w:lineRule="auto"/>
        <w:ind w:left="340" w:leftChars="100"/>
        <w:rPr>
          <w:rFonts w:hint="eastAsia"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>6、因产品质量问题发生的食物中毒等事故，由投标人承担经济赔偿责任以及其他法律责任。</w:t>
      </w:r>
    </w:p>
    <w:p>
      <w:pPr>
        <w:pStyle w:val="3"/>
        <w:snapToGrid w:val="0"/>
        <w:spacing w:line="480" w:lineRule="auto"/>
        <w:rPr>
          <w:rFonts w:hint="eastAsia" w:hAnsi="宋体"/>
          <w:b/>
          <w:color w:val="auto"/>
          <w:sz w:val="24"/>
          <w:szCs w:val="24"/>
          <w:highlight w:val="none"/>
        </w:rPr>
      </w:pPr>
      <w:r>
        <w:rPr>
          <w:rFonts w:hint="eastAsia" w:hAnsi="宋体"/>
          <w:b/>
          <w:color w:val="auto"/>
          <w:sz w:val="24"/>
          <w:szCs w:val="24"/>
          <w:highlight w:val="none"/>
        </w:rPr>
        <w:t>（四） 验收：</w:t>
      </w:r>
    </w:p>
    <w:p>
      <w:pPr>
        <w:pStyle w:val="3"/>
        <w:snapToGrid w:val="0"/>
        <w:spacing w:line="480" w:lineRule="auto"/>
        <w:rPr>
          <w:rFonts w:hint="eastAsia" w:hAnsi="宋体"/>
          <w:b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</w:rPr>
        <w:t xml:space="preserve">    成交供应商将货物送达采购人指定地点后，由采购人按招标文件要求指标和样品比照进行验收。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2"/>
      <w:lvlText w:val="%1、"/>
      <w:lvlJc w:val="left"/>
      <w:pPr>
        <w:ind w:left="1365" w:hanging="945"/>
      </w:pPr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default" w:ascii="Times New Roman"/>
        <w:u w:val="none" w:color="auto"/>
      </w:rPr>
    </w:lvl>
  </w:abstractNum>
  <w:abstractNum w:abstractNumId="1">
    <w:nsid w:val="58D0E211"/>
    <w:multiLevelType w:val="singleLevel"/>
    <w:tmpl w:val="58D0E211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D0E303"/>
    <w:multiLevelType w:val="singleLevel"/>
    <w:tmpl w:val="58D0E303"/>
    <w:lvl w:ilvl="0" w:tentative="0">
      <w:start w:val="3"/>
      <w:numFmt w:val="chineseCounting"/>
      <w:suff w:val="nothing"/>
      <w:lvlText w:val="（%1）"/>
      <w:lvlJc w:val="left"/>
    </w:lvl>
  </w:abstractNum>
  <w:abstractNum w:abstractNumId="3">
    <w:nsid w:val="58D0EB24"/>
    <w:multiLevelType w:val="singleLevel"/>
    <w:tmpl w:val="58D0EB24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58D0F53D"/>
    <w:multiLevelType w:val="singleLevel"/>
    <w:tmpl w:val="58D0F5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/>
      <w:sz w:val="3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340" w:after="330" w:line="360" w:lineRule="auto"/>
      <w:jc w:val="center"/>
      <w:outlineLvl w:val="0"/>
    </w:pPr>
    <w:rPr>
      <w:rFonts w:ascii="华文中宋" w:hAnsi="华文中宋" w:eastAsia="华文中宋"/>
      <w:b/>
      <w:bCs/>
      <w:color w:val="000000"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pPr>
      <w:widowControl w:val="0"/>
      <w:autoSpaceDE w:val="0"/>
      <w:autoSpaceDN w:val="0"/>
      <w:adjustRightInd w:val="0"/>
      <w:jc w:val="both"/>
    </w:pPr>
    <w:rPr>
      <w:rFonts w:hAnsi="Tms Rmn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You must have a good</cp:lastModifiedBy>
  <dcterms:modified xsi:type="dcterms:W3CDTF">2018-03-16T09:08:07Z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