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洋浦经济开发区公安消防支队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-洋浦经济开发区公安消防支队中型通信指挥车及消防宣传车-流标公告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洋浦经济开发区公安消防支队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洋浦经济开发区公安消防支队中型通信指挥车及消防宣传车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166A-1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公开招标采购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，由于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通过资格初审的投标人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有关本项目的下一步采购活动，敬请留意中国海南政府采购网（</w:t>
      </w:r>
      <w:r>
        <w:rPr>
          <w:rFonts w:hint="eastAsia"/>
          <w:color w:val="000000"/>
          <w:sz w:val="28"/>
          <w:szCs w:val="28"/>
        </w:rPr>
        <w:fldChar w:fldCharType="begin"/>
      </w:r>
      <w:r>
        <w:rPr>
          <w:rFonts w:hint="eastAsia"/>
          <w:color w:val="000000"/>
          <w:sz w:val="28"/>
          <w:szCs w:val="28"/>
        </w:rPr>
        <w:instrText xml:space="preserve"> HYPERLINK "http://36.101.208.72:8080/" </w:instrText>
      </w:r>
      <w:r>
        <w:rPr>
          <w:rFonts w:hint="eastAsia"/>
          <w:color w:val="000000"/>
          <w:sz w:val="28"/>
          <w:szCs w:val="28"/>
        </w:rPr>
        <w:fldChar w:fldCharType="separate"/>
      </w:r>
      <w:r>
        <w:rPr>
          <w:rFonts w:hint="eastAsia"/>
          <w:color w:val="000000"/>
          <w:sz w:val="28"/>
          <w:szCs w:val="28"/>
        </w:rPr>
        <w:t>http://36.101.208.72:8080/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）、海南省公共资源交易服务中心（http://www.ggzy.hi.gov.cn）媒体上发布的采购公告。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hint="eastAsia"/>
          <w:color w:val="000000"/>
          <w:sz w:val="28"/>
          <w:szCs w:val="28"/>
        </w:rPr>
      </w:pPr>
      <w:bookmarkStart w:id="0" w:name="_GoBack"/>
      <w:bookmarkEnd w:id="0"/>
    </w:p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F1FCC"/>
    <w:rsid w:val="20DB3DA5"/>
    <w:rsid w:val="259662ED"/>
    <w:rsid w:val="5E921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ui"/>
    <w:basedOn w:val="3"/>
    <w:uiPriority w:val="0"/>
    <w:rPr>
      <w:color w:val="999999"/>
    </w:rPr>
  </w:style>
  <w:style w:type="character" w:customStyle="1" w:styleId="11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2017-12-12T02:01:14Z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