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华文中宋" w:hAnsi="华文中宋" w:eastAsia="华文中宋"/>
          <w:b/>
          <w:sz w:val="32"/>
          <w:szCs w:val="32"/>
        </w:rPr>
      </w:pPr>
    </w:p>
    <w:p>
      <w:pPr>
        <w:spacing w:line="360" w:lineRule="auto"/>
        <w:outlineLvl w:val="0"/>
        <w:rPr>
          <w:rFonts w:ascii="华文中宋" w:hAnsi="华文中宋" w:eastAsia="华文中宋"/>
          <w:b/>
          <w:sz w:val="32"/>
          <w:szCs w:val="32"/>
        </w:rPr>
      </w:pPr>
    </w:p>
    <w:p>
      <w:pPr>
        <w:jc w:val="center"/>
        <w:rPr>
          <w:rFonts w:asciiTheme="majorEastAsia" w:hAnsiTheme="majorEastAsia" w:eastAsiaTheme="majorEastAsia"/>
          <w:b/>
          <w:sz w:val="48"/>
          <w:szCs w:val="48"/>
        </w:rPr>
      </w:pPr>
      <w:r>
        <w:rPr>
          <w:rFonts w:hint="eastAsia" w:cs="Tahoma" w:asciiTheme="majorEastAsia" w:hAnsiTheme="majorEastAsia" w:eastAsiaTheme="majorEastAsia"/>
          <w:b/>
          <w:sz w:val="48"/>
          <w:szCs w:val="48"/>
        </w:rPr>
        <w:t>海口市灵山中学采购水泵房设备项目</w:t>
      </w:r>
    </w:p>
    <w:p>
      <w:pPr>
        <w:spacing w:line="360" w:lineRule="auto"/>
        <w:jc w:val="center"/>
        <w:rPr>
          <w:rFonts w:ascii="黑体" w:hAnsi="黑体" w:eastAsia="黑体"/>
          <w:b/>
          <w:color w:val="000000"/>
          <w:sz w:val="24"/>
        </w:rPr>
      </w:pPr>
    </w:p>
    <w:p>
      <w:pPr>
        <w:spacing w:line="360" w:lineRule="auto"/>
        <w:jc w:val="center"/>
        <w:rPr>
          <w:rFonts w:ascii="黑体" w:hAnsi="黑体" w:eastAsia="黑体"/>
          <w:b/>
          <w:color w:val="000000"/>
          <w:sz w:val="30"/>
          <w:szCs w:val="30"/>
        </w:rPr>
      </w:pPr>
      <w:r>
        <w:rPr>
          <w:rFonts w:hint="eastAsia" w:ascii="黑体" w:hAnsi="黑体" w:eastAsia="黑体"/>
          <w:b/>
          <w:color w:val="000000"/>
          <w:sz w:val="30"/>
          <w:szCs w:val="30"/>
        </w:rPr>
        <w:t>项目编号：SCHX-HK20160</w:t>
      </w:r>
      <w:r>
        <w:rPr>
          <w:rFonts w:ascii="黑体" w:hAnsi="黑体" w:eastAsia="黑体"/>
          <w:b/>
          <w:color w:val="000000"/>
          <w:sz w:val="30"/>
          <w:szCs w:val="30"/>
        </w:rPr>
        <w:t>62</w:t>
      </w:r>
    </w:p>
    <w:p>
      <w:pPr>
        <w:spacing w:line="360" w:lineRule="auto"/>
        <w:jc w:val="center"/>
        <w:rPr>
          <w:rFonts w:ascii="仿宋_GB2312" w:eastAsia="仿宋_GB2312"/>
          <w:b/>
          <w:sz w:val="24"/>
        </w:rPr>
      </w:pPr>
    </w:p>
    <w:p>
      <w:pPr>
        <w:spacing w:line="360" w:lineRule="auto"/>
        <w:jc w:val="center"/>
        <w:outlineLvl w:val="0"/>
        <w:rPr>
          <w:rFonts w:ascii="黑体" w:hAnsi="黑体" w:eastAsia="黑体"/>
          <w:b/>
          <w:kern w:val="0"/>
          <w:sz w:val="80"/>
          <w:szCs w:val="80"/>
        </w:rPr>
      </w:pPr>
      <w:bookmarkStart w:id="0" w:name="_Toc452457414"/>
    </w:p>
    <w:p>
      <w:pPr>
        <w:spacing w:line="360" w:lineRule="auto"/>
        <w:jc w:val="center"/>
        <w:outlineLvl w:val="0"/>
        <w:rPr>
          <w:rFonts w:ascii="黑体" w:hAnsi="黑体" w:eastAsia="黑体"/>
          <w:b/>
          <w:kern w:val="0"/>
          <w:sz w:val="80"/>
          <w:szCs w:val="80"/>
        </w:rPr>
      </w:pPr>
      <w:r>
        <w:rPr>
          <w:rFonts w:hint="eastAsia" w:ascii="黑体" w:hAnsi="黑体" w:eastAsia="黑体"/>
          <w:b/>
          <w:kern w:val="0"/>
          <w:sz w:val="80"/>
          <w:szCs w:val="80"/>
        </w:rPr>
        <w:t>竞争性磋商文件</w:t>
      </w:r>
      <w:bookmarkEnd w:id="0"/>
    </w:p>
    <w:p>
      <w:pPr>
        <w:spacing w:line="360" w:lineRule="auto"/>
        <w:jc w:val="center"/>
        <w:rPr>
          <w:rFonts w:ascii="仿宋_GB2312" w:eastAsia="仿宋_GB2312"/>
          <w:b/>
          <w:sz w:val="24"/>
        </w:rPr>
      </w:pPr>
    </w:p>
    <w:p>
      <w:pPr>
        <w:spacing w:line="360" w:lineRule="auto"/>
        <w:jc w:val="center"/>
        <w:rPr>
          <w:rFonts w:ascii="仿宋_GB2312" w:hAnsi="宋体" w:eastAsia="仿宋_GB2312"/>
          <w:b/>
          <w:bCs/>
          <w:sz w:val="28"/>
          <w:szCs w:val="28"/>
        </w:rPr>
      </w:pPr>
    </w:p>
    <w:p>
      <w:pPr>
        <w:spacing w:line="360" w:lineRule="auto"/>
        <w:rPr>
          <w:rFonts w:ascii="仿宋_GB2312" w:hAnsi="宋体" w:eastAsia="仿宋_GB2312"/>
          <w:b/>
          <w:bCs/>
          <w:sz w:val="28"/>
          <w:szCs w:val="28"/>
        </w:rPr>
      </w:pPr>
    </w:p>
    <w:p>
      <w:pPr>
        <w:spacing w:line="360" w:lineRule="auto"/>
        <w:rPr>
          <w:rFonts w:ascii="仿宋_GB2312" w:hAnsi="宋体" w:eastAsia="仿宋_GB2312"/>
          <w:b/>
          <w:bCs/>
          <w:sz w:val="28"/>
          <w:szCs w:val="28"/>
        </w:rPr>
      </w:pPr>
    </w:p>
    <w:p>
      <w:pPr>
        <w:spacing w:line="360" w:lineRule="auto"/>
        <w:jc w:val="center"/>
        <w:rPr>
          <w:rFonts w:ascii="宋体" w:hAnsi="宋体"/>
          <w:b/>
          <w:kern w:val="0"/>
          <w:sz w:val="30"/>
          <w:szCs w:val="30"/>
        </w:rPr>
      </w:pPr>
      <w:r>
        <w:rPr>
          <w:rFonts w:hint="eastAsia" w:ascii="宋体" w:hAnsi="宋体"/>
          <w:b/>
          <w:kern w:val="0"/>
          <w:sz w:val="30"/>
          <w:szCs w:val="30"/>
        </w:rPr>
        <w:t>采 购 人：</w:t>
      </w:r>
      <w:r>
        <w:rPr>
          <w:rFonts w:hint="eastAsia" w:ascii="宋体" w:hAnsi="宋体"/>
          <w:b/>
          <w:sz w:val="30"/>
          <w:szCs w:val="30"/>
        </w:rPr>
        <w:t>海口市灵山中学</w:t>
      </w:r>
    </w:p>
    <w:p>
      <w:pPr>
        <w:spacing w:line="360" w:lineRule="auto"/>
        <w:jc w:val="center"/>
        <w:rPr>
          <w:rFonts w:ascii="宋体" w:hAnsi="宋体"/>
          <w:b/>
          <w:kern w:val="0"/>
          <w:sz w:val="30"/>
        </w:rPr>
      </w:pPr>
      <w:r>
        <w:rPr>
          <w:rFonts w:hint="eastAsia" w:ascii="宋体" w:hAnsi="宋体"/>
          <w:b/>
          <w:kern w:val="0"/>
          <w:sz w:val="30"/>
        </w:rPr>
        <w:t>招标代理机构：四川恒鑫工程管理咨询有限公司</w:t>
      </w:r>
    </w:p>
    <w:p>
      <w:pPr>
        <w:spacing w:line="360" w:lineRule="auto"/>
        <w:jc w:val="center"/>
        <w:rPr>
          <w:b/>
          <w:kern w:val="0"/>
        </w:rPr>
        <w:sectPr>
          <w:headerReference r:id="rId5" w:type="first"/>
          <w:footerReference r:id="rId8" w:type="first"/>
          <w:headerReference r:id="rId3" w:type="default"/>
          <w:footerReference r:id="rId6" w:type="default"/>
          <w:headerReference r:id="rId4" w:type="even"/>
          <w:footerReference r:id="rId7" w:type="even"/>
          <w:footnotePr>
            <w:pos w:val="beneathText"/>
          </w:footnotePr>
          <w:pgSz w:w="11905" w:h="16837"/>
          <w:pgMar w:top="1457" w:right="1548" w:bottom="1457" w:left="1945" w:header="964" w:footer="964" w:gutter="0"/>
          <w:pgNumType w:start="0"/>
          <w:cols w:space="720" w:num="1"/>
          <w:titlePg/>
          <w:docGrid w:linePitch="285" w:charSpace="2457"/>
        </w:sectPr>
      </w:pPr>
      <w:r>
        <w:rPr>
          <w:rFonts w:hint="eastAsia" w:ascii="宋体" w:hAnsi="宋体"/>
          <w:b/>
          <w:kern w:val="0"/>
          <w:sz w:val="30"/>
        </w:rPr>
        <w:t>二○一六年十一月</w:t>
      </w:r>
    </w:p>
    <w:p>
      <w:pPr>
        <w:spacing w:line="360" w:lineRule="auto"/>
        <w:jc w:val="center"/>
        <w:rPr>
          <w:rFonts w:ascii="宋体" w:hAnsi="宋体"/>
          <w:b/>
          <w:sz w:val="44"/>
        </w:rPr>
      </w:pPr>
      <w:r>
        <w:rPr>
          <w:rFonts w:hint="eastAsia" w:ascii="宋体" w:hAnsi="宋体"/>
          <w:b/>
          <w:sz w:val="44"/>
        </w:rPr>
        <w:t>目   录</w:t>
      </w:r>
    </w:p>
    <w:p>
      <w:pPr>
        <w:spacing w:line="360" w:lineRule="auto"/>
        <w:rPr>
          <w:rFonts w:ascii="宋体" w:hAnsi="宋体"/>
          <w:b/>
          <w:sz w:val="44"/>
        </w:rPr>
      </w:pPr>
    </w:p>
    <w:p>
      <w:pPr>
        <w:pStyle w:val="31"/>
        <w:tabs>
          <w:tab w:val="right" w:leader="dot" w:pos="8402"/>
        </w:tabs>
        <w:rPr>
          <w:rFonts w:ascii="宋体" w:hAnsi="宋体"/>
          <w:b w:val="0"/>
          <w:bCs w:val="0"/>
          <w:i w:val="0"/>
          <w:iCs w:val="0"/>
          <w:sz w:val="28"/>
          <w:szCs w:val="28"/>
        </w:rPr>
      </w:pPr>
      <w:r>
        <w:rPr>
          <w:rFonts w:ascii="宋体" w:hAnsi="宋体" w:cs="Arial"/>
          <w:b w:val="0"/>
          <w:i w:val="0"/>
          <w:sz w:val="28"/>
          <w:szCs w:val="28"/>
        </w:rPr>
        <w:fldChar w:fldCharType="begin"/>
      </w:r>
      <w:r>
        <w:rPr>
          <w:rFonts w:hint="eastAsia" w:ascii="宋体" w:hAnsi="宋体" w:cs="Arial"/>
          <w:b w:val="0"/>
          <w:i w:val="0"/>
          <w:sz w:val="28"/>
          <w:szCs w:val="28"/>
        </w:rPr>
        <w:instrText xml:space="preserve">TOC \o "1-3" \h \z \u</w:instrText>
      </w:r>
      <w:r>
        <w:rPr>
          <w:rFonts w:ascii="宋体" w:hAnsi="宋体" w:cs="Arial"/>
          <w:b w:val="0"/>
          <w:i w:val="0"/>
          <w:sz w:val="28"/>
          <w:szCs w:val="28"/>
        </w:rPr>
        <w:fldChar w:fldCharType="separate"/>
      </w:r>
      <w:r>
        <w:fldChar w:fldCharType="begin"/>
      </w:r>
      <w:r>
        <w:instrText xml:space="preserve"> HYPERLINK \l "_Toc452457416" </w:instrText>
      </w:r>
      <w:r>
        <w:fldChar w:fldCharType="separate"/>
      </w:r>
      <w:r>
        <w:rPr>
          <w:rStyle w:val="48"/>
          <w:rFonts w:hint="eastAsia" w:ascii="宋体" w:hAnsi="宋体"/>
          <w:b w:val="0"/>
          <w:i w:val="0"/>
          <w:sz w:val="28"/>
          <w:szCs w:val="28"/>
        </w:rPr>
        <w:t>第一章磋商邀请函</w:t>
      </w:r>
      <w:r>
        <w:rPr>
          <w:rFonts w:ascii="宋体" w:hAnsi="宋体"/>
          <w:b w:val="0"/>
          <w:i w:val="0"/>
          <w:sz w:val="28"/>
          <w:szCs w:val="28"/>
        </w:rPr>
        <w:tab/>
      </w:r>
      <w:r>
        <w:rPr>
          <w:rFonts w:ascii="宋体" w:hAnsi="宋体"/>
          <w:b w:val="0"/>
          <w:i w:val="0"/>
          <w:sz w:val="28"/>
          <w:szCs w:val="28"/>
        </w:rPr>
        <w:fldChar w:fldCharType="begin"/>
      </w:r>
      <w:r>
        <w:rPr>
          <w:rFonts w:ascii="宋体" w:hAnsi="宋体"/>
          <w:b w:val="0"/>
          <w:i w:val="0"/>
          <w:sz w:val="28"/>
          <w:szCs w:val="28"/>
        </w:rPr>
        <w:instrText xml:space="preserve"> PAGEREF _Toc452457416 \h </w:instrText>
      </w:r>
      <w:r>
        <w:rPr>
          <w:rFonts w:ascii="宋体" w:hAnsi="宋体"/>
          <w:b w:val="0"/>
          <w:i w:val="0"/>
          <w:sz w:val="28"/>
          <w:szCs w:val="28"/>
        </w:rPr>
        <w:fldChar w:fldCharType="separate"/>
      </w:r>
      <w:r>
        <w:rPr>
          <w:rFonts w:ascii="宋体" w:hAnsi="宋体"/>
          <w:b w:val="0"/>
          <w:i w:val="0"/>
          <w:sz w:val="28"/>
          <w:szCs w:val="28"/>
        </w:rPr>
        <w:t>1</w:t>
      </w:r>
      <w:r>
        <w:rPr>
          <w:rFonts w:ascii="宋体" w:hAnsi="宋体"/>
          <w:b w:val="0"/>
          <w:i w:val="0"/>
          <w:sz w:val="28"/>
          <w:szCs w:val="28"/>
        </w:rPr>
        <w:fldChar w:fldCharType="end"/>
      </w:r>
      <w:r>
        <w:rPr>
          <w:rFonts w:ascii="宋体" w:hAnsi="宋体"/>
          <w:b w:val="0"/>
          <w:i w:val="0"/>
          <w:sz w:val="28"/>
          <w:szCs w:val="28"/>
        </w:rPr>
        <w:fldChar w:fldCharType="end"/>
      </w:r>
    </w:p>
    <w:p>
      <w:pPr>
        <w:pStyle w:val="31"/>
        <w:tabs>
          <w:tab w:val="right" w:leader="dot" w:pos="8402"/>
        </w:tabs>
        <w:rPr>
          <w:rFonts w:ascii="宋体" w:hAnsi="宋体"/>
          <w:b w:val="0"/>
          <w:bCs w:val="0"/>
          <w:i w:val="0"/>
          <w:iCs w:val="0"/>
          <w:sz w:val="28"/>
          <w:szCs w:val="28"/>
        </w:rPr>
      </w:pPr>
      <w:r>
        <w:fldChar w:fldCharType="begin"/>
      </w:r>
      <w:r>
        <w:instrText xml:space="preserve"> HYPERLINK \l "_Toc452457417" </w:instrText>
      </w:r>
      <w:r>
        <w:fldChar w:fldCharType="separate"/>
      </w:r>
      <w:r>
        <w:rPr>
          <w:rStyle w:val="48"/>
          <w:rFonts w:hint="eastAsia" w:ascii="宋体" w:hAnsi="宋体"/>
          <w:b w:val="0"/>
          <w:i w:val="0"/>
          <w:sz w:val="28"/>
          <w:szCs w:val="28"/>
        </w:rPr>
        <w:t>第二章报价人须知</w:t>
      </w:r>
      <w:r>
        <w:rPr>
          <w:rFonts w:ascii="宋体" w:hAnsi="宋体"/>
          <w:b w:val="0"/>
          <w:i w:val="0"/>
          <w:sz w:val="28"/>
          <w:szCs w:val="28"/>
        </w:rPr>
        <w:tab/>
      </w:r>
      <w:r>
        <w:rPr>
          <w:rFonts w:ascii="宋体" w:hAnsi="宋体"/>
          <w:b w:val="0"/>
          <w:i w:val="0"/>
          <w:sz w:val="28"/>
          <w:szCs w:val="28"/>
        </w:rPr>
        <w:fldChar w:fldCharType="begin"/>
      </w:r>
      <w:r>
        <w:rPr>
          <w:rFonts w:ascii="宋体" w:hAnsi="宋体"/>
          <w:b w:val="0"/>
          <w:i w:val="0"/>
          <w:sz w:val="28"/>
          <w:szCs w:val="28"/>
        </w:rPr>
        <w:instrText xml:space="preserve"> PAGEREF _Toc452457417 \h </w:instrText>
      </w:r>
      <w:r>
        <w:rPr>
          <w:rFonts w:ascii="宋体" w:hAnsi="宋体"/>
          <w:b w:val="0"/>
          <w:i w:val="0"/>
          <w:sz w:val="28"/>
          <w:szCs w:val="28"/>
        </w:rPr>
        <w:fldChar w:fldCharType="separate"/>
      </w:r>
      <w:r>
        <w:rPr>
          <w:rFonts w:ascii="宋体" w:hAnsi="宋体"/>
          <w:b w:val="0"/>
          <w:i w:val="0"/>
          <w:sz w:val="28"/>
          <w:szCs w:val="28"/>
        </w:rPr>
        <w:t>3</w:t>
      </w:r>
      <w:r>
        <w:rPr>
          <w:rFonts w:ascii="宋体" w:hAnsi="宋体"/>
          <w:b w:val="0"/>
          <w:i w:val="0"/>
          <w:sz w:val="28"/>
          <w:szCs w:val="28"/>
        </w:rPr>
        <w:fldChar w:fldCharType="end"/>
      </w:r>
      <w:r>
        <w:rPr>
          <w:rFonts w:ascii="宋体" w:hAnsi="宋体"/>
          <w:b w:val="0"/>
          <w:i w:val="0"/>
          <w:sz w:val="28"/>
          <w:szCs w:val="28"/>
        </w:rPr>
        <w:fldChar w:fldCharType="end"/>
      </w:r>
    </w:p>
    <w:p>
      <w:pPr>
        <w:pStyle w:val="31"/>
        <w:tabs>
          <w:tab w:val="right" w:leader="dot" w:pos="8402"/>
        </w:tabs>
        <w:rPr>
          <w:rFonts w:ascii="宋体" w:hAnsi="宋体"/>
          <w:b w:val="0"/>
          <w:bCs w:val="0"/>
          <w:i w:val="0"/>
          <w:iCs w:val="0"/>
          <w:sz w:val="28"/>
          <w:szCs w:val="28"/>
        </w:rPr>
      </w:pPr>
      <w:r>
        <w:fldChar w:fldCharType="begin"/>
      </w:r>
      <w:r>
        <w:instrText xml:space="preserve"> HYPERLINK \l "_Toc452457418" </w:instrText>
      </w:r>
      <w:r>
        <w:fldChar w:fldCharType="separate"/>
      </w:r>
      <w:r>
        <w:rPr>
          <w:rStyle w:val="48"/>
          <w:rFonts w:hint="eastAsia" w:ascii="宋体" w:hAnsi="宋体"/>
          <w:b w:val="0"/>
          <w:i w:val="0"/>
          <w:sz w:val="28"/>
          <w:szCs w:val="28"/>
        </w:rPr>
        <w:t>第三章用户需求书</w:t>
      </w:r>
      <w:r>
        <w:rPr>
          <w:rFonts w:ascii="宋体" w:hAnsi="宋体"/>
          <w:b w:val="0"/>
          <w:i w:val="0"/>
          <w:sz w:val="28"/>
          <w:szCs w:val="28"/>
        </w:rPr>
        <w:tab/>
      </w:r>
      <w:r>
        <w:rPr>
          <w:rFonts w:ascii="宋体" w:hAnsi="宋体"/>
          <w:b w:val="0"/>
          <w:i w:val="0"/>
          <w:sz w:val="28"/>
          <w:szCs w:val="28"/>
        </w:rPr>
        <w:fldChar w:fldCharType="begin"/>
      </w:r>
      <w:r>
        <w:rPr>
          <w:rFonts w:ascii="宋体" w:hAnsi="宋体"/>
          <w:b w:val="0"/>
          <w:i w:val="0"/>
          <w:sz w:val="28"/>
          <w:szCs w:val="28"/>
        </w:rPr>
        <w:instrText xml:space="preserve"> PAGEREF _Toc452457418 \h </w:instrText>
      </w:r>
      <w:r>
        <w:rPr>
          <w:rFonts w:ascii="宋体" w:hAnsi="宋体"/>
          <w:b w:val="0"/>
          <w:i w:val="0"/>
          <w:sz w:val="28"/>
          <w:szCs w:val="28"/>
        </w:rPr>
        <w:fldChar w:fldCharType="separate"/>
      </w:r>
      <w:r>
        <w:rPr>
          <w:rFonts w:ascii="宋体" w:hAnsi="宋体"/>
          <w:b w:val="0"/>
          <w:i w:val="0"/>
          <w:sz w:val="28"/>
          <w:szCs w:val="28"/>
        </w:rPr>
        <w:t>9</w:t>
      </w:r>
      <w:r>
        <w:rPr>
          <w:rFonts w:ascii="宋体" w:hAnsi="宋体"/>
          <w:b w:val="0"/>
          <w:i w:val="0"/>
          <w:sz w:val="28"/>
          <w:szCs w:val="28"/>
        </w:rPr>
        <w:fldChar w:fldCharType="end"/>
      </w:r>
      <w:r>
        <w:rPr>
          <w:rFonts w:ascii="宋体" w:hAnsi="宋体"/>
          <w:b w:val="0"/>
          <w:i w:val="0"/>
          <w:sz w:val="28"/>
          <w:szCs w:val="28"/>
        </w:rPr>
        <w:fldChar w:fldCharType="end"/>
      </w:r>
    </w:p>
    <w:p>
      <w:pPr>
        <w:pStyle w:val="31"/>
        <w:tabs>
          <w:tab w:val="right" w:leader="dot" w:pos="8402"/>
        </w:tabs>
        <w:rPr>
          <w:rFonts w:ascii="宋体" w:hAnsi="宋体"/>
          <w:b w:val="0"/>
          <w:bCs w:val="0"/>
          <w:i w:val="0"/>
          <w:iCs w:val="0"/>
          <w:sz w:val="28"/>
          <w:szCs w:val="28"/>
        </w:rPr>
      </w:pPr>
      <w:r>
        <w:fldChar w:fldCharType="begin"/>
      </w:r>
      <w:r>
        <w:instrText xml:space="preserve"> HYPERLINK \l "_Toc452457434" </w:instrText>
      </w:r>
      <w:r>
        <w:fldChar w:fldCharType="separate"/>
      </w:r>
      <w:r>
        <w:rPr>
          <w:rStyle w:val="48"/>
          <w:rFonts w:hint="eastAsia" w:ascii="宋体" w:hAnsi="宋体"/>
          <w:b w:val="0"/>
          <w:i w:val="0"/>
          <w:sz w:val="28"/>
          <w:szCs w:val="28"/>
        </w:rPr>
        <w:t>第四章合同条款</w:t>
      </w:r>
      <w:r>
        <w:rPr>
          <w:rFonts w:ascii="宋体" w:hAnsi="宋体"/>
          <w:b w:val="0"/>
          <w:i w:val="0"/>
          <w:sz w:val="28"/>
          <w:szCs w:val="28"/>
        </w:rPr>
        <w:tab/>
      </w:r>
      <w:r>
        <w:rPr>
          <w:rFonts w:ascii="宋体" w:hAnsi="宋体"/>
          <w:b w:val="0"/>
          <w:i w:val="0"/>
          <w:sz w:val="28"/>
          <w:szCs w:val="28"/>
        </w:rPr>
        <w:fldChar w:fldCharType="begin"/>
      </w:r>
      <w:r>
        <w:rPr>
          <w:rFonts w:ascii="宋体" w:hAnsi="宋体"/>
          <w:b w:val="0"/>
          <w:i w:val="0"/>
          <w:sz w:val="28"/>
          <w:szCs w:val="28"/>
        </w:rPr>
        <w:instrText xml:space="preserve"> PAGEREF _Toc452457434 \h </w:instrText>
      </w:r>
      <w:r>
        <w:rPr>
          <w:rFonts w:ascii="宋体" w:hAnsi="宋体"/>
          <w:b w:val="0"/>
          <w:i w:val="0"/>
          <w:sz w:val="28"/>
          <w:szCs w:val="28"/>
        </w:rPr>
        <w:fldChar w:fldCharType="separate"/>
      </w:r>
      <w:r>
        <w:rPr>
          <w:rFonts w:ascii="宋体" w:hAnsi="宋体"/>
          <w:b w:val="0"/>
          <w:i w:val="0"/>
          <w:sz w:val="28"/>
          <w:szCs w:val="28"/>
        </w:rPr>
        <w:t>11</w:t>
      </w:r>
      <w:r>
        <w:rPr>
          <w:rFonts w:ascii="宋体" w:hAnsi="宋体"/>
          <w:b w:val="0"/>
          <w:i w:val="0"/>
          <w:sz w:val="28"/>
          <w:szCs w:val="28"/>
        </w:rPr>
        <w:fldChar w:fldCharType="end"/>
      </w:r>
      <w:r>
        <w:rPr>
          <w:rFonts w:ascii="宋体" w:hAnsi="宋体"/>
          <w:b w:val="0"/>
          <w:i w:val="0"/>
          <w:sz w:val="28"/>
          <w:szCs w:val="28"/>
        </w:rPr>
        <w:fldChar w:fldCharType="end"/>
      </w:r>
    </w:p>
    <w:p>
      <w:pPr>
        <w:pStyle w:val="31"/>
        <w:tabs>
          <w:tab w:val="right" w:leader="dot" w:pos="8402"/>
        </w:tabs>
        <w:rPr>
          <w:rFonts w:ascii="宋体" w:hAnsi="宋体"/>
          <w:b w:val="0"/>
          <w:bCs w:val="0"/>
          <w:i w:val="0"/>
          <w:iCs w:val="0"/>
          <w:sz w:val="28"/>
          <w:szCs w:val="28"/>
        </w:rPr>
      </w:pPr>
      <w:r>
        <w:fldChar w:fldCharType="begin"/>
      </w:r>
      <w:r>
        <w:instrText xml:space="preserve"> HYPERLINK \l "_Toc452457435" </w:instrText>
      </w:r>
      <w:r>
        <w:fldChar w:fldCharType="separate"/>
      </w:r>
      <w:r>
        <w:rPr>
          <w:rStyle w:val="48"/>
          <w:rFonts w:hint="eastAsia" w:ascii="宋体" w:hAnsi="宋体"/>
          <w:b w:val="0"/>
          <w:i w:val="0"/>
          <w:sz w:val="28"/>
          <w:szCs w:val="28"/>
        </w:rPr>
        <w:t>第五章报价文件内容和格式</w:t>
      </w:r>
      <w:r>
        <w:rPr>
          <w:rFonts w:ascii="宋体" w:hAnsi="宋体"/>
          <w:b w:val="0"/>
          <w:i w:val="0"/>
          <w:sz w:val="28"/>
          <w:szCs w:val="28"/>
        </w:rPr>
        <w:tab/>
      </w:r>
      <w:r>
        <w:rPr>
          <w:rFonts w:hint="eastAsia" w:ascii="宋体" w:hAnsi="宋体"/>
          <w:b w:val="0"/>
          <w:i w:val="0"/>
          <w:sz w:val="28"/>
          <w:szCs w:val="28"/>
          <w:lang w:val="en-US" w:eastAsia="zh-CN"/>
        </w:rPr>
        <w:t>1</w:t>
      </w:r>
      <w:r>
        <w:rPr>
          <w:rFonts w:ascii="宋体" w:hAnsi="宋体"/>
          <w:b w:val="0"/>
          <w:i w:val="0"/>
          <w:sz w:val="28"/>
          <w:szCs w:val="28"/>
        </w:rPr>
        <w:fldChar w:fldCharType="end"/>
      </w:r>
      <w:r>
        <w:rPr>
          <w:rFonts w:hint="eastAsia" w:ascii="宋体" w:hAnsi="宋体"/>
          <w:b w:val="0"/>
          <w:i w:val="0"/>
          <w:sz w:val="28"/>
          <w:szCs w:val="28"/>
          <w:lang w:val="en-US" w:eastAsia="zh-CN"/>
        </w:rPr>
        <w:t>5</w:t>
      </w:r>
    </w:p>
    <w:p>
      <w:pPr>
        <w:pStyle w:val="31"/>
        <w:tabs>
          <w:tab w:val="right" w:leader="dot" w:pos="8402"/>
        </w:tabs>
        <w:rPr>
          <w:rFonts w:ascii="宋体" w:hAnsi="宋体"/>
          <w:b w:val="0"/>
          <w:bCs w:val="0"/>
          <w:i w:val="0"/>
          <w:iCs w:val="0"/>
          <w:sz w:val="28"/>
          <w:szCs w:val="28"/>
        </w:rPr>
      </w:pPr>
      <w:r>
        <w:fldChar w:fldCharType="begin"/>
      </w:r>
      <w:r>
        <w:instrText xml:space="preserve"> HYPERLINK \l "_Toc452457442" </w:instrText>
      </w:r>
      <w:r>
        <w:fldChar w:fldCharType="separate"/>
      </w:r>
      <w:r>
        <w:rPr>
          <w:rStyle w:val="48"/>
          <w:rFonts w:hint="eastAsia" w:ascii="宋体" w:hAnsi="宋体"/>
          <w:b w:val="0"/>
          <w:i w:val="0"/>
          <w:sz w:val="28"/>
          <w:szCs w:val="28"/>
        </w:rPr>
        <w:t>第六章磋商程序</w:t>
      </w:r>
      <w:r>
        <w:rPr>
          <w:rFonts w:ascii="宋体" w:hAnsi="宋体"/>
          <w:b w:val="0"/>
          <w:i w:val="0"/>
          <w:sz w:val="28"/>
          <w:szCs w:val="28"/>
        </w:rPr>
        <w:tab/>
      </w:r>
      <w:r>
        <w:rPr>
          <w:rFonts w:hint="eastAsia" w:ascii="宋体" w:hAnsi="宋体"/>
          <w:b w:val="0"/>
          <w:i w:val="0"/>
          <w:sz w:val="28"/>
          <w:szCs w:val="28"/>
          <w:lang w:val="en-US" w:eastAsia="zh-CN"/>
        </w:rPr>
        <w:t>2</w:t>
      </w:r>
      <w:r>
        <w:rPr>
          <w:rFonts w:ascii="宋体" w:hAnsi="宋体"/>
          <w:b w:val="0"/>
          <w:i w:val="0"/>
          <w:sz w:val="28"/>
          <w:szCs w:val="28"/>
        </w:rPr>
        <w:fldChar w:fldCharType="end"/>
      </w:r>
      <w:r>
        <w:rPr>
          <w:rFonts w:hint="eastAsia" w:ascii="宋体" w:hAnsi="宋体"/>
          <w:b w:val="0"/>
          <w:i w:val="0"/>
          <w:sz w:val="28"/>
          <w:szCs w:val="28"/>
          <w:lang w:val="en-US" w:eastAsia="zh-CN"/>
        </w:rPr>
        <w:t>3</w:t>
      </w:r>
      <w:bookmarkStart w:id="13" w:name="_GoBack"/>
      <w:bookmarkEnd w:id="13"/>
    </w:p>
    <w:p>
      <w:pPr>
        <w:pStyle w:val="23"/>
        <w:tabs>
          <w:tab w:val="right" w:leader="dot" w:pos="8402"/>
        </w:tabs>
        <w:rPr>
          <w:rFonts w:ascii="宋体" w:hAnsi="宋体"/>
          <w:sz w:val="28"/>
          <w:szCs w:val="28"/>
        </w:rPr>
      </w:pPr>
      <w:r>
        <w:fldChar w:fldCharType="begin"/>
      </w:r>
      <w:r>
        <w:instrText xml:space="preserve"> HYPERLINK \l "_Toc452457443" </w:instrText>
      </w:r>
      <w:r>
        <w:fldChar w:fldCharType="separate"/>
      </w:r>
      <w:r>
        <w:rPr>
          <w:rStyle w:val="48"/>
          <w:rFonts w:hint="eastAsia" w:ascii="宋体" w:hAnsi="宋体"/>
          <w:sz w:val="28"/>
          <w:szCs w:val="28"/>
        </w:rPr>
        <w:t>初步审查表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_Toc452457443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23"/>
        <w:tabs>
          <w:tab w:val="right" w:leader="dot" w:pos="8402"/>
        </w:tabs>
        <w:rPr>
          <w:rFonts w:ascii="宋体" w:hAnsi="宋体"/>
          <w:sz w:val="28"/>
          <w:szCs w:val="28"/>
        </w:rPr>
      </w:pPr>
      <w:r>
        <w:fldChar w:fldCharType="begin"/>
      </w:r>
      <w:r>
        <w:instrText xml:space="preserve"> HYPERLINK \l "_Toc452457444" </w:instrText>
      </w:r>
      <w:r>
        <w:fldChar w:fldCharType="separate"/>
      </w:r>
      <w:r>
        <w:rPr>
          <w:rStyle w:val="48"/>
          <w:rFonts w:hint="eastAsia" w:ascii="宋体" w:hAnsi="宋体"/>
          <w:sz w:val="28"/>
          <w:szCs w:val="28"/>
        </w:rPr>
        <w:t>详细评分表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_Toc452457444 \h </w:instrText>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r>
        <w:rPr>
          <w:rFonts w:ascii="宋体" w:hAnsi="宋体"/>
          <w:sz w:val="28"/>
          <w:szCs w:val="28"/>
        </w:rPr>
        <w:fldChar w:fldCharType="end"/>
      </w:r>
    </w:p>
    <w:p>
      <w:pPr>
        <w:pStyle w:val="23"/>
        <w:tabs>
          <w:tab w:val="right" w:leader="dot" w:pos="8402"/>
        </w:tabs>
        <w:rPr>
          <w:rFonts w:ascii="宋体" w:hAnsi="宋体"/>
          <w:sz w:val="28"/>
          <w:szCs w:val="28"/>
        </w:rPr>
      </w:pPr>
      <w:r>
        <w:rPr>
          <w:rFonts w:ascii="宋体" w:hAnsi="宋体" w:cs="Arial"/>
          <w:sz w:val="28"/>
          <w:szCs w:val="28"/>
        </w:rPr>
        <w:fldChar w:fldCharType="end"/>
      </w:r>
      <w:r>
        <w:fldChar w:fldCharType="begin"/>
      </w:r>
      <w:r>
        <w:instrText xml:space="preserve"> HYPERLINK \l "_Toc452457444" </w:instrText>
      </w:r>
      <w:r>
        <w:fldChar w:fldCharType="separate"/>
      </w:r>
      <w:r>
        <w:rPr>
          <w:rStyle w:val="48"/>
          <w:rFonts w:hint="eastAsia" w:ascii="宋体" w:hAnsi="宋体"/>
          <w:color w:val="auto"/>
          <w:sz w:val="28"/>
          <w:szCs w:val="28"/>
          <w:u w:val="none"/>
        </w:rPr>
        <w:t>关于政策性加分</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r>
        <w:rPr>
          <w:rFonts w:hint="eastAsia" w:ascii="宋体" w:hAnsi="宋体"/>
          <w:sz w:val="28"/>
          <w:szCs w:val="28"/>
          <w:lang w:val="en-US" w:eastAsia="zh-CN"/>
        </w:rPr>
        <w:t>7</w:t>
      </w:r>
    </w:p>
    <w:p>
      <w:pPr>
        <w:spacing w:line="360" w:lineRule="auto"/>
        <w:rPr>
          <w:rFonts w:ascii="宋体" w:hAnsi="宋体" w:cs="Arial"/>
          <w:sz w:val="30"/>
          <w:szCs w:val="30"/>
        </w:rPr>
      </w:pPr>
    </w:p>
    <w:p>
      <w:pPr>
        <w:spacing w:line="360" w:lineRule="auto"/>
        <w:jc w:val="center"/>
        <w:rPr>
          <w:rFonts w:ascii="黑体" w:eastAsia="黑体"/>
          <w:b/>
          <w:sz w:val="44"/>
        </w:rPr>
      </w:pPr>
    </w:p>
    <w:p>
      <w:pPr>
        <w:spacing w:line="360" w:lineRule="auto"/>
        <w:jc w:val="center"/>
        <w:rPr>
          <w:rFonts w:ascii="宋体" w:hAnsi="宋体"/>
          <w:b/>
          <w:sz w:val="44"/>
        </w:rPr>
      </w:pPr>
    </w:p>
    <w:p>
      <w:pPr>
        <w:pStyle w:val="2"/>
        <w:spacing w:afterLines="0"/>
        <w:rPr>
          <w:b w:val="0"/>
          <w:kern w:val="28"/>
        </w:rPr>
      </w:pPr>
      <w:bookmarkStart w:id="1" w:name="_Toc452457416"/>
      <w:r>
        <w:rPr>
          <w:rFonts w:hint="eastAsia"/>
        </w:rPr>
        <w:t>第一章  磋商邀请函</w:t>
      </w:r>
      <w:bookmarkEnd w:id="1"/>
    </w:p>
    <w:p>
      <w:pPr>
        <w:pStyle w:val="20"/>
        <w:snapToGrid w:val="0"/>
        <w:ind w:left="0" w:firstLine="422"/>
        <w:rPr>
          <w:rFonts w:cs="Tahoma"/>
          <w:kern w:val="28"/>
        </w:rPr>
      </w:pPr>
      <w:r>
        <w:rPr>
          <w:rFonts w:cs="Tahoma"/>
        </w:rPr>
        <w:t>受</w:t>
      </w:r>
      <w:r>
        <w:rPr>
          <w:rFonts w:hint="eastAsia" w:cs="Tahoma"/>
        </w:rPr>
        <w:t>海口市灵山中学</w:t>
      </w:r>
      <w:r>
        <w:rPr>
          <w:rFonts w:hAnsi="宋体"/>
          <w:color w:val="000000"/>
          <w:szCs w:val="21"/>
        </w:rPr>
        <w:t>（以下简称</w:t>
      </w:r>
      <w:r>
        <w:rPr>
          <w:rFonts w:hint="eastAsia"/>
          <w:color w:val="000000"/>
          <w:szCs w:val="21"/>
        </w:rPr>
        <w:t>“</w:t>
      </w:r>
      <w:r>
        <w:rPr>
          <w:rFonts w:hAnsi="宋体"/>
          <w:color w:val="000000"/>
          <w:szCs w:val="21"/>
        </w:rPr>
        <w:t>采购人</w:t>
      </w:r>
      <w:r>
        <w:rPr>
          <w:rFonts w:hint="eastAsia"/>
          <w:color w:val="000000"/>
          <w:szCs w:val="21"/>
        </w:rPr>
        <w:t>”</w:t>
      </w:r>
      <w:r>
        <w:rPr>
          <w:rFonts w:hAnsi="宋体"/>
          <w:color w:val="000000"/>
          <w:szCs w:val="21"/>
        </w:rPr>
        <w:t>）</w:t>
      </w:r>
      <w:r>
        <w:rPr>
          <w:rFonts w:cs="Tahoma"/>
        </w:rPr>
        <w:t>的委托，</w:t>
      </w:r>
      <w:r>
        <w:rPr>
          <w:rFonts w:hint="eastAsia" w:cs="Tahoma"/>
        </w:rPr>
        <w:t>四川恒鑫工程管理咨询有限公司</w:t>
      </w:r>
      <w:r>
        <w:rPr>
          <w:rFonts w:hAnsi="宋体"/>
          <w:color w:val="000000"/>
          <w:szCs w:val="21"/>
        </w:rPr>
        <w:t>拟对</w:t>
      </w:r>
      <w:r>
        <w:rPr>
          <w:rFonts w:hint="eastAsia" w:cs="Tahoma"/>
        </w:rPr>
        <w:t>海口市灵山中学采购水泵房设备项目（项目编号</w:t>
      </w:r>
      <w:r>
        <w:rPr>
          <w:rFonts w:hint="eastAsia" w:ascii="宋体" w:hAnsi="宋体" w:cs="Tahoma"/>
        </w:rPr>
        <w:t>： SCHX-HK2016062</w:t>
      </w:r>
      <w:r>
        <w:rPr>
          <w:rFonts w:hint="eastAsia" w:cs="Tahoma"/>
        </w:rPr>
        <w:t>）</w:t>
      </w:r>
      <w:r>
        <w:rPr>
          <w:rFonts w:hAnsi="宋体"/>
          <w:color w:val="000000"/>
          <w:szCs w:val="21"/>
        </w:rPr>
        <w:t>所需的</w:t>
      </w:r>
      <w:r>
        <w:rPr>
          <w:rFonts w:hint="eastAsia" w:hAnsi="宋体"/>
          <w:color w:val="000000"/>
          <w:szCs w:val="21"/>
        </w:rPr>
        <w:t>货物及</w:t>
      </w:r>
      <w:r>
        <w:rPr>
          <w:rFonts w:hAnsi="宋体"/>
          <w:color w:val="000000"/>
          <w:szCs w:val="21"/>
        </w:rPr>
        <w:t>相关服务</w:t>
      </w:r>
      <w:r>
        <w:rPr>
          <w:rFonts w:hint="eastAsia" w:cs="Tahoma"/>
        </w:rPr>
        <w:t>组织竞争性磋商，欢迎</w:t>
      </w:r>
      <w:r>
        <w:rPr>
          <w:rFonts w:cs="Tahoma"/>
          <w:kern w:val="28"/>
        </w:rPr>
        <w:t>合格的国内报价人提交密封</w:t>
      </w:r>
      <w:r>
        <w:rPr>
          <w:rFonts w:hint="eastAsia" w:cs="Tahoma"/>
          <w:kern w:val="28"/>
        </w:rPr>
        <w:t>报价</w:t>
      </w:r>
      <w:r>
        <w:rPr>
          <w:rFonts w:cs="Tahoma"/>
          <w:kern w:val="28"/>
        </w:rPr>
        <w:t>。有关事项如下：</w:t>
      </w:r>
    </w:p>
    <w:p>
      <w:pPr>
        <w:shd w:val="clear" w:color="auto" w:fill="FFFFFF"/>
        <w:snapToGrid w:val="0"/>
        <w:spacing w:line="360" w:lineRule="auto"/>
        <w:ind w:firstLine="482" w:firstLineChars="200"/>
        <w:rPr>
          <w:rFonts w:ascii="宋体" w:hAnsi="宋体" w:cs="Tahoma"/>
          <w:b/>
          <w:sz w:val="24"/>
        </w:rPr>
      </w:pPr>
      <w:r>
        <w:rPr>
          <w:rFonts w:hint="eastAsia" w:ascii="宋体" w:hAnsi="宋体" w:cs="Tahoma"/>
          <w:b/>
          <w:sz w:val="24"/>
        </w:rPr>
        <w:t>一、采购项目的名称、数量、简要技术要求：</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1、项目名称：</w:t>
      </w:r>
      <w:r>
        <w:rPr>
          <w:rFonts w:hint="eastAsia" w:cs="Tahoma"/>
        </w:rPr>
        <w:t>海口市灵山中学采购水泵房设备项目</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2、数量及分包：一批不分包</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3、简要技术要求：详见《用户需求书》</w:t>
      </w:r>
    </w:p>
    <w:p>
      <w:pPr>
        <w:shd w:val="clear" w:color="auto" w:fill="FFFFFF"/>
        <w:snapToGrid w:val="0"/>
        <w:spacing w:line="360" w:lineRule="auto"/>
        <w:ind w:firstLine="482" w:firstLineChars="200"/>
        <w:rPr>
          <w:rFonts w:ascii="宋体" w:hAnsi="宋体" w:cs="Tahoma"/>
          <w:b/>
          <w:sz w:val="24"/>
        </w:rPr>
      </w:pPr>
      <w:r>
        <w:rPr>
          <w:rFonts w:hint="eastAsia" w:ascii="宋体" w:hAnsi="宋体" w:cs="Tahoma"/>
          <w:b/>
          <w:sz w:val="24"/>
        </w:rPr>
        <w:t>二、投标人资格要求：</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1、符合《中华人民共和国政府采购法》第二十二条款的规定;</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2、在中华人民共和国注册，具有独立承担民事责任能力的法人；</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3、营业执照副本、组织机构代码证、税务登记证有效并通过年检合格或按照国家“三证合一、一照一码”登记制度申请核发的新版合法的营业执照副本；</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 xml:space="preserve">4、有依法缴纳社会保障资金的良好记录（提供2016年任意1个月的社保缴费记录复印件并加盖公章）； </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5、具有良好的商业信誉和健全的财务会计制度;（提供2016年任意1个月的企业纳税证明复印件或财务报表复印件并加盖公章）；</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6、投标人如不是制造厂商，必须提供主要设备的制造厂商针对本项目的授权书，并提供授权书原件；</w:t>
      </w:r>
    </w:p>
    <w:p>
      <w:pPr>
        <w:shd w:val="clear" w:color="auto" w:fill="FFFFFF"/>
        <w:snapToGrid w:val="0"/>
        <w:spacing w:line="360" w:lineRule="auto"/>
        <w:ind w:firstLine="480" w:firstLineChars="200"/>
        <w:rPr>
          <w:rFonts w:ascii="宋体" w:hAnsi="宋体" w:cs="Tahoma"/>
          <w:sz w:val="24"/>
        </w:rPr>
      </w:pPr>
      <w:r>
        <w:rPr>
          <w:rFonts w:hint="eastAsia" w:ascii="宋体" w:hAnsi="宋体" w:cs="Tahoma"/>
          <w:sz w:val="24"/>
        </w:rPr>
        <w:t>7、提供参加政府采购活动前三年内，在经营活动中没有重大违法记录声明书；</w:t>
      </w:r>
    </w:p>
    <w:p>
      <w:pPr>
        <w:shd w:val="clear" w:color="auto" w:fill="FFFFFF"/>
        <w:snapToGrid w:val="0"/>
        <w:spacing w:line="360" w:lineRule="auto"/>
        <w:ind w:firstLine="480" w:firstLineChars="200"/>
        <w:rPr>
          <w:rFonts w:ascii="宋体" w:hAnsi="宋体"/>
          <w:kern w:val="28"/>
          <w:sz w:val="24"/>
        </w:rPr>
      </w:pPr>
      <w:r>
        <w:rPr>
          <w:rFonts w:hint="eastAsia" w:ascii="宋体" w:hAnsi="宋体" w:cs="Tahoma"/>
          <w:sz w:val="24"/>
        </w:rPr>
        <w:t>8、本项目不接受联合投标。</w:t>
      </w:r>
    </w:p>
    <w:p>
      <w:pPr>
        <w:shd w:val="solid" w:color="FFFFFF" w:fill="auto"/>
        <w:tabs>
          <w:tab w:val="left" w:pos="540"/>
        </w:tabs>
        <w:autoSpaceDN w:val="0"/>
        <w:spacing w:line="500" w:lineRule="exact"/>
        <w:rPr>
          <w:rFonts w:asciiTheme="minorEastAsia" w:hAnsiTheme="minorEastAsia" w:eastAsiaTheme="minorEastAsia"/>
          <w:b/>
          <w:bCs/>
          <w:color w:val="000000"/>
          <w:sz w:val="24"/>
        </w:rPr>
      </w:pPr>
      <w:r>
        <w:rPr>
          <w:rFonts w:asciiTheme="minorEastAsia" w:hAnsiTheme="minorEastAsia" w:eastAsiaTheme="minorEastAsia"/>
          <w:b/>
          <w:bCs/>
          <w:color w:val="000000"/>
          <w:sz w:val="24"/>
        </w:rPr>
        <w:t>三、获取</w:t>
      </w:r>
      <w:r>
        <w:rPr>
          <w:rFonts w:hint="eastAsia" w:asciiTheme="minorEastAsia" w:hAnsiTheme="minorEastAsia" w:eastAsiaTheme="minorEastAsia"/>
          <w:b/>
          <w:bCs/>
          <w:color w:val="000000"/>
          <w:sz w:val="24"/>
        </w:rPr>
        <w:t>磋商</w:t>
      </w:r>
      <w:r>
        <w:rPr>
          <w:rFonts w:asciiTheme="minorEastAsia" w:hAnsiTheme="minorEastAsia" w:eastAsiaTheme="minorEastAsia"/>
          <w:b/>
          <w:bCs/>
          <w:color w:val="000000"/>
          <w:sz w:val="24"/>
        </w:rPr>
        <w:t>文件时间及地点：</w:t>
      </w:r>
    </w:p>
    <w:p>
      <w:pPr>
        <w:spacing w:line="50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1、时间：201</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年</w:t>
      </w:r>
      <w:r>
        <w:rPr>
          <w:rFonts w:hint="eastAsia" w:asciiTheme="minorEastAsia" w:hAnsiTheme="minorEastAsia" w:eastAsiaTheme="minorEastAsia"/>
          <w:color w:val="000000"/>
          <w:sz w:val="24"/>
        </w:rPr>
        <w:t>11月14日至2016年11月18日</w:t>
      </w:r>
      <w:r>
        <w:rPr>
          <w:rFonts w:asciiTheme="minorEastAsia" w:hAnsiTheme="minorEastAsia" w:eastAsiaTheme="minorEastAsia"/>
          <w:color w:val="000000"/>
          <w:sz w:val="24"/>
        </w:rPr>
        <w:t>（上午08:30－1</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0</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下午14:30－17:</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，北京时间，下同</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法定公休日及</w:t>
      </w:r>
      <w:r>
        <w:rPr>
          <w:rFonts w:asciiTheme="minorEastAsia" w:hAnsiTheme="minorEastAsia" w:eastAsiaTheme="minorEastAsia"/>
          <w:color w:val="000000"/>
          <w:sz w:val="24"/>
        </w:rPr>
        <w:t>节假日除外；</w:t>
      </w:r>
    </w:p>
    <w:p>
      <w:pPr>
        <w:spacing w:line="50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2、地点：海口市美兰区蓝天路12号国机中洋公馆2栋1302房；</w:t>
      </w:r>
    </w:p>
    <w:p>
      <w:pPr>
        <w:spacing w:line="50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3、售价：人民币100元/份（文件售后概不退）；</w:t>
      </w:r>
      <w:r>
        <w:rPr>
          <w:rFonts w:hint="eastAsia" w:cs="Arial" w:asciiTheme="minorEastAsia" w:hAnsiTheme="minorEastAsia" w:eastAsiaTheme="minorEastAsia"/>
          <w:color w:val="000000"/>
          <w:sz w:val="24"/>
        </w:rPr>
        <w:t>磋商保证金</w:t>
      </w:r>
      <w:r>
        <w:rPr>
          <w:rFonts w:cs="Arial" w:asciiTheme="minorEastAsia" w:hAnsiTheme="minorEastAsia" w:eastAsiaTheme="minorEastAsia"/>
          <w:color w:val="000000"/>
          <w:sz w:val="24"/>
        </w:rPr>
        <w:t>的金额：</w:t>
      </w:r>
      <w:r>
        <w:rPr>
          <w:rStyle w:val="289"/>
          <w:rFonts w:cs="Arial" w:asciiTheme="minorEastAsia" w:hAnsiTheme="minorEastAsia" w:eastAsiaTheme="minorEastAsia"/>
          <w:color w:val="000000"/>
          <w:sz w:val="24"/>
        </w:rPr>
        <w:t>10</w:t>
      </w:r>
      <w:r>
        <w:rPr>
          <w:rStyle w:val="289"/>
          <w:rFonts w:hint="eastAsia" w:cs="Arial" w:asciiTheme="minorEastAsia" w:hAnsiTheme="minorEastAsia" w:eastAsiaTheme="minorEastAsia"/>
          <w:color w:val="000000"/>
          <w:sz w:val="24"/>
        </w:rPr>
        <w:t>000</w:t>
      </w:r>
      <w:r>
        <w:rPr>
          <w:rFonts w:cs="Arial" w:asciiTheme="minorEastAsia" w:hAnsiTheme="minorEastAsia" w:eastAsiaTheme="minorEastAsia"/>
          <w:color w:val="000000"/>
          <w:sz w:val="24"/>
        </w:rPr>
        <w:t>元</w:t>
      </w:r>
      <w:r>
        <w:rPr>
          <w:rFonts w:hint="eastAsia" w:cs="Arial" w:asciiTheme="minorEastAsia" w:hAnsiTheme="minorEastAsia" w:eastAsiaTheme="minorEastAsia"/>
          <w:color w:val="000000"/>
          <w:sz w:val="24"/>
        </w:rPr>
        <w:t>人民币</w:t>
      </w:r>
      <w:r>
        <w:rPr>
          <w:rFonts w:cs="Arial" w:asciiTheme="minorEastAsia" w:hAnsiTheme="minorEastAsia" w:eastAsiaTheme="minorEastAsia"/>
          <w:color w:val="000000"/>
          <w:sz w:val="24"/>
        </w:rPr>
        <w:t>。</w:t>
      </w:r>
    </w:p>
    <w:p>
      <w:pPr>
        <w:spacing w:line="500" w:lineRule="exact"/>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4、购买</w:t>
      </w:r>
      <w:r>
        <w:rPr>
          <w:rFonts w:asciiTheme="minorEastAsia" w:hAnsiTheme="minorEastAsia" w:eastAsiaTheme="minorEastAsia"/>
          <w:color w:val="000000"/>
          <w:sz w:val="24"/>
        </w:rPr>
        <w:t>磋商文件</w:t>
      </w:r>
      <w:r>
        <w:rPr>
          <w:rFonts w:hint="eastAsia" w:cs="Arial" w:asciiTheme="minorEastAsia" w:hAnsiTheme="minorEastAsia" w:eastAsiaTheme="minorEastAsia"/>
          <w:color w:val="000000"/>
          <w:sz w:val="24"/>
        </w:rPr>
        <w:t>时必须提供以下材料（复印件加盖公章</w:t>
      </w:r>
      <w:r>
        <w:rPr>
          <w:rFonts w:asciiTheme="minorEastAsia" w:hAnsiTheme="minorEastAsia" w:eastAsiaTheme="minorEastAsia"/>
          <w:color w:val="000000"/>
          <w:sz w:val="24"/>
        </w:rPr>
        <w:t>，原件</w:t>
      </w:r>
      <w:r>
        <w:rPr>
          <w:rFonts w:hint="eastAsia" w:asciiTheme="minorEastAsia" w:hAnsiTheme="minorEastAsia" w:eastAsiaTheme="minorEastAsia"/>
          <w:color w:val="000000"/>
          <w:sz w:val="24"/>
        </w:rPr>
        <w:t>核验</w:t>
      </w:r>
      <w:r>
        <w:rPr>
          <w:rFonts w:hint="eastAsia" w:cs="Arial" w:asciiTheme="minorEastAsia" w:hAnsiTheme="minorEastAsia" w:eastAsiaTheme="minorEastAsia"/>
          <w:color w:val="000000"/>
          <w:sz w:val="24"/>
        </w:rPr>
        <w:t>）：</w:t>
      </w:r>
    </w:p>
    <w:p>
      <w:pPr>
        <w:spacing w:line="500" w:lineRule="exact"/>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（1）营业执照副本、组织机构代码证副本、税务登记证副本或按照国家“三证合一、一照一码”登记制度申请核发的新版合法的营业执照副本；</w:t>
      </w:r>
    </w:p>
    <w:p>
      <w:pPr>
        <w:spacing w:line="500" w:lineRule="exact"/>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（2）法人代表授权委托书原件及法人代表身份证复印件、授权代表须提供本公司社保证明材料及身份证复印件；</w:t>
      </w:r>
    </w:p>
    <w:p>
      <w:pPr>
        <w:spacing w:line="500" w:lineRule="exact"/>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asciiTheme="minorEastAsia" w:hAnsiTheme="minorEastAsia" w:eastAsiaTheme="minorEastAsia"/>
          <w:color w:val="000000"/>
          <w:sz w:val="24"/>
        </w:rPr>
        <w:t>投标人资格要求的相关证明材料</w:t>
      </w:r>
      <w:r>
        <w:rPr>
          <w:rFonts w:hint="eastAsia" w:cs="Arial" w:asciiTheme="minorEastAsia" w:hAnsiTheme="minorEastAsia" w:eastAsiaTheme="minorEastAsia"/>
          <w:color w:val="000000"/>
          <w:sz w:val="24"/>
        </w:rPr>
        <w:t>。</w:t>
      </w:r>
    </w:p>
    <w:p>
      <w:pPr>
        <w:snapToGrid w:val="0"/>
        <w:spacing w:line="500" w:lineRule="exact"/>
        <w:rPr>
          <w:rFonts w:ascii="宋体" w:hAnsi="宋体" w:cs="Tahoma"/>
          <w:b/>
          <w:sz w:val="24"/>
        </w:rPr>
      </w:pPr>
      <w:r>
        <w:rPr>
          <w:rFonts w:hint="eastAsia" w:ascii="宋体" w:hAnsi="宋体" w:cs="Tahoma"/>
          <w:b/>
          <w:sz w:val="24"/>
        </w:rPr>
        <w:t>四、响应文件递交截止时间、开启时间及地点：</w:t>
      </w:r>
    </w:p>
    <w:p>
      <w:pPr>
        <w:snapToGrid w:val="0"/>
        <w:spacing w:line="500" w:lineRule="exact"/>
        <w:rPr>
          <w:rFonts w:ascii="宋体" w:hAnsi="宋体" w:cs="Tahoma"/>
          <w:sz w:val="24"/>
        </w:rPr>
      </w:pPr>
      <w:r>
        <w:rPr>
          <w:rFonts w:hint="eastAsia" w:ascii="宋体" w:hAnsi="宋体" w:cs="Tahoma"/>
          <w:sz w:val="24"/>
        </w:rPr>
        <w:t>1、递交截止时间：2016年11月24日上午9:30  （逾期或不符合规定的报价文件恕不接受）；</w:t>
      </w:r>
    </w:p>
    <w:p>
      <w:pPr>
        <w:snapToGrid w:val="0"/>
        <w:spacing w:line="500" w:lineRule="exact"/>
        <w:rPr>
          <w:rFonts w:ascii="宋体" w:hAnsi="宋体" w:cs="Tahoma"/>
          <w:sz w:val="24"/>
        </w:rPr>
      </w:pPr>
      <w:r>
        <w:rPr>
          <w:rFonts w:hint="eastAsia" w:ascii="宋体" w:hAnsi="宋体" w:cs="Tahoma"/>
          <w:sz w:val="24"/>
        </w:rPr>
        <w:t>2、响应文件开启时间：2016年11月24日上午9:30；</w:t>
      </w:r>
    </w:p>
    <w:p>
      <w:pPr>
        <w:snapToGrid w:val="0"/>
        <w:spacing w:line="500" w:lineRule="exact"/>
        <w:rPr>
          <w:rFonts w:ascii="宋体" w:hAnsi="宋体" w:cs="Tahoma"/>
          <w:sz w:val="24"/>
        </w:rPr>
      </w:pPr>
      <w:r>
        <w:rPr>
          <w:rFonts w:hint="eastAsia" w:ascii="宋体" w:hAnsi="宋体" w:cs="Tahoma"/>
          <w:sz w:val="24"/>
        </w:rPr>
        <w:t>3、响应文件递交地点：海口市美兰区蓝天路12号国机中洋公馆2栋1302房；</w:t>
      </w:r>
    </w:p>
    <w:p>
      <w:pPr>
        <w:snapToGrid w:val="0"/>
        <w:spacing w:line="500" w:lineRule="exact"/>
        <w:rPr>
          <w:rFonts w:ascii="宋体" w:hAnsi="宋体" w:cs="Tahoma"/>
          <w:sz w:val="24"/>
        </w:rPr>
      </w:pPr>
      <w:r>
        <w:rPr>
          <w:rFonts w:hint="eastAsia" w:ascii="宋体" w:hAnsi="宋体" w:cs="Tahoma"/>
          <w:sz w:val="24"/>
        </w:rPr>
        <w:t>4、公告发布媒介：中国海南政府采购网、中国政府采购网上发布。</w:t>
      </w:r>
    </w:p>
    <w:p>
      <w:pPr>
        <w:snapToGrid w:val="0"/>
        <w:spacing w:line="500" w:lineRule="exact"/>
        <w:rPr>
          <w:rFonts w:ascii="宋体" w:hAnsi="宋体" w:cs="Tahoma"/>
          <w:b/>
          <w:sz w:val="24"/>
        </w:rPr>
      </w:pPr>
      <w:r>
        <w:rPr>
          <w:rFonts w:hint="eastAsia" w:ascii="宋体" w:hAnsi="宋体" w:cs="Tahoma"/>
          <w:b/>
          <w:sz w:val="24"/>
        </w:rPr>
        <w:t>五、招标代理机构联系方式：</w:t>
      </w:r>
    </w:p>
    <w:p>
      <w:pPr>
        <w:snapToGrid w:val="0"/>
        <w:spacing w:line="500" w:lineRule="exact"/>
        <w:rPr>
          <w:rFonts w:ascii="宋体" w:hAnsi="宋体" w:cs="Tahoma"/>
          <w:sz w:val="24"/>
        </w:rPr>
      </w:pPr>
      <w:r>
        <w:rPr>
          <w:rFonts w:hint="eastAsia" w:ascii="宋体" w:hAnsi="宋体" w:cs="Tahoma"/>
          <w:sz w:val="24"/>
        </w:rPr>
        <w:t>1、联系人：王女士</w:t>
      </w:r>
    </w:p>
    <w:p>
      <w:pPr>
        <w:snapToGrid w:val="0"/>
        <w:spacing w:line="500" w:lineRule="exact"/>
        <w:rPr>
          <w:rFonts w:ascii="宋体" w:hAnsi="宋体" w:cs="Tahoma"/>
          <w:sz w:val="24"/>
        </w:rPr>
      </w:pPr>
      <w:r>
        <w:rPr>
          <w:rFonts w:hint="eastAsia" w:ascii="宋体" w:hAnsi="宋体" w:cs="Tahoma"/>
          <w:sz w:val="24"/>
        </w:rPr>
        <w:t>2、电话：0898-66511395     传真：0898-66511395</w:t>
      </w:r>
    </w:p>
    <w:p>
      <w:pPr>
        <w:snapToGrid w:val="0"/>
        <w:spacing w:line="500" w:lineRule="exact"/>
        <w:rPr>
          <w:rFonts w:ascii="宋体" w:hAnsi="宋体" w:cs="Tahoma"/>
          <w:sz w:val="28"/>
          <w:szCs w:val="28"/>
        </w:rPr>
      </w:pPr>
      <w:r>
        <w:rPr>
          <w:rFonts w:hint="eastAsia" w:ascii="宋体" w:hAnsi="宋体" w:cs="Tahoma"/>
          <w:sz w:val="24"/>
        </w:rPr>
        <w:t>3、地点：海口市美兰区蓝天路12号国机中洋公馆2栋1302房</w:t>
      </w:r>
    </w:p>
    <w:p>
      <w:pPr>
        <w:pStyle w:val="2"/>
        <w:spacing w:afterLines="0"/>
        <w:rPr>
          <w:b w:val="0"/>
        </w:rPr>
      </w:pPr>
      <w:bookmarkStart w:id="2" w:name="_Toc452457417"/>
      <w:r>
        <w:rPr>
          <w:rFonts w:hint="eastAsia"/>
        </w:rPr>
        <w:t>第二章  报价人须知</w:t>
      </w:r>
      <w:bookmarkEnd w:id="2"/>
    </w:p>
    <w:p>
      <w:pPr>
        <w:spacing w:line="360" w:lineRule="auto"/>
        <w:rPr>
          <w:rFonts w:ascii="宋体" w:hAnsi="宋体"/>
          <w:b/>
          <w:sz w:val="32"/>
          <w:szCs w:val="32"/>
        </w:rPr>
      </w:pPr>
      <w:r>
        <w:rPr>
          <w:rFonts w:hint="eastAsia" w:ascii="宋体" w:hAnsi="宋体"/>
          <w:b/>
          <w:sz w:val="32"/>
          <w:szCs w:val="32"/>
        </w:rPr>
        <w:t>一、总则</w:t>
      </w:r>
    </w:p>
    <w:p>
      <w:pPr>
        <w:spacing w:line="360" w:lineRule="auto"/>
        <w:rPr>
          <w:rFonts w:ascii="宋体" w:hAnsi="宋体"/>
          <w:sz w:val="24"/>
        </w:rPr>
      </w:pPr>
      <w:r>
        <w:rPr>
          <w:rFonts w:hint="eastAsia" w:ascii="宋体" w:hAnsi="宋体"/>
          <w:sz w:val="24"/>
        </w:rPr>
        <w:t xml:space="preserve">1. </w:t>
      </w:r>
      <w:r>
        <w:rPr>
          <w:rFonts w:ascii="宋体" w:hAnsi="宋体"/>
          <w:sz w:val="24"/>
        </w:rPr>
        <w:t>名词解释</w:t>
      </w:r>
    </w:p>
    <w:p>
      <w:pPr>
        <w:spacing w:line="360" w:lineRule="auto"/>
        <w:ind w:firstLine="480" w:firstLineChars="200"/>
        <w:rPr>
          <w:rFonts w:ascii="宋体" w:hAnsi="宋体"/>
          <w:kern w:val="28"/>
          <w:sz w:val="24"/>
        </w:rPr>
      </w:pPr>
      <w:r>
        <w:rPr>
          <w:rFonts w:ascii="宋体" w:hAnsi="宋体"/>
          <w:sz w:val="24"/>
        </w:rPr>
        <w:t>1.1采购人：</w:t>
      </w:r>
      <w:r>
        <w:rPr>
          <w:rFonts w:hint="eastAsia" w:ascii="宋体" w:hAnsi="宋体"/>
          <w:sz w:val="24"/>
        </w:rPr>
        <w:t>海口市灵山中学</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招标代理机构：四川恒鑫工程管理咨询有限公司</w:t>
      </w:r>
    </w:p>
    <w:p>
      <w:pPr>
        <w:spacing w:line="360" w:lineRule="auto"/>
        <w:ind w:firstLine="480" w:firstLineChars="200"/>
        <w:rPr>
          <w:rFonts w:ascii="宋体" w:hAnsi="宋体"/>
          <w:sz w:val="24"/>
        </w:rPr>
      </w:pPr>
      <w:r>
        <w:rPr>
          <w:rFonts w:hint="eastAsia" w:ascii="宋体" w:hAnsi="宋体"/>
          <w:sz w:val="24"/>
        </w:rPr>
        <w:t>1.3 报价人</w:t>
      </w:r>
      <w:r>
        <w:rPr>
          <w:rFonts w:ascii="宋体" w:hAnsi="宋体"/>
          <w:sz w:val="24"/>
        </w:rPr>
        <w:t>：</w:t>
      </w:r>
      <w:r>
        <w:rPr>
          <w:rFonts w:hint="eastAsia" w:ascii="宋体" w:hAnsi="宋体"/>
          <w:sz w:val="24"/>
        </w:rPr>
        <w:t>已从招标代理机构购买磋商文件并</w:t>
      </w:r>
      <w:r>
        <w:rPr>
          <w:rFonts w:ascii="宋体" w:hAnsi="宋体"/>
          <w:sz w:val="24"/>
        </w:rPr>
        <w:t>向</w:t>
      </w:r>
      <w:r>
        <w:rPr>
          <w:rFonts w:hint="eastAsia" w:ascii="宋体" w:hAnsi="宋体"/>
          <w:sz w:val="24"/>
        </w:rPr>
        <w:t>招标代理机构</w:t>
      </w:r>
      <w:r>
        <w:rPr>
          <w:rFonts w:ascii="宋体" w:hAnsi="宋体"/>
          <w:sz w:val="24"/>
        </w:rPr>
        <w:t>提交</w:t>
      </w:r>
      <w:r>
        <w:rPr>
          <w:rFonts w:hint="eastAsia" w:ascii="宋体" w:hAnsi="宋体"/>
          <w:sz w:val="24"/>
        </w:rPr>
        <w:t>响应文件</w:t>
      </w:r>
      <w:r>
        <w:rPr>
          <w:rFonts w:ascii="宋体" w:hAnsi="宋体"/>
          <w:sz w:val="24"/>
        </w:rPr>
        <w:t>的报价人。</w:t>
      </w:r>
    </w:p>
    <w:p>
      <w:pPr>
        <w:spacing w:line="360" w:lineRule="auto"/>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本磋商文件仅适用于招标代理机构组织的本次报价活动。</w:t>
      </w:r>
    </w:p>
    <w:p>
      <w:pPr>
        <w:spacing w:line="360" w:lineRule="auto"/>
        <w:rPr>
          <w:rFonts w:ascii="宋体" w:hAnsi="宋体"/>
          <w:sz w:val="24"/>
        </w:rPr>
      </w:pPr>
      <w:r>
        <w:rPr>
          <w:rFonts w:hint="eastAsia" w:ascii="宋体" w:hAnsi="宋体"/>
          <w:sz w:val="24"/>
        </w:rPr>
        <w:t>3．合格的报价人</w:t>
      </w:r>
    </w:p>
    <w:p>
      <w:pPr>
        <w:spacing w:line="360" w:lineRule="auto"/>
        <w:ind w:firstLine="480" w:firstLineChars="200"/>
        <w:rPr>
          <w:rFonts w:ascii="宋体" w:hAnsi="宋体"/>
          <w:sz w:val="24"/>
        </w:rPr>
      </w:pPr>
      <w:r>
        <w:rPr>
          <w:rFonts w:hint="eastAsia" w:ascii="宋体" w:hAnsi="宋体"/>
          <w:sz w:val="24"/>
        </w:rPr>
        <w:t>3.1 凡有能力按照本磋商文件规定的要求交付货物和服务的供货商均为合格的报价人。</w:t>
      </w:r>
    </w:p>
    <w:p>
      <w:pPr>
        <w:spacing w:line="360" w:lineRule="auto"/>
        <w:ind w:firstLine="480" w:firstLineChars="200"/>
        <w:rPr>
          <w:rFonts w:ascii="宋体" w:hAnsi="宋体"/>
          <w:sz w:val="24"/>
        </w:rPr>
      </w:pPr>
      <w:r>
        <w:rPr>
          <w:rFonts w:hint="eastAsia" w:ascii="宋体" w:hAnsi="宋体"/>
          <w:sz w:val="24"/>
        </w:rPr>
        <w:t>3.2 报价人参加本次政府采购活动应当符合《中华人民共和国政府采购法》第二十二条的规定，并具备本磋商文件第一章“报价人资格要求”规定的条件。</w:t>
      </w:r>
    </w:p>
    <w:p>
      <w:pPr>
        <w:spacing w:line="360" w:lineRule="auto"/>
        <w:ind w:firstLine="480" w:firstLineChars="200"/>
        <w:rPr>
          <w:rFonts w:ascii="宋体" w:hAnsi="宋体"/>
          <w:sz w:val="24"/>
        </w:rPr>
      </w:pPr>
      <w:r>
        <w:rPr>
          <w:rFonts w:hint="eastAsia" w:ascii="宋体" w:hAnsi="宋体"/>
          <w:sz w:val="24"/>
        </w:rPr>
        <w:t>3.3 报价人应遵守中华人民共和国的有关法律、法规。</w:t>
      </w:r>
    </w:p>
    <w:p>
      <w:pPr>
        <w:spacing w:line="360" w:lineRule="auto"/>
        <w:ind w:firstLine="482" w:firstLineChars="200"/>
        <w:rPr>
          <w:rFonts w:ascii="宋体" w:hAnsi="宋体"/>
          <w:b/>
          <w:sz w:val="24"/>
        </w:rPr>
      </w:pPr>
      <w:r>
        <w:rPr>
          <w:rFonts w:hint="eastAsia" w:ascii="宋体" w:hAnsi="宋体"/>
          <w:b/>
          <w:sz w:val="24"/>
        </w:rPr>
        <w:t>3.4 本项目不接受联合体报价。</w:t>
      </w:r>
    </w:p>
    <w:p>
      <w:pPr>
        <w:spacing w:line="360" w:lineRule="auto"/>
        <w:rPr>
          <w:rFonts w:ascii="宋体" w:hAnsi="宋体"/>
          <w:sz w:val="24"/>
        </w:rPr>
      </w:pPr>
      <w:r>
        <w:rPr>
          <w:rFonts w:hint="eastAsia" w:ascii="宋体" w:hAnsi="宋体"/>
          <w:sz w:val="24"/>
        </w:rPr>
        <w:t>4．报价费用</w:t>
      </w:r>
    </w:p>
    <w:p>
      <w:pPr>
        <w:spacing w:line="360" w:lineRule="auto"/>
        <w:ind w:firstLine="480" w:firstLineChars="200"/>
        <w:rPr>
          <w:rFonts w:ascii="宋体" w:hAnsi="宋体"/>
          <w:sz w:val="24"/>
        </w:rPr>
      </w:pPr>
      <w:r>
        <w:rPr>
          <w:rFonts w:hint="eastAsia" w:ascii="宋体" w:hAnsi="宋体"/>
          <w:sz w:val="24"/>
        </w:rPr>
        <w:t>无论招标报价过程中的做法和结果如何，报价人均自行承担所有与参加报价有关的全部费用。</w:t>
      </w:r>
    </w:p>
    <w:p>
      <w:pPr>
        <w:spacing w:line="360" w:lineRule="auto"/>
        <w:rPr>
          <w:rFonts w:ascii="宋体" w:hAnsi="宋体"/>
          <w:sz w:val="24"/>
        </w:rPr>
      </w:pPr>
      <w:r>
        <w:rPr>
          <w:rFonts w:hint="eastAsia" w:ascii="宋体" w:hAnsi="宋体"/>
          <w:sz w:val="24"/>
        </w:rPr>
        <w:t>5．磋商文件的约束力</w:t>
      </w:r>
    </w:p>
    <w:p>
      <w:pPr>
        <w:spacing w:line="360" w:lineRule="auto"/>
        <w:ind w:firstLine="480" w:firstLineChars="200"/>
        <w:rPr>
          <w:rFonts w:ascii="宋体" w:hAnsi="宋体"/>
          <w:sz w:val="24"/>
        </w:rPr>
      </w:pPr>
      <w:r>
        <w:rPr>
          <w:rFonts w:hint="eastAsia" w:ascii="宋体" w:hAnsi="宋体"/>
          <w:sz w:val="24"/>
        </w:rPr>
        <w:t>报价人一旦参加本项目报价，即被认为接受了本磋商文件中的所有条件和规定。</w:t>
      </w:r>
    </w:p>
    <w:p>
      <w:pPr>
        <w:spacing w:line="360" w:lineRule="auto"/>
        <w:rPr>
          <w:rFonts w:ascii="宋体" w:hAnsi="宋体"/>
          <w:b/>
          <w:sz w:val="32"/>
          <w:szCs w:val="32"/>
        </w:rPr>
      </w:pPr>
      <w:r>
        <w:rPr>
          <w:rFonts w:hint="eastAsia" w:ascii="宋体" w:hAnsi="宋体"/>
          <w:b/>
          <w:sz w:val="32"/>
          <w:szCs w:val="32"/>
        </w:rPr>
        <w:t>二、磋商文件</w:t>
      </w:r>
    </w:p>
    <w:p>
      <w:pPr>
        <w:spacing w:line="360" w:lineRule="auto"/>
        <w:rPr>
          <w:rFonts w:ascii="宋体" w:hAnsi="宋体"/>
          <w:sz w:val="24"/>
        </w:rPr>
      </w:pPr>
      <w:r>
        <w:rPr>
          <w:rFonts w:hint="eastAsia" w:ascii="宋体" w:hAnsi="宋体"/>
          <w:sz w:val="24"/>
        </w:rPr>
        <w:t>6．磋商文件的组成</w:t>
      </w:r>
    </w:p>
    <w:p>
      <w:pPr>
        <w:spacing w:line="360" w:lineRule="auto"/>
        <w:ind w:firstLine="480" w:firstLineChars="200"/>
        <w:rPr>
          <w:rFonts w:ascii="宋体" w:hAnsi="宋体"/>
          <w:sz w:val="24"/>
        </w:rPr>
      </w:pPr>
      <w:r>
        <w:rPr>
          <w:rFonts w:hint="eastAsia" w:ascii="宋体" w:hAnsi="宋体"/>
          <w:sz w:val="24"/>
        </w:rPr>
        <w:t>6.l 磋商文件由六部分组成，包括：</w:t>
      </w:r>
    </w:p>
    <w:p>
      <w:pPr>
        <w:spacing w:line="360" w:lineRule="auto"/>
        <w:ind w:firstLine="960" w:firstLineChars="400"/>
        <w:rPr>
          <w:rFonts w:ascii="宋体" w:hAnsi="宋体"/>
          <w:sz w:val="24"/>
        </w:rPr>
      </w:pPr>
      <w:r>
        <w:rPr>
          <w:rFonts w:hint="eastAsia" w:ascii="宋体" w:hAnsi="宋体"/>
          <w:sz w:val="24"/>
        </w:rPr>
        <w:t>第一章  磋商邀请书</w:t>
      </w:r>
    </w:p>
    <w:p>
      <w:pPr>
        <w:spacing w:line="360" w:lineRule="auto"/>
        <w:ind w:firstLine="480" w:firstLineChars="200"/>
        <w:rPr>
          <w:rFonts w:ascii="宋体" w:hAnsi="宋体"/>
          <w:sz w:val="24"/>
        </w:rPr>
      </w:pPr>
      <w:r>
        <w:rPr>
          <w:rFonts w:hint="eastAsia" w:ascii="宋体" w:hAnsi="宋体"/>
          <w:sz w:val="24"/>
        </w:rPr>
        <w:t xml:space="preserve">    第二章  报价人须知</w:t>
      </w:r>
    </w:p>
    <w:p>
      <w:pPr>
        <w:spacing w:line="360" w:lineRule="auto"/>
        <w:ind w:firstLine="960" w:firstLineChars="400"/>
        <w:rPr>
          <w:rFonts w:ascii="宋体" w:hAnsi="宋体"/>
          <w:sz w:val="24"/>
        </w:rPr>
      </w:pPr>
      <w:r>
        <w:rPr>
          <w:rFonts w:hint="eastAsia" w:ascii="宋体" w:hAnsi="宋体"/>
          <w:sz w:val="24"/>
        </w:rPr>
        <w:t>第三章  用户需求书</w:t>
      </w:r>
    </w:p>
    <w:p>
      <w:pPr>
        <w:spacing w:line="360" w:lineRule="auto"/>
        <w:ind w:firstLine="480" w:firstLineChars="200"/>
        <w:rPr>
          <w:rFonts w:ascii="宋体" w:hAnsi="宋体"/>
          <w:sz w:val="24"/>
        </w:rPr>
      </w:pPr>
      <w:r>
        <w:rPr>
          <w:rFonts w:hint="eastAsia" w:ascii="宋体" w:hAnsi="宋体"/>
          <w:sz w:val="24"/>
        </w:rPr>
        <w:t xml:space="preserve">    第四章  合同条款</w:t>
      </w:r>
    </w:p>
    <w:p>
      <w:pPr>
        <w:spacing w:line="360" w:lineRule="auto"/>
        <w:ind w:firstLine="960" w:firstLineChars="400"/>
        <w:rPr>
          <w:rFonts w:ascii="宋体" w:hAnsi="宋体"/>
          <w:sz w:val="24"/>
        </w:rPr>
      </w:pPr>
      <w:r>
        <w:rPr>
          <w:rFonts w:hint="eastAsia" w:ascii="宋体" w:hAnsi="宋体"/>
          <w:sz w:val="24"/>
        </w:rPr>
        <w:t>第五章  响应文件内容和格式</w:t>
      </w:r>
    </w:p>
    <w:p>
      <w:pPr>
        <w:spacing w:line="360" w:lineRule="auto"/>
        <w:ind w:firstLine="960" w:firstLineChars="400"/>
        <w:rPr>
          <w:rFonts w:ascii="宋体" w:hAnsi="宋体"/>
          <w:sz w:val="24"/>
        </w:rPr>
      </w:pPr>
      <w:r>
        <w:rPr>
          <w:rFonts w:hint="eastAsia" w:ascii="宋体" w:hAnsi="宋体"/>
          <w:sz w:val="24"/>
        </w:rPr>
        <w:t>第六章  磋商程序</w:t>
      </w:r>
    </w:p>
    <w:p>
      <w:pPr>
        <w:spacing w:line="360" w:lineRule="auto"/>
        <w:ind w:firstLine="480" w:firstLineChars="200"/>
        <w:rPr>
          <w:rFonts w:ascii="宋体" w:hAnsi="宋体"/>
          <w:sz w:val="24"/>
        </w:rPr>
      </w:pPr>
      <w:r>
        <w:rPr>
          <w:rFonts w:hint="eastAsia" w:ascii="宋体" w:hAnsi="宋体"/>
          <w:sz w:val="24"/>
        </w:rPr>
        <w:t>请仔细检查磋商文件是否齐全，如有缺漏，请立即与招标代理机构联系解决。</w:t>
      </w:r>
    </w:p>
    <w:p>
      <w:pPr>
        <w:spacing w:line="360" w:lineRule="auto"/>
        <w:ind w:firstLine="480" w:firstLineChars="200"/>
        <w:rPr>
          <w:rFonts w:ascii="宋体" w:hAnsi="宋体"/>
          <w:sz w:val="24"/>
        </w:rPr>
      </w:pPr>
      <w:r>
        <w:rPr>
          <w:rFonts w:hint="eastAsia" w:ascii="宋体" w:hAnsi="宋体"/>
          <w:sz w:val="24"/>
        </w:rPr>
        <w:t>6.2 报价人被视为充分熟悉本招标项目所在地的与履行合同有关的各种情况，包括自然环境、气候条件、劳动力及公用设施等，本磋商文件不再对上述情况进行描述。</w:t>
      </w:r>
    </w:p>
    <w:p>
      <w:pPr>
        <w:spacing w:line="360" w:lineRule="auto"/>
        <w:ind w:firstLine="480" w:firstLineChars="200"/>
        <w:rPr>
          <w:rFonts w:ascii="宋体" w:hAnsi="宋体"/>
          <w:sz w:val="24"/>
        </w:rPr>
      </w:pPr>
      <w:r>
        <w:rPr>
          <w:rFonts w:hint="eastAsia" w:ascii="宋体" w:hAnsi="宋体"/>
          <w:sz w:val="24"/>
        </w:rPr>
        <w:t>6.3 报价人必须详阅磋商文件的所有条款、文件及表格格式。报价人若未按磋商文件的要求和规范编制、提交响应文件，将有可能导致响应文件被拒绝接受，所造成的负面后果由报价人负责。</w:t>
      </w:r>
    </w:p>
    <w:p>
      <w:pPr>
        <w:spacing w:line="360" w:lineRule="auto"/>
        <w:rPr>
          <w:rFonts w:ascii="宋体" w:hAnsi="宋体"/>
          <w:sz w:val="24"/>
        </w:rPr>
      </w:pPr>
      <w:r>
        <w:rPr>
          <w:rFonts w:hint="eastAsia" w:ascii="宋体" w:hAnsi="宋体"/>
          <w:sz w:val="24"/>
        </w:rPr>
        <w:t>7．磋商文件的澄清</w:t>
      </w:r>
    </w:p>
    <w:p>
      <w:pPr>
        <w:spacing w:line="360" w:lineRule="auto"/>
        <w:ind w:firstLine="480" w:firstLineChars="200"/>
        <w:rPr>
          <w:rFonts w:ascii="宋体" w:hAnsi="宋体"/>
          <w:sz w:val="24"/>
        </w:rPr>
      </w:pPr>
      <w:r>
        <w:rPr>
          <w:rFonts w:hint="eastAsia" w:ascii="宋体" w:hAnsi="宋体"/>
          <w:sz w:val="24"/>
        </w:rPr>
        <w:t>报价人在收到磋商文件后，若有疑问需要澄清，应于报价截至时间一个工作日前以书面形式向招标代理机构提出，招标代理机构将以书面形式进行答复，同时招标代理机构有权将答复内容（包括所提问题，但不包括问题来源）分发给所有购买了同一磋商文件的报价人。</w:t>
      </w:r>
    </w:p>
    <w:p>
      <w:pPr>
        <w:spacing w:line="360" w:lineRule="auto"/>
        <w:rPr>
          <w:rFonts w:ascii="宋体" w:hAnsi="宋体"/>
          <w:sz w:val="24"/>
        </w:rPr>
      </w:pPr>
      <w:r>
        <w:rPr>
          <w:rFonts w:hint="eastAsia" w:ascii="宋体" w:hAnsi="宋体"/>
          <w:sz w:val="24"/>
        </w:rPr>
        <w:t>8．磋商文件的更正或补充</w:t>
      </w:r>
    </w:p>
    <w:p>
      <w:pPr>
        <w:spacing w:line="360" w:lineRule="auto"/>
        <w:ind w:firstLine="480" w:firstLineChars="200"/>
        <w:rPr>
          <w:rFonts w:ascii="宋体" w:hAnsi="宋体"/>
          <w:sz w:val="24"/>
        </w:rPr>
      </w:pPr>
      <w:r>
        <w:rPr>
          <w:rFonts w:hint="eastAsia" w:ascii="宋体" w:hAnsi="宋体"/>
          <w:sz w:val="24"/>
        </w:rPr>
        <w:t>8.l 在报价截止时间前，招标代理机构可以书面通知的方式修改磋商文件。修改通知作为磋商文件的组成部分，对报价人起同等约束作用。</w:t>
      </w:r>
    </w:p>
    <w:p>
      <w:pPr>
        <w:spacing w:line="360" w:lineRule="auto"/>
        <w:ind w:firstLine="480" w:firstLineChars="200"/>
        <w:rPr>
          <w:rFonts w:ascii="宋体" w:hAnsi="宋体"/>
          <w:sz w:val="24"/>
        </w:rPr>
      </w:pPr>
      <w:r>
        <w:rPr>
          <w:rFonts w:hint="eastAsia" w:ascii="宋体" w:hAnsi="宋体"/>
          <w:sz w:val="24"/>
        </w:rPr>
        <w:t>8.2 当磋商文件与更正公告的内容相互矛盾时，以招标代理机构最后发出的更正公告为准。</w:t>
      </w:r>
    </w:p>
    <w:p>
      <w:pPr>
        <w:spacing w:line="360" w:lineRule="auto"/>
        <w:ind w:firstLine="480" w:firstLineChars="200"/>
        <w:rPr>
          <w:rFonts w:ascii="宋体" w:hAnsi="宋体"/>
          <w:sz w:val="24"/>
        </w:rPr>
      </w:pPr>
      <w:r>
        <w:rPr>
          <w:rFonts w:hint="eastAsia" w:ascii="宋体" w:hAnsi="宋体"/>
          <w:sz w:val="24"/>
        </w:rPr>
        <w:t>8.3 为使报价人有足够的时间按磋商文件的更正要求修正响应文件，招标代理机构有权决定推迟报价截止日期，并将此变更书面通知所有购买了同一磋商文件的报价人。</w:t>
      </w:r>
    </w:p>
    <w:p>
      <w:pPr>
        <w:spacing w:line="360" w:lineRule="auto"/>
        <w:rPr>
          <w:rFonts w:ascii="宋体" w:hAnsi="宋体"/>
          <w:b/>
          <w:sz w:val="32"/>
          <w:szCs w:val="32"/>
        </w:rPr>
      </w:pPr>
      <w:r>
        <w:rPr>
          <w:rFonts w:hint="eastAsia" w:ascii="宋体" w:hAnsi="宋体"/>
          <w:b/>
          <w:sz w:val="32"/>
          <w:szCs w:val="32"/>
        </w:rPr>
        <w:t>三、响应文件</w:t>
      </w:r>
    </w:p>
    <w:p>
      <w:pPr>
        <w:snapToGrid w:val="0"/>
        <w:spacing w:line="360" w:lineRule="auto"/>
        <w:rPr>
          <w:rFonts w:ascii="宋体" w:hAnsi="宋体"/>
          <w:sz w:val="24"/>
        </w:rPr>
      </w:pPr>
      <w:r>
        <w:rPr>
          <w:rFonts w:hint="eastAsia" w:ascii="宋体" w:hAnsi="宋体"/>
          <w:sz w:val="24"/>
        </w:rPr>
        <w:t>9．响应文件的组成</w:t>
      </w:r>
    </w:p>
    <w:p>
      <w:pPr>
        <w:snapToGrid w:val="0"/>
        <w:spacing w:line="360" w:lineRule="auto"/>
        <w:ind w:firstLine="480" w:firstLineChars="200"/>
        <w:rPr>
          <w:rFonts w:ascii="宋体" w:hAnsi="宋体"/>
          <w:sz w:val="24"/>
        </w:rPr>
      </w:pPr>
      <w:r>
        <w:rPr>
          <w:rFonts w:hint="eastAsia" w:ascii="宋体" w:hAnsi="宋体"/>
          <w:sz w:val="24"/>
        </w:rPr>
        <w:t>响应文件应按“第五章 响应文件内容和格式”要求编制。</w:t>
      </w:r>
    </w:p>
    <w:p>
      <w:pPr>
        <w:snapToGrid w:val="0"/>
        <w:spacing w:line="360" w:lineRule="auto"/>
        <w:rPr>
          <w:rFonts w:ascii="宋体" w:hAnsi="宋体"/>
          <w:sz w:val="24"/>
        </w:rPr>
      </w:pPr>
      <w:r>
        <w:rPr>
          <w:rFonts w:hint="eastAsia" w:ascii="宋体" w:hAnsi="宋体"/>
          <w:sz w:val="24"/>
        </w:rPr>
        <w:t>10．报价</w:t>
      </w:r>
    </w:p>
    <w:p>
      <w:pPr>
        <w:snapToGrid w:val="0"/>
        <w:spacing w:line="360" w:lineRule="auto"/>
        <w:ind w:firstLine="480" w:firstLineChars="200"/>
        <w:rPr>
          <w:rFonts w:ascii="宋体" w:hAnsi="宋体"/>
          <w:sz w:val="24"/>
        </w:rPr>
      </w:pPr>
      <w:r>
        <w:rPr>
          <w:rFonts w:hint="eastAsia" w:ascii="宋体" w:hAnsi="宋体"/>
          <w:sz w:val="24"/>
        </w:rPr>
        <w:t>10.1报价人应按开标一览表的要求报价，并且该报价在所有的响应文件中必须是统一的报价。</w:t>
      </w:r>
    </w:p>
    <w:p>
      <w:pPr>
        <w:snapToGrid w:val="0"/>
        <w:spacing w:line="360" w:lineRule="auto"/>
        <w:ind w:firstLine="480" w:firstLineChars="200"/>
        <w:rPr>
          <w:rFonts w:ascii="宋体" w:hAnsi="宋体"/>
          <w:sz w:val="24"/>
        </w:rPr>
      </w:pPr>
      <w:r>
        <w:rPr>
          <w:rFonts w:hint="eastAsia" w:ascii="宋体" w:hAnsi="宋体"/>
          <w:sz w:val="24"/>
        </w:rPr>
        <w:t>10.2报价均须以人民币为计算单位。</w:t>
      </w:r>
    </w:p>
    <w:p>
      <w:pPr>
        <w:snapToGrid w:val="0"/>
        <w:spacing w:line="360" w:lineRule="auto"/>
        <w:ind w:firstLine="480" w:firstLineChars="200"/>
        <w:rPr>
          <w:rFonts w:ascii="宋体" w:hAnsi="宋体"/>
          <w:sz w:val="24"/>
        </w:rPr>
      </w:pPr>
      <w:r>
        <w:rPr>
          <w:rFonts w:hint="eastAsia" w:ascii="宋体" w:hAnsi="宋体"/>
          <w:sz w:val="24"/>
        </w:rPr>
        <w:t>10.3本项目的采购预算金额为</w:t>
      </w:r>
      <w:r>
        <w:rPr>
          <w:rFonts w:ascii="宋体" w:hAnsi="宋体"/>
          <w:sz w:val="24"/>
        </w:rPr>
        <w:t>1069890</w:t>
      </w:r>
      <w:r>
        <w:rPr>
          <w:rFonts w:hint="eastAsia" w:ascii="宋体" w:hAnsi="宋体"/>
          <w:sz w:val="24"/>
        </w:rPr>
        <w:t>.00元，采购人不接受超预算报价。如超过预算，采购人有权拒绝而递选下一个顺位的候选人。</w:t>
      </w:r>
    </w:p>
    <w:p>
      <w:pPr>
        <w:snapToGrid w:val="0"/>
        <w:spacing w:line="360" w:lineRule="auto"/>
        <w:rPr>
          <w:rFonts w:ascii="宋体" w:hAnsi="宋体"/>
          <w:sz w:val="24"/>
        </w:rPr>
      </w:pPr>
      <w:r>
        <w:rPr>
          <w:rFonts w:hint="eastAsia" w:ascii="宋体" w:hAnsi="宋体"/>
          <w:sz w:val="24"/>
        </w:rPr>
        <w:t>11．磋商保证金</w:t>
      </w:r>
    </w:p>
    <w:p>
      <w:pPr>
        <w:adjustRightInd w:val="0"/>
        <w:snapToGrid w:val="0"/>
        <w:spacing w:line="360" w:lineRule="auto"/>
        <w:ind w:firstLine="480" w:firstLineChars="200"/>
        <w:rPr>
          <w:rFonts w:ascii="宋体" w:hAnsi="宋体"/>
          <w:sz w:val="24"/>
        </w:rPr>
      </w:pPr>
      <w:r>
        <w:rPr>
          <w:rFonts w:hint="eastAsia" w:ascii="宋体" w:hAnsi="宋体"/>
          <w:sz w:val="24"/>
        </w:rPr>
        <w:t>11.1磋商保证金是参加本项目报价的必要条件，</w:t>
      </w:r>
      <w:r>
        <w:rPr>
          <w:rFonts w:hint="eastAsia" w:ascii="宋体" w:hAnsi="宋体"/>
          <w:b/>
          <w:sz w:val="24"/>
        </w:rPr>
        <w:t>保证金为人民币 壹万元整（￥</w:t>
      </w:r>
      <w:r>
        <w:rPr>
          <w:rFonts w:ascii="宋体" w:hAnsi="宋体"/>
          <w:b/>
          <w:sz w:val="24"/>
        </w:rPr>
        <w:t>10</w:t>
      </w:r>
      <w:r>
        <w:rPr>
          <w:rFonts w:hint="eastAsia" w:ascii="宋体" w:hAnsi="宋体"/>
          <w:b/>
          <w:sz w:val="24"/>
        </w:rPr>
        <w:t>000元）</w:t>
      </w:r>
      <w:r>
        <w:rPr>
          <w:rFonts w:hint="eastAsia" w:ascii="宋体" w:hAnsi="宋体"/>
          <w:sz w:val="24"/>
        </w:rPr>
        <w:t>。</w:t>
      </w:r>
    </w:p>
    <w:p>
      <w:pPr>
        <w:spacing w:line="500" w:lineRule="exact"/>
        <w:ind w:firstLine="480" w:firstLineChars="200"/>
        <w:rPr>
          <w:color w:val="000000"/>
          <w:sz w:val="24"/>
        </w:rPr>
      </w:pPr>
      <w:r>
        <w:rPr>
          <w:color w:val="000000"/>
          <w:sz w:val="24"/>
        </w:rPr>
        <w:t>11.2</w:t>
      </w:r>
      <w:r>
        <w:rPr>
          <w:rFonts w:hint="eastAsia" w:hAnsi="宋体"/>
          <w:b/>
          <w:color w:val="000000"/>
          <w:sz w:val="24"/>
        </w:rPr>
        <w:t>磋商</w:t>
      </w:r>
      <w:r>
        <w:rPr>
          <w:rFonts w:hAnsi="宋体"/>
          <w:b/>
          <w:color w:val="000000"/>
          <w:sz w:val="24"/>
        </w:rPr>
        <w:t>保证金应在</w:t>
      </w:r>
      <w:r>
        <w:rPr>
          <w:rFonts w:hint="eastAsia"/>
          <w:b/>
          <w:color w:val="000000"/>
          <w:sz w:val="24"/>
        </w:rPr>
        <w:t>2016年11月24日 09:30:00（北京时间）</w:t>
      </w:r>
      <w:r>
        <w:rPr>
          <w:rFonts w:hAnsi="宋体"/>
          <w:b/>
          <w:color w:val="000000"/>
          <w:sz w:val="24"/>
        </w:rPr>
        <w:t>前划入或存入招标代理机构指定账户并注明汇款单位，并</w:t>
      </w:r>
      <w:r>
        <w:rPr>
          <w:rFonts w:hint="eastAsia" w:hAnsi="宋体"/>
          <w:b/>
          <w:color w:val="000000"/>
          <w:sz w:val="24"/>
        </w:rPr>
        <w:t>注明</w:t>
      </w:r>
      <w:r>
        <w:rPr>
          <w:rFonts w:hAnsi="宋体"/>
          <w:b/>
          <w:color w:val="000000"/>
          <w:sz w:val="24"/>
        </w:rPr>
        <w:t>所投项目的项目名称及编号。</w:t>
      </w:r>
    </w:p>
    <w:p>
      <w:pPr>
        <w:spacing w:line="500" w:lineRule="exact"/>
        <w:ind w:firstLine="482" w:firstLineChars="200"/>
        <w:rPr>
          <w:b/>
          <w:color w:val="000000"/>
          <w:sz w:val="24"/>
        </w:rPr>
      </w:pPr>
      <w:r>
        <w:rPr>
          <w:rFonts w:hAnsi="宋体"/>
          <w:b/>
          <w:color w:val="000000"/>
          <w:sz w:val="24"/>
        </w:rPr>
        <w:t>户名：</w:t>
      </w:r>
      <w:r>
        <w:rPr>
          <w:rFonts w:hint="eastAsia" w:hAnsi="宋体"/>
          <w:b/>
          <w:color w:val="000000"/>
          <w:sz w:val="24"/>
        </w:rPr>
        <w:t>四川恒鑫工程管理咨询有限公司海口分公司</w:t>
      </w:r>
    </w:p>
    <w:p>
      <w:pPr>
        <w:spacing w:line="500" w:lineRule="exact"/>
        <w:ind w:firstLine="482" w:firstLineChars="200"/>
        <w:rPr>
          <w:b/>
          <w:color w:val="000000"/>
          <w:sz w:val="24"/>
        </w:rPr>
      </w:pPr>
      <w:r>
        <w:rPr>
          <w:rFonts w:hAnsi="宋体"/>
          <w:b/>
          <w:color w:val="000000"/>
          <w:sz w:val="24"/>
        </w:rPr>
        <w:t>开户行：</w:t>
      </w:r>
      <w:r>
        <w:rPr>
          <w:rFonts w:hint="eastAsia" w:hAnsi="宋体"/>
          <w:b/>
          <w:color w:val="000000"/>
          <w:sz w:val="24"/>
        </w:rPr>
        <w:t>上海浦东发展银行股份有限公司海口蓝天路支行</w:t>
      </w:r>
    </w:p>
    <w:p>
      <w:pPr>
        <w:spacing w:line="500" w:lineRule="exact"/>
        <w:ind w:firstLine="482" w:firstLineChars="200"/>
        <w:rPr>
          <w:b/>
          <w:color w:val="000000"/>
          <w:sz w:val="24"/>
        </w:rPr>
      </w:pPr>
      <w:r>
        <w:rPr>
          <w:rFonts w:hAnsi="宋体"/>
          <w:b/>
          <w:color w:val="000000"/>
          <w:sz w:val="24"/>
        </w:rPr>
        <w:t>帐户：</w:t>
      </w:r>
      <w:r>
        <w:rPr>
          <w:b/>
          <w:color w:val="000000"/>
          <w:sz w:val="24"/>
        </w:rPr>
        <w:t>34030154800000552</w:t>
      </w:r>
    </w:p>
    <w:p>
      <w:pPr>
        <w:spacing w:line="500" w:lineRule="exact"/>
        <w:ind w:firstLine="480" w:firstLineChars="200"/>
        <w:rPr>
          <w:color w:val="000000"/>
          <w:sz w:val="24"/>
        </w:rPr>
      </w:pPr>
      <w:r>
        <w:rPr>
          <w:color w:val="000000"/>
          <w:sz w:val="24"/>
        </w:rPr>
        <w:t xml:space="preserve">11.3 </w:t>
      </w:r>
      <w:r>
        <w:rPr>
          <w:rFonts w:hAnsi="宋体"/>
          <w:color w:val="000000"/>
          <w:sz w:val="24"/>
        </w:rPr>
        <w:t>若投标人不按规定提交</w:t>
      </w:r>
      <w:r>
        <w:rPr>
          <w:rFonts w:hint="eastAsia" w:ascii="宋体" w:hAnsi="宋体"/>
          <w:sz w:val="24"/>
        </w:rPr>
        <w:t>磋商</w:t>
      </w:r>
      <w:r>
        <w:rPr>
          <w:rFonts w:hAnsi="宋体"/>
          <w:color w:val="000000"/>
          <w:sz w:val="24"/>
        </w:rPr>
        <w:t>保证金，其报价文件将被拒绝接受。</w:t>
      </w:r>
    </w:p>
    <w:p>
      <w:pPr>
        <w:spacing w:line="500" w:lineRule="exact"/>
        <w:ind w:firstLine="480" w:firstLineChars="200"/>
        <w:rPr>
          <w:color w:val="000000"/>
          <w:sz w:val="24"/>
        </w:rPr>
      </w:pPr>
      <w:r>
        <w:rPr>
          <w:color w:val="000000"/>
          <w:sz w:val="24"/>
        </w:rPr>
        <w:t xml:space="preserve">11.4 </w:t>
      </w:r>
      <w:r>
        <w:rPr>
          <w:rFonts w:hint="eastAsia" w:ascii="宋体" w:hAnsi="宋体"/>
          <w:sz w:val="24"/>
        </w:rPr>
        <w:t>磋商</w:t>
      </w:r>
      <w:r>
        <w:rPr>
          <w:rFonts w:hAnsi="宋体"/>
          <w:color w:val="000000"/>
          <w:sz w:val="24"/>
        </w:rPr>
        <w:t>保证金的退还</w:t>
      </w:r>
    </w:p>
    <w:p>
      <w:pPr>
        <w:spacing w:line="500" w:lineRule="exact"/>
        <w:ind w:firstLine="480" w:firstLineChars="200"/>
        <w:rPr>
          <w:color w:val="000000"/>
          <w:sz w:val="24"/>
        </w:rPr>
      </w:pPr>
      <w:r>
        <w:rPr>
          <w:color w:val="000000"/>
          <w:sz w:val="24"/>
        </w:rPr>
        <w:t xml:space="preserve">11.4.l </w:t>
      </w:r>
      <w:r>
        <w:rPr>
          <w:rFonts w:hAnsi="宋体"/>
          <w:color w:val="000000"/>
          <w:sz w:val="24"/>
        </w:rPr>
        <w:t>成交人的磋商保证金在其与采购人签订了采购合同后</w:t>
      </w:r>
      <w:r>
        <w:rPr>
          <w:color w:val="000000"/>
          <w:sz w:val="24"/>
        </w:rPr>
        <w:t>5</w:t>
      </w:r>
      <w:r>
        <w:rPr>
          <w:rFonts w:hAnsi="宋体"/>
          <w:color w:val="000000"/>
          <w:sz w:val="24"/>
        </w:rPr>
        <w:t>个工作日内无息退还。</w:t>
      </w:r>
    </w:p>
    <w:p>
      <w:pPr>
        <w:spacing w:line="500" w:lineRule="exact"/>
        <w:ind w:firstLine="480" w:firstLineChars="200"/>
        <w:rPr>
          <w:color w:val="000000"/>
          <w:sz w:val="24"/>
        </w:rPr>
      </w:pPr>
      <w:r>
        <w:rPr>
          <w:color w:val="000000"/>
          <w:sz w:val="24"/>
        </w:rPr>
        <w:t xml:space="preserve">11.4.2 </w:t>
      </w:r>
      <w:r>
        <w:rPr>
          <w:rFonts w:hAnsi="宋体"/>
          <w:color w:val="000000"/>
          <w:sz w:val="24"/>
        </w:rPr>
        <w:t>落标的投标人的磋商保证金将在招标代理机构发出成交通知书</w:t>
      </w:r>
      <w:r>
        <w:rPr>
          <w:color w:val="000000"/>
          <w:sz w:val="24"/>
        </w:rPr>
        <w:t>5</w:t>
      </w:r>
      <w:r>
        <w:rPr>
          <w:rFonts w:hAnsi="宋体"/>
          <w:color w:val="000000"/>
          <w:sz w:val="24"/>
        </w:rPr>
        <w:t>个工作日内无息退还。</w:t>
      </w:r>
    </w:p>
    <w:p>
      <w:pPr>
        <w:spacing w:line="500" w:lineRule="exact"/>
        <w:ind w:firstLine="480" w:firstLineChars="200"/>
        <w:rPr>
          <w:color w:val="000000"/>
          <w:sz w:val="24"/>
        </w:rPr>
      </w:pPr>
      <w:r>
        <w:rPr>
          <w:color w:val="000000"/>
          <w:sz w:val="24"/>
        </w:rPr>
        <w:t xml:space="preserve">11.5 </w:t>
      </w:r>
      <w:r>
        <w:rPr>
          <w:rFonts w:hAnsi="宋体"/>
          <w:color w:val="000000"/>
          <w:sz w:val="24"/>
        </w:rPr>
        <w:t>发生下列情况之一，磋商保证金将不予退还：</w:t>
      </w:r>
    </w:p>
    <w:p>
      <w:pPr>
        <w:spacing w:line="500" w:lineRule="exact"/>
        <w:ind w:firstLine="480" w:firstLineChars="200"/>
        <w:rPr>
          <w:color w:val="000000"/>
          <w:sz w:val="24"/>
        </w:rPr>
      </w:pPr>
      <w:r>
        <w:rPr>
          <w:rFonts w:hAnsi="宋体"/>
          <w:color w:val="000000"/>
          <w:sz w:val="24"/>
        </w:rPr>
        <w:t>（</w:t>
      </w:r>
      <w:r>
        <w:rPr>
          <w:color w:val="000000"/>
          <w:sz w:val="24"/>
        </w:rPr>
        <w:t>1</w:t>
      </w:r>
      <w:r>
        <w:rPr>
          <w:rFonts w:hAnsi="宋体"/>
          <w:color w:val="000000"/>
          <w:sz w:val="24"/>
        </w:rPr>
        <w:t>）投标人在报价有效期内撤回报价</w:t>
      </w:r>
      <w:r>
        <w:rPr>
          <w:rFonts w:hint="eastAsia" w:hAnsi="宋体"/>
          <w:color w:val="000000"/>
          <w:sz w:val="24"/>
        </w:rPr>
        <w:t>文件</w:t>
      </w:r>
      <w:r>
        <w:rPr>
          <w:rFonts w:hAnsi="宋体"/>
          <w:color w:val="000000"/>
          <w:sz w:val="24"/>
        </w:rPr>
        <w:t>的；</w:t>
      </w:r>
    </w:p>
    <w:p>
      <w:pPr>
        <w:spacing w:line="500" w:lineRule="exact"/>
        <w:ind w:firstLine="480" w:firstLineChars="200"/>
        <w:rPr>
          <w:color w:val="000000"/>
          <w:sz w:val="24"/>
        </w:rPr>
      </w:pPr>
      <w:r>
        <w:rPr>
          <w:rFonts w:hAnsi="宋体"/>
          <w:color w:val="000000"/>
          <w:sz w:val="24"/>
        </w:rPr>
        <w:t>（</w:t>
      </w:r>
      <w:r>
        <w:rPr>
          <w:color w:val="000000"/>
          <w:sz w:val="24"/>
        </w:rPr>
        <w:t>2</w:t>
      </w:r>
      <w:r>
        <w:rPr>
          <w:rFonts w:hAnsi="宋体"/>
          <w:color w:val="000000"/>
          <w:sz w:val="24"/>
        </w:rPr>
        <w:t>）成交人不按本章规定签订合同</w:t>
      </w:r>
      <w:r>
        <w:rPr>
          <w:rFonts w:hint="eastAsia" w:hAnsi="宋体"/>
          <w:color w:val="000000"/>
          <w:sz w:val="24"/>
        </w:rPr>
        <w:t>的</w:t>
      </w:r>
      <w:r>
        <w:rPr>
          <w:rFonts w:hAnsi="宋体"/>
          <w:color w:val="000000"/>
          <w:sz w:val="24"/>
        </w:rPr>
        <w:t>；</w:t>
      </w:r>
    </w:p>
    <w:p>
      <w:pPr>
        <w:spacing w:line="500" w:lineRule="exact"/>
        <w:ind w:firstLine="480" w:firstLineChars="200"/>
        <w:rPr>
          <w:color w:val="000000"/>
          <w:sz w:val="24"/>
        </w:rPr>
      </w:pPr>
      <w:r>
        <w:rPr>
          <w:rFonts w:hAnsi="宋体"/>
          <w:color w:val="000000"/>
          <w:sz w:val="24"/>
        </w:rPr>
        <w:t>（</w:t>
      </w:r>
      <w:r>
        <w:rPr>
          <w:color w:val="000000"/>
          <w:sz w:val="24"/>
        </w:rPr>
        <w:t>3</w:t>
      </w:r>
      <w:r>
        <w:rPr>
          <w:rFonts w:hAnsi="宋体"/>
          <w:color w:val="000000"/>
          <w:sz w:val="24"/>
        </w:rPr>
        <w:t>）投标人提供虚假材料谋取中标、成交的；</w:t>
      </w:r>
    </w:p>
    <w:p>
      <w:pPr>
        <w:spacing w:line="500" w:lineRule="exact"/>
        <w:ind w:firstLine="480" w:firstLineChars="200"/>
        <w:rPr>
          <w:color w:val="000000"/>
          <w:sz w:val="24"/>
        </w:rPr>
      </w:pPr>
      <w:r>
        <w:rPr>
          <w:rFonts w:hAnsi="宋体"/>
          <w:color w:val="000000"/>
          <w:sz w:val="24"/>
        </w:rPr>
        <w:t>（</w:t>
      </w:r>
      <w:r>
        <w:rPr>
          <w:color w:val="000000"/>
          <w:sz w:val="24"/>
        </w:rPr>
        <w:t>4</w:t>
      </w:r>
      <w:r>
        <w:rPr>
          <w:rFonts w:hAnsi="宋体"/>
          <w:color w:val="000000"/>
          <w:sz w:val="24"/>
        </w:rPr>
        <w:t>）与采购人、其它投标人或者招标代理机构恶意串通的；</w:t>
      </w:r>
    </w:p>
    <w:p>
      <w:pPr>
        <w:spacing w:line="500" w:lineRule="exact"/>
        <w:ind w:firstLine="480" w:firstLineChars="200"/>
        <w:rPr>
          <w:color w:val="000000"/>
          <w:sz w:val="24"/>
        </w:rPr>
      </w:pPr>
      <w:r>
        <w:rPr>
          <w:rFonts w:hAnsi="宋体"/>
          <w:color w:val="000000"/>
          <w:sz w:val="24"/>
        </w:rPr>
        <w:t>（</w:t>
      </w:r>
      <w:r>
        <w:rPr>
          <w:color w:val="000000"/>
          <w:sz w:val="24"/>
        </w:rPr>
        <w:t>5</w:t>
      </w:r>
      <w:r>
        <w:rPr>
          <w:rFonts w:hAnsi="宋体"/>
          <w:color w:val="000000"/>
          <w:sz w:val="24"/>
        </w:rPr>
        <w:t>）向采购人、招标代理机构、评标委员会成员行贿或者提供其他不正当利益的；</w:t>
      </w:r>
    </w:p>
    <w:p>
      <w:pPr>
        <w:snapToGrid w:val="0"/>
        <w:spacing w:line="360" w:lineRule="auto"/>
        <w:rPr>
          <w:rFonts w:ascii="宋体" w:hAnsi="宋体"/>
          <w:sz w:val="24"/>
        </w:rPr>
      </w:pPr>
      <w:r>
        <w:rPr>
          <w:rFonts w:hint="eastAsia" w:ascii="宋体" w:hAnsi="宋体"/>
          <w:sz w:val="24"/>
        </w:rPr>
        <w:t>12．报价有效期</w:t>
      </w:r>
    </w:p>
    <w:p>
      <w:pPr>
        <w:snapToGrid w:val="0"/>
        <w:spacing w:line="360" w:lineRule="auto"/>
        <w:ind w:firstLine="480" w:firstLineChars="200"/>
        <w:rPr>
          <w:rFonts w:ascii="宋体" w:hAnsi="宋体"/>
          <w:sz w:val="24"/>
        </w:rPr>
      </w:pPr>
      <w:r>
        <w:rPr>
          <w:rFonts w:hint="eastAsia" w:ascii="宋体" w:hAnsi="宋体"/>
          <w:sz w:val="24"/>
        </w:rPr>
        <w:t>12.l 报价有效期为从开标截止之日起计算的</w:t>
      </w:r>
      <w:r>
        <w:rPr>
          <w:rFonts w:hint="eastAsia" w:ascii="宋体" w:hAnsi="宋体"/>
          <w:b/>
          <w:sz w:val="24"/>
          <w:u w:val="single"/>
        </w:rPr>
        <w:t>60天</w:t>
      </w:r>
      <w:r>
        <w:rPr>
          <w:rFonts w:hint="eastAsia" w:ascii="宋体" w:hAnsi="宋体"/>
          <w:sz w:val="24"/>
        </w:rPr>
        <w:t>，有效期短于此规定的响应文件将被视为无效。</w:t>
      </w:r>
    </w:p>
    <w:p>
      <w:pPr>
        <w:snapToGrid w:val="0"/>
        <w:spacing w:line="360" w:lineRule="auto"/>
        <w:ind w:firstLine="480" w:firstLineChars="200"/>
        <w:rPr>
          <w:rFonts w:ascii="宋体" w:hAnsi="宋体"/>
          <w:sz w:val="24"/>
        </w:rPr>
      </w:pPr>
      <w:r>
        <w:rPr>
          <w:rFonts w:hint="eastAsia" w:ascii="宋体" w:hAnsi="宋体"/>
          <w:sz w:val="24"/>
        </w:rPr>
        <w:t>12.2 在特殊情况下，招标代理机构可于报价有效期满之前，征得报价人同意延长报价有效期，要求与答复均应以书面形式进行。报价人可以拒绝接受这一要求而放弃报价，磋商保证金将尽快无息退还。同意这一要求的报价人，无需也不允许修改其响应文件，但须相应延长磋商保证金的有效期。受报价有效期制约的所有权利和义务均应延长至新的有效期。</w:t>
      </w:r>
    </w:p>
    <w:p>
      <w:pPr>
        <w:snapToGrid w:val="0"/>
        <w:spacing w:line="360" w:lineRule="auto"/>
        <w:rPr>
          <w:rFonts w:ascii="宋体" w:hAnsi="宋体"/>
          <w:sz w:val="24"/>
        </w:rPr>
      </w:pPr>
      <w:r>
        <w:rPr>
          <w:rFonts w:hint="eastAsia" w:ascii="宋体" w:hAnsi="宋体"/>
          <w:sz w:val="24"/>
        </w:rPr>
        <w:t>13．响应文件的数量、签署及形式</w:t>
      </w:r>
    </w:p>
    <w:p>
      <w:pPr>
        <w:snapToGrid w:val="0"/>
        <w:spacing w:line="360" w:lineRule="auto"/>
        <w:ind w:firstLine="480" w:firstLineChars="200"/>
        <w:rPr>
          <w:rFonts w:ascii="宋体" w:hAnsi="宋体"/>
          <w:sz w:val="24"/>
        </w:rPr>
      </w:pPr>
      <w:r>
        <w:rPr>
          <w:rFonts w:hint="eastAsia" w:ascii="宋体" w:hAnsi="宋体"/>
          <w:sz w:val="24"/>
        </w:rPr>
        <w:t>13.1 响应文件一式肆份，固定装订。其中正本壹份，副本叁份。</w:t>
      </w:r>
    </w:p>
    <w:p>
      <w:pPr>
        <w:snapToGrid w:val="0"/>
        <w:spacing w:line="360" w:lineRule="auto"/>
        <w:ind w:firstLine="480" w:firstLineChars="200"/>
        <w:rPr>
          <w:rFonts w:ascii="宋体" w:hAnsi="宋体"/>
          <w:sz w:val="24"/>
        </w:rPr>
      </w:pPr>
      <w:r>
        <w:rPr>
          <w:rFonts w:hint="eastAsia" w:ascii="宋体" w:hAnsi="宋体"/>
          <w:sz w:val="24"/>
        </w:rPr>
        <w:t>13.2 响应文件须按磋商文件的要求执行，每份报价书均须在封面上清楚标明“正本”或“副本”字样，“正本”和“副本”具有同等的法律效力；“正本”和“副本”之间如有差异，以正本为准。</w:t>
      </w:r>
    </w:p>
    <w:p>
      <w:pPr>
        <w:snapToGrid w:val="0"/>
        <w:spacing w:line="360" w:lineRule="auto"/>
        <w:ind w:firstLine="480" w:firstLineChars="200"/>
        <w:rPr>
          <w:rFonts w:ascii="宋体" w:hAnsi="宋体"/>
          <w:sz w:val="24"/>
        </w:rPr>
      </w:pPr>
      <w:r>
        <w:rPr>
          <w:rFonts w:hint="eastAsia" w:ascii="宋体" w:hAnsi="宋体"/>
          <w:sz w:val="24"/>
        </w:rPr>
        <w:t>13.3 响应文件正本中，文字材料需打印或用不褪色墨水书写。响应文件的正本须经法人代表或授权代表签署和加盖报价人公章。</w:t>
      </w:r>
    </w:p>
    <w:p>
      <w:pPr>
        <w:snapToGrid w:val="0"/>
        <w:spacing w:line="360" w:lineRule="auto"/>
        <w:ind w:firstLine="480" w:firstLineChars="200"/>
        <w:rPr>
          <w:rFonts w:ascii="宋体" w:hAnsi="宋体"/>
          <w:sz w:val="24"/>
        </w:rPr>
      </w:pPr>
      <w:r>
        <w:rPr>
          <w:rFonts w:hint="eastAsia" w:ascii="宋体" w:hAnsi="宋体"/>
          <w:sz w:val="24"/>
        </w:rPr>
        <w:t>13.4 响应文件不得涂改和增删，如要修改错漏处，必须由同一签署人在修改处签字和盖章。</w:t>
      </w:r>
    </w:p>
    <w:p>
      <w:pPr>
        <w:snapToGrid w:val="0"/>
        <w:spacing w:line="360" w:lineRule="auto"/>
        <w:rPr>
          <w:rFonts w:ascii="宋体" w:hAnsi="宋体"/>
          <w:b/>
          <w:sz w:val="32"/>
          <w:szCs w:val="32"/>
        </w:rPr>
      </w:pPr>
      <w:r>
        <w:rPr>
          <w:rFonts w:hint="eastAsia" w:ascii="宋体" w:hAnsi="宋体"/>
          <w:b/>
          <w:sz w:val="32"/>
          <w:szCs w:val="32"/>
        </w:rPr>
        <w:t>四、响应文件的递交</w:t>
      </w:r>
    </w:p>
    <w:p>
      <w:pPr>
        <w:snapToGrid w:val="0"/>
        <w:spacing w:line="360" w:lineRule="auto"/>
        <w:rPr>
          <w:rFonts w:ascii="宋体" w:hAnsi="宋体"/>
          <w:sz w:val="24"/>
        </w:rPr>
      </w:pPr>
      <w:r>
        <w:rPr>
          <w:rFonts w:hint="eastAsia" w:ascii="宋体" w:hAnsi="宋体"/>
          <w:sz w:val="24"/>
        </w:rPr>
        <w:t>14．响应文件的密封及标记</w:t>
      </w:r>
    </w:p>
    <w:p>
      <w:pPr>
        <w:snapToGrid w:val="0"/>
        <w:spacing w:line="360" w:lineRule="auto"/>
        <w:ind w:firstLine="480" w:firstLineChars="200"/>
        <w:rPr>
          <w:rFonts w:ascii="宋体" w:hAnsi="宋体"/>
          <w:sz w:val="24"/>
        </w:rPr>
      </w:pPr>
      <w:r>
        <w:rPr>
          <w:rFonts w:hint="eastAsia" w:ascii="宋体" w:hAnsi="宋体"/>
          <w:sz w:val="24"/>
        </w:rPr>
        <w:t>14．l 报价人应将响应文件正本和所有副本分别密封在两个报价专用袋（箱）中（正本一包，副本一包），并在报价专用袋（箱）上标明“正本”、“副本”字样，封口处应加盖骑缝章。封皮上均应写明：</w:t>
      </w:r>
    </w:p>
    <w:p>
      <w:pPr>
        <w:snapToGrid w:val="0"/>
        <w:spacing w:line="360" w:lineRule="auto"/>
        <w:ind w:firstLine="482" w:firstLineChars="200"/>
        <w:rPr>
          <w:rFonts w:ascii="宋体" w:hAnsi="宋体"/>
          <w:b/>
          <w:sz w:val="24"/>
        </w:rPr>
      </w:pPr>
      <w:r>
        <w:rPr>
          <w:rFonts w:hint="eastAsia" w:ascii="宋体" w:hAnsi="宋体"/>
          <w:b/>
          <w:sz w:val="24"/>
        </w:rPr>
        <w:t>致：四川恒鑫工程管理咨询有限公司</w:t>
      </w:r>
    </w:p>
    <w:p>
      <w:pPr>
        <w:snapToGrid w:val="0"/>
        <w:spacing w:line="360" w:lineRule="auto"/>
        <w:ind w:firstLine="482" w:firstLineChars="200"/>
        <w:rPr>
          <w:rFonts w:ascii="宋体" w:hAnsi="宋体"/>
          <w:b/>
          <w:sz w:val="24"/>
        </w:rPr>
      </w:pPr>
      <w:r>
        <w:rPr>
          <w:rFonts w:hint="eastAsia" w:ascii="宋体" w:hAnsi="宋体"/>
          <w:b/>
          <w:sz w:val="24"/>
        </w:rPr>
        <w:t>项目名称：</w:t>
      </w:r>
      <w:r>
        <w:rPr>
          <w:rFonts w:hint="eastAsia" w:ascii="宋体" w:hAnsi="宋体" w:cs="Tahoma"/>
          <w:b/>
          <w:sz w:val="24"/>
        </w:rPr>
        <w:t>海口市灵山中学采购水泵房设备项目</w:t>
      </w:r>
    </w:p>
    <w:p>
      <w:pPr>
        <w:snapToGrid w:val="0"/>
        <w:spacing w:line="360" w:lineRule="auto"/>
        <w:ind w:firstLine="482" w:firstLineChars="200"/>
        <w:rPr>
          <w:rFonts w:ascii="宋体" w:hAnsi="宋体"/>
          <w:b/>
          <w:sz w:val="24"/>
        </w:rPr>
      </w:pPr>
      <w:r>
        <w:rPr>
          <w:rFonts w:hint="eastAsia" w:ascii="宋体" w:hAnsi="宋体"/>
          <w:b/>
          <w:sz w:val="24"/>
        </w:rPr>
        <w:t>项目编号：</w:t>
      </w:r>
      <w:r>
        <w:rPr>
          <w:rFonts w:hint="eastAsia" w:ascii="宋体" w:hAnsi="宋体" w:cs="Tahoma"/>
          <w:b/>
          <w:sz w:val="24"/>
        </w:rPr>
        <w:t xml:space="preserve"> SCHX-HK2016062</w:t>
      </w:r>
    </w:p>
    <w:p>
      <w:pPr>
        <w:snapToGrid w:val="0"/>
        <w:spacing w:line="360" w:lineRule="auto"/>
        <w:ind w:firstLine="482" w:firstLineChars="200"/>
        <w:rPr>
          <w:rFonts w:ascii="宋体" w:hAnsi="宋体"/>
          <w:b/>
          <w:sz w:val="24"/>
        </w:rPr>
      </w:pPr>
      <w:r>
        <w:rPr>
          <w:rFonts w:hint="eastAsia" w:ascii="宋体" w:hAnsi="宋体"/>
          <w:b/>
          <w:sz w:val="24"/>
        </w:rPr>
        <w:t>注明：“请勿在开标时间之前启封”</w:t>
      </w:r>
    </w:p>
    <w:p>
      <w:pPr>
        <w:snapToGrid w:val="0"/>
        <w:spacing w:line="360" w:lineRule="auto"/>
        <w:ind w:firstLine="482" w:firstLineChars="200"/>
        <w:rPr>
          <w:rFonts w:ascii="宋体" w:hAnsi="宋体"/>
          <w:b/>
          <w:sz w:val="24"/>
        </w:rPr>
      </w:pPr>
      <w:r>
        <w:rPr>
          <w:rFonts w:hint="eastAsia" w:ascii="宋体" w:hAnsi="宋体"/>
          <w:b/>
          <w:sz w:val="24"/>
        </w:rPr>
        <w:t>报价单位名称、联系人姓名和电话</w:t>
      </w:r>
    </w:p>
    <w:p>
      <w:pPr>
        <w:snapToGrid w:val="0"/>
        <w:spacing w:line="360" w:lineRule="auto"/>
        <w:ind w:firstLine="480" w:firstLineChars="200"/>
        <w:rPr>
          <w:rFonts w:ascii="宋体" w:hAnsi="宋体"/>
          <w:sz w:val="24"/>
        </w:rPr>
      </w:pPr>
      <w:r>
        <w:rPr>
          <w:rFonts w:hint="eastAsia" w:ascii="宋体" w:hAnsi="宋体"/>
          <w:sz w:val="24"/>
        </w:rPr>
        <w:t>14.2 响应文件未按上述规定书写标记和密封者，招标代理机构不对响应文件被错放或先期启封负责。</w:t>
      </w:r>
    </w:p>
    <w:p>
      <w:pPr>
        <w:snapToGrid w:val="0"/>
        <w:spacing w:line="360" w:lineRule="auto"/>
        <w:rPr>
          <w:rFonts w:ascii="宋体" w:hAnsi="宋体"/>
          <w:sz w:val="24"/>
        </w:rPr>
      </w:pPr>
      <w:r>
        <w:rPr>
          <w:rFonts w:hint="eastAsia" w:ascii="宋体" w:hAnsi="宋体"/>
          <w:sz w:val="24"/>
        </w:rPr>
        <w:t>15．报价截止时间</w:t>
      </w:r>
    </w:p>
    <w:p>
      <w:pPr>
        <w:snapToGrid w:val="0"/>
        <w:spacing w:line="360" w:lineRule="auto"/>
        <w:ind w:firstLine="480" w:firstLineChars="200"/>
        <w:rPr>
          <w:rFonts w:ascii="宋体" w:hAnsi="宋体"/>
          <w:sz w:val="24"/>
        </w:rPr>
      </w:pPr>
      <w:r>
        <w:rPr>
          <w:rFonts w:hint="eastAsia" w:ascii="宋体" w:hAnsi="宋体"/>
          <w:sz w:val="24"/>
        </w:rPr>
        <w:t>15.l 报价人须在报价截止时间前将响应文件送达招标代理机构规定的报价地点。</w:t>
      </w:r>
    </w:p>
    <w:p>
      <w:pPr>
        <w:snapToGrid w:val="0"/>
        <w:spacing w:line="360" w:lineRule="auto"/>
        <w:ind w:firstLine="480" w:firstLineChars="200"/>
        <w:rPr>
          <w:rFonts w:ascii="宋体" w:hAnsi="宋体"/>
          <w:sz w:val="24"/>
        </w:rPr>
      </w:pPr>
      <w:r>
        <w:rPr>
          <w:rFonts w:hint="eastAsia" w:ascii="宋体" w:hAnsi="宋体"/>
          <w:sz w:val="24"/>
        </w:rPr>
        <w:t>15.2 若招标代理机构推迟了报价截止时间，应以公告的形式通知所有报价人。在这种情况下，采购人和报价人的权利和义务均应以新的截止时间为准。</w:t>
      </w:r>
    </w:p>
    <w:p>
      <w:pPr>
        <w:snapToGrid w:val="0"/>
        <w:spacing w:line="360" w:lineRule="auto"/>
        <w:ind w:firstLine="480" w:firstLineChars="200"/>
        <w:rPr>
          <w:rFonts w:ascii="宋体" w:hAnsi="宋体"/>
          <w:sz w:val="24"/>
        </w:rPr>
      </w:pPr>
      <w:r>
        <w:rPr>
          <w:rFonts w:hint="eastAsia" w:ascii="宋体" w:hAnsi="宋体"/>
          <w:sz w:val="24"/>
        </w:rPr>
        <w:t>15.3 在报价截止时间后递交的响应文件，招标代理机构将拒绝接受。</w:t>
      </w:r>
    </w:p>
    <w:p>
      <w:pPr>
        <w:snapToGrid w:val="0"/>
        <w:spacing w:line="360" w:lineRule="auto"/>
        <w:rPr>
          <w:rFonts w:ascii="宋体" w:hAnsi="宋体"/>
          <w:b/>
          <w:sz w:val="32"/>
          <w:szCs w:val="32"/>
        </w:rPr>
      </w:pPr>
      <w:r>
        <w:rPr>
          <w:rFonts w:hint="eastAsia" w:ascii="宋体" w:hAnsi="宋体"/>
          <w:b/>
          <w:sz w:val="32"/>
          <w:szCs w:val="32"/>
        </w:rPr>
        <w:t>五、磋商、评标及签约</w:t>
      </w:r>
    </w:p>
    <w:p>
      <w:pPr>
        <w:snapToGrid w:val="0"/>
        <w:spacing w:line="360" w:lineRule="auto"/>
        <w:rPr>
          <w:rFonts w:ascii="宋体" w:hAnsi="宋体"/>
          <w:sz w:val="24"/>
        </w:rPr>
      </w:pPr>
      <w:r>
        <w:rPr>
          <w:rFonts w:hint="eastAsia" w:ascii="宋体" w:hAnsi="宋体"/>
          <w:sz w:val="24"/>
        </w:rPr>
        <w:t>16．磋商</w:t>
      </w:r>
    </w:p>
    <w:p>
      <w:pPr>
        <w:snapToGrid w:val="0"/>
        <w:spacing w:line="360" w:lineRule="auto"/>
        <w:ind w:firstLine="480" w:firstLineChars="200"/>
        <w:rPr>
          <w:rFonts w:ascii="宋体" w:hAnsi="宋体"/>
          <w:sz w:val="24"/>
        </w:rPr>
      </w:pPr>
      <w:r>
        <w:rPr>
          <w:rFonts w:hint="eastAsia" w:ascii="宋体" w:hAnsi="宋体"/>
          <w:sz w:val="24"/>
        </w:rPr>
        <w:t>16.l 招标代理机构按磋商文件第一章规定的时间和地点进行磋商。采购人代表、招标代理机构有关工作人员参加。政府采购主管部门、监督部门、国家公证机关公证员由其视情况决定是否派代表到现场进行监督。</w:t>
      </w:r>
    </w:p>
    <w:p>
      <w:pPr>
        <w:snapToGrid w:val="0"/>
        <w:spacing w:line="360" w:lineRule="auto"/>
        <w:ind w:firstLine="480" w:firstLineChars="200"/>
        <w:rPr>
          <w:rFonts w:ascii="宋体" w:hAnsi="宋体"/>
          <w:sz w:val="24"/>
        </w:rPr>
      </w:pPr>
      <w:r>
        <w:rPr>
          <w:rFonts w:hint="eastAsia" w:ascii="宋体" w:hAnsi="宋体"/>
          <w:sz w:val="24"/>
        </w:rPr>
        <w:t>16.2 报价人应委派授权代表参加开标活动，参加开标的代表须持本人身份证件签名报到以证明其出席。未派授权代表或不能证明其授权代表身份的，招标代理机构对响应文件的处理不承担责任。</w:t>
      </w:r>
    </w:p>
    <w:p>
      <w:pPr>
        <w:snapToGrid w:val="0"/>
        <w:spacing w:line="360" w:lineRule="auto"/>
        <w:ind w:firstLine="480" w:firstLineChars="200"/>
        <w:rPr>
          <w:rFonts w:ascii="宋体" w:hAnsi="宋体"/>
          <w:sz w:val="24"/>
        </w:rPr>
      </w:pPr>
      <w:r>
        <w:rPr>
          <w:rFonts w:hint="eastAsia" w:ascii="宋体" w:hAnsi="宋体"/>
          <w:sz w:val="24"/>
        </w:rPr>
        <w:t>16.3 磋商时，招标代理机构或报价人代表将查验响应文件密封情况，确认无误后拆封唱标，公布每份响应文件中“报价一览表”的内容，以及招标代理机构认为合适的其他内容，招标代理机构将作开标记录。</w:t>
      </w:r>
    </w:p>
    <w:p>
      <w:pPr>
        <w:snapToGrid w:val="0"/>
        <w:spacing w:line="360" w:lineRule="auto"/>
        <w:ind w:firstLine="480" w:firstLineChars="200"/>
        <w:rPr>
          <w:rFonts w:ascii="宋体" w:hAnsi="宋体"/>
          <w:sz w:val="24"/>
        </w:rPr>
      </w:pPr>
      <w:r>
        <w:rPr>
          <w:rFonts w:hint="eastAsia" w:ascii="宋体" w:hAnsi="宋体"/>
          <w:sz w:val="24"/>
        </w:rPr>
        <w:t>16.4 若响应文件未密封，招标代理机构将拒绝接受该报价人的响应文件。</w:t>
      </w:r>
    </w:p>
    <w:p>
      <w:pPr>
        <w:snapToGrid w:val="0"/>
        <w:spacing w:line="360" w:lineRule="auto"/>
        <w:rPr>
          <w:rFonts w:ascii="宋体" w:hAnsi="宋体"/>
          <w:sz w:val="24"/>
        </w:rPr>
      </w:pPr>
      <w:r>
        <w:rPr>
          <w:rFonts w:hint="eastAsia" w:ascii="宋体" w:hAnsi="宋体"/>
          <w:sz w:val="24"/>
        </w:rPr>
        <w:t>17．磋商小组</w:t>
      </w:r>
    </w:p>
    <w:p>
      <w:pPr>
        <w:snapToGrid w:val="0"/>
        <w:spacing w:line="360" w:lineRule="auto"/>
        <w:ind w:firstLine="480" w:firstLineChars="200"/>
        <w:rPr>
          <w:rFonts w:ascii="宋体" w:hAnsi="宋体"/>
          <w:sz w:val="24"/>
        </w:rPr>
      </w:pPr>
      <w:r>
        <w:rPr>
          <w:rFonts w:hint="eastAsia" w:ascii="宋体" w:hAnsi="宋体"/>
          <w:sz w:val="24"/>
        </w:rPr>
        <w:t>本次采购代理机构将根据本项目的特点依法组建磋商小组，其成员由有关方面的专家以及采购人等 3 人组成，其中 1 名专家由业主委派，另 2 名专家现场从海南省政务服务中心专家库中随机抽取，其中技术、经济方面的专家不得少于磋商小组成员总数的三分之二</w:t>
      </w:r>
      <w:r>
        <w:rPr>
          <w:rFonts w:hint="eastAsia" w:ascii="宋体" w:hAnsi="宋体" w:cs="宋体"/>
          <w:kern w:val="0"/>
          <w:sz w:val="24"/>
        </w:rPr>
        <w:t>。</w:t>
      </w:r>
      <w:r>
        <w:rPr>
          <w:rFonts w:hint="eastAsia" w:ascii="宋体" w:hAnsi="宋体"/>
          <w:sz w:val="24"/>
        </w:rPr>
        <w:t>该磋商小组独立工作，负责评审所有响应文件并确定成交侯选人。</w:t>
      </w:r>
    </w:p>
    <w:p>
      <w:pPr>
        <w:snapToGrid w:val="0"/>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.磋商和定标</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.1磋商、评分办法见“第六章 磋商程序”。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 xml:space="preserve">.2磋商小组将严格按照磋商文件的要求和条件进行评标,根据评标办法推荐出三人为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 </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.3招标代理机构将在指定的网站上公告成交结果。</w:t>
      </w:r>
    </w:p>
    <w:p>
      <w:pPr>
        <w:snapToGrid w:val="0"/>
        <w:spacing w:line="360" w:lineRule="auto"/>
        <w:rPr>
          <w:rFonts w:ascii="宋体" w:hAnsi="宋体"/>
          <w:sz w:val="24"/>
        </w:rPr>
      </w:pPr>
      <w:r>
        <w:rPr>
          <w:rFonts w:ascii="宋体" w:hAnsi="宋体"/>
          <w:sz w:val="24"/>
        </w:rPr>
        <w:t>19</w:t>
      </w:r>
      <w:r>
        <w:rPr>
          <w:rFonts w:hint="eastAsia" w:ascii="宋体" w:hAnsi="宋体"/>
          <w:sz w:val="24"/>
        </w:rPr>
        <w:t>．成交通知</w:t>
      </w:r>
    </w:p>
    <w:p>
      <w:pPr>
        <w:snapToGrid w:val="0"/>
        <w:spacing w:line="360" w:lineRule="auto"/>
        <w:ind w:firstLine="480" w:firstLineChars="200"/>
        <w:rPr>
          <w:rFonts w:ascii="宋体" w:hAnsi="宋体"/>
          <w:sz w:val="24"/>
        </w:rPr>
      </w:pPr>
      <w:r>
        <w:rPr>
          <w:rFonts w:ascii="宋体" w:hAnsi="宋体"/>
          <w:sz w:val="24"/>
        </w:rPr>
        <w:t>20.</w:t>
      </w:r>
      <w:r>
        <w:rPr>
          <w:rFonts w:hint="eastAsia" w:ascii="宋体" w:hAnsi="宋体"/>
          <w:sz w:val="24"/>
        </w:rPr>
        <w:t>1成交人收到成交通知后，到招标代理机构处办理有关手续。</w:t>
      </w:r>
    </w:p>
    <w:p>
      <w:pPr>
        <w:snapToGrid w:val="0"/>
        <w:spacing w:line="360" w:lineRule="auto"/>
        <w:ind w:firstLine="480" w:firstLineChars="200"/>
        <w:rPr>
          <w:rFonts w:ascii="宋体" w:hAnsi="宋体"/>
          <w:sz w:val="24"/>
        </w:rPr>
      </w:pPr>
      <w:r>
        <w:rPr>
          <w:rFonts w:ascii="宋体" w:hAnsi="宋体"/>
          <w:sz w:val="24"/>
        </w:rPr>
        <w:t>20.</w:t>
      </w:r>
      <w:r>
        <w:rPr>
          <w:rFonts w:hint="eastAsia" w:ascii="宋体" w:hAnsi="宋体"/>
          <w:sz w:val="24"/>
        </w:rPr>
        <w:t>2成交通知书将是合同的一个组成部分。</w:t>
      </w:r>
    </w:p>
    <w:p>
      <w:pPr>
        <w:snapToGrid w:val="0"/>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．签订合同</w:t>
      </w:r>
    </w:p>
    <w:p>
      <w:pPr>
        <w:snapToGrid w:val="0"/>
        <w:spacing w:line="360" w:lineRule="auto"/>
        <w:ind w:firstLine="480" w:firstLineChars="200"/>
        <w:rPr>
          <w:rFonts w:ascii="宋体" w:hAnsi="宋体"/>
          <w:sz w:val="24"/>
        </w:rPr>
      </w:pPr>
      <w:r>
        <w:rPr>
          <w:rFonts w:hint="eastAsia" w:ascii="宋体" w:hAnsi="宋体"/>
          <w:sz w:val="24"/>
        </w:rPr>
        <w:t>21.l 成交人应按成交通知书规定的时间、地点与采购人签订成交合同,否则磋商保证金将不予退还，给采购人和招标代理机构造成损失的，报价人还应承担赔偿责任。</w:t>
      </w:r>
    </w:p>
    <w:p>
      <w:pPr>
        <w:snapToGrid w:val="0"/>
        <w:spacing w:line="360" w:lineRule="auto"/>
        <w:ind w:firstLine="480" w:firstLineChars="200"/>
        <w:rPr>
          <w:rFonts w:ascii="宋体" w:hAnsi="宋体"/>
          <w:sz w:val="24"/>
        </w:rPr>
      </w:pPr>
      <w:r>
        <w:rPr>
          <w:rFonts w:hint="eastAsia" w:ascii="宋体" w:hAnsi="宋体"/>
          <w:sz w:val="24"/>
        </w:rPr>
        <w:t>21.2 磋商文件、成交人的响应文件及评标过程中有关澄清文件均应作为合同附件。</w:t>
      </w:r>
    </w:p>
    <w:p>
      <w:pPr>
        <w:snapToGrid w:val="0"/>
        <w:spacing w:line="360" w:lineRule="auto"/>
        <w:rPr>
          <w:rFonts w:ascii="宋体" w:hAnsi="宋体"/>
          <w:b/>
          <w:sz w:val="32"/>
          <w:szCs w:val="32"/>
        </w:rPr>
      </w:pPr>
      <w:r>
        <w:rPr>
          <w:rFonts w:hint="eastAsia" w:ascii="宋体" w:hAnsi="宋体"/>
          <w:b/>
          <w:sz w:val="32"/>
          <w:szCs w:val="32"/>
        </w:rPr>
        <w:t>七、其它</w:t>
      </w:r>
    </w:p>
    <w:p>
      <w:pPr>
        <w:snapToGrid w:val="0"/>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．采购代理服务费</w:t>
      </w:r>
    </w:p>
    <w:p>
      <w:pPr>
        <w:snapToGrid w:val="0"/>
        <w:spacing w:line="360" w:lineRule="auto"/>
        <w:ind w:firstLine="480" w:firstLineChars="200"/>
        <w:rPr>
          <w:rFonts w:ascii="宋体" w:hAnsi="宋体"/>
          <w:sz w:val="24"/>
        </w:rPr>
      </w:pPr>
      <w:r>
        <w:rPr>
          <w:rFonts w:hint="eastAsia" w:ascii="宋体" w:hAnsi="宋体"/>
          <w:sz w:val="24"/>
        </w:rPr>
        <w:t>本次采购活动采购代理服务费按国家相关规定在成交人领取成交通知书时向本项目招标代理机构一次性支付。</w:t>
      </w:r>
    </w:p>
    <w:p>
      <w:pPr>
        <w:snapToGrid w:val="0"/>
        <w:spacing w:line="360" w:lineRule="auto"/>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.其它</w:t>
      </w:r>
    </w:p>
    <w:p>
      <w:pPr>
        <w:snapToGrid w:val="0"/>
        <w:spacing w:line="360" w:lineRule="auto"/>
        <w:ind w:firstLine="480" w:firstLineChars="200"/>
        <w:rPr>
          <w:rFonts w:ascii="宋体" w:hAnsi="宋体"/>
          <w:sz w:val="24"/>
        </w:rPr>
      </w:pPr>
      <w:r>
        <w:rPr>
          <w:rFonts w:hint="eastAsia" w:ascii="宋体" w:hAnsi="宋体"/>
          <w:sz w:val="24"/>
        </w:rPr>
        <w:t>本项目不召开答疑会。</w:t>
      </w:r>
    </w:p>
    <w:p>
      <w:pPr>
        <w:tabs>
          <w:tab w:val="left" w:pos="4680"/>
        </w:tabs>
        <w:snapToGrid w:val="0"/>
        <w:spacing w:line="500" w:lineRule="exact"/>
        <w:rPr>
          <w:rFonts w:ascii="宋体" w:hAnsi="宋体"/>
        </w:rPr>
      </w:pPr>
    </w:p>
    <w:p>
      <w:pPr>
        <w:tabs>
          <w:tab w:val="left" w:pos="4680"/>
        </w:tabs>
        <w:snapToGrid w:val="0"/>
        <w:spacing w:line="500" w:lineRule="exact"/>
        <w:rPr>
          <w:rFonts w:ascii="宋体" w:hAnsi="宋体"/>
        </w:rPr>
        <w:sectPr>
          <w:headerReference r:id="rId9" w:type="first"/>
          <w:footnotePr>
            <w:pos w:val="beneathText"/>
          </w:footnotePr>
          <w:pgSz w:w="11905" w:h="16837"/>
          <w:pgMar w:top="1457" w:right="1548" w:bottom="1457" w:left="1945" w:header="964" w:footer="964" w:gutter="0"/>
          <w:pgNumType w:start="0"/>
          <w:cols w:space="720" w:num="1"/>
          <w:titlePg/>
          <w:docGrid w:linePitch="285" w:charSpace="2457"/>
        </w:sectPr>
      </w:pPr>
    </w:p>
    <w:p>
      <w:pPr>
        <w:pStyle w:val="2"/>
        <w:spacing w:afterLines="0"/>
      </w:pPr>
      <w:bookmarkStart w:id="3" w:name="_Toc452457418"/>
      <w:r>
        <w:rPr>
          <w:rFonts w:hint="eastAsia"/>
        </w:rPr>
        <w:t>第三章 用户需求书</w:t>
      </w:r>
      <w:bookmarkEnd w:id="3"/>
    </w:p>
    <w:p>
      <w:pPr>
        <w:spacing w:line="480" w:lineRule="exact"/>
        <w:rPr>
          <w:rFonts w:ascii="宋体" w:hAnsi="宋体" w:cs="Arial"/>
          <w:b/>
          <w:sz w:val="28"/>
          <w:szCs w:val="28"/>
        </w:rPr>
      </w:pPr>
      <w:r>
        <w:rPr>
          <w:rFonts w:hint="eastAsia" w:ascii="宋体" w:hAnsi="宋体" w:cs="Arial"/>
          <w:b/>
          <w:sz w:val="28"/>
          <w:szCs w:val="28"/>
        </w:rPr>
        <w:t>一、</w:t>
      </w:r>
      <w:r>
        <w:rPr>
          <w:rFonts w:hint="eastAsia" w:ascii="宋体" w:hAnsi="宋体"/>
          <w:b/>
          <w:color w:val="000000"/>
          <w:sz w:val="30"/>
          <w:szCs w:val="30"/>
        </w:rPr>
        <w:t>技术要求</w:t>
      </w:r>
      <w:r>
        <w:rPr>
          <w:rFonts w:hint="eastAsia" w:ascii="宋体" w:hAnsi="宋体" w:cs="Arial"/>
          <w:b/>
          <w:sz w:val="28"/>
          <w:szCs w:val="28"/>
        </w:rPr>
        <w:t>内容</w:t>
      </w:r>
      <w:r>
        <w:rPr>
          <w:rFonts w:hint="eastAsia" w:ascii="宋体" w:hAnsi="宋体"/>
          <w:b/>
          <w:color w:val="000000"/>
          <w:sz w:val="30"/>
          <w:szCs w:val="30"/>
        </w:rPr>
        <w:t>：</w:t>
      </w:r>
    </w:p>
    <w:tbl>
      <w:tblPr>
        <w:tblStyle w:val="50"/>
        <w:tblW w:w="9780" w:type="dxa"/>
        <w:tblInd w:w="93" w:type="dxa"/>
        <w:tblLayout w:type="fixed"/>
        <w:tblCellMar>
          <w:top w:w="15" w:type="dxa"/>
          <w:left w:w="108" w:type="dxa"/>
          <w:bottom w:w="15" w:type="dxa"/>
          <w:right w:w="108" w:type="dxa"/>
        </w:tblCellMar>
      </w:tblPr>
      <w:tblGrid>
        <w:gridCol w:w="585"/>
        <w:gridCol w:w="1695"/>
        <w:gridCol w:w="4905"/>
        <w:gridCol w:w="705"/>
        <w:gridCol w:w="690"/>
        <w:gridCol w:w="1200"/>
      </w:tblGrid>
      <w:tr>
        <w:tblPrEx>
          <w:tblLayout w:type="fixed"/>
          <w:tblCellMar>
            <w:top w:w="15" w:type="dxa"/>
            <w:left w:w="108" w:type="dxa"/>
            <w:bottom w:w="15" w:type="dxa"/>
            <w:right w:w="108" w:type="dxa"/>
          </w:tblCellMar>
        </w:tblPrEx>
        <w:trPr>
          <w:trHeight w:val="69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技术参数及设备配置要求</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15" w:type="dxa"/>
            <w:left w:w="108" w:type="dxa"/>
            <w:bottom w:w="15" w:type="dxa"/>
            <w:right w:w="108" w:type="dxa"/>
          </w:tblCellMar>
        </w:tblPrEx>
        <w:trPr>
          <w:trHeight w:val="456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生活给水变频泵组</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单泵：Q=13.9L/S H=40m N=11kw，设计流量按《建筑给水排水设计规范》GB50015-2010确定。</w:t>
            </w:r>
            <w:r>
              <w:rPr>
                <w:rFonts w:hint="eastAsia" w:ascii="宋体" w:hAnsi="宋体" w:cs="宋体"/>
                <w:color w:val="000000"/>
                <w:kern w:val="0"/>
                <w:sz w:val="24"/>
              </w:rPr>
              <w:br w:type="textWrapping"/>
            </w:r>
            <w:r>
              <w:rPr>
                <w:rFonts w:hint="eastAsia" w:ascii="宋体" w:hAnsi="宋体" w:cs="宋体"/>
                <w:color w:val="000000"/>
                <w:kern w:val="0"/>
                <w:sz w:val="24"/>
              </w:rPr>
              <w:t>管网叠压供水系统给水引入管设计流量，按《建筑给水排水设计规范》GB50015-2010确定。</w:t>
            </w:r>
            <w:r>
              <w:rPr>
                <w:rFonts w:hint="eastAsia" w:ascii="宋体" w:hAnsi="宋体" w:cs="宋体"/>
                <w:color w:val="000000"/>
                <w:kern w:val="0"/>
                <w:sz w:val="24"/>
              </w:rPr>
              <w:br w:type="textWrapping"/>
            </w:r>
            <w:r>
              <w:rPr>
                <w:rFonts w:hint="eastAsia" w:ascii="宋体" w:hAnsi="宋体" w:cs="宋体"/>
                <w:color w:val="000000"/>
                <w:kern w:val="0"/>
                <w:sz w:val="24"/>
              </w:rPr>
              <w:t>控制箱：采用变频器、触摸屏、PLC、电子元器件</w:t>
            </w:r>
            <w:r>
              <w:rPr>
                <w:rFonts w:ascii="宋体" w:hAnsi="宋体" w:cs="宋体"/>
                <w:color w:val="000000"/>
                <w:kern w:val="0"/>
                <w:sz w:val="24"/>
              </w:rPr>
              <w:t>等，带有过载过热及缺水保护功能。</w:t>
            </w:r>
            <w:r>
              <w:rPr>
                <w:rFonts w:hint="eastAsia" w:ascii="宋体" w:hAnsi="宋体" w:cs="宋体"/>
                <w:color w:val="000000"/>
                <w:kern w:val="0"/>
                <w:sz w:val="24"/>
              </w:rPr>
              <w:br w:type="textWrapping"/>
            </w:r>
            <w:r>
              <w:rPr>
                <w:rFonts w:ascii="宋体" w:hAnsi="宋体" w:cs="宋体"/>
                <w:color w:val="000000"/>
                <w:kern w:val="0"/>
                <w:sz w:val="24"/>
              </w:rPr>
              <w:t>泵：Y2电机出水导叶、支撑导叶、导叶、导流器叶轮、轴、叶轮轴套等采用SUS304不锈钢材质，石墨机械密封。</w:t>
            </w:r>
            <w:r>
              <w:rPr>
                <w:rFonts w:hint="eastAsia" w:ascii="宋体" w:hAnsi="宋体" w:cs="宋体"/>
                <w:color w:val="000000"/>
                <w:kern w:val="0"/>
                <w:sz w:val="24"/>
              </w:rPr>
              <w:br w:type="textWrapping"/>
            </w:r>
            <w:r>
              <w:rPr>
                <w:rFonts w:ascii="宋体" w:hAnsi="宋体" w:cs="宋体"/>
                <w:color w:val="000000"/>
                <w:kern w:val="0"/>
                <w:sz w:val="24"/>
              </w:rPr>
              <w:t>管路：进出水总管及其它阀门管件等均采用SUS304不锈钢材质。</w:t>
            </w:r>
            <w:r>
              <w:rPr>
                <w:rFonts w:hint="eastAsia" w:ascii="宋体" w:hAnsi="宋体" w:cs="宋体"/>
                <w:color w:val="000000"/>
                <w:kern w:val="0"/>
                <w:sz w:val="24"/>
              </w:rPr>
              <w:br w:type="textWrapping"/>
            </w:r>
            <w:r>
              <w:rPr>
                <w:rFonts w:ascii="宋体" w:hAnsi="宋体" w:cs="宋体"/>
                <w:color w:val="000000"/>
                <w:kern w:val="0"/>
                <w:sz w:val="24"/>
              </w:rPr>
              <w:t>3用2备（含11kw变频柜一套和800*1.0气压罐）</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需提供制造厂商针对本项目授权书原件及售后服务承诺函</w:t>
            </w:r>
            <w:r>
              <w:rPr>
                <w:rFonts w:hint="eastAsia" w:ascii="宋体" w:hAnsi="宋体" w:cs="宋体"/>
                <w:color w:val="000000"/>
                <w:kern w:val="0"/>
                <w:sz w:val="24"/>
              </w:rPr>
              <w:br w:type="textWrapping"/>
            </w:r>
          </w:p>
        </w:tc>
      </w:tr>
      <w:tr>
        <w:tblPrEx>
          <w:tblLayout w:type="fixed"/>
          <w:tblCellMar>
            <w:top w:w="15" w:type="dxa"/>
            <w:left w:w="108" w:type="dxa"/>
            <w:bottom w:w="15" w:type="dxa"/>
            <w:right w:w="108" w:type="dxa"/>
          </w:tblCellMar>
        </w:tblPrEx>
        <w:trPr>
          <w:trHeight w:val="312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室外消火栓泵</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单泵：Q=30L/S H=55m N=30kw、配用功率P（kw）30，压力pd（Mpa）0.55，转速n（r/min）2950，效率η（</w:t>
            </w:r>
            <w:r>
              <w:rPr>
                <w:rFonts w:ascii="宋体" w:hAnsi="宋体" w:cs="宋体"/>
                <w:color w:val="000000"/>
                <w:kern w:val="0"/>
                <w:sz w:val="24"/>
              </w:rPr>
              <w:t>％）70，必需汽蚀余量（NPSH）r（m）4 。</w:t>
            </w:r>
            <w:r>
              <w:rPr>
                <w:rFonts w:hint="eastAsia" w:ascii="宋体" w:hAnsi="宋体" w:cs="宋体"/>
                <w:color w:val="000000"/>
                <w:kern w:val="0"/>
                <w:sz w:val="24"/>
              </w:rPr>
              <w:br w:type="textWrapping"/>
            </w:r>
            <w:r>
              <w:rPr>
                <w:rFonts w:ascii="宋体" w:hAnsi="宋体" w:cs="宋体"/>
                <w:color w:val="000000"/>
                <w:kern w:val="0"/>
                <w:sz w:val="24"/>
              </w:rPr>
              <w:t>电机：采用Y2电机。</w:t>
            </w:r>
            <w:r>
              <w:rPr>
                <w:rFonts w:hint="eastAsia" w:ascii="宋体" w:hAnsi="宋体" w:cs="宋体"/>
                <w:color w:val="000000"/>
                <w:kern w:val="0"/>
                <w:sz w:val="24"/>
              </w:rPr>
              <w:br w:type="textWrapping"/>
            </w:r>
            <w:r>
              <w:rPr>
                <w:rFonts w:ascii="宋体" w:hAnsi="宋体" w:cs="宋体"/>
                <w:color w:val="000000"/>
                <w:kern w:val="0"/>
                <w:sz w:val="24"/>
              </w:rPr>
              <w:t>水泵：叶轮、轴等采用SUS304不锈钢材质，石墨机械密封，星三角加压启动、电子元器件。</w:t>
            </w:r>
            <w:r>
              <w:rPr>
                <w:rFonts w:hint="eastAsia" w:ascii="宋体" w:hAnsi="宋体" w:cs="宋体"/>
                <w:color w:val="000000"/>
                <w:kern w:val="0"/>
                <w:sz w:val="24"/>
              </w:rPr>
              <w:br w:type="textWrapping"/>
            </w:r>
            <w:r>
              <w:rPr>
                <w:rFonts w:ascii="宋体" w:hAnsi="宋体" w:cs="宋体"/>
                <w:color w:val="000000"/>
                <w:kern w:val="0"/>
                <w:sz w:val="24"/>
              </w:rPr>
              <w:t>双电源采用国内知名品牌。</w:t>
            </w:r>
            <w:r>
              <w:rPr>
                <w:rFonts w:hint="eastAsia" w:ascii="宋体" w:hAnsi="宋体" w:cs="宋体"/>
                <w:color w:val="000000"/>
                <w:kern w:val="0"/>
                <w:sz w:val="24"/>
              </w:rPr>
              <w:br w:type="textWrapping"/>
            </w:r>
            <w:r>
              <w:rPr>
                <w:rFonts w:ascii="宋体" w:hAnsi="宋体" w:cs="宋体"/>
                <w:color w:val="000000"/>
                <w:kern w:val="0"/>
                <w:sz w:val="24"/>
              </w:rPr>
              <w:t>1用1备（含室外消防配电箱一套）</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r>
              <w:rPr>
                <w:rFonts w:hint="eastAsia" w:ascii="宋体" w:hAnsi="宋体" w:cs="宋体"/>
                <w:color w:val="000000"/>
                <w:kern w:val="0"/>
                <w:sz w:val="24"/>
              </w:rPr>
              <w:br w:type="textWrapping"/>
            </w:r>
          </w:p>
        </w:tc>
      </w:tr>
      <w:tr>
        <w:tblPrEx>
          <w:tblLayout w:type="fixed"/>
          <w:tblCellMar>
            <w:top w:w="15" w:type="dxa"/>
            <w:left w:w="108" w:type="dxa"/>
            <w:bottom w:w="15" w:type="dxa"/>
            <w:right w:w="108" w:type="dxa"/>
          </w:tblCellMar>
        </w:tblPrEx>
        <w:trPr>
          <w:trHeight w:val="289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室内消火栓泵</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单泵：Q=15L/S H=67m N=22kw，配用功率P（kw）18.5，压力pd（Mpa）0.67，转速n（r/min）2950，效率η（％）61，必需汽蚀余量（NPSH）r（m）3 。</w:t>
            </w:r>
            <w:r>
              <w:rPr>
                <w:rFonts w:hint="eastAsia" w:ascii="宋体" w:hAnsi="宋体" w:cs="宋体"/>
                <w:color w:val="000000"/>
                <w:kern w:val="0"/>
                <w:sz w:val="24"/>
              </w:rPr>
              <w:br w:type="textWrapping"/>
            </w:r>
            <w:r>
              <w:rPr>
                <w:rFonts w:hint="eastAsia" w:ascii="宋体" w:hAnsi="宋体" w:cs="宋体"/>
                <w:color w:val="000000"/>
                <w:kern w:val="0"/>
                <w:sz w:val="24"/>
              </w:rPr>
              <w:t>电机：采用Y2电机。</w:t>
            </w:r>
            <w:r>
              <w:rPr>
                <w:rFonts w:hint="eastAsia" w:ascii="宋体" w:hAnsi="宋体" w:cs="宋体"/>
                <w:color w:val="000000"/>
                <w:kern w:val="0"/>
                <w:sz w:val="24"/>
              </w:rPr>
              <w:br w:type="textWrapping"/>
            </w:r>
            <w:r>
              <w:rPr>
                <w:rFonts w:hint="eastAsia" w:ascii="宋体" w:hAnsi="宋体" w:cs="宋体"/>
                <w:color w:val="000000"/>
                <w:kern w:val="0"/>
                <w:sz w:val="24"/>
              </w:rPr>
              <w:t>水泵：叶轮、轴等采用SUS304不锈钢材质，石墨机械密封，星三角加压启动、元器件配件。</w:t>
            </w:r>
            <w:r>
              <w:rPr>
                <w:rFonts w:hint="eastAsia" w:ascii="宋体" w:hAnsi="宋体" w:cs="宋体"/>
                <w:color w:val="000000"/>
                <w:kern w:val="0"/>
                <w:sz w:val="24"/>
              </w:rPr>
              <w:br w:type="textWrapping"/>
            </w:r>
            <w:r>
              <w:rPr>
                <w:rFonts w:ascii="宋体" w:hAnsi="宋体" w:cs="宋体"/>
                <w:color w:val="000000"/>
                <w:kern w:val="0"/>
                <w:sz w:val="24"/>
              </w:rPr>
              <w:t>双电源采用国内知名品牌。</w:t>
            </w:r>
            <w:r>
              <w:rPr>
                <w:rFonts w:hint="eastAsia" w:ascii="宋体" w:hAnsi="宋体" w:cs="宋体"/>
                <w:color w:val="000000"/>
                <w:kern w:val="0"/>
                <w:sz w:val="24"/>
              </w:rPr>
              <w:br w:type="textWrapping"/>
            </w:r>
            <w:r>
              <w:rPr>
                <w:rFonts w:ascii="宋体" w:hAnsi="宋体" w:cs="宋体"/>
                <w:color w:val="000000"/>
                <w:kern w:val="0"/>
                <w:sz w:val="24"/>
              </w:rPr>
              <w:t>1用1备（含室内消防配电箱一套）</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室外消防增压稳压设备</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ZW(L)-Ⅱ-X-A N=2.2kw，消防压力（MPa）P1：0.22—0.38，设备运行重量（㎏）：2934，运行压力（MPa）：0.55—0.6。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需提供制造厂商针对本项目授权书原件及售后服务承诺函</w:t>
            </w:r>
          </w:p>
        </w:tc>
      </w:tr>
      <w:tr>
        <w:tblPrEx>
          <w:tblLayout w:type="fixed"/>
          <w:tblCellMar>
            <w:top w:w="15" w:type="dxa"/>
            <w:left w:w="108" w:type="dxa"/>
            <w:bottom w:w="15"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集水坑潜污泵</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单泵：Q=10m³/h H=15m N=1.5kw。</w:t>
            </w:r>
            <w:r>
              <w:rPr>
                <w:rFonts w:hint="eastAsia" w:ascii="宋体" w:hAnsi="宋体" w:cs="宋体"/>
                <w:color w:val="000000"/>
                <w:kern w:val="0"/>
                <w:sz w:val="24"/>
              </w:rPr>
              <w:br w:type="textWrapping"/>
            </w:r>
            <w:r>
              <w:rPr>
                <w:rFonts w:hint="eastAsia" w:ascii="宋体" w:hAnsi="宋体" w:cs="宋体"/>
                <w:color w:val="000000"/>
                <w:kern w:val="0"/>
                <w:sz w:val="24"/>
              </w:rPr>
              <w:t>泵：铸铁材质带搅均装置。</w:t>
            </w:r>
            <w:r>
              <w:rPr>
                <w:rFonts w:hint="eastAsia" w:ascii="宋体" w:hAnsi="宋体" w:cs="宋体"/>
                <w:color w:val="000000"/>
                <w:kern w:val="0"/>
                <w:sz w:val="24"/>
              </w:rPr>
              <w:br w:type="textWrapping"/>
            </w:r>
            <w:r>
              <w:rPr>
                <w:rFonts w:hint="eastAsia" w:ascii="宋体" w:hAnsi="宋体" w:cs="宋体"/>
                <w:color w:val="000000"/>
                <w:kern w:val="0"/>
                <w:sz w:val="24"/>
              </w:rPr>
              <w:t>控制柜：</w:t>
            </w:r>
            <w:r>
              <w:rPr>
                <w:rFonts w:ascii="宋体" w:hAnsi="宋体" w:cs="宋体"/>
                <w:color w:val="000000"/>
                <w:kern w:val="0"/>
                <w:sz w:val="24"/>
              </w:rPr>
              <w:t>采用电子元器件。</w:t>
            </w:r>
            <w:r>
              <w:rPr>
                <w:rFonts w:hint="eastAsia" w:ascii="宋体" w:hAnsi="宋体" w:cs="宋体"/>
                <w:color w:val="000000"/>
                <w:kern w:val="0"/>
                <w:sz w:val="24"/>
              </w:rPr>
              <w:br w:type="textWrapping"/>
            </w:r>
            <w:r>
              <w:rPr>
                <w:rFonts w:ascii="宋体" w:hAnsi="宋体" w:cs="宋体"/>
                <w:color w:val="000000"/>
                <w:kern w:val="0"/>
                <w:sz w:val="24"/>
              </w:rPr>
              <w:t>2用2备</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217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1#不锈钢生活水箱</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H=3.0m（异形）（尺寸详见现场施工图或照片） 有效容积171m³，底板2.5mm，侧一2.5mm，侧二2.0mm，侧三1.5mm，顶板1.0mm，拉筋Φ1.5—Φ2.5。水箱箱体采用SUS304不锈钢板制作，拉筋采用4*4不锈钢角铁，底座采用12#槽钢制作（水箱底部支架）。基座：采用Φ16螺纹钢@200mm。</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193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2#不锈钢生活水箱</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29*5.0*3.0m（H） 有效容积362m³，底板2.5mm，侧一2.5mm，侧二2.0mm，侧三1.5mm，顶板1.0mm，拉筋Φ1.5—Φ2.5。水箱箱体采用SUS304不锈钢板制作，拉筋采用4*4不锈钢角铁，底座采用12#槽钢制作（水箱底部支架）。基座：采用Φ16螺纹钢@200mm。</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19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3#不锈钢生活水箱</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10*4.5*3.0m（H） 有效容积117m³，底板2.5mm，侧一2.5mm，侧二2.0mm，侧三1.5mm，顶板1.0mm，拉筋Φ1.5—Φ2.5。水箱箱体采用SUS304不锈钢板制作，拉筋采用4*4不锈钢角铁，底座采用12#槽钢制作（水箱底部支架）。基座：采用Φ16螺纹钢@200mm。</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240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水箱自洁消毒器（外置型）</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单泵：Q=32m³/h H=15m N=3.2kw。</w:t>
            </w:r>
            <w:r>
              <w:rPr>
                <w:rFonts w:hint="eastAsia" w:ascii="宋体" w:hAnsi="宋体" w:cs="宋体"/>
                <w:color w:val="000000"/>
                <w:kern w:val="0"/>
                <w:sz w:val="24"/>
              </w:rPr>
              <w:br w:type="textWrapping"/>
            </w:r>
            <w:r>
              <w:rPr>
                <w:rFonts w:hint="eastAsia" w:ascii="宋体" w:hAnsi="宋体" w:cs="宋体"/>
                <w:color w:val="000000"/>
                <w:kern w:val="0"/>
                <w:sz w:val="24"/>
              </w:rPr>
              <w:t>控制箱：采用变频器、触摸屏、PLC、电子元器件</w:t>
            </w:r>
            <w:r>
              <w:rPr>
                <w:rFonts w:ascii="宋体" w:hAnsi="宋体" w:cs="宋体"/>
                <w:color w:val="000000"/>
                <w:kern w:val="0"/>
                <w:sz w:val="24"/>
              </w:rPr>
              <w:t>等，带有过载过热及缺水保护功能。</w:t>
            </w:r>
            <w:r>
              <w:rPr>
                <w:rFonts w:hint="eastAsia" w:ascii="宋体" w:hAnsi="宋体" w:cs="宋体"/>
                <w:color w:val="000000"/>
                <w:kern w:val="0"/>
                <w:sz w:val="24"/>
              </w:rPr>
              <w:br w:type="textWrapping"/>
            </w:r>
            <w:r>
              <w:rPr>
                <w:rFonts w:ascii="宋体" w:hAnsi="宋体" w:cs="宋体"/>
                <w:color w:val="000000"/>
                <w:kern w:val="0"/>
                <w:sz w:val="24"/>
              </w:rPr>
              <w:t>泵：Y2电机出水导叶、支撑导叶、导叶、导流器叶轮、轴、叶轮轴套等采用SUS304不锈钢材质，石墨机械密封。</w:t>
            </w:r>
            <w:r>
              <w:rPr>
                <w:rFonts w:hint="eastAsia" w:ascii="宋体" w:hAnsi="宋体" w:cs="宋体"/>
                <w:color w:val="000000"/>
                <w:kern w:val="0"/>
                <w:sz w:val="24"/>
              </w:rPr>
              <w:br w:type="textWrapping"/>
            </w:r>
            <w:r>
              <w:rPr>
                <w:rFonts w:ascii="宋体" w:hAnsi="宋体" w:cs="宋体"/>
                <w:color w:val="000000"/>
                <w:kern w:val="0"/>
                <w:sz w:val="24"/>
              </w:rPr>
              <w:t>管路：进出水总管及其它阀门管件等均采用SUS304不锈钢材质。</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r>
        <w:tblPrEx>
          <w:tblLayout w:type="fixed"/>
          <w:tblCellMar>
            <w:top w:w="15" w:type="dxa"/>
            <w:left w:w="108" w:type="dxa"/>
            <w:bottom w:w="15" w:type="dxa"/>
            <w:right w:w="108" w:type="dxa"/>
          </w:tblCellMar>
        </w:tblPrEx>
        <w:trPr>
          <w:trHeight w:val="603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紫外线消毒器设备</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1.Q=60m³/h N=1.08kw，产品参数：1.水温：5℃~50℃；使用环境温度：-5℃~50℃；周围相对湿度：不大于93%（温度25℃时）；</w:t>
            </w:r>
            <w:r>
              <w:rPr>
                <w:rFonts w:hint="eastAsia" w:ascii="宋体" w:hAnsi="宋体" w:cs="宋体"/>
                <w:color w:val="000000"/>
                <w:kern w:val="0"/>
                <w:sz w:val="24"/>
              </w:rPr>
              <w:br w:type="textWrapping"/>
            </w:r>
            <w:r>
              <w:rPr>
                <w:rFonts w:hint="eastAsia" w:ascii="宋体" w:hAnsi="宋体" w:cs="宋体"/>
                <w:color w:val="000000"/>
                <w:kern w:val="0"/>
                <w:sz w:val="24"/>
              </w:rPr>
              <w:t>2.电压：交流电220V±10V，50Hz；</w:t>
            </w:r>
            <w:r>
              <w:rPr>
                <w:rFonts w:hint="eastAsia" w:ascii="宋体" w:hAnsi="宋体" w:cs="宋体"/>
                <w:color w:val="000000"/>
                <w:kern w:val="0"/>
                <w:sz w:val="24"/>
              </w:rPr>
              <w:br w:type="textWrapping"/>
            </w:r>
            <w:r>
              <w:rPr>
                <w:rFonts w:hint="eastAsia" w:ascii="宋体" w:hAnsi="宋体" w:cs="宋体"/>
                <w:color w:val="000000"/>
                <w:kern w:val="0"/>
                <w:sz w:val="24"/>
              </w:rPr>
              <w:t>3.饮用水：进入处理设备的水质其1cm的透射率（T254）：95%~100%；在原水质低于国家饮用水标准时（如：色度高于15度、浊度高于5度、含铁量高于0.3毫克/升），先采用其他净化和过滤等方法，使其净化达标后用紫外C水质处理设备净化。</w:t>
            </w:r>
            <w:r>
              <w:rPr>
                <w:rFonts w:hint="eastAsia" w:ascii="宋体" w:hAnsi="宋体" w:cs="宋体"/>
                <w:color w:val="000000"/>
                <w:kern w:val="0"/>
                <w:sz w:val="24"/>
              </w:rPr>
              <w:br w:type="textWrapping"/>
            </w:r>
            <w:r>
              <w:rPr>
                <w:rFonts w:hint="eastAsia" w:ascii="宋体" w:hAnsi="宋体" w:cs="宋体"/>
                <w:color w:val="000000"/>
                <w:kern w:val="0"/>
                <w:sz w:val="24"/>
              </w:rPr>
              <w:t>4.污水：根据杀菌要求，进入处理设备的水质其1cm的透射率（T254）：≥40%；其它要求满足国家《污水综合排放标准》GB8978-1996中的二级标准。</w:t>
            </w:r>
            <w:r>
              <w:rPr>
                <w:rFonts w:hint="eastAsia" w:ascii="宋体" w:hAnsi="宋体" w:cs="宋体"/>
                <w:color w:val="000000"/>
                <w:kern w:val="0"/>
                <w:sz w:val="24"/>
              </w:rPr>
              <w:br w:type="textWrapping"/>
            </w:r>
            <w:r>
              <w:rPr>
                <w:rFonts w:hint="eastAsia" w:ascii="宋体" w:hAnsi="宋体" w:cs="宋体"/>
                <w:color w:val="000000"/>
                <w:kern w:val="0"/>
                <w:sz w:val="24"/>
              </w:rPr>
              <w:t>5.需要处理的水，如水质不能达到上述要求，应先经过适当的前处理，如絮凝、沉淀、过滤等方法，以除去水中各种杂质。</w:t>
            </w:r>
            <w:r>
              <w:rPr>
                <w:rFonts w:hint="eastAsia" w:ascii="宋体" w:hAnsi="宋体" w:cs="宋体"/>
                <w:color w:val="000000"/>
                <w:kern w:val="0"/>
                <w:sz w:val="24"/>
              </w:rPr>
              <w:br w:type="textWrapping"/>
            </w:r>
            <w:r>
              <w:rPr>
                <w:rFonts w:hint="eastAsia" w:ascii="宋体" w:hAnsi="宋体" w:cs="宋体"/>
                <w:color w:val="000000"/>
                <w:kern w:val="0"/>
                <w:sz w:val="24"/>
              </w:rPr>
              <w:t>6.设备材质为不锈钢材质，整流器为国内知名品牌，灯管为国内知名品牌，控制箱由厂家配套。</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需提供制造厂商针对本项目授权书原件及售后服务承诺函</w:t>
            </w:r>
          </w:p>
        </w:tc>
      </w:tr>
    </w:tbl>
    <w:p>
      <w:pPr>
        <w:spacing w:line="480" w:lineRule="exact"/>
        <w:rPr>
          <w:rFonts w:ascii="宋体" w:hAnsi="宋体" w:cs="宋体"/>
          <w:sz w:val="24"/>
        </w:rPr>
      </w:pPr>
      <w:bookmarkStart w:id="4" w:name="_Toc452457434"/>
      <w:r>
        <w:rPr>
          <w:rFonts w:hint="eastAsia" w:ascii="宋体" w:hAnsi="宋体" w:cs="宋体"/>
          <w:b/>
          <w:sz w:val="28"/>
          <w:szCs w:val="28"/>
        </w:rPr>
        <w:t>二、交货期：</w:t>
      </w:r>
      <w:r>
        <w:rPr>
          <w:rFonts w:hint="eastAsia" w:ascii="宋体" w:hAnsi="宋体" w:cs="宋体"/>
          <w:bCs/>
          <w:kern w:val="0"/>
          <w:sz w:val="24"/>
          <w:lang w:val="en-GB"/>
        </w:rPr>
        <w:t>自签订合同生效之日起5天内</w:t>
      </w:r>
      <w:r>
        <w:rPr>
          <w:rFonts w:hint="eastAsia" w:ascii="宋体" w:hAnsi="宋体" w:cs="宋体"/>
          <w:sz w:val="24"/>
        </w:rPr>
        <w:t>。</w:t>
      </w:r>
    </w:p>
    <w:p>
      <w:pPr>
        <w:spacing w:line="480" w:lineRule="exact"/>
        <w:rPr>
          <w:rFonts w:ascii="宋体" w:hAnsi="宋体" w:cs="宋体"/>
          <w:b/>
          <w:sz w:val="28"/>
          <w:szCs w:val="28"/>
        </w:rPr>
      </w:pPr>
      <w:r>
        <w:rPr>
          <w:rFonts w:hint="eastAsia" w:ascii="宋体" w:hAnsi="宋体" w:cs="宋体"/>
          <w:b/>
          <w:sz w:val="28"/>
          <w:szCs w:val="28"/>
        </w:rPr>
        <w:t>三、交货地点：</w:t>
      </w:r>
      <w:r>
        <w:rPr>
          <w:rFonts w:hint="eastAsia" w:ascii="宋体" w:hAnsi="宋体" w:cs="宋体"/>
          <w:bCs/>
          <w:kern w:val="0"/>
          <w:sz w:val="24"/>
          <w:lang w:val="en-GB"/>
        </w:rPr>
        <w:t>采购单位要求的地点。</w:t>
      </w:r>
    </w:p>
    <w:p>
      <w:pPr>
        <w:spacing w:line="480" w:lineRule="exact"/>
        <w:rPr>
          <w:rFonts w:ascii="宋体" w:hAnsi="宋体" w:cs="宋体"/>
          <w:b/>
          <w:sz w:val="28"/>
          <w:szCs w:val="28"/>
        </w:rPr>
      </w:pPr>
      <w:r>
        <w:rPr>
          <w:rFonts w:hint="eastAsia" w:ascii="宋体" w:hAnsi="宋体" w:cs="宋体"/>
          <w:b/>
          <w:sz w:val="28"/>
          <w:szCs w:val="28"/>
        </w:rPr>
        <w:t>四、验收方式：</w:t>
      </w:r>
      <w:r>
        <w:rPr>
          <w:rFonts w:hint="eastAsia" w:ascii="宋体" w:hAnsi="宋体" w:cs="宋体"/>
          <w:bCs/>
          <w:sz w:val="24"/>
        </w:rPr>
        <w:t>按招标文件上的需求进行，如有不达标即采购人有权拒绝付款。</w:t>
      </w:r>
    </w:p>
    <w:p>
      <w:pPr>
        <w:spacing w:line="360" w:lineRule="auto"/>
        <w:ind w:left="1"/>
        <w:rPr>
          <w:rFonts w:ascii="宋体" w:hAnsi="宋体" w:cs="宋体"/>
          <w:bCs/>
          <w:kern w:val="0"/>
          <w:sz w:val="24"/>
          <w:lang w:val="en-GB"/>
        </w:rPr>
      </w:pPr>
      <w:r>
        <w:rPr>
          <w:rFonts w:hint="eastAsia" w:ascii="宋体" w:hAnsi="宋体" w:cs="宋体"/>
          <w:b/>
          <w:sz w:val="28"/>
          <w:szCs w:val="28"/>
        </w:rPr>
        <w:t>五、付款条件</w:t>
      </w:r>
      <w:r>
        <w:rPr>
          <w:rFonts w:hint="eastAsia" w:ascii="宋体" w:hAnsi="宋体" w:cs="宋体"/>
          <w:bCs/>
          <w:kern w:val="0"/>
          <w:sz w:val="24"/>
          <w:lang w:val="en-GB"/>
        </w:rPr>
        <w:t>：</w:t>
      </w:r>
    </w:p>
    <w:p>
      <w:pPr>
        <w:snapToGrid w:val="0"/>
        <w:spacing w:line="360" w:lineRule="auto"/>
        <w:rPr>
          <w:rFonts w:ascii="宋体" w:hAnsi="宋体" w:cs="宋体"/>
          <w:bCs/>
          <w:kern w:val="0"/>
          <w:sz w:val="24"/>
          <w:lang w:val="en-GB"/>
        </w:rPr>
      </w:pPr>
      <w:r>
        <w:rPr>
          <w:rFonts w:hint="eastAsia" w:ascii="宋体" w:hAnsi="宋体" w:cs="宋体"/>
          <w:bCs/>
          <w:kern w:val="0"/>
          <w:sz w:val="24"/>
          <w:lang w:val="en-GB"/>
        </w:rPr>
        <w:t>合同签订后支付合同总款的30%，货物送到指定交货地点安装完毕并通过验收后支付合同总款的65%，余款5%作为质量保证金验收合格一年后如无质量问题及违约情况给予付清，如有违约情况给予拒付。</w:t>
      </w:r>
    </w:p>
    <w:p>
      <w:pPr>
        <w:snapToGrid w:val="0"/>
        <w:spacing w:line="360" w:lineRule="auto"/>
        <w:rPr>
          <w:b/>
          <w:color w:val="FF0000"/>
          <w:sz w:val="28"/>
          <w:szCs w:val="28"/>
        </w:rPr>
      </w:pPr>
      <w:r>
        <w:rPr>
          <w:rFonts w:hint="eastAsia"/>
          <w:b/>
          <w:sz w:val="28"/>
          <w:szCs w:val="28"/>
        </w:rPr>
        <w:t>六、其他要求：</w:t>
      </w:r>
      <w:r>
        <w:rPr>
          <w:rFonts w:hint="eastAsia" w:ascii="宋体" w:hAnsi="宋体" w:cs="宋体"/>
          <w:bCs/>
          <w:kern w:val="0"/>
          <w:sz w:val="24"/>
          <w:lang w:val="en-GB"/>
        </w:rPr>
        <w:t>开标时，供应商需带紫外线消毒器设备中紫外线消毒器样品以供磋商小组评审，所带样品需与日后所供产品质量一样；预中标人的样品在供货结束后退还，未中标人的样品当场退还（如未提供样品，将会严重影响评分）。</w:t>
      </w:r>
    </w:p>
    <w:p>
      <w:pPr>
        <w:pStyle w:val="2"/>
        <w:spacing w:afterLines="0"/>
      </w:pPr>
      <w:r>
        <w:rPr>
          <w:rFonts w:hint="eastAsia"/>
        </w:rPr>
        <w:t>第四章 合同条款</w:t>
      </w:r>
      <w:bookmarkEnd w:id="4"/>
    </w:p>
    <w:p>
      <w:pPr>
        <w:spacing w:before="19" w:line="360" w:lineRule="auto"/>
        <w:jc w:val="center"/>
        <w:rPr>
          <w:rFonts w:ascii="宋体" w:hAnsi="宋体"/>
          <w:b/>
          <w:sz w:val="32"/>
          <w:szCs w:val="32"/>
        </w:rPr>
      </w:pPr>
      <w:r>
        <w:rPr>
          <w:rFonts w:hint="eastAsia" w:ascii="宋体" w:hAnsi="宋体"/>
          <w:b/>
          <w:sz w:val="32"/>
          <w:szCs w:val="32"/>
        </w:rPr>
        <w:t>通用合同条款</w:t>
      </w:r>
    </w:p>
    <w:p>
      <w:pPr>
        <w:spacing w:line="360" w:lineRule="auto"/>
        <w:jc w:val="center"/>
        <w:rPr>
          <w:b/>
          <w:sz w:val="24"/>
        </w:rPr>
      </w:pPr>
      <w:r>
        <w:rPr>
          <w:rFonts w:hint="eastAsia"/>
          <w:b/>
          <w:sz w:val="24"/>
        </w:rPr>
        <w:t>（略）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rFonts w:hint="eastAsia"/>
          <w:b/>
          <w:sz w:val="32"/>
          <w:szCs w:val="32"/>
        </w:rPr>
        <w:t>合同专用条款部分</w:t>
      </w:r>
    </w:p>
    <w:p>
      <w:pPr>
        <w:spacing w:before="19" w:line="360" w:lineRule="auto"/>
        <w:rPr>
          <w:rFonts w:ascii="宋体" w:hAnsi="宋体"/>
          <w:sz w:val="24"/>
        </w:rPr>
      </w:pPr>
    </w:p>
    <w:p>
      <w:pPr>
        <w:spacing w:before="19" w:line="360" w:lineRule="auto"/>
        <w:rPr>
          <w:rFonts w:ascii="宋体" w:hAnsi="宋体"/>
          <w:b/>
          <w:sz w:val="24"/>
          <w:u w:val="single"/>
        </w:rPr>
      </w:pPr>
      <w:r>
        <w:rPr>
          <w:rFonts w:hint="eastAsia" w:ascii="宋体" w:hAnsi="宋体"/>
          <w:sz w:val="24"/>
        </w:rPr>
        <w:t>甲方:</w:t>
      </w:r>
    </w:p>
    <w:p>
      <w:pPr>
        <w:spacing w:before="19" w:line="360" w:lineRule="auto"/>
        <w:rPr>
          <w:rFonts w:ascii="宋体" w:hAnsi="宋体"/>
          <w:b/>
          <w:sz w:val="24"/>
          <w:u w:val="single"/>
        </w:rPr>
      </w:pPr>
      <w:r>
        <w:rPr>
          <w:rFonts w:hint="eastAsia" w:ascii="宋体" w:hAnsi="宋体"/>
          <w:sz w:val="24"/>
        </w:rPr>
        <w:t>乙方:</w:t>
      </w:r>
    </w:p>
    <w:p>
      <w:pPr>
        <w:snapToGrid w:val="0"/>
        <w:spacing w:before="19" w:line="360" w:lineRule="auto"/>
        <w:ind w:firstLine="600"/>
        <w:rPr>
          <w:rFonts w:ascii="宋体" w:hAnsi="宋体"/>
          <w:sz w:val="24"/>
        </w:rPr>
      </w:pPr>
    </w:p>
    <w:p>
      <w:pPr>
        <w:snapToGrid w:val="0"/>
        <w:spacing w:before="19" w:line="360" w:lineRule="auto"/>
        <w:ind w:firstLine="600"/>
        <w:rPr>
          <w:rFonts w:ascii="宋体" w:hAnsi="宋体"/>
          <w:sz w:val="24"/>
        </w:rPr>
      </w:pPr>
      <w:r>
        <w:rPr>
          <w:rFonts w:hint="eastAsia" w:ascii="宋体" w:hAnsi="宋体"/>
          <w:sz w:val="24"/>
        </w:rPr>
        <w:t>甲乙双方根据   年  月  日</w:t>
      </w:r>
      <w:r>
        <w:rPr>
          <w:rFonts w:hint="eastAsia" w:ascii="宋体" w:hAnsi="宋体" w:cs="Tahoma"/>
          <w:sz w:val="24"/>
          <w:u w:val="single"/>
        </w:rPr>
        <w:t>海口市灵山中学采购水泵房设备项目</w:t>
      </w:r>
      <w:r>
        <w:rPr>
          <w:rFonts w:hint="eastAsia" w:ascii="宋体" w:hAnsi="宋体"/>
          <w:sz w:val="24"/>
        </w:rPr>
        <w:t>（项目编号：</w:t>
      </w:r>
      <w:r>
        <w:rPr>
          <w:rFonts w:hint="eastAsia" w:ascii="宋体" w:hAnsi="宋体"/>
          <w:sz w:val="24"/>
          <w:u w:val="single"/>
        </w:rPr>
        <w:t xml:space="preserve"> SCHX-HK2016062</w:t>
      </w:r>
      <w:r>
        <w:rPr>
          <w:rFonts w:hint="eastAsia" w:ascii="宋体" w:hAnsi="宋体"/>
          <w:sz w:val="24"/>
        </w:rPr>
        <w:t>）竞争性磋商结果及磋商文件的要求，经协商一致，同意以下专用条款作为本项目合同条款的补充。当合同条款与专用条款不一致时，以专用条款为准。</w:t>
      </w:r>
    </w:p>
    <w:p>
      <w:pPr>
        <w:snapToGrid w:val="0"/>
        <w:spacing w:line="360" w:lineRule="auto"/>
        <w:rPr>
          <w:rFonts w:ascii="宋体" w:hAnsi="宋体"/>
          <w:b/>
          <w:sz w:val="28"/>
          <w:szCs w:val="28"/>
        </w:rPr>
      </w:pPr>
      <w:r>
        <w:rPr>
          <w:rFonts w:hint="eastAsia" w:ascii="宋体" w:hAnsi="宋体"/>
          <w:b/>
          <w:sz w:val="28"/>
          <w:szCs w:val="28"/>
        </w:rPr>
        <w:t>一、合同标的及金额等</w:t>
      </w:r>
    </w:p>
    <w:tbl>
      <w:tblPr>
        <w:tblStyle w:val="50"/>
        <w:tblW w:w="9504" w:type="dxa"/>
        <w:jc w:val="center"/>
        <w:tblInd w:w="0" w:type="dxa"/>
        <w:tblLayout w:type="fixed"/>
        <w:tblCellMar>
          <w:top w:w="0" w:type="dxa"/>
          <w:left w:w="30" w:type="dxa"/>
          <w:bottom w:w="0" w:type="dxa"/>
          <w:right w:w="30" w:type="dxa"/>
        </w:tblCellMar>
      </w:tblPr>
      <w:tblGrid>
        <w:gridCol w:w="532"/>
        <w:gridCol w:w="1527"/>
        <w:gridCol w:w="1843"/>
        <w:gridCol w:w="1460"/>
        <w:gridCol w:w="1050"/>
        <w:gridCol w:w="992"/>
        <w:gridCol w:w="992"/>
        <w:gridCol w:w="1108"/>
      </w:tblGrid>
      <w:tr>
        <w:tblPrEx>
          <w:tblLayout w:type="fixed"/>
          <w:tblCellMar>
            <w:top w:w="0" w:type="dxa"/>
            <w:left w:w="30" w:type="dxa"/>
            <w:bottom w:w="0" w:type="dxa"/>
            <w:right w:w="30" w:type="dxa"/>
          </w:tblCellMar>
        </w:tblPrEx>
        <w:trPr>
          <w:trHeight w:val="593"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Arial"/>
                <w:b/>
                <w:color w:val="000000"/>
                <w:szCs w:val="21"/>
              </w:rPr>
            </w:pPr>
            <w:r>
              <w:rPr>
                <w:rFonts w:ascii="宋体" w:hAnsi="宋体" w:cs="Arial"/>
                <w:b/>
                <w:color w:val="000000"/>
                <w:szCs w:val="21"/>
              </w:rPr>
              <w:t>序号</w:t>
            </w:r>
          </w:p>
        </w:tc>
        <w:tc>
          <w:tcPr>
            <w:tcW w:w="152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rPr>
              <w:t>产品</w:t>
            </w:r>
            <w:r>
              <w:rPr>
                <w:rFonts w:ascii="宋体" w:hAnsi="宋体" w:cs="Arial"/>
                <w:b/>
                <w:sz w:val="24"/>
              </w:rPr>
              <w:t>名称</w:t>
            </w: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szCs w:val="21"/>
              </w:rPr>
              <w:t>品牌、型号</w:t>
            </w:r>
          </w:p>
        </w:tc>
        <w:tc>
          <w:tcPr>
            <w:tcW w:w="14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单价（元）</w:t>
            </w: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单位</w:t>
            </w: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数量</w:t>
            </w: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rPr>
              <w:t>小计（元）</w:t>
            </w:r>
          </w:p>
        </w:tc>
        <w:tc>
          <w:tcPr>
            <w:tcW w:w="1108"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Arial"/>
                <w:b/>
                <w:color w:val="000000"/>
                <w:szCs w:val="21"/>
              </w:rPr>
            </w:pPr>
            <w:r>
              <w:rPr>
                <w:rFonts w:hint="eastAsia" w:ascii="宋体" w:hAnsi="宋体" w:cs="Arial"/>
                <w:b/>
                <w:color w:val="000000"/>
                <w:szCs w:val="21"/>
              </w:rPr>
              <w:t>备注</w:t>
            </w:r>
          </w:p>
        </w:tc>
      </w:tr>
      <w:tr>
        <w:tblPrEx>
          <w:tblLayout w:type="fixed"/>
          <w:tblCellMar>
            <w:top w:w="0" w:type="dxa"/>
            <w:left w:w="30" w:type="dxa"/>
            <w:bottom w:w="0" w:type="dxa"/>
            <w:right w:w="30" w:type="dxa"/>
          </w:tblCellMar>
        </w:tblPrEx>
        <w:trPr>
          <w:trHeight w:val="770"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color w:val="000000"/>
                <w:szCs w:val="21"/>
              </w:rPr>
            </w:pPr>
            <w:r>
              <w:rPr>
                <w:color w:val="000000"/>
                <w:szCs w:val="21"/>
              </w:rPr>
              <w:t>1</w:t>
            </w:r>
          </w:p>
        </w:tc>
        <w:tc>
          <w:tcPr>
            <w:tcW w:w="1527"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1460" w:type="dxa"/>
            <w:tcBorders>
              <w:top w:val="single" w:color="auto" w:sz="8" w:space="0"/>
              <w:left w:val="single" w:color="auto" w:sz="8" w:space="0"/>
              <w:bottom w:val="single" w:color="auto" w:sz="8" w:space="0"/>
              <w:right w:val="single" w:color="auto" w:sz="8" w:space="0"/>
            </w:tcBorders>
          </w:tcPr>
          <w:p>
            <w:pPr>
              <w:autoSpaceDE w:val="0"/>
              <w:autoSpaceDN w:val="0"/>
              <w:rPr>
                <w:rFonts w:ascii="宋体" w:hAnsi="宋体" w:cs="Arial"/>
                <w:color w:val="000000"/>
                <w:szCs w:val="21"/>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r>
      <w:tr>
        <w:tblPrEx>
          <w:tblLayout w:type="fixed"/>
          <w:tblCellMar>
            <w:top w:w="0" w:type="dxa"/>
            <w:left w:w="30" w:type="dxa"/>
            <w:bottom w:w="0" w:type="dxa"/>
            <w:right w:w="30" w:type="dxa"/>
          </w:tblCellMar>
        </w:tblPrEx>
        <w:trPr>
          <w:trHeight w:val="734"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color w:val="000000"/>
                <w:szCs w:val="21"/>
              </w:rPr>
            </w:pPr>
            <w:r>
              <w:rPr>
                <w:color w:val="000000"/>
                <w:szCs w:val="21"/>
              </w:rPr>
              <w:t>2</w:t>
            </w:r>
          </w:p>
        </w:tc>
        <w:tc>
          <w:tcPr>
            <w:tcW w:w="1527"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1460" w:type="dxa"/>
            <w:tcBorders>
              <w:top w:val="single" w:color="auto" w:sz="8" w:space="0"/>
              <w:left w:val="single" w:color="auto" w:sz="8" w:space="0"/>
              <w:bottom w:val="single" w:color="auto" w:sz="8" w:space="0"/>
              <w:right w:val="single" w:color="auto" w:sz="8" w:space="0"/>
            </w:tcBorders>
          </w:tcPr>
          <w:p>
            <w:pPr>
              <w:autoSpaceDE w:val="0"/>
              <w:autoSpaceDN w:val="0"/>
              <w:rPr>
                <w:rFonts w:ascii="宋体" w:hAnsi="宋体" w:cs="Arial"/>
                <w:color w:val="000000"/>
                <w:szCs w:val="21"/>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r>
      <w:tr>
        <w:tblPrEx>
          <w:tblLayout w:type="fixed"/>
          <w:tblCellMar>
            <w:top w:w="0" w:type="dxa"/>
            <w:left w:w="30" w:type="dxa"/>
            <w:bottom w:w="0" w:type="dxa"/>
            <w:right w:w="30" w:type="dxa"/>
          </w:tblCellMar>
        </w:tblPrEx>
        <w:trPr>
          <w:trHeight w:val="676"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color w:val="000000"/>
                <w:szCs w:val="21"/>
              </w:rPr>
            </w:pPr>
            <w:r>
              <w:rPr>
                <w:color w:val="000000"/>
                <w:szCs w:val="21"/>
              </w:rPr>
              <w:t>3</w:t>
            </w:r>
          </w:p>
        </w:tc>
        <w:tc>
          <w:tcPr>
            <w:tcW w:w="1527"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1460" w:type="dxa"/>
            <w:tcBorders>
              <w:top w:val="single" w:color="auto" w:sz="8" w:space="0"/>
              <w:left w:val="single" w:color="auto" w:sz="8" w:space="0"/>
              <w:bottom w:val="single" w:color="auto" w:sz="8" w:space="0"/>
              <w:right w:val="single" w:color="auto" w:sz="8" w:space="0"/>
            </w:tcBorders>
          </w:tcPr>
          <w:p>
            <w:pPr>
              <w:autoSpaceDE w:val="0"/>
              <w:autoSpaceDN w:val="0"/>
              <w:rPr>
                <w:rFonts w:ascii="宋体" w:hAnsi="宋体" w:cs="Arial"/>
                <w:color w:val="000000"/>
                <w:szCs w:val="21"/>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r>
      <w:tr>
        <w:tblPrEx>
          <w:tblLayout w:type="fixed"/>
          <w:tblCellMar>
            <w:top w:w="0" w:type="dxa"/>
            <w:left w:w="30" w:type="dxa"/>
            <w:bottom w:w="0" w:type="dxa"/>
            <w:right w:w="30" w:type="dxa"/>
          </w:tblCellMar>
        </w:tblPrEx>
        <w:trPr>
          <w:trHeight w:val="676"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color w:val="000000"/>
                <w:szCs w:val="21"/>
              </w:rPr>
            </w:pPr>
            <w:r>
              <w:rPr>
                <w:rFonts w:hint="eastAsia"/>
                <w:color w:val="000000"/>
                <w:szCs w:val="21"/>
              </w:rPr>
              <w:t>4</w:t>
            </w:r>
          </w:p>
        </w:tc>
        <w:tc>
          <w:tcPr>
            <w:tcW w:w="1527"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1460" w:type="dxa"/>
            <w:tcBorders>
              <w:top w:val="single" w:color="auto" w:sz="8" w:space="0"/>
              <w:left w:val="single" w:color="auto" w:sz="8" w:space="0"/>
              <w:bottom w:val="single" w:color="auto" w:sz="8" w:space="0"/>
              <w:right w:val="single" w:color="auto" w:sz="8" w:space="0"/>
            </w:tcBorders>
          </w:tcPr>
          <w:p>
            <w:pPr>
              <w:autoSpaceDE w:val="0"/>
              <w:autoSpaceDN w:val="0"/>
              <w:rPr>
                <w:rFonts w:ascii="宋体" w:hAnsi="宋体" w:cs="Arial"/>
                <w:color w:val="000000"/>
                <w:szCs w:val="21"/>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r>
      <w:tr>
        <w:tblPrEx>
          <w:tblLayout w:type="fixed"/>
          <w:tblCellMar>
            <w:top w:w="0" w:type="dxa"/>
            <w:left w:w="30" w:type="dxa"/>
            <w:bottom w:w="0" w:type="dxa"/>
            <w:right w:w="30" w:type="dxa"/>
          </w:tblCellMar>
        </w:tblPrEx>
        <w:trPr>
          <w:trHeight w:val="676" w:hRule="exact"/>
          <w:jc w:val="center"/>
        </w:trPr>
        <w:tc>
          <w:tcPr>
            <w:tcW w:w="53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color w:val="000000"/>
                <w:szCs w:val="21"/>
              </w:rPr>
            </w:pPr>
            <w:r>
              <w:rPr>
                <w:color w:val="000000"/>
                <w:szCs w:val="21"/>
              </w:rPr>
              <w:t>…</w:t>
            </w:r>
          </w:p>
        </w:tc>
        <w:tc>
          <w:tcPr>
            <w:tcW w:w="1527" w:type="dxa"/>
            <w:tcBorders>
              <w:top w:val="single" w:color="auto" w:sz="8" w:space="0"/>
              <w:left w:val="single" w:color="auto" w:sz="8" w:space="0"/>
              <w:bottom w:val="single" w:color="auto" w:sz="8" w:space="0"/>
              <w:right w:val="single" w:color="auto" w:sz="8" w:space="0"/>
            </w:tcBorders>
            <w:vAlign w:val="center"/>
          </w:tcPr>
          <w:p>
            <w:pPr>
              <w:rPr>
                <w:color w:val="000000"/>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1460" w:type="dxa"/>
            <w:tcBorders>
              <w:top w:val="single" w:color="auto" w:sz="8" w:space="0"/>
              <w:left w:val="single" w:color="auto" w:sz="8" w:space="0"/>
              <w:bottom w:val="single" w:color="auto" w:sz="8" w:space="0"/>
              <w:right w:val="single" w:color="auto" w:sz="8" w:space="0"/>
            </w:tcBorders>
          </w:tcPr>
          <w:p>
            <w:pPr>
              <w:autoSpaceDE w:val="0"/>
              <w:autoSpaceDN w:val="0"/>
              <w:rPr>
                <w:rFonts w:ascii="宋体" w:hAnsi="宋体" w:cs="Arial"/>
                <w:color w:val="000000"/>
                <w:szCs w:val="21"/>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hAnsi="宋体" w:cs="Arial"/>
                <w:color w:val="000000"/>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color w:val="000000"/>
                <w:szCs w:val="21"/>
              </w:rPr>
            </w:pPr>
          </w:p>
        </w:tc>
      </w:tr>
      <w:tr>
        <w:tblPrEx>
          <w:tblLayout w:type="fixed"/>
          <w:tblCellMar>
            <w:top w:w="0" w:type="dxa"/>
            <w:left w:w="30" w:type="dxa"/>
            <w:bottom w:w="0" w:type="dxa"/>
            <w:right w:w="30" w:type="dxa"/>
          </w:tblCellMar>
        </w:tblPrEx>
        <w:trPr>
          <w:trHeight w:val="579" w:hRule="exact"/>
          <w:jc w:val="center"/>
        </w:trPr>
        <w:tc>
          <w:tcPr>
            <w:tcW w:w="2059" w:type="dxa"/>
            <w:gridSpan w:val="2"/>
            <w:vMerge w:val="restart"/>
            <w:tcBorders>
              <w:top w:val="single" w:color="auto" w:sz="8" w:space="0"/>
              <w:left w:val="single" w:color="auto" w:sz="8" w:space="0"/>
              <w:right w:val="single" w:color="auto" w:sz="8" w:space="0"/>
            </w:tcBorders>
            <w:vAlign w:val="center"/>
          </w:tcPr>
          <w:p>
            <w:pPr>
              <w:ind w:firstLine="422" w:firstLineChars="200"/>
              <w:rPr>
                <w:rFonts w:ascii="宋体" w:hAnsi="宋体" w:cs="Arial"/>
                <w:b/>
                <w:color w:val="000000"/>
                <w:szCs w:val="21"/>
              </w:rPr>
            </w:pPr>
            <w:r>
              <w:rPr>
                <w:rFonts w:hint="eastAsia" w:ascii="宋体" w:hAnsi="宋体" w:cs="Arial"/>
                <w:b/>
                <w:color w:val="000000"/>
                <w:szCs w:val="21"/>
              </w:rPr>
              <w:t>报价</w:t>
            </w:r>
            <w:r>
              <w:rPr>
                <w:rFonts w:ascii="宋体" w:hAnsi="宋体" w:cs="Arial"/>
                <w:b/>
                <w:color w:val="000000"/>
                <w:szCs w:val="21"/>
              </w:rPr>
              <w:t>总</w:t>
            </w:r>
            <w:r>
              <w:rPr>
                <w:rFonts w:hint="eastAsia" w:ascii="宋体" w:hAnsi="宋体" w:cs="Arial"/>
                <w:b/>
                <w:color w:val="000000"/>
                <w:szCs w:val="21"/>
              </w:rPr>
              <w:t>额</w:t>
            </w:r>
          </w:p>
        </w:tc>
        <w:tc>
          <w:tcPr>
            <w:tcW w:w="7445" w:type="dxa"/>
            <w:gridSpan w:val="6"/>
            <w:tcBorders>
              <w:top w:val="single" w:color="auto" w:sz="8" w:space="0"/>
              <w:left w:val="single" w:color="auto" w:sz="8" w:space="0"/>
              <w:bottom w:val="single" w:color="auto" w:sz="8" w:space="0"/>
              <w:right w:val="single" w:color="auto" w:sz="8" w:space="0"/>
            </w:tcBorders>
            <w:vAlign w:val="center"/>
          </w:tcPr>
          <w:p>
            <w:pPr>
              <w:ind w:firstLine="422" w:firstLineChars="200"/>
              <w:rPr>
                <w:rFonts w:ascii="宋体" w:hAnsi="宋体" w:cs="Arial"/>
                <w:color w:val="000000"/>
                <w:szCs w:val="21"/>
              </w:rPr>
            </w:pPr>
            <w:r>
              <w:rPr>
                <w:rFonts w:hint="eastAsia" w:ascii="宋体" w:hAnsi="宋体" w:cs="Arial"/>
                <w:b/>
                <w:color w:val="000000"/>
                <w:szCs w:val="21"/>
              </w:rPr>
              <w:t>（小写）</w:t>
            </w:r>
          </w:p>
        </w:tc>
      </w:tr>
      <w:tr>
        <w:tblPrEx>
          <w:tblLayout w:type="fixed"/>
          <w:tblCellMar>
            <w:top w:w="0" w:type="dxa"/>
            <w:left w:w="30" w:type="dxa"/>
            <w:bottom w:w="0" w:type="dxa"/>
            <w:right w:w="30" w:type="dxa"/>
          </w:tblCellMar>
        </w:tblPrEx>
        <w:trPr>
          <w:trHeight w:val="579" w:hRule="exact"/>
          <w:jc w:val="center"/>
        </w:trPr>
        <w:tc>
          <w:tcPr>
            <w:tcW w:w="2059" w:type="dxa"/>
            <w:gridSpan w:val="2"/>
            <w:vMerge w:val="continue"/>
            <w:tcBorders>
              <w:left w:val="single" w:color="auto" w:sz="8" w:space="0"/>
              <w:bottom w:val="single" w:color="auto" w:sz="8" w:space="0"/>
              <w:right w:val="single" w:color="auto" w:sz="8" w:space="0"/>
            </w:tcBorders>
            <w:vAlign w:val="center"/>
          </w:tcPr>
          <w:p>
            <w:pPr>
              <w:ind w:firstLine="422" w:firstLineChars="200"/>
              <w:rPr>
                <w:rFonts w:ascii="宋体" w:hAnsi="宋体" w:cs="Arial"/>
                <w:b/>
                <w:color w:val="000000"/>
                <w:szCs w:val="21"/>
              </w:rPr>
            </w:pPr>
          </w:p>
        </w:tc>
        <w:tc>
          <w:tcPr>
            <w:tcW w:w="7445" w:type="dxa"/>
            <w:gridSpan w:val="6"/>
            <w:tcBorders>
              <w:top w:val="single" w:color="auto" w:sz="8" w:space="0"/>
              <w:left w:val="single" w:color="auto" w:sz="8" w:space="0"/>
              <w:bottom w:val="single" w:color="auto" w:sz="8" w:space="0"/>
              <w:right w:val="single" w:color="auto" w:sz="8" w:space="0"/>
            </w:tcBorders>
            <w:vAlign w:val="center"/>
          </w:tcPr>
          <w:p>
            <w:pPr>
              <w:ind w:firstLine="422" w:firstLineChars="200"/>
              <w:rPr>
                <w:rFonts w:ascii="宋体" w:hAnsi="宋体" w:cs="Arial"/>
                <w:color w:val="000000"/>
                <w:szCs w:val="21"/>
              </w:rPr>
            </w:pPr>
            <w:r>
              <w:rPr>
                <w:rFonts w:hint="eastAsia" w:ascii="宋体" w:hAnsi="宋体" w:cs="Arial"/>
                <w:b/>
                <w:color w:val="000000"/>
                <w:szCs w:val="21"/>
              </w:rPr>
              <w:t>（大写）</w:t>
            </w:r>
          </w:p>
        </w:tc>
      </w:tr>
    </w:tbl>
    <w:p>
      <w:pPr>
        <w:snapToGrid w:val="0"/>
        <w:spacing w:line="360" w:lineRule="auto"/>
        <w:rPr>
          <w:rFonts w:ascii="宋体" w:hAnsi="宋体"/>
          <w:b/>
          <w:sz w:val="28"/>
          <w:szCs w:val="28"/>
        </w:rPr>
      </w:pPr>
    </w:p>
    <w:p>
      <w:pPr>
        <w:snapToGrid w:val="0"/>
        <w:spacing w:line="360" w:lineRule="auto"/>
        <w:rPr>
          <w:rFonts w:ascii="宋体" w:hAnsi="宋体"/>
          <w:b/>
          <w:sz w:val="28"/>
          <w:szCs w:val="28"/>
        </w:rPr>
      </w:pPr>
      <w:r>
        <w:rPr>
          <w:rFonts w:hint="eastAsia" w:ascii="宋体" w:hAnsi="宋体"/>
          <w:b/>
          <w:sz w:val="28"/>
          <w:szCs w:val="28"/>
        </w:rPr>
        <w:t>二、付款</w:t>
      </w:r>
    </w:p>
    <w:p>
      <w:pPr>
        <w:snapToGrid w:val="0"/>
        <w:spacing w:line="360" w:lineRule="auto"/>
        <w:rPr>
          <w:rFonts w:ascii="宋体" w:hAnsi="宋体"/>
          <w:sz w:val="24"/>
        </w:rPr>
      </w:pPr>
      <w:r>
        <w:rPr>
          <w:rFonts w:hint="eastAsia" w:ascii="宋体" w:hAnsi="宋体"/>
          <w:sz w:val="24"/>
        </w:rPr>
        <w:t>合同签订后支付合同总款的30%，货物送到指定交货地点安装完毕并通过验收后支付合同总款的65%，余款5%作为质量保证金验收合格一年后如无质量问题及违约情况给予付清，如有违约情况给予拒付。</w:t>
      </w:r>
    </w:p>
    <w:p>
      <w:pPr>
        <w:snapToGrid w:val="0"/>
        <w:spacing w:line="360" w:lineRule="auto"/>
        <w:rPr>
          <w:rFonts w:ascii="宋体" w:hAnsi="宋体"/>
          <w:b/>
          <w:sz w:val="28"/>
          <w:szCs w:val="28"/>
        </w:rPr>
      </w:pPr>
      <w:r>
        <w:rPr>
          <w:rFonts w:hint="eastAsia" w:ascii="宋体" w:hAnsi="宋体"/>
          <w:b/>
          <w:sz w:val="28"/>
          <w:szCs w:val="28"/>
        </w:rPr>
        <w:t>三、违约赔偿</w:t>
      </w:r>
    </w:p>
    <w:p>
      <w:pPr>
        <w:snapToGrid w:val="0"/>
        <w:spacing w:line="360" w:lineRule="auto"/>
        <w:ind w:firstLine="480" w:firstLineChars="200"/>
        <w:rPr>
          <w:rFonts w:ascii="宋体" w:hAnsi="宋体"/>
          <w:sz w:val="24"/>
        </w:rPr>
      </w:pPr>
      <w:r>
        <w:rPr>
          <w:rFonts w:hint="eastAsia" w:ascii="宋体" w:hAnsi="宋体"/>
          <w:sz w:val="24"/>
        </w:rPr>
        <w:t>1. 除下一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15％。如果乙方延迟交货时间超过一个月，甲方有权终止合同，并按合同约定及法律规定追究乙方的违约责任。</w:t>
      </w:r>
    </w:p>
    <w:p>
      <w:pPr>
        <w:snapToGrid w:val="0"/>
        <w:spacing w:line="360" w:lineRule="auto"/>
        <w:ind w:firstLine="480" w:firstLineChars="200"/>
        <w:rPr>
          <w:rFonts w:ascii="宋体" w:hAnsi="宋体"/>
          <w:sz w:val="24"/>
        </w:rPr>
      </w:pPr>
      <w:r>
        <w:rPr>
          <w:rFonts w:hint="eastAsia" w:ascii="宋体" w:hAnsi="宋体"/>
          <w:sz w:val="24"/>
        </w:rPr>
        <w:t>2.如果双方中任何一方由于战争、严重火灾、水灾、台风和地震以及其它经双方同意属于不可抗力的事故，致使合同履行受阻时，履行合同的期限应予以延长，延长的期限应相当于事故所影响的时间。</w:t>
      </w:r>
    </w:p>
    <w:p>
      <w:pPr>
        <w:snapToGrid w:val="0"/>
        <w:spacing w:line="360" w:lineRule="auto"/>
        <w:rPr>
          <w:rFonts w:ascii="宋体" w:hAnsi="宋体"/>
          <w:b/>
          <w:sz w:val="28"/>
          <w:szCs w:val="28"/>
        </w:rPr>
      </w:pPr>
      <w:r>
        <w:rPr>
          <w:rFonts w:hint="eastAsia" w:ascii="宋体" w:hAnsi="宋体"/>
          <w:b/>
          <w:sz w:val="28"/>
          <w:szCs w:val="28"/>
        </w:rPr>
        <w:t>四、合同纠纷处理</w:t>
      </w:r>
    </w:p>
    <w:p>
      <w:pPr>
        <w:tabs>
          <w:tab w:val="left" w:pos="1980"/>
        </w:tabs>
        <w:snapToGrid w:val="0"/>
        <w:spacing w:line="360" w:lineRule="auto"/>
        <w:ind w:firstLine="470" w:firstLineChars="196"/>
        <w:rPr>
          <w:rFonts w:ascii="宋体" w:hAnsi="宋体"/>
          <w:sz w:val="24"/>
        </w:rPr>
      </w:pPr>
      <w:r>
        <w:rPr>
          <w:rFonts w:hint="eastAsia" w:ascii="宋体" w:hAnsi="宋体"/>
          <w:sz w:val="24"/>
        </w:rPr>
        <w:t>本合同执行过程中发生纠纷，作如下处理：</w:t>
      </w:r>
    </w:p>
    <w:p>
      <w:pPr>
        <w:tabs>
          <w:tab w:val="left" w:pos="1980"/>
        </w:tabs>
        <w:snapToGrid w:val="0"/>
        <w:spacing w:line="360" w:lineRule="auto"/>
        <w:ind w:firstLine="470" w:firstLineChars="196"/>
        <w:rPr>
          <w:rFonts w:ascii="宋体" w:hAnsi="宋体"/>
          <w:sz w:val="24"/>
        </w:rPr>
      </w:pPr>
      <w:r>
        <w:rPr>
          <w:rFonts w:hint="eastAsia" w:ascii="宋体" w:hAnsi="宋体"/>
          <w:sz w:val="24"/>
        </w:rPr>
        <w:t>1、申请仲裁：仲裁机构为海南经济仲裁委员会。</w:t>
      </w:r>
    </w:p>
    <w:p>
      <w:pPr>
        <w:tabs>
          <w:tab w:val="left" w:pos="1980"/>
        </w:tabs>
        <w:snapToGrid w:val="0"/>
        <w:spacing w:line="360" w:lineRule="auto"/>
        <w:ind w:firstLine="470" w:firstLineChars="196"/>
        <w:rPr>
          <w:rFonts w:ascii="宋体" w:hAnsi="宋体"/>
          <w:sz w:val="24"/>
        </w:rPr>
      </w:pPr>
      <w:r>
        <w:rPr>
          <w:rFonts w:hint="eastAsia" w:ascii="宋体" w:hAnsi="宋体"/>
          <w:sz w:val="24"/>
        </w:rPr>
        <w:t>2、提起诉讼：诉讼地点为采购人所在地。</w:t>
      </w:r>
    </w:p>
    <w:p>
      <w:pPr>
        <w:snapToGrid w:val="0"/>
        <w:spacing w:line="360" w:lineRule="auto"/>
        <w:rPr>
          <w:rFonts w:ascii="宋体" w:hAnsi="宋体"/>
          <w:b/>
          <w:sz w:val="28"/>
          <w:szCs w:val="28"/>
        </w:rPr>
      </w:pPr>
      <w:r>
        <w:rPr>
          <w:rFonts w:hint="eastAsia" w:ascii="宋体" w:hAnsi="宋体"/>
          <w:b/>
          <w:sz w:val="28"/>
          <w:szCs w:val="28"/>
        </w:rPr>
        <w:t>五、合同生效</w:t>
      </w:r>
    </w:p>
    <w:p>
      <w:pPr>
        <w:snapToGrid w:val="0"/>
        <w:spacing w:line="360" w:lineRule="auto"/>
        <w:ind w:left="555"/>
        <w:rPr>
          <w:rFonts w:ascii="宋体" w:hAnsi="宋体"/>
          <w:sz w:val="24"/>
        </w:rPr>
      </w:pPr>
      <w:r>
        <w:rPr>
          <w:rFonts w:hint="eastAsia" w:ascii="宋体" w:hAnsi="宋体"/>
          <w:sz w:val="24"/>
        </w:rPr>
        <w:t>本合同由甲乙双方签字盖章后生效。</w:t>
      </w:r>
    </w:p>
    <w:p>
      <w:pPr>
        <w:snapToGrid w:val="0"/>
        <w:spacing w:line="360" w:lineRule="auto"/>
        <w:rPr>
          <w:rFonts w:ascii="宋体" w:hAnsi="宋体"/>
          <w:b/>
          <w:sz w:val="28"/>
          <w:szCs w:val="28"/>
        </w:rPr>
      </w:pPr>
      <w:r>
        <w:rPr>
          <w:rFonts w:hint="eastAsia" w:ascii="宋体" w:hAnsi="宋体"/>
          <w:b/>
          <w:sz w:val="28"/>
          <w:szCs w:val="28"/>
        </w:rPr>
        <w:t>六、合同鉴证</w:t>
      </w:r>
    </w:p>
    <w:p>
      <w:pPr>
        <w:snapToGrid w:val="0"/>
        <w:spacing w:line="360" w:lineRule="auto"/>
        <w:ind w:firstLine="480" w:firstLineChars="200"/>
        <w:rPr>
          <w:rFonts w:ascii="宋体" w:hAnsi="宋体"/>
          <w:b/>
          <w:sz w:val="24"/>
        </w:rPr>
      </w:pPr>
      <w:r>
        <w:rPr>
          <w:rFonts w:hint="eastAsia" w:ascii="宋体" w:hAnsi="宋体"/>
          <w:sz w:val="24"/>
        </w:rPr>
        <w:t>招标代理机构应当在本合同上签章，以证明本合同条款与磋商文件、响应文件的相关要求相符并且未对采购货物和技术参数进行实质性修改。</w:t>
      </w:r>
    </w:p>
    <w:p>
      <w:pPr>
        <w:snapToGrid w:val="0"/>
        <w:spacing w:line="360" w:lineRule="auto"/>
        <w:rPr>
          <w:rFonts w:ascii="宋体" w:hAnsi="宋体"/>
          <w:b/>
          <w:sz w:val="28"/>
          <w:szCs w:val="28"/>
        </w:rPr>
      </w:pPr>
      <w:r>
        <w:rPr>
          <w:rFonts w:hint="eastAsia" w:ascii="宋体" w:hAnsi="宋体"/>
          <w:b/>
          <w:sz w:val="28"/>
          <w:szCs w:val="28"/>
        </w:rPr>
        <w:t>七、组成本合同的文件包括</w:t>
      </w:r>
    </w:p>
    <w:p>
      <w:pPr>
        <w:snapToGrid w:val="0"/>
        <w:spacing w:line="360" w:lineRule="auto"/>
        <w:ind w:left="555"/>
        <w:rPr>
          <w:rFonts w:ascii="宋体" w:hAnsi="宋体"/>
          <w:sz w:val="24"/>
        </w:rPr>
      </w:pPr>
      <w:r>
        <w:rPr>
          <w:rFonts w:hint="eastAsia" w:ascii="宋体" w:hAnsi="宋体"/>
          <w:sz w:val="24"/>
        </w:rPr>
        <w:t>1.合同通用条款和专用条款；</w:t>
      </w:r>
    </w:p>
    <w:p>
      <w:pPr>
        <w:snapToGrid w:val="0"/>
        <w:spacing w:line="360" w:lineRule="auto"/>
        <w:ind w:left="555"/>
        <w:rPr>
          <w:rFonts w:ascii="宋体" w:hAnsi="宋体"/>
          <w:sz w:val="24"/>
        </w:rPr>
      </w:pPr>
      <w:r>
        <w:rPr>
          <w:rFonts w:hint="eastAsia" w:ascii="宋体" w:hAnsi="宋体"/>
          <w:sz w:val="24"/>
        </w:rPr>
        <w:t>2.磋商文件及乙方的响应文件及磋商时的承诺文件；</w:t>
      </w:r>
    </w:p>
    <w:p>
      <w:pPr>
        <w:snapToGrid w:val="0"/>
        <w:spacing w:line="360" w:lineRule="auto"/>
        <w:ind w:left="555"/>
        <w:rPr>
          <w:rFonts w:ascii="宋体" w:hAnsi="宋体"/>
          <w:sz w:val="24"/>
        </w:rPr>
      </w:pPr>
      <w:r>
        <w:rPr>
          <w:rFonts w:hint="eastAsia" w:ascii="宋体" w:hAnsi="宋体"/>
          <w:sz w:val="24"/>
        </w:rPr>
        <w:t>3.成交通知书；</w:t>
      </w:r>
    </w:p>
    <w:p>
      <w:pPr>
        <w:snapToGrid w:val="0"/>
        <w:spacing w:line="360" w:lineRule="auto"/>
        <w:ind w:left="555"/>
        <w:rPr>
          <w:rFonts w:ascii="宋体" w:hAnsi="宋体"/>
          <w:sz w:val="24"/>
        </w:rPr>
      </w:pPr>
      <w:r>
        <w:rPr>
          <w:rFonts w:hint="eastAsia" w:ascii="宋体" w:hAnsi="宋体"/>
          <w:sz w:val="24"/>
        </w:rPr>
        <w:t>4.甲乙双方商定的其他必要文件。</w:t>
      </w:r>
    </w:p>
    <w:p>
      <w:pPr>
        <w:snapToGrid w:val="0"/>
        <w:spacing w:line="360" w:lineRule="auto"/>
        <w:ind w:firstLine="480" w:firstLineChars="200"/>
        <w:rPr>
          <w:rFonts w:ascii="宋体" w:hAnsi="宋体"/>
          <w:bCs/>
          <w:sz w:val="24"/>
        </w:rPr>
      </w:pPr>
      <w:r>
        <w:rPr>
          <w:rFonts w:hint="eastAsia" w:ascii="宋体" w:hAnsi="宋体"/>
          <w:bCs/>
          <w:sz w:val="24"/>
        </w:rPr>
        <w:t>上述合同文件内容互为补充，如有不明确，由甲方负责解释。</w:t>
      </w:r>
    </w:p>
    <w:p>
      <w:pPr>
        <w:snapToGrid w:val="0"/>
        <w:spacing w:line="360" w:lineRule="auto"/>
        <w:rPr>
          <w:rFonts w:ascii="宋体" w:hAnsi="宋体"/>
          <w:b/>
          <w:sz w:val="28"/>
          <w:szCs w:val="28"/>
        </w:rPr>
      </w:pPr>
      <w:r>
        <w:rPr>
          <w:rFonts w:hint="eastAsia" w:ascii="宋体" w:hAnsi="宋体"/>
          <w:b/>
          <w:sz w:val="28"/>
          <w:szCs w:val="28"/>
        </w:rPr>
        <w:t>八、合同备案</w:t>
      </w:r>
    </w:p>
    <w:p>
      <w:pPr>
        <w:snapToGrid w:val="0"/>
        <w:spacing w:line="360" w:lineRule="auto"/>
        <w:ind w:firstLine="480" w:firstLineChars="200"/>
        <w:rPr>
          <w:rFonts w:ascii="宋体" w:hAnsi="宋体"/>
          <w:bCs/>
          <w:sz w:val="24"/>
        </w:rPr>
      </w:pPr>
      <w:r>
        <w:rPr>
          <w:rFonts w:hint="eastAsia" w:ascii="宋体" w:hAnsi="宋体"/>
          <w:bCs/>
          <w:sz w:val="24"/>
        </w:rPr>
        <w:t>本合同一式四份，中文书写。甲方、乙方、招标代理机构各执一份，另外一份由招标代理机构报政府采购主管部门备案。</w:t>
      </w:r>
    </w:p>
    <w:p>
      <w:pPr>
        <w:snapToGrid w:val="0"/>
        <w:spacing w:before="19" w:line="500" w:lineRule="exact"/>
        <w:ind w:firstLine="480" w:firstLineChars="200"/>
        <w:rPr>
          <w:rFonts w:ascii="宋体" w:hAnsi="宋体"/>
          <w:bCs/>
          <w:sz w:val="24"/>
        </w:rPr>
      </w:pPr>
    </w:p>
    <w:p>
      <w:pPr>
        <w:snapToGrid w:val="0"/>
        <w:spacing w:before="19" w:line="500" w:lineRule="exact"/>
        <w:rPr>
          <w:rFonts w:ascii="宋体" w:hAnsi="宋体"/>
          <w:sz w:val="24"/>
        </w:rPr>
      </w:pPr>
      <w:r>
        <w:rPr>
          <w:rFonts w:hint="eastAsia" w:ascii="宋体" w:hAnsi="宋体"/>
          <w:b/>
          <w:sz w:val="24"/>
        </w:rPr>
        <w:t>甲方：</w:t>
      </w:r>
      <w:r>
        <w:rPr>
          <w:rFonts w:hint="eastAsia" w:ascii="宋体" w:hAnsi="宋体"/>
          <w:b/>
          <w:sz w:val="24"/>
          <w:u w:val="single"/>
        </w:rPr>
        <w:t xml:space="preserve">                   （盖章）</w:t>
      </w:r>
      <w:r>
        <w:rPr>
          <w:rFonts w:hint="eastAsia" w:ascii="宋体" w:hAnsi="宋体"/>
          <w:b/>
          <w:sz w:val="24"/>
        </w:rPr>
        <w:t xml:space="preserve">     乙方：</w:t>
      </w:r>
      <w:r>
        <w:rPr>
          <w:rFonts w:hint="eastAsia" w:ascii="宋体" w:hAnsi="宋体"/>
          <w:b/>
          <w:sz w:val="24"/>
          <w:u w:val="single"/>
        </w:rPr>
        <w:t xml:space="preserve">                  （盖章）</w:t>
      </w:r>
    </w:p>
    <w:p>
      <w:pPr>
        <w:snapToGrid w:val="0"/>
        <w:spacing w:before="19" w:line="500" w:lineRule="exact"/>
        <w:rPr>
          <w:rFonts w:ascii="宋体" w:hAnsi="宋体"/>
          <w:b/>
          <w:sz w:val="24"/>
          <w:u w:val="single"/>
        </w:rPr>
      </w:pPr>
    </w:p>
    <w:p>
      <w:pPr>
        <w:snapToGrid w:val="0"/>
        <w:spacing w:before="19" w:line="500" w:lineRule="exact"/>
        <w:rPr>
          <w:rFonts w:ascii="宋体" w:hAnsi="宋体"/>
          <w:sz w:val="24"/>
          <w:u w:val="single"/>
        </w:rPr>
      </w:pPr>
      <w:r>
        <w:rPr>
          <w:rFonts w:hint="eastAsia" w:ascii="宋体" w:hAnsi="宋体"/>
          <w:sz w:val="24"/>
        </w:rPr>
        <w:t>地址：      地址：</w:t>
      </w:r>
    </w:p>
    <w:p>
      <w:pPr>
        <w:snapToGrid w:val="0"/>
        <w:spacing w:before="19" w:line="500" w:lineRule="exact"/>
        <w:rPr>
          <w:rFonts w:ascii="宋体" w:hAnsi="宋体"/>
          <w:sz w:val="24"/>
        </w:rPr>
      </w:pPr>
      <w:r>
        <w:rPr>
          <w:rFonts w:hint="eastAsia" w:ascii="宋体" w:hAnsi="宋体"/>
          <w:sz w:val="24"/>
        </w:rPr>
        <w:t>法定（或授权）代表人：     法定（或授权）代表人：</w:t>
      </w:r>
    </w:p>
    <w:p>
      <w:pPr>
        <w:snapToGrid w:val="0"/>
        <w:spacing w:before="19" w:line="500" w:lineRule="exact"/>
        <w:rPr>
          <w:rFonts w:ascii="宋体" w:hAnsi="宋体"/>
          <w:sz w:val="24"/>
        </w:rPr>
      </w:pPr>
      <w:r>
        <w:rPr>
          <w:rFonts w:hint="eastAsia" w:ascii="宋体" w:hAnsi="宋体"/>
          <w:sz w:val="24"/>
        </w:rPr>
        <w:t>年月日                   年月日</w:t>
      </w:r>
    </w:p>
    <w:p>
      <w:pPr>
        <w:snapToGrid w:val="0"/>
        <w:spacing w:before="19" w:line="500" w:lineRule="exact"/>
        <w:rPr>
          <w:rFonts w:ascii="宋体" w:hAnsi="宋体"/>
          <w:b/>
          <w:sz w:val="24"/>
        </w:rPr>
      </w:pPr>
    </w:p>
    <w:p>
      <w:pPr>
        <w:snapToGrid w:val="0"/>
        <w:spacing w:before="19" w:line="500" w:lineRule="exact"/>
        <w:ind w:firstLine="551" w:firstLineChars="196"/>
        <w:rPr>
          <w:rFonts w:ascii="宋体" w:hAnsi="宋体"/>
          <w:b/>
          <w:sz w:val="28"/>
        </w:rPr>
      </w:pPr>
      <w:r>
        <w:rPr>
          <w:rFonts w:hint="eastAsia" w:ascii="宋体" w:hAnsi="宋体"/>
          <w:b/>
          <w:sz w:val="28"/>
        </w:rPr>
        <w:t>招标代理机构声明：本合同标的经四川恒鑫工程管理咨询有限公司依法定程序采购，合同主要条款内容与招响应文件的内容一致。</w:t>
      </w:r>
    </w:p>
    <w:p>
      <w:pPr>
        <w:snapToGrid w:val="0"/>
        <w:spacing w:before="19" w:line="500" w:lineRule="exact"/>
        <w:rPr>
          <w:rFonts w:ascii="宋体" w:hAnsi="宋体"/>
          <w:b/>
          <w:sz w:val="28"/>
          <w:u w:val="single"/>
        </w:rPr>
      </w:pPr>
      <w:r>
        <w:rPr>
          <w:rFonts w:hint="eastAsia" w:ascii="宋体" w:hAnsi="宋体"/>
          <w:b/>
          <w:sz w:val="28"/>
        </w:rPr>
        <w:t>招标代理机构：</w:t>
      </w:r>
      <w:r>
        <w:rPr>
          <w:rFonts w:hint="eastAsia" w:ascii="宋体" w:hAnsi="宋体"/>
          <w:b/>
          <w:sz w:val="28"/>
          <w:u w:val="single"/>
        </w:rPr>
        <w:t>四川恒鑫工程管理咨询有限公司（盖章）</w:t>
      </w:r>
    </w:p>
    <w:p>
      <w:pPr>
        <w:snapToGrid w:val="0"/>
        <w:spacing w:before="19" w:line="500" w:lineRule="exact"/>
        <w:rPr>
          <w:rFonts w:ascii="宋体" w:hAnsi="宋体"/>
          <w:sz w:val="28"/>
          <w:u w:val="single"/>
        </w:rPr>
      </w:pPr>
      <w:r>
        <w:rPr>
          <w:rFonts w:hint="eastAsia" w:ascii="宋体" w:hAnsi="宋体"/>
          <w:sz w:val="28"/>
        </w:rPr>
        <w:t>经办人：</w:t>
      </w:r>
    </w:p>
    <w:p>
      <w:pPr>
        <w:snapToGrid w:val="0"/>
        <w:spacing w:before="19" w:line="500" w:lineRule="exact"/>
        <w:rPr>
          <w:rFonts w:ascii="宋体" w:hAnsi="宋体"/>
          <w:sz w:val="28"/>
        </w:rPr>
      </w:pPr>
    </w:p>
    <w:p>
      <w:pPr>
        <w:ind w:firstLine="420" w:firstLineChars="150"/>
        <w:rPr>
          <w:rFonts w:ascii="宋体" w:hAnsi="宋体"/>
          <w:sz w:val="28"/>
        </w:rPr>
      </w:pPr>
      <w:r>
        <w:rPr>
          <w:rFonts w:hint="eastAsia" w:ascii="宋体" w:hAnsi="宋体"/>
          <w:sz w:val="28"/>
        </w:rPr>
        <w:t>年  月  日</w:t>
      </w:r>
    </w:p>
    <w:p>
      <w:pPr>
        <w:spacing w:line="360" w:lineRule="auto"/>
        <w:jc w:val="center"/>
        <w:rPr>
          <w:rFonts w:ascii="宋体" w:hAnsi="宋体"/>
          <w:b/>
          <w:sz w:val="44"/>
          <w:szCs w:val="44"/>
        </w:rPr>
        <w:sectPr>
          <w:footerReference r:id="rId11" w:type="default"/>
          <w:headerReference r:id="rId10" w:type="even"/>
          <w:footerReference r:id="rId12" w:type="even"/>
          <w:footnotePr>
            <w:pos w:val="beneathText"/>
          </w:footnotePr>
          <w:pgSz w:w="11906" w:h="16838"/>
          <w:pgMar w:top="1440" w:right="1559" w:bottom="1440" w:left="1797" w:header="851" w:footer="992" w:gutter="0"/>
          <w:cols w:space="720" w:num="1"/>
          <w:docGrid w:linePitch="312" w:charSpace="0"/>
        </w:sectPr>
      </w:pPr>
    </w:p>
    <w:p>
      <w:pPr>
        <w:spacing w:line="360" w:lineRule="auto"/>
        <w:jc w:val="center"/>
        <w:rPr>
          <w:rFonts w:ascii="宋体" w:hAnsi="宋体"/>
          <w:b/>
          <w:color w:val="000000"/>
          <w:sz w:val="44"/>
          <w:szCs w:val="44"/>
        </w:rPr>
      </w:pPr>
      <w:bookmarkStart w:id="5" w:name="_Toc452457442"/>
      <w:r>
        <w:rPr>
          <w:rFonts w:hint="eastAsia" w:ascii="宋体" w:hAnsi="宋体"/>
          <w:b/>
          <w:color w:val="000000"/>
          <w:sz w:val="44"/>
          <w:szCs w:val="44"/>
        </w:rPr>
        <w:t>第五章  报价文件内容和格式</w:t>
      </w:r>
    </w:p>
    <w:p>
      <w:pPr>
        <w:spacing w:line="360" w:lineRule="auto"/>
        <w:jc w:val="center"/>
        <w:rPr>
          <w:rFonts w:ascii="宋体" w:hAnsi="宋体"/>
          <w:b/>
          <w:color w:val="000000"/>
          <w:sz w:val="44"/>
          <w:szCs w:val="44"/>
          <w:u w:val="single"/>
        </w:rPr>
      </w:pPr>
    </w:p>
    <w:p>
      <w:pPr>
        <w:spacing w:line="360" w:lineRule="auto"/>
        <w:jc w:val="center"/>
        <w:rPr>
          <w:rFonts w:ascii="宋体" w:hAnsi="宋体"/>
          <w:b/>
          <w:color w:val="000000"/>
          <w:sz w:val="44"/>
          <w:szCs w:val="44"/>
          <w:u w:val="single"/>
        </w:rPr>
      </w:pPr>
    </w:p>
    <w:p>
      <w:pPr>
        <w:spacing w:line="360" w:lineRule="auto"/>
        <w:jc w:val="center"/>
        <w:rPr>
          <w:rFonts w:ascii="宋体" w:hAnsi="宋体"/>
          <w:b/>
          <w:color w:val="000000"/>
          <w:sz w:val="44"/>
          <w:szCs w:val="44"/>
          <w:u w:val="single"/>
        </w:rPr>
      </w:pPr>
      <w:r>
        <w:rPr>
          <w:rFonts w:hint="eastAsia" w:ascii="宋体" w:hAnsi="宋体"/>
          <w:b/>
          <w:color w:val="000000"/>
          <w:sz w:val="44"/>
          <w:szCs w:val="44"/>
          <w:u w:val="single"/>
        </w:rPr>
        <w:t xml:space="preserve">                  （项目名称）</w:t>
      </w: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jc w:val="center"/>
        <w:rPr>
          <w:rFonts w:ascii="黑体" w:hAnsi="黑体" w:eastAsia="黑体"/>
          <w:b/>
          <w:color w:val="000000"/>
          <w:sz w:val="120"/>
          <w:szCs w:val="120"/>
        </w:rPr>
      </w:pPr>
      <w:r>
        <w:rPr>
          <w:rFonts w:hint="eastAsia" w:ascii="黑体" w:hAnsi="黑体" w:eastAsia="黑体"/>
          <w:b/>
          <w:color w:val="000000"/>
          <w:sz w:val="120"/>
          <w:szCs w:val="120"/>
        </w:rPr>
        <w:t>报价文件</w:t>
      </w: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ind w:firstLine="1343" w:firstLineChars="446"/>
        <w:rPr>
          <w:rFonts w:ascii="宋体" w:hAnsi="宋体"/>
          <w:b/>
          <w:color w:val="000000"/>
          <w:sz w:val="30"/>
          <w:szCs w:val="30"/>
        </w:rPr>
      </w:pPr>
      <w:r>
        <w:rPr>
          <w:rFonts w:hint="eastAsia" w:ascii="宋体" w:hAnsi="宋体"/>
          <w:b/>
          <w:color w:val="000000"/>
          <w:sz w:val="30"/>
          <w:szCs w:val="30"/>
        </w:rPr>
        <w:t>投标人：</w:t>
      </w:r>
      <w:r>
        <w:rPr>
          <w:rFonts w:hint="eastAsia" w:ascii="宋体" w:hAnsi="宋体"/>
          <w:b/>
          <w:color w:val="000000"/>
          <w:sz w:val="30"/>
          <w:szCs w:val="30"/>
          <w:u w:val="single"/>
        </w:rPr>
        <w:t xml:space="preserve">                        </w:t>
      </w:r>
      <w:r>
        <w:rPr>
          <w:rFonts w:hint="eastAsia" w:ascii="宋体" w:hAnsi="宋体"/>
          <w:b/>
          <w:color w:val="000000"/>
          <w:sz w:val="30"/>
          <w:szCs w:val="30"/>
        </w:rPr>
        <w:t>(单位盖章)</w:t>
      </w:r>
    </w:p>
    <w:p>
      <w:pPr>
        <w:spacing w:line="360" w:lineRule="auto"/>
        <w:ind w:firstLine="1343" w:firstLineChars="446"/>
        <w:rPr>
          <w:rFonts w:ascii="宋体" w:hAnsi="宋体"/>
          <w:b/>
          <w:color w:val="000000"/>
          <w:sz w:val="30"/>
          <w:szCs w:val="30"/>
        </w:rPr>
      </w:pPr>
      <w:r>
        <w:rPr>
          <w:rFonts w:hint="eastAsia" w:ascii="宋体" w:hAnsi="宋体"/>
          <w:b/>
          <w:color w:val="000000"/>
          <w:sz w:val="30"/>
          <w:szCs w:val="30"/>
        </w:rPr>
        <w:t>法定代表人或其授权代表：</w:t>
      </w:r>
      <w:r>
        <w:rPr>
          <w:rFonts w:hint="eastAsia" w:ascii="宋体" w:hAnsi="宋体"/>
          <w:b/>
          <w:color w:val="000000"/>
          <w:sz w:val="30"/>
          <w:szCs w:val="30"/>
          <w:u w:val="single"/>
        </w:rPr>
        <w:t xml:space="preserve">             </w:t>
      </w:r>
      <w:r>
        <w:rPr>
          <w:rFonts w:hint="eastAsia" w:ascii="宋体" w:hAnsi="宋体"/>
          <w:b/>
          <w:color w:val="000000"/>
          <w:sz w:val="30"/>
          <w:szCs w:val="30"/>
        </w:rPr>
        <w:t>(签字)</w:t>
      </w:r>
    </w:p>
    <w:p>
      <w:pPr>
        <w:spacing w:line="360" w:lineRule="auto"/>
        <w:jc w:val="center"/>
        <w:rPr>
          <w:rFonts w:ascii="宋体" w:hAnsi="宋体"/>
          <w:b/>
          <w:color w:val="000000"/>
          <w:sz w:val="30"/>
          <w:szCs w:val="30"/>
        </w:rPr>
      </w:pPr>
      <w:r>
        <w:rPr>
          <w:rFonts w:hint="eastAsia" w:ascii="宋体" w:hAnsi="宋体"/>
          <w:b/>
          <w:color w:val="000000"/>
          <w:sz w:val="30"/>
          <w:szCs w:val="30"/>
        </w:rPr>
        <w:t>年    月   日</w:t>
      </w:r>
    </w:p>
    <w:p>
      <w:pPr>
        <w:spacing w:line="360" w:lineRule="auto"/>
        <w:rPr>
          <w:rFonts w:ascii="宋体" w:hAnsi="宋体"/>
          <w:b/>
          <w:color w:val="000000"/>
          <w:sz w:val="44"/>
          <w:szCs w:val="44"/>
        </w:rPr>
      </w:pPr>
    </w:p>
    <w:p>
      <w:pPr>
        <w:spacing w:line="500" w:lineRule="exact"/>
        <w:ind w:firstLine="420" w:firstLineChars="200"/>
        <w:rPr>
          <w:color w:val="000000"/>
          <w:szCs w:val="21"/>
        </w:rPr>
      </w:pPr>
      <w:bookmarkStart w:id="6" w:name="_Toc171325098"/>
      <w:r>
        <w:rPr>
          <w:rFonts w:hAnsi="宋体"/>
          <w:color w:val="000000"/>
          <w:szCs w:val="21"/>
        </w:rPr>
        <w:t>请投标人按照以下文件要求的格式、内容制作报价文件，并按以下顺序编制目录及页码，否则可能将影响对报价文件的评价。</w:t>
      </w:r>
    </w:p>
    <w:p>
      <w:pPr>
        <w:spacing w:line="500" w:lineRule="exact"/>
        <w:ind w:firstLine="420" w:firstLineChars="200"/>
        <w:rPr>
          <w:color w:val="000000"/>
          <w:szCs w:val="21"/>
        </w:rPr>
      </w:pPr>
      <w:r>
        <w:rPr>
          <w:color w:val="000000"/>
          <w:szCs w:val="21"/>
        </w:rPr>
        <w:t>1</w:t>
      </w:r>
      <w:r>
        <w:rPr>
          <w:rFonts w:hAnsi="宋体"/>
          <w:color w:val="000000"/>
          <w:szCs w:val="21"/>
        </w:rPr>
        <w:t>、报价函（表</w:t>
      </w:r>
      <w:r>
        <w:rPr>
          <w:color w:val="000000"/>
          <w:szCs w:val="21"/>
        </w:rPr>
        <w:t>1</w:t>
      </w:r>
      <w:r>
        <w:rPr>
          <w:rFonts w:hAnsi="宋体"/>
          <w:color w:val="000000"/>
          <w:szCs w:val="21"/>
        </w:rPr>
        <w:t>）</w:t>
      </w:r>
    </w:p>
    <w:p>
      <w:pPr>
        <w:spacing w:line="500" w:lineRule="exact"/>
        <w:ind w:firstLine="420" w:firstLineChars="200"/>
        <w:rPr>
          <w:rFonts w:hAnsi="宋体"/>
          <w:color w:val="000000"/>
          <w:szCs w:val="21"/>
        </w:rPr>
      </w:pPr>
      <w:r>
        <w:rPr>
          <w:color w:val="000000"/>
          <w:szCs w:val="21"/>
        </w:rPr>
        <w:t>2</w:t>
      </w:r>
      <w:r>
        <w:rPr>
          <w:rFonts w:hAnsi="宋体"/>
          <w:color w:val="000000"/>
          <w:szCs w:val="21"/>
        </w:rPr>
        <w:t>、报价一览表（表</w:t>
      </w:r>
      <w:r>
        <w:rPr>
          <w:color w:val="000000"/>
          <w:szCs w:val="21"/>
        </w:rPr>
        <w:t>2</w:t>
      </w:r>
      <w:r>
        <w:rPr>
          <w:rFonts w:hAnsi="宋体"/>
          <w:color w:val="000000"/>
          <w:szCs w:val="21"/>
        </w:rPr>
        <w:t>）</w:t>
      </w:r>
    </w:p>
    <w:p>
      <w:pPr>
        <w:spacing w:line="500" w:lineRule="exact"/>
        <w:ind w:firstLine="420" w:firstLineChars="200"/>
        <w:rPr>
          <w:color w:val="000000"/>
          <w:szCs w:val="21"/>
        </w:rPr>
      </w:pPr>
      <w:r>
        <w:rPr>
          <w:rFonts w:hint="eastAsia" w:hAnsi="宋体"/>
          <w:color w:val="000000"/>
          <w:szCs w:val="21"/>
        </w:rPr>
        <w:t>3、技术及资质要求响应表（表3）</w:t>
      </w:r>
    </w:p>
    <w:p>
      <w:pPr>
        <w:spacing w:line="500" w:lineRule="exact"/>
        <w:ind w:firstLine="420" w:firstLineChars="200"/>
        <w:rPr>
          <w:color w:val="000000"/>
          <w:szCs w:val="21"/>
        </w:rPr>
      </w:pPr>
      <w:r>
        <w:rPr>
          <w:rFonts w:hint="eastAsia"/>
          <w:color w:val="000000"/>
          <w:szCs w:val="21"/>
        </w:rPr>
        <w:t>4</w:t>
      </w:r>
      <w:r>
        <w:rPr>
          <w:rFonts w:hAnsi="宋体"/>
          <w:color w:val="000000"/>
          <w:szCs w:val="21"/>
        </w:rPr>
        <w:t>、投标人简介</w:t>
      </w:r>
    </w:p>
    <w:p>
      <w:pPr>
        <w:spacing w:line="500" w:lineRule="exact"/>
        <w:ind w:firstLine="420" w:firstLineChars="200"/>
        <w:rPr>
          <w:color w:val="000000"/>
          <w:szCs w:val="21"/>
        </w:rPr>
      </w:pPr>
      <w:r>
        <w:rPr>
          <w:rFonts w:hint="eastAsia"/>
          <w:color w:val="000000"/>
          <w:szCs w:val="21"/>
        </w:rPr>
        <w:t>5</w:t>
      </w:r>
      <w:r>
        <w:rPr>
          <w:rFonts w:hAnsi="宋体"/>
          <w:color w:val="000000"/>
          <w:szCs w:val="21"/>
        </w:rPr>
        <w:t>、</w:t>
      </w:r>
      <w:r>
        <w:rPr>
          <w:rFonts w:hint="eastAsia" w:hAnsi="宋体"/>
          <w:color w:val="000000"/>
          <w:szCs w:val="21"/>
        </w:rPr>
        <w:t>营业执照副本、组织机构代码证、税务登记证（或新版合法的“三证合一、一照一码”营业执照副本）和有关资格证书复印件</w:t>
      </w:r>
    </w:p>
    <w:p>
      <w:pPr>
        <w:spacing w:line="500" w:lineRule="exact"/>
        <w:ind w:firstLine="420" w:firstLineChars="200"/>
        <w:rPr>
          <w:color w:val="000000"/>
          <w:szCs w:val="21"/>
        </w:rPr>
      </w:pPr>
      <w:r>
        <w:rPr>
          <w:rFonts w:hint="eastAsia"/>
          <w:color w:val="000000"/>
          <w:szCs w:val="21"/>
        </w:rPr>
        <w:t>6</w:t>
      </w:r>
      <w:r>
        <w:rPr>
          <w:rFonts w:hAnsi="宋体"/>
          <w:color w:val="000000"/>
          <w:szCs w:val="21"/>
        </w:rPr>
        <w:t>、授权委托书（表</w:t>
      </w:r>
      <w:r>
        <w:rPr>
          <w:rFonts w:hint="eastAsia"/>
          <w:color w:val="000000"/>
          <w:szCs w:val="21"/>
        </w:rPr>
        <w:t>4</w:t>
      </w:r>
      <w:r>
        <w:rPr>
          <w:rFonts w:hAnsi="宋体"/>
          <w:color w:val="000000"/>
          <w:szCs w:val="21"/>
        </w:rPr>
        <w:t>，报价文件正本原件，副本复印件）</w:t>
      </w:r>
    </w:p>
    <w:p>
      <w:pPr>
        <w:spacing w:line="500" w:lineRule="exact"/>
        <w:ind w:firstLine="420" w:firstLineChars="200"/>
        <w:rPr>
          <w:color w:val="000000"/>
          <w:szCs w:val="21"/>
        </w:rPr>
      </w:pPr>
      <w:r>
        <w:rPr>
          <w:rFonts w:hint="eastAsia"/>
          <w:color w:val="000000"/>
          <w:szCs w:val="21"/>
        </w:rPr>
        <w:t>7</w:t>
      </w:r>
      <w:r>
        <w:rPr>
          <w:rFonts w:hAnsi="宋体"/>
          <w:color w:val="000000"/>
          <w:szCs w:val="21"/>
        </w:rPr>
        <w:t>、法人代表、授权代表身份证复印件</w:t>
      </w:r>
    </w:p>
    <w:p>
      <w:pPr>
        <w:spacing w:line="500" w:lineRule="exact"/>
        <w:ind w:firstLine="420" w:firstLineChars="200"/>
        <w:rPr>
          <w:color w:val="000000"/>
          <w:szCs w:val="21"/>
        </w:rPr>
      </w:pPr>
      <w:r>
        <w:rPr>
          <w:rFonts w:hint="eastAsia"/>
          <w:color w:val="000000"/>
          <w:szCs w:val="21"/>
        </w:rPr>
        <w:t>8、2016年任意1个月企业纳税证明或财务报表复印件</w:t>
      </w:r>
    </w:p>
    <w:p>
      <w:pPr>
        <w:spacing w:line="500" w:lineRule="exact"/>
        <w:ind w:firstLine="420" w:firstLineChars="200"/>
        <w:rPr>
          <w:color w:val="000000"/>
          <w:szCs w:val="21"/>
        </w:rPr>
      </w:pPr>
      <w:r>
        <w:rPr>
          <w:rFonts w:hint="eastAsia"/>
          <w:color w:val="000000"/>
          <w:szCs w:val="21"/>
        </w:rPr>
        <w:t>9、2016年任意1个月的社会保障缴费记录复印件</w:t>
      </w:r>
    </w:p>
    <w:p>
      <w:pPr>
        <w:spacing w:line="500" w:lineRule="exact"/>
        <w:ind w:firstLine="420" w:firstLineChars="200"/>
        <w:rPr>
          <w:color w:val="000000"/>
          <w:szCs w:val="21"/>
        </w:rPr>
      </w:pPr>
      <w:r>
        <w:rPr>
          <w:rFonts w:hint="eastAsia"/>
          <w:color w:val="000000"/>
          <w:szCs w:val="21"/>
        </w:rPr>
        <w:t>10、投标保证金证明材料（银行转账凭证）</w:t>
      </w:r>
    </w:p>
    <w:p>
      <w:pPr>
        <w:spacing w:line="500" w:lineRule="exact"/>
        <w:ind w:firstLine="420" w:firstLineChars="200"/>
        <w:rPr>
          <w:color w:val="000000"/>
          <w:szCs w:val="21"/>
        </w:rPr>
      </w:pPr>
      <w:r>
        <w:rPr>
          <w:rFonts w:hint="eastAsia"/>
          <w:color w:val="000000"/>
          <w:szCs w:val="21"/>
        </w:rPr>
        <w:t>11、制造厂商授权书与售后服务承诺函（表5</w:t>
      </w:r>
      <w:r>
        <w:rPr>
          <w:rFonts w:hAnsi="宋体"/>
          <w:color w:val="000000"/>
          <w:szCs w:val="21"/>
        </w:rPr>
        <w:t>，报价文件正本原件，副本复印件</w:t>
      </w:r>
      <w:r>
        <w:rPr>
          <w:rFonts w:hint="eastAsia"/>
          <w:color w:val="000000"/>
          <w:szCs w:val="21"/>
        </w:rPr>
        <w:t>）</w:t>
      </w:r>
    </w:p>
    <w:p>
      <w:pPr>
        <w:spacing w:line="500" w:lineRule="exact"/>
        <w:ind w:firstLine="420" w:firstLineChars="200"/>
        <w:rPr>
          <w:color w:val="000000"/>
          <w:szCs w:val="21"/>
        </w:rPr>
      </w:pPr>
      <w:r>
        <w:rPr>
          <w:rFonts w:hint="eastAsia"/>
          <w:color w:val="000000"/>
          <w:szCs w:val="21"/>
        </w:rPr>
        <w:t>12、声明书（表6）</w:t>
      </w:r>
    </w:p>
    <w:p>
      <w:pPr>
        <w:spacing w:line="500" w:lineRule="exact"/>
        <w:ind w:firstLine="420" w:firstLineChars="200"/>
        <w:rPr>
          <w:color w:val="000000"/>
          <w:szCs w:val="21"/>
        </w:rPr>
      </w:pPr>
      <w:r>
        <w:rPr>
          <w:rFonts w:hint="eastAsia"/>
          <w:color w:val="000000"/>
          <w:szCs w:val="21"/>
        </w:rPr>
        <w:t>13、技术部分（包括主要产品技术资料、技术方案、实施方案、服务承诺等）</w:t>
      </w:r>
    </w:p>
    <w:p>
      <w:pPr>
        <w:spacing w:line="500" w:lineRule="exact"/>
        <w:ind w:firstLine="420" w:firstLineChars="200"/>
        <w:rPr>
          <w:color w:val="000000"/>
          <w:szCs w:val="21"/>
        </w:rPr>
      </w:pPr>
      <w:r>
        <w:rPr>
          <w:rFonts w:hint="eastAsia"/>
          <w:color w:val="000000"/>
          <w:szCs w:val="21"/>
        </w:rPr>
        <w:t>14、投标人认为需要的其它证明材料</w:t>
      </w:r>
    </w:p>
    <w:p>
      <w:pPr>
        <w:spacing w:line="500" w:lineRule="exact"/>
        <w:ind w:firstLine="420" w:firstLineChars="200"/>
        <w:jc w:val="center"/>
        <w:rPr>
          <w:color w:val="000000"/>
          <w:szCs w:val="21"/>
        </w:rPr>
      </w:pPr>
    </w:p>
    <w:p>
      <w:pPr>
        <w:spacing w:line="500" w:lineRule="exact"/>
        <w:ind w:firstLine="480" w:firstLineChars="200"/>
        <w:jc w:val="center"/>
        <w:rPr>
          <w:color w:val="000000"/>
          <w:szCs w:val="21"/>
        </w:rPr>
      </w:pPr>
      <w:r>
        <w:rPr>
          <w:rFonts w:ascii="宋体"/>
          <w:color w:val="000000"/>
          <w:sz w:val="24"/>
        </w:rPr>
        <w:br w:type="page"/>
      </w:r>
      <w:r>
        <w:rPr>
          <w:rFonts w:hint="eastAsia" w:hAnsi="宋体"/>
          <w:b/>
          <w:color w:val="000000"/>
          <w:sz w:val="28"/>
          <w:szCs w:val="28"/>
        </w:rPr>
        <w:t>表1、报价函</w:t>
      </w:r>
      <w:bookmarkEnd w:id="6"/>
    </w:p>
    <w:p>
      <w:pPr>
        <w:rPr>
          <w:color w:val="000000"/>
          <w:szCs w:val="21"/>
        </w:rPr>
      </w:pPr>
    </w:p>
    <w:p>
      <w:pPr>
        <w:rPr>
          <w:color w:val="000000"/>
          <w:szCs w:val="21"/>
        </w:rPr>
      </w:pPr>
    </w:p>
    <w:p>
      <w:pPr>
        <w:spacing w:line="500" w:lineRule="exact"/>
        <w:rPr>
          <w:b/>
          <w:color w:val="000000"/>
          <w:szCs w:val="21"/>
        </w:rPr>
      </w:pPr>
      <w:r>
        <w:rPr>
          <w:rFonts w:hAnsi="宋体"/>
          <w:b/>
          <w:color w:val="000000"/>
          <w:szCs w:val="21"/>
        </w:rPr>
        <w:t>致：四川恒鑫工程管理咨询有限公司</w:t>
      </w:r>
    </w:p>
    <w:p>
      <w:pPr>
        <w:spacing w:line="500" w:lineRule="exact"/>
        <w:ind w:firstLine="420" w:firstLineChars="200"/>
        <w:rPr>
          <w:color w:val="000000"/>
          <w:szCs w:val="21"/>
        </w:rPr>
      </w:pPr>
      <w:r>
        <w:rPr>
          <w:rFonts w:hAnsi="宋体"/>
          <w:color w:val="000000"/>
          <w:szCs w:val="21"/>
        </w:rPr>
        <w:t>根据贵单位</w:t>
      </w:r>
      <w:r>
        <w:rPr>
          <w:rFonts w:hint="eastAsia" w:hAnsi="宋体"/>
          <w:color w:val="000000"/>
          <w:szCs w:val="21"/>
          <w:u w:val="single"/>
        </w:rPr>
        <w:t xml:space="preserve"> 海口市灵山中学采购水泵房设备项目 </w:t>
      </w:r>
      <w:r>
        <w:rPr>
          <w:rFonts w:hAnsi="宋体"/>
          <w:color w:val="000000"/>
          <w:szCs w:val="21"/>
        </w:rPr>
        <w:t>（项目编号为</w:t>
      </w:r>
      <w:r>
        <w:rPr>
          <w:color w:val="000000"/>
          <w:szCs w:val="21"/>
        </w:rPr>
        <w:t>SCHX-HK2016062</w:t>
      </w:r>
      <w:r>
        <w:rPr>
          <w:rFonts w:hAnsi="宋体"/>
          <w:color w:val="000000"/>
          <w:szCs w:val="21"/>
        </w:rPr>
        <w:t>）的</w:t>
      </w:r>
      <w:r>
        <w:rPr>
          <w:rFonts w:hint="eastAsia" w:hAnsi="宋体"/>
          <w:color w:val="000000"/>
          <w:szCs w:val="21"/>
        </w:rPr>
        <w:t>谈判文件</w:t>
      </w:r>
      <w:r>
        <w:rPr>
          <w:rFonts w:hAnsi="宋体"/>
          <w:color w:val="000000"/>
          <w:szCs w:val="21"/>
        </w:rPr>
        <w:t>要求，正式授权下述签字人</w:t>
      </w:r>
      <w:r>
        <w:rPr>
          <w:rFonts w:hint="eastAsia" w:hAnsi="宋体"/>
          <w:color w:val="000000"/>
          <w:szCs w:val="21"/>
          <w:u w:val="single"/>
        </w:rPr>
        <w:t xml:space="preserve">      </w:t>
      </w:r>
      <w:r>
        <w:rPr>
          <w:rFonts w:hAnsi="宋体"/>
          <w:color w:val="000000"/>
          <w:szCs w:val="21"/>
        </w:rPr>
        <w:t>（姓名和职务）代表投标人</w:t>
      </w:r>
      <w:r>
        <w:rPr>
          <w:rFonts w:hint="eastAsia" w:hAnsi="宋体"/>
          <w:color w:val="000000"/>
          <w:szCs w:val="21"/>
          <w:u w:val="single"/>
        </w:rPr>
        <w:t xml:space="preserve">              </w:t>
      </w:r>
      <w:r>
        <w:rPr>
          <w:rFonts w:hAnsi="宋体"/>
          <w:color w:val="000000"/>
          <w:szCs w:val="21"/>
        </w:rPr>
        <w:t>（</w:t>
      </w:r>
      <w:r>
        <w:rPr>
          <w:rFonts w:hint="eastAsia" w:hAnsi="宋体"/>
          <w:color w:val="000000"/>
          <w:szCs w:val="21"/>
        </w:rPr>
        <w:t>投标</w:t>
      </w:r>
      <w:r>
        <w:rPr>
          <w:rFonts w:hAnsi="宋体"/>
          <w:color w:val="000000"/>
          <w:szCs w:val="21"/>
        </w:rPr>
        <w:t>单位名称），提交报价文件。</w:t>
      </w:r>
    </w:p>
    <w:p>
      <w:pPr>
        <w:spacing w:line="500" w:lineRule="exact"/>
        <w:ind w:firstLine="420" w:firstLineChars="200"/>
        <w:rPr>
          <w:color w:val="000000"/>
          <w:szCs w:val="21"/>
        </w:rPr>
      </w:pPr>
      <w:r>
        <w:rPr>
          <w:rFonts w:hAnsi="宋体"/>
          <w:color w:val="000000"/>
          <w:szCs w:val="21"/>
        </w:rPr>
        <w:t>根据此函，我们宣布同意如下：</w:t>
      </w:r>
    </w:p>
    <w:p>
      <w:pPr>
        <w:spacing w:line="500" w:lineRule="exact"/>
        <w:rPr>
          <w:color w:val="000000"/>
          <w:szCs w:val="21"/>
        </w:rPr>
      </w:pPr>
      <w:r>
        <w:rPr>
          <w:color w:val="000000"/>
          <w:szCs w:val="21"/>
        </w:rPr>
        <w:t xml:space="preserve">    1</w:t>
      </w:r>
      <w:r>
        <w:rPr>
          <w:rFonts w:hAnsi="宋体"/>
          <w:color w:val="000000"/>
          <w:szCs w:val="21"/>
        </w:rPr>
        <w:t>、我方接受谈判文件的所有的条款和规定。</w:t>
      </w:r>
    </w:p>
    <w:p>
      <w:pPr>
        <w:spacing w:line="500" w:lineRule="exact"/>
        <w:ind w:firstLine="420" w:firstLineChars="200"/>
        <w:rPr>
          <w:rFonts w:hAnsi="宋体"/>
          <w:color w:val="000000"/>
          <w:szCs w:val="21"/>
        </w:rPr>
      </w:pPr>
      <w:r>
        <w:rPr>
          <w:color w:val="000000"/>
          <w:szCs w:val="21"/>
        </w:rPr>
        <w:t>2</w:t>
      </w:r>
      <w:r>
        <w:rPr>
          <w:rFonts w:hAnsi="宋体"/>
          <w:color w:val="000000"/>
          <w:szCs w:val="21"/>
        </w:rPr>
        <w:t>、我方同意按照谈判文件第</w:t>
      </w:r>
      <w:r>
        <w:rPr>
          <w:rFonts w:hint="eastAsia" w:hAnsi="宋体"/>
          <w:color w:val="000000"/>
          <w:szCs w:val="21"/>
        </w:rPr>
        <w:t>二</w:t>
      </w:r>
      <w:r>
        <w:rPr>
          <w:rFonts w:hAnsi="宋体"/>
          <w:color w:val="000000"/>
          <w:szCs w:val="21"/>
        </w:rPr>
        <w:t>章</w:t>
      </w:r>
      <w:r>
        <w:rPr>
          <w:rFonts w:hint="eastAsia"/>
          <w:color w:val="000000"/>
          <w:szCs w:val="21"/>
        </w:rPr>
        <w:t>“</w:t>
      </w:r>
      <w:r>
        <w:rPr>
          <w:rFonts w:hAnsi="宋体"/>
          <w:color w:val="000000"/>
          <w:szCs w:val="21"/>
        </w:rPr>
        <w:t>投标人须知</w:t>
      </w:r>
      <w:r>
        <w:rPr>
          <w:rFonts w:hint="eastAsia"/>
          <w:color w:val="000000"/>
          <w:szCs w:val="21"/>
        </w:rPr>
        <w:t>”</w:t>
      </w:r>
      <w:r>
        <w:rPr>
          <w:rFonts w:hAnsi="宋体"/>
          <w:color w:val="000000"/>
          <w:szCs w:val="21"/>
        </w:rPr>
        <w:t>的规定，本报价文件的有效期为从报价截止日期起计算的</w:t>
      </w:r>
      <w:r>
        <w:rPr>
          <w:rFonts w:hint="eastAsia" w:hAnsi="宋体"/>
          <w:color w:val="000000"/>
          <w:szCs w:val="21"/>
          <w:u w:val="single"/>
        </w:rPr>
        <w:t xml:space="preserve">      </w:t>
      </w:r>
      <w:r>
        <w:rPr>
          <w:rFonts w:hAnsi="宋体"/>
          <w:color w:val="000000"/>
          <w:szCs w:val="21"/>
        </w:rPr>
        <w:t>天，在此期间，本报价文件将始终对我方具有约束力，并可随时被接受。</w:t>
      </w:r>
    </w:p>
    <w:p>
      <w:pPr>
        <w:spacing w:line="500" w:lineRule="exact"/>
        <w:ind w:firstLine="420" w:firstLineChars="200"/>
        <w:rPr>
          <w:color w:val="000000"/>
          <w:szCs w:val="21"/>
        </w:rPr>
      </w:pPr>
      <w:r>
        <w:rPr>
          <w:rFonts w:hint="eastAsia"/>
          <w:color w:val="000000"/>
          <w:szCs w:val="21"/>
        </w:rPr>
        <w:t>3</w:t>
      </w:r>
      <w:r>
        <w:rPr>
          <w:rFonts w:hAnsi="宋体"/>
          <w:color w:val="000000"/>
          <w:szCs w:val="21"/>
        </w:rPr>
        <w:t>、</w:t>
      </w:r>
      <w:r>
        <w:rPr>
          <w:rFonts w:hint="eastAsia"/>
          <w:color w:val="000000"/>
          <w:szCs w:val="21"/>
        </w:rPr>
        <w:t>以</w:t>
      </w:r>
      <w:r>
        <w:rPr>
          <w:rFonts w:hint="eastAsia"/>
          <w:color w:val="000000"/>
          <w:szCs w:val="21"/>
          <w:u w:val="single"/>
        </w:rPr>
        <w:t xml:space="preserve">      </w:t>
      </w:r>
      <w:r>
        <w:rPr>
          <w:rFonts w:hint="eastAsia"/>
          <w:color w:val="000000"/>
          <w:szCs w:val="21"/>
        </w:rPr>
        <w:t>形式提交的投标保证金，金额为人民币</w:t>
      </w:r>
      <w:r>
        <w:rPr>
          <w:rFonts w:hint="eastAsia"/>
          <w:color w:val="000000"/>
          <w:szCs w:val="21"/>
          <w:u w:val="single"/>
        </w:rPr>
        <w:t>　</w:t>
      </w:r>
      <w:r>
        <w:rPr>
          <w:rFonts w:hint="eastAsia"/>
          <w:b/>
          <w:i/>
          <w:color w:val="000000"/>
          <w:szCs w:val="21"/>
          <w:u w:val="single"/>
        </w:rPr>
        <w:t>（大写）</w:t>
      </w:r>
      <w:r>
        <w:rPr>
          <w:rFonts w:hint="eastAsia"/>
          <w:color w:val="000000"/>
          <w:szCs w:val="21"/>
          <w:u w:val="single"/>
        </w:rPr>
        <w:t>　</w:t>
      </w:r>
      <w:r>
        <w:rPr>
          <w:rFonts w:hint="eastAsia"/>
          <w:color w:val="000000"/>
          <w:szCs w:val="21"/>
        </w:rPr>
        <w:t>元（￥</w:t>
      </w:r>
      <w:r>
        <w:rPr>
          <w:rFonts w:hint="eastAsia"/>
          <w:b/>
          <w:i/>
          <w:color w:val="000000"/>
          <w:szCs w:val="21"/>
          <w:u w:val="single"/>
        </w:rPr>
        <w:t>（小写）</w:t>
      </w:r>
      <w:r>
        <w:rPr>
          <w:rFonts w:hint="eastAsia"/>
          <w:color w:val="000000"/>
          <w:szCs w:val="21"/>
        </w:rPr>
        <w:t>元）。</w:t>
      </w:r>
    </w:p>
    <w:p>
      <w:pPr>
        <w:spacing w:line="500" w:lineRule="exact"/>
        <w:ind w:firstLine="420" w:firstLineChars="200"/>
        <w:rPr>
          <w:color w:val="000000"/>
          <w:szCs w:val="21"/>
        </w:rPr>
      </w:pPr>
      <w:r>
        <w:rPr>
          <w:rFonts w:hint="eastAsia"/>
          <w:color w:val="000000"/>
          <w:szCs w:val="21"/>
        </w:rPr>
        <w:t>4</w:t>
      </w:r>
      <w:r>
        <w:rPr>
          <w:rFonts w:hAnsi="宋体"/>
          <w:color w:val="000000"/>
          <w:szCs w:val="21"/>
        </w:rPr>
        <w:t>、我们同意提供贵单位要求的有关本次报价的所有资料或证据。</w:t>
      </w:r>
    </w:p>
    <w:p>
      <w:pPr>
        <w:spacing w:line="500" w:lineRule="exact"/>
        <w:ind w:firstLine="420" w:firstLineChars="200"/>
        <w:rPr>
          <w:color w:val="000000"/>
          <w:szCs w:val="21"/>
        </w:rPr>
      </w:pPr>
      <w:r>
        <w:rPr>
          <w:rFonts w:hint="eastAsia"/>
          <w:color w:val="000000"/>
          <w:szCs w:val="21"/>
        </w:rPr>
        <w:t>5</w:t>
      </w:r>
      <w:r>
        <w:rPr>
          <w:rFonts w:hAnsi="宋体"/>
          <w:color w:val="000000"/>
          <w:szCs w:val="21"/>
        </w:rPr>
        <w:t>、我方完全理解贵方不一定要接受最低报价的报价，即最低报价不是成交的保证。</w:t>
      </w:r>
    </w:p>
    <w:p>
      <w:pPr>
        <w:spacing w:line="500" w:lineRule="exact"/>
        <w:ind w:firstLine="420" w:firstLineChars="200"/>
        <w:rPr>
          <w:color w:val="000000"/>
          <w:szCs w:val="21"/>
        </w:rPr>
      </w:pPr>
      <w:r>
        <w:rPr>
          <w:rFonts w:hint="eastAsia"/>
          <w:color w:val="000000"/>
          <w:szCs w:val="21"/>
        </w:rPr>
        <w:t>6</w:t>
      </w:r>
      <w:r>
        <w:rPr>
          <w:rFonts w:hAnsi="宋体"/>
          <w:color w:val="000000"/>
          <w:szCs w:val="21"/>
        </w:rPr>
        <w:t>、如果我方成交，我们将根据谈判文件的规定严格履行自己的责任和义务。</w:t>
      </w:r>
    </w:p>
    <w:p>
      <w:pPr>
        <w:spacing w:line="500" w:lineRule="exact"/>
        <w:ind w:firstLine="420" w:firstLineChars="200"/>
        <w:rPr>
          <w:color w:val="000000"/>
          <w:szCs w:val="21"/>
        </w:rPr>
      </w:pPr>
      <w:r>
        <w:rPr>
          <w:rFonts w:hint="eastAsia"/>
          <w:color w:val="000000"/>
          <w:szCs w:val="21"/>
        </w:rPr>
        <w:t>7</w:t>
      </w:r>
      <w:r>
        <w:rPr>
          <w:rFonts w:hAnsi="宋体"/>
          <w:color w:val="000000"/>
          <w:szCs w:val="21"/>
        </w:rPr>
        <w:t>、如果我方成交，我方将支付本次</w:t>
      </w:r>
      <w:r>
        <w:rPr>
          <w:rFonts w:hint="eastAsia" w:hAnsi="宋体"/>
          <w:color w:val="000000"/>
          <w:szCs w:val="21"/>
        </w:rPr>
        <w:t>谈判的采购代理</w:t>
      </w:r>
      <w:r>
        <w:rPr>
          <w:rFonts w:hAnsi="宋体"/>
          <w:color w:val="000000"/>
          <w:szCs w:val="21"/>
        </w:rPr>
        <w:t>服务费。</w:t>
      </w:r>
    </w:p>
    <w:p>
      <w:pPr>
        <w:spacing w:line="500" w:lineRule="exact"/>
        <w:ind w:firstLine="570"/>
        <w:rPr>
          <w:color w:val="000000"/>
          <w:szCs w:val="21"/>
        </w:rPr>
      </w:pPr>
    </w:p>
    <w:p>
      <w:pPr>
        <w:spacing w:line="500" w:lineRule="exact"/>
        <w:rPr>
          <w:color w:val="000000"/>
          <w:szCs w:val="21"/>
        </w:rPr>
      </w:pPr>
      <w:r>
        <w:rPr>
          <w:rFonts w:hAnsi="宋体"/>
          <w:color w:val="000000"/>
          <w:szCs w:val="21"/>
        </w:rPr>
        <w:t>投标人名称：</w:t>
      </w:r>
      <w:r>
        <w:rPr>
          <w:rFonts w:hint="eastAsia" w:hAnsi="宋体"/>
          <w:color w:val="000000"/>
          <w:szCs w:val="21"/>
          <w:u w:val="single"/>
        </w:rPr>
        <w:t xml:space="preserve">                                 </w:t>
      </w:r>
      <w:r>
        <w:rPr>
          <w:rFonts w:hAnsi="宋体"/>
          <w:color w:val="000000"/>
          <w:szCs w:val="21"/>
          <w:u w:val="single"/>
        </w:rPr>
        <w:t>（公章）</w:t>
      </w:r>
    </w:p>
    <w:p>
      <w:pPr>
        <w:spacing w:line="500" w:lineRule="exact"/>
        <w:rPr>
          <w:color w:val="000000"/>
          <w:szCs w:val="21"/>
          <w:u w:val="single"/>
        </w:rPr>
      </w:pPr>
      <w:r>
        <w:rPr>
          <w:rFonts w:hAnsi="宋体"/>
          <w:color w:val="000000"/>
          <w:szCs w:val="21"/>
        </w:rPr>
        <w:t>地址：</w:t>
      </w:r>
      <w:r>
        <w:rPr>
          <w:rFonts w:hint="eastAsia" w:hAnsi="宋体"/>
          <w:color w:val="000000"/>
          <w:szCs w:val="21"/>
          <w:u w:val="single"/>
        </w:rPr>
        <w:t xml:space="preserve">                                      </w:t>
      </w:r>
      <w:r>
        <w:rPr>
          <w:rFonts w:hAnsi="宋体"/>
          <w:color w:val="000000"/>
          <w:szCs w:val="21"/>
        </w:rPr>
        <w:t>邮编：</w:t>
      </w:r>
      <w:r>
        <w:rPr>
          <w:rFonts w:hint="eastAsia" w:hAnsi="宋体"/>
          <w:color w:val="000000"/>
          <w:szCs w:val="21"/>
          <w:u w:val="single"/>
        </w:rPr>
        <w:t xml:space="preserve">                                 </w:t>
      </w:r>
    </w:p>
    <w:p>
      <w:pPr>
        <w:spacing w:line="500" w:lineRule="exact"/>
        <w:rPr>
          <w:color w:val="000000"/>
          <w:szCs w:val="21"/>
          <w:u w:val="single"/>
        </w:rPr>
      </w:pPr>
      <w:r>
        <w:rPr>
          <w:rFonts w:hAnsi="宋体"/>
          <w:color w:val="000000"/>
          <w:szCs w:val="21"/>
        </w:rPr>
        <w:t>电话：</w:t>
      </w:r>
      <w:r>
        <w:rPr>
          <w:rFonts w:hint="eastAsia" w:hAnsi="宋体"/>
          <w:color w:val="000000"/>
          <w:szCs w:val="21"/>
          <w:u w:val="single"/>
        </w:rPr>
        <w:t xml:space="preserve">                                      </w:t>
      </w:r>
      <w:r>
        <w:rPr>
          <w:rFonts w:hAnsi="宋体"/>
          <w:color w:val="000000"/>
          <w:szCs w:val="21"/>
        </w:rPr>
        <w:t>传真：</w:t>
      </w:r>
      <w:r>
        <w:rPr>
          <w:rFonts w:hint="eastAsia" w:hAnsi="宋体"/>
          <w:color w:val="000000"/>
          <w:szCs w:val="21"/>
          <w:u w:val="single"/>
        </w:rPr>
        <w:t xml:space="preserve">                                 </w:t>
      </w:r>
    </w:p>
    <w:p>
      <w:pPr>
        <w:spacing w:line="500" w:lineRule="exact"/>
        <w:rPr>
          <w:color w:val="000000"/>
          <w:szCs w:val="21"/>
          <w:u w:val="single"/>
        </w:rPr>
      </w:pPr>
      <w:r>
        <w:rPr>
          <w:rFonts w:hAnsi="宋体"/>
          <w:color w:val="000000"/>
          <w:szCs w:val="21"/>
        </w:rPr>
        <w:t>授权代表签字：</w:t>
      </w:r>
      <w:r>
        <w:rPr>
          <w:rFonts w:hint="eastAsia" w:hAnsi="宋体"/>
          <w:color w:val="000000"/>
          <w:szCs w:val="21"/>
          <w:u w:val="single"/>
        </w:rPr>
        <w:t xml:space="preserve">                              </w:t>
      </w:r>
      <w:r>
        <w:rPr>
          <w:rFonts w:hAnsi="宋体"/>
          <w:color w:val="000000"/>
          <w:szCs w:val="21"/>
        </w:rPr>
        <w:t>职务：</w:t>
      </w:r>
      <w:r>
        <w:rPr>
          <w:rFonts w:hint="eastAsia" w:hAnsi="宋体"/>
          <w:color w:val="000000"/>
          <w:szCs w:val="21"/>
          <w:u w:val="single"/>
        </w:rPr>
        <w:t xml:space="preserve">                                 </w:t>
      </w:r>
    </w:p>
    <w:p>
      <w:pPr>
        <w:spacing w:line="500" w:lineRule="exact"/>
        <w:rPr>
          <w:rFonts w:ascii="宋体" w:hAnsi="宋体"/>
          <w:color w:val="000000"/>
          <w:szCs w:val="21"/>
          <w:u w:val="single"/>
        </w:rPr>
      </w:pPr>
      <w:r>
        <w:rPr>
          <w:rFonts w:hAnsi="宋体"/>
          <w:color w:val="000000"/>
          <w:szCs w:val="21"/>
        </w:rPr>
        <w:t>日期：</w:t>
      </w:r>
      <w:r>
        <w:rPr>
          <w:rFonts w:hint="eastAsia" w:hAnsi="宋体"/>
          <w:color w:val="000000"/>
          <w:szCs w:val="21"/>
        </w:rPr>
        <w:t xml:space="preserve"> </w:t>
      </w:r>
      <w:r>
        <w:rPr>
          <w:rFonts w:hint="eastAsia" w:hAnsi="宋体"/>
          <w:color w:val="000000"/>
          <w:szCs w:val="21"/>
          <w:u w:val="single"/>
        </w:rPr>
        <w:t xml:space="preserve">                                 </w:t>
      </w:r>
    </w:p>
    <w:p>
      <w:pPr>
        <w:jc w:val="center"/>
        <w:rPr>
          <w:rFonts w:hAnsi="宋体"/>
          <w:b/>
          <w:color w:val="000000"/>
          <w:sz w:val="24"/>
        </w:rPr>
      </w:pPr>
      <w:r>
        <w:rPr>
          <w:rFonts w:ascii="宋体"/>
          <w:color w:val="000000"/>
          <w:sz w:val="24"/>
          <w:u w:val="single"/>
        </w:rPr>
        <w:br w:type="page"/>
      </w:r>
      <w:bookmarkStart w:id="7" w:name="_Toc171325099"/>
      <w:r>
        <w:rPr>
          <w:rFonts w:hAnsi="宋体"/>
          <w:b/>
          <w:color w:val="000000"/>
          <w:sz w:val="28"/>
          <w:szCs w:val="28"/>
        </w:rPr>
        <w:t>表2、报价一览表</w:t>
      </w:r>
      <w:bookmarkEnd w:id="7"/>
    </w:p>
    <w:p>
      <w:pPr>
        <w:jc w:val="left"/>
        <w:rPr>
          <w:rFonts w:hAnsi="宋体"/>
          <w:b/>
          <w:color w:val="000000"/>
          <w:sz w:val="24"/>
        </w:rPr>
      </w:pPr>
    </w:p>
    <w:p>
      <w:pPr>
        <w:jc w:val="left"/>
        <w:rPr>
          <w:b/>
          <w:color w:val="000000"/>
          <w:sz w:val="24"/>
        </w:rPr>
      </w:pPr>
    </w:p>
    <w:p>
      <w:pPr>
        <w:spacing w:line="500" w:lineRule="exact"/>
        <w:rPr>
          <w:color w:val="000000"/>
          <w:szCs w:val="21"/>
        </w:rPr>
      </w:pPr>
      <w:r>
        <w:rPr>
          <w:rFonts w:hint="eastAsia" w:ascii="宋体" w:hAnsi="宋体"/>
          <w:color w:val="000000"/>
          <w:szCs w:val="21"/>
        </w:rPr>
        <w:t>项</w:t>
      </w:r>
      <w:r>
        <w:rPr>
          <w:rFonts w:hAnsi="宋体"/>
          <w:color w:val="000000"/>
          <w:szCs w:val="21"/>
        </w:rPr>
        <w:t>目名称：</w:t>
      </w:r>
      <w:r>
        <w:rPr>
          <w:rFonts w:hint="eastAsia" w:hAnsi="宋体"/>
          <w:color w:val="000000"/>
          <w:szCs w:val="21"/>
        </w:rPr>
        <w:t>海口市灵山中学采购水泵房设备项目</w:t>
      </w:r>
    </w:p>
    <w:p>
      <w:pPr>
        <w:spacing w:line="500" w:lineRule="exact"/>
        <w:rPr>
          <w:color w:val="000000"/>
          <w:szCs w:val="21"/>
        </w:rPr>
      </w:pPr>
      <w:r>
        <w:rPr>
          <w:rFonts w:hAnsi="宋体"/>
          <w:color w:val="000000"/>
          <w:szCs w:val="21"/>
        </w:rPr>
        <w:t>项目编号：</w:t>
      </w:r>
      <w:r>
        <w:rPr>
          <w:color w:val="000000"/>
          <w:szCs w:val="21"/>
        </w:rPr>
        <w:t>SCHX-HK2016062</w:t>
      </w:r>
    </w:p>
    <w:p>
      <w:pPr>
        <w:spacing w:line="500" w:lineRule="exact"/>
        <w:rPr>
          <w:rFonts w:ascii="宋体" w:hAnsi="宋体"/>
          <w:sz w:val="24"/>
          <w:u w:val="single"/>
        </w:rPr>
      </w:pPr>
      <w:r>
        <w:rPr>
          <w:rFonts w:hint="eastAsia" w:ascii="宋体" w:hAnsi="宋体"/>
          <w:sz w:val="24"/>
        </w:rPr>
        <w:t>交货期：自签订合同生效之日起</w:t>
      </w:r>
      <w:r>
        <w:rPr>
          <w:rFonts w:hint="eastAsia" w:ascii="宋体" w:hAnsi="宋体"/>
          <w:sz w:val="24"/>
          <w:u w:val="single"/>
        </w:rPr>
        <w:t xml:space="preserve">      </w:t>
      </w:r>
    </w:p>
    <w:p>
      <w:pPr>
        <w:spacing w:line="500" w:lineRule="exact"/>
        <w:rPr>
          <w:rFonts w:ascii="宋体" w:hAnsi="宋体"/>
          <w:sz w:val="24"/>
          <w:u w:val="single"/>
        </w:rPr>
      </w:pPr>
    </w:p>
    <w:tbl>
      <w:tblPr>
        <w:tblStyle w:val="50"/>
        <w:tblW w:w="10080" w:type="dxa"/>
        <w:jc w:val="center"/>
        <w:tblInd w:w="0" w:type="dxa"/>
        <w:tblLayout w:type="fixed"/>
        <w:tblCellMar>
          <w:top w:w="0" w:type="dxa"/>
          <w:left w:w="30" w:type="dxa"/>
          <w:bottom w:w="0" w:type="dxa"/>
          <w:right w:w="30" w:type="dxa"/>
        </w:tblCellMar>
      </w:tblPr>
      <w:tblGrid>
        <w:gridCol w:w="720"/>
        <w:gridCol w:w="2194"/>
        <w:gridCol w:w="1985"/>
        <w:gridCol w:w="1276"/>
        <w:gridCol w:w="992"/>
        <w:gridCol w:w="1293"/>
        <w:gridCol w:w="1620"/>
      </w:tblGrid>
      <w:tr>
        <w:tblPrEx>
          <w:tblLayout w:type="fixed"/>
          <w:tblCellMar>
            <w:top w:w="0" w:type="dxa"/>
            <w:left w:w="30" w:type="dxa"/>
            <w:bottom w:w="0" w:type="dxa"/>
            <w:right w:w="30" w:type="dxa"/>
          </w:tblCellMar>
        </w:tblPrEx>
        <w:trPr>
          <w:trHeight w:val="593"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ascii="宋体" w:hAnsi="宋体" w:cs="Arial"/>
                <w:b/>
                <w:sz w:val="24"/>
              </w:rPr>
              <w:t>序号</w:t>
            </w:r>
          </w:p>
        </w:tc>
        <w:tc>
          <w:tcPr>
            <w:tcW w:w="2194" w:type="dxa"/>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rPr>
              <w:t>产品</w:t>
            </w:r>
            <w:r>
              <w:rPr>
                <w:rFonts w:ascii="宋体" w:hAnsi="宋体" w:cs="Arial"/>
                <w:b/>
                <w:sz w:val="24"/>
              </w:rPr>
              <w:t>名称</w:t>
            </w:r>
          </w:p>
        </w:tc>
        <w:tc>
          <w:tcPr>
            <w:tcW w:w="1985"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szCs w:val="21"/>
              </w:rPr>
              <w:t>品牌、型号</w:t>
            </w:r>
          </w:p>
        </w:tc>
        <w:tc>
          <w:tcPr>
            <w:tcW w:w="127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单价（元）</w:t>
            </w: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单位</w:t>
            </w: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8" w:firstLineChars="82"/>
              <w:jc w:val="center"/>
              <w:rPr>
                <w:rFonts w:ascii="宋体" w:hAnsi="宋体" w:cs="Arial"/>
                <w:b/>
                <w:sz w:val="24"/>
              </w:rPr>
            </w:pPr>
            <w:r>
              <w:rPr>
                <w:rFonts w:hint="eastAsia" w:ascii="宋体" w:hAnsi="宋体" w:cs="Arial"/>
                <w:b/>
                <w:sz w:val="24"/>
              </w:rPr>
              <w:t>数量</w:t>
            </w: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b/>
                <w:sz w:val="24"/>
              </w:rPr>
            </w:pPr>
            <w:r>
              <w:rPr>
                <w:rFonts w:hint="eastAsia" w:ascii="宋体" w:hAnsi="宋体" w:cs="Arial"/>
                <w:b/>
                <w:sz w:val="24"/>
              </w:rPr>
              <w:t>小计（元）</w:t>
            </w:r>
          </w:p>
        </w:tc>
      </w:tr>
      <w:tr>
        <w:tblPrEx>
          <w:tblLayout w:type="fixed"/>
          <w:tblCellMar>
            <w:top w:w="0" w:type="dxa"/>
            <w:left w:w="30" w:type="dxa"/>
            <w:bottom w:w="0" w:type="dxa"/>
            <w:right w:w="30" w:type="dxa"/>
          </w:tblCellMar>
        </w:tblPrEx>
        <w:trPr>
          <w:trHeight w:val="50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rPr>
            </w:pPr>
            <w:r>
              <w:rPr>
                <w:rFonts w:ascii="宋体" w:hAnsi="宋体" w:cs="Arial"/>
                <w:sz w:val="24"/>
              </w:rPr>
              <w:t>1</w:t>
            </w:r>
          </w:p>
        </w:tc>
        <w:tc>
          <w:tcPr>
            <w:tcW w:w="2194" w:type="dxa"/>
            <w:tcBorders>
              <w:top w:val="single" w:color="auto" w:sz="8" w:space="0"/>
              <w:left w:val="single" w:color="auto" w:sz="8" w:space="0"/>
              <w:bottom w:val="single" w:color="auto" w:sz="4" w:space="0"/>
              <w:right w:val="single" w:color="auto" w:sz="4" w:space="0"/>
            </w:tcBorders>
            <w:vAlign w:val="center"/>
          </w:tcPr>
          <w:p>
            <w:pPr>
              <w:ind w:firstLine="480"/>
              <w:rPr>
                <w:sz w:val="24"/>
              </w:rPr>
            </w:pPr>
          </w:p>
        </w:tc>
        <w:tc>
          <w:tcPr>
            <w:tcW w:w="1985" w:type="dxa"/>
            <w:tcBorders>
              <w:top w:val="single" w:color="auto" w:sz="8" w:space="0"/>
              <w:left w:val="single" w:color="auto" w:sz="4" w:space="0"/>
              <w:bottom w:val="single" w:color="auto" w:sz="8" w:space="0"/>
              <w:right w:val="single" w:color="auto" w:sz="8" w:space="0"/>
            </w:tcBorders>
            <w:vAlign w:val="center"/>
          </w:tcPr>
          <w:p>
            <w:pPr>
              <w:ind w:firstLine="480"/>
              <w:rPr>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ind w:firstLine="482"/>
              <w:jc w:val="center"/>
              <w:rPr>
                <w:rFonts w:ascii="宋体" w:hAnsi="宋体" w:cs="宋体"/>
                <w:b/>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r>
      <w:tr>
        <w:tblPrEx>
          <w:tblLayout w:type="fixed"/>
          <w:tblCellMar>
            <w:top w:w="0" w:type="dxa"/>
            <w:left w:w="30" w:type="dxa"/>
            <w:bottom w:w="0" w:type="dxa"/>
            <w:right w:w="30" w:type="dxa"/>
          </w:tblCellMar>
        </w:tblPrEx>
        <w:trPr>
          <w:trHeight w:val="50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rPr>
            </w:pPr>
            <w:r>
              <w:rPr>
                <w:rFonts w:hint="eastAsia" w:ascii="宋体" w:hAnsi="宋体" w:cs="Arial"/>
                <w:sz w:val="24"/>
              </w:rPr>
              <w:t>2</w:t>
            </w:r>
          </w:p>
        </w:tc>
        <w:tc>
          <w:tcPr>
            <w:tcW w:w="2194" w:type="dxa"/>
            <w:tcBorders>
              <w:top w:val="single" w:color="auto" w:sz="4" w:space="0"/>
              <w:left w:val="single" w:color="auto" w:sz="8" w:space="0"/>
              <w:bottom w:val="single" w:color="auto" w:sz="8" w:space="0"/>
              <w:right w:val="single" w:color="auto" w:sz="4" w:space="0"/>
            </w:tcBorders>
            <w:vAlign w:val="center"/>
          </w:tcPr>
          <w:p>
            <w:pPr>
              <w:ind w:firstLine="480"/>
              <w:rPr>
                <w:sz w:val="24"/>
              </w:rPr>
            </w:pPr>
          </w:p>
        </w:tc>
        <w:tc>
          <w:tcPr>
            <w:tcW w:w="1985" w:type="dxa"/>
            <w:tcBorders>
              <w:top w:val="single" w:color="auto" w:sz="8" w:space="0"/>
              <w:left w:val="single" w:color="auto" w:sz="4" w:space="0"/>
              <w:bottom w:val="single" w:color="auto" w:sz="8" w:space="0"/>
              <w:right w:val="single" w:color="auto" w:sz="8" w:space="0"/>
            </w:tcBorders>
            <w:vAlign w:val="center"/>
          </w:tcPr>
          <w:p>
            <w:pPr>
              <w:ind w:firstLine="480"/>
              <w:rPr>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ind w:firstLine="482"/>
              <w:jc w:val="center"/>
              <w:rPr>
                <w:rFonts w:ascii="宋体" w:hAnsi="宋体" w:cs="宋体"/>
                <w:b/>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r>
      <w:tr>
        <w:tblPrEx>
          <w:tblLayout w:type="fixed"/>
          <w:tblCellMar>
            <w:top w:w="0" w:type="dxa"/>
            <w:left w:w="30" w:type="dxa"/>
            <w:bottom w:w="0" w:type="dxa"/>
            <w:right w:w="30" w:type="dxa"/>
          </w:tblCellMar>
        </w:tblPrEx>
        <w:trPr>
          <w:trHeight w:val="45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rPr>
            </w:pPr>
            <w:r>
              <w:rPr>
                <w:rFonts w:hint="eastAsia" w:ascii="宋体" w:hAnsi="宋体" w:cs="Arial"/>
                <w:sz w:val="24"/>
              </w:rPr>
              <w:t>3</w:t>
            </w:r>
          </w:p>
        </w:tc>
        <w:tc>
          <w:tcPr>
            <w:tcW w:w="2194" w:type="dxa"/>
            <w:tcBorders>
              <w:top w:val="single" w:color="auto" w:sz="8" w:space="0"/>
              <w:left w:val="single" w:color="auto" w:sz="8" w:space="0"/>
              <w:bottom w:val="single" w:color="auto" w:sz="8" w:space="0"/>
              <w:right w:val="single" w:color="auto" w:sz="4" w:space="0"/>
            </w:tcBorders>
            <w:vAlign w:val="center"/>
          </w:tcPr>
          <w:p>
            <w:pPr>
              <w:ind w:firstLine="480"/>
              <w:rPr>
                <w:sz w:val="24"/>
              </w:rPr>
            </w:pPr>
          </w:p>
        </w:tc>
        <w:tc>
          <w:tcPr>
            <w:tcW w:w="1985" w:type="dxa"/>
            <w:tcBorders>
              <w:top w:val="single" w:color="auto" w:sz="8" w:space="0"/>
              <w:left w:val="single" w:color="auto" w:sz="4" w:space="0"/>
              <w:bottom w:val="single" w:color="auto" w:sz="8" w:space="0"/>
              <w:right w:val="single" w:color="auto" w:sz="8" w:space="0"/>
            </w:tcBorders>
            <w:vAlign w:val="center"/>
          </w:tcPr>
          <w:p>
            <w:pPr>
              <w:ind w:firstLine="480"/>
              <w:rPr>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ind w:firstLine="482"/>
              <w:jc w:val="center"/>
              <w:rPr>
                <w:rFonts w:ascii="宋体" w:hAnsi="宋体" w:cs="宋体"/>
                <w:b/>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r>
      <w:tr>
        <w:tblPrEx>
          <w:tblLayout w:type="fixed"/>
          <w:tblCellMar>
            <w:top w:w="0" w:type="dxa"/>
            <w:left w:w="30" w:type="dxa"/>
            <w:bottom w:w="0" w:type="dxa"/>
            <w:right w:w="30" w:type="dxa"/>
          </w:tblCellMar>
        </w:tblPrEx>
        <w:trPr>
          <w:trHeight w:val="47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rPr>
            </w:pPr>
            <w:r>
              <w:rPr>
                <w:rFonts w:hint="eastAsia" w:ascii="宋体" w:hAnsi="宋体" w:cs="Arial"/>
                <w:sz w:val="24"/>
              </w:rPr>
              <w:t>4</w:t>
            </w:r>
          </w:p>
        </w:tc>
        <w:tc>
          <w:tcPr>
            <w:tcW w:w="2194" w:type="dxa"/>
            <w:tcBorders>
              <w:top w:val="single" w:color="auto" w:sz="8" w:space="0"/>
              <w:left w:val="single" w:color="auto" w:sz="8" w:space="0"/>
              <w:bottom w:val="single" w:color="auto" w:sz="8" w:space="0"/>
              <w:right w:val="single" w:color="auto" w:sz="4" w:space="0"/>
            </w:tcBorders>
            <w:vAlign w:val="center"/>
          </w:tcPr>
          <w:p>
            <w:pPr>
              <w:ind w:firstLine="480"/>
              <w:rPr>
                <w:sz w:val="24"/>
              </w:rPr>
            </w:pPr>
          </w:p>
        </w:tc>
        <w:tc>
          <w:tcPr>
            <w:tcW w:w="1985" w:type="dxa"/>
            <w:tcBorders>
              <w:top w:val="single" w:color="auto" w:sz="8" w:space="0"/>
              <w:left w:val="single" w:color="auto" w:sz="4" w:space="0"/>
              <w:bottom w:val="single" w:color="auto" w:sz="8" w:space="0"/>
              <w:right w:val="single" w:color="auto" w:sz="8" w:space="0"/>
            </w:tcBorders>
            <w:vAlign w:val="center"/>
          </w:tcPr>
          <w:p>
            <w:pPr>
              <w:ind w:firstLine="480"/>
              <w:rPr>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ind w:firstLine="482"/>
              <w:jc w:val="center"/>
              <w:rPr>
                <w:rFonts w:ascii="宋体" w:hAnsi="宋体" w:cs="宋体"/>
                <w:b/>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r>
      <w:tr>
        <w:tblPrEx>
          <w:tblLayout w:type="fixed"/>
          <w:tblCellMar>
            <w:top w:w="0" w:type="dxa"/>
            <w:left w:w="30" w:type="dxa"/>
            <w:bottom w:w="0" w:type="dxa"/>
            <w:right w:w="30" w:type="dxa"/>
          </w:tblCellMar>
        </w:tblPrEx>
        <w:trPr>
          <w:trHeight w:val="579"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199" w:firstLineChars="83"/>
              <w:jc w:val="center"/>
              <w:rPr>
                <w:rFonts w:ascii="宋体" w:hAnsi="宋体" w:cs="Arial"/>
                <w:sz w:val="24"/>
              </w:rPr>
            </w:pPr>
            <w:r>
              <w:rPr>
                <w:rFonts w:ascii="宋体" w:hAnsi="宋体" w:cs="Arial"/>
                <w:sz w:val="24"/>
              </w:rPr>
              <w:t>…</w:t>
            </w:r>
          </w:p>
        </w:tc>
        <w:tc>
          <w:tcPr>
            <w:tcW w:w="2194" w:type="dxa"/>
            <w:tcBorders>
              <w:top w:val="single" w:color="auto" w:sz="8" w:space="0"/>
              <w:left w:val="single" w:color="auto" w:sz="8" w:space="0"/>
              <w:bottom w:val="single" w:color="auto" w:sz="8" w:space="0"/>
              <w:right w:val="single" w:color="auto" w:sz="4" w:space="0"/>
            </w:tcBorders>
            <w:vAlign w:val="center"/>
          </w:tcPr>
          <w:p>
            <w:pPr>
              <w:ind w:firstLine="482"/>
              <w:rPr>
                <w:rFonts w:ascii="宋体" w:hAnsi="宋体" w:cs="宋体"/>
                <w:b/>
                <w:sz w:val="24"/>
              </w:rPr>
            </w:pPr>
            <w:r>
              <w:rPr>
                <w:rFonts w:hint="eastAsia" w:ascii="宋体" w:hAnsi="宋体" w:cs="宋体"/>
                <w:b/>
                <w:sz w:val="24"/>
              </w:rPr>
              <w:t xml:space="preserve"> </w:t>
            </w:r>
          </w:p>
        </w:tc>
        <w:tc>
          <w:tcPr>
            <w:tcW w:w="1985" w:type="dxa"/>
            <w:tcBorders>
              <w:top w:val="single" w:color="auto" w:sz="8" w:space="0"/>
              <w:left w:val="single" w:color="auto" w:sz="4" w:space="0"/>
              <w:bottom w:val="single" w:color="auto" w:sz="8" w:space="0"/>
              <w:right w:val="single" w:color="auto" w:sz="8" w:space="0"/>
            </w:tcBorders>
            <w:vAlign w:val="center"/>
          </w:tcPr>
          <w:p>
            <w:pPr>
              <w:rPr>
                <w:rFonts w:ascii="宋体" w:hAnsi="宋体" w:cs="宋体"/>
                <w:b/>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ind w:firstLine="482"/>
              <w:jc w:val="center"/>
              <w:rPr>
                <w:rFonts w:ascii="宋体" w:hAnsi="宋体" w:cs="宋体"/>
                <w:b/>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29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firstLine="480"/>
              <w:jc w:val="right"/>
              <w:rPr>
                <w:rFonts w:ascii="宋体" w:hAnsi="宋体" w:cs="Arial"/>
                <w:sz w:val="24"/>
              </w:rPr>
            </w:pPr>
          </w:p>
        </w:tc>
      </w:tr>
      <w:tr>
        <w:tblPrEx>
          <w:tblLayout w:type="fixed"/>
          <w:tblCellMar>
            <w:top w:w="0" w:type="dxa"/>
            <w:left w:w="30" w:type="dxa"/>
            <w:bottom w:w="0" w:type="dxa"/>
            <w:right w:w="30" w:type="dxa"/>
          </w:tblCellMar>
        </w:tblPrEx>
        <w:trPr>
          <w:trHeight w:val="866" w:hRule="atLeast"/>
          <w:jc w:val="center"/>
        </w:trPr>
        <w:tc>
          <w:tcPr>
            <w:tcW w:w="2914" w:type="dxa"/>
            <w:gridSpan w:val="2"/>
            <w:vMerge w:val="restart"/>
            <w:tcBorders>
              <w:left w:val="single" w:color="auto" w:sz="8" w:space="0"/>
              <w:right w:val="single" w:color="auto" w:sz="8" w:space="0"/>
            </w:tcBorders>
            <w:vAlign w:val="center"/>
          </w:tcPr>
          <w:p>
            <w:pPr>
              <w:autoSpaceDE w:val="0"/>
              <w:autoSpaceDN w:val="0"/>
              <w:ind w:firstLine="236" w:firstLineChars="98"/>
              <w:rPr>
                <w:rFonts w:ascii="黑体" w:hAnsi="黑体" w:eastAsia="黑体" w:cs="Arial"/>
                <w:b/>
                <w:color w:val="000000"/>
                <w:sz w:val="24"/>
              </w:rPr>
            </w:pPr>
            <w:r>
              <w:rPr>
                <w:rFonts w:hint="eastAsia" w:ascii="黑体" w:hAnsi="黑体" w:eastAsia="黑体" w:cs="Arial"/>
                <w:b/>
                <w:color w:val="000000"/>
                <w:sz w:val="24"/>
              </w:rPr>
              <w:t>投标报价</w:t>
            </w:r>
            <w:r>
              <w:rPr>
                <w:rFonts w:ascii="黑体" w:hAnsi="黑体" w:eastAsia="黑体" w:cs="Arial"/>
                <w:b/>
                <w:color w:val="000000"/>
                <w:sz w:val="24"/>
              </w:rPr>
              <w:t>总</w:t>
            </w:r>
            <w:r>
              <w:rPr>
                <w:rFonts w:hint="eastAsia" w:ascii="黑体" w:hAnsi="黑体" w:eastAsia="黑体" w:cs="Arial"/>
                <w:b/>
                <w:color w:val="000000"/>
                <w:sz w:val="24"/>
              </w:rPr>
              <w:t>额（元）</w:t>
            </w:r>
          </w:p>
        </w:tc>
        <w:tc>
          <w:tcPr>
            <w:tcW w:w="7166" w:type="dxa"/>
            <w:gridSpan w:val="5"/>
            <w:tcBorders>
              <w:top w:val="single" w:color="auto" w:sz="8" w:space="0"/>
              <w:left w:val="single" w:color="auto" w:sz="8" w:space="0"/>
              <w:bottom w:val="single" w:color="auto" w:sz="8" w:space="0"/>
              <w:right w:val="single" w:color="auto" w:sz="6" w:space="0"/>
            </w:tcBorders>
            <w:vAlign w:val="center"/>
          </w:tcPr>
          <w:p>
            <w:pPr>
              <w:autoSpaceDE w:val="0"/>
              <w:autoSpaceDN w:val="0"/>
              <w:adjustRightInd w:val="0"/>
              <w:ind w:firstLine="482"/>
              <w:rPr>
                <w:rFonts w:ascii="宋体" w:hAnsi="宋体" w:cs="Arial"/>
                <w:sz w:val="24"/>
              </w:rPr>
            </w:pPr>
            <w:r>
              <w:rPr>
                <w:rFonts w:hint="eastAsia" w:ascii="宋体" w:hAnsi="宋体" w:cs="Arial"/>
                <w:b/>
                <w:sz w:val="24"/>
              </w:rPr>
              <w:t>（小写）</w:t>
            </w:r>
          </w:p>
        </w:tc>
      </w:tr>
      <w:tr>
        <w:tblPrEx>
          <w:tblLayout w:type="fixed"/>
          <w:tblCellMar>
            <w:top w:w="0" w:type="dxa"/>
            <w:left w:w="30" w:type="dxa"/>
            <w:bottom w:w="0" w:type="dxa"/>
            <w:right w:w="30" w:type="dxa"/>
          </w:tblCellMar>
        </w:tblPrEx>
        <w:trPr>
          <w:trHeight w:val="866" w:hRule="atLeast"/>
          <w:jc w:val="center"/>
        </w:trPr>
        <w:tc>
          <w:tcPr>
            <w:tcW w:w="2914"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ind w:firstLine="482"/>
              <w:rPr>
                <w:rFonts w:ascii="宋体" w:hAnsi="宋体" w:cs="Arial"/>
                <w:b/>
                <w:sz w:val="24"/>
              </w:rPr>
            </w:pPr>
          </w:p>
        </w:tc>
        <w:tc>
          <w:tcPr>
            <w:tcW w:w="7166" w:type="dxa"/>
            <w:gridSpan w:val="5"/>
            <w:tcBorders>
              <w:top w:val="single" w:color="auto" w:sz="8" w:space="0"/>
              <w:left w:val="single" w:color="auto" w:sz="8" w:space="0"/>
              <w:bottom w:val="single" w:color="auto" w:sz="4" w:space="0"/>
              <w:right w:val="single" w:color="auto" w:sz="6" w:space="0"/>
            </w:tcBorders>
            <w:vAlign w:val="center"/>
          </w:tcPr>
          <w:p>
            <w:pPr>
              <w:autoSpaceDE w:val="0"/>
              <w:autoSpaceDN w:val="0"/>
              <w:adjustRightInd w:val="0"/>
              <w:ind w:firstLine="482"/>
              <w:rPr>
                <w:rFonts w:ascii="宋体" w:hAnsi="宋体" w:cs="Arial"/>
                <w:sz w:val="24"/>
              </w:rPr>
            </w:pPr>
            <w:r>
              <w:rPr>
                <w:rFonts w:hint="eastAsia" w:ascii="宋体" w:hAnsi="宋体" w:cs="Arial"/>
                <w:b/>
                <w:sz w:val="24"/>
              </w:rPr>
              <w:t>（</w:t>
            </w:r>
            <w:r>
              <w:rPr>
                <w:rFonts w:ascii="宋体" w:hAnsi="宋体" w:cs="Arial"/>
                <w:b/>
                <w:sz w:val="24"/>
              </w:rPr>
              <w:t>大</w:t>
            </w:r>
            <w:r>
              <w:rPr>
                <w:rFonts w:hint="eastAsia" w:ascii="宋体" w:hAnsi="宋体" w:cs="Arial"/>
                <w:b/>
                <w:sz w:val="24"/>
              </w:rPr>
              <w:t>写）</w:t>
            </w:r>
          </w:p>
        </w:tc>
      </w:tr>
    </w:tbl>
    <w:p>
      <w:pPr>
        <w:spacing w:line="500" w:lineRule="exact"/>
        <w:rPr>
          <w:rFonts w:ascii="宋体" w:hAnsi="宋体"/>
          <w:sz w:val="24"/>
          <w:u w:val="single"/>
        </w:rPr>
      </w:pPr>
    </w:p>
    <w:p>
      <w:pPr>
        <w:spacing w:line="500" w:lineRule="exact"/>
        <w:rPr>
          <w:color w:val="000000"/>
          <w:szCs w:val="21"/>
        </w:rPr>
      </w:pPr>
    </w:p>
    <w:p>
      <w:pPr>
        <w:snapToGrid w:val="0"/>
        <w:spacing w:line="360" w:lineRule="auto"/>
        <w:rPr>
          <w:rFonts w:hAnsi="宋体"/>
          <w:color w:val="000000"/>
          <w:szCs w:val="21"/>
        </w:rPr>
      </w:pPr>
      <w:bookmarkStart w:id="8" w:name="_Toc171325107"/>
      <w:r>
        <w:rPr>
          <w:rFonts w:hAnsi="宋体"/>
          <w:color w:val="000000"/>
          <w:szCs w:val="21"/>
        </w:rPr>
        <w:t>注</w:t>
      </w:r>
      <w:r>
        <w:rPr>
          <w:color w:val="000000"/>
          <w:szCs w:val="21"/>
        </w:rPr>
        <w:t>:</w:t>
      </w:r>
      <w:r>
        <w:rPr>
          <w:rFonts w:hint="eastAsia"/>
          <w:color w:val="000000"/>
          <w:szCs w:val="21"/>
        </w:rPr>
        <w:t xml:space="preserve"> </w:t>
      </w:r>
      <w:r>
        <w:rPr>
          <w:color w:val="000000"/>
          <w:szCs w:val="21"/>
        </w:rPr>
        <w:t xml:space="preserve"> 1</w:t>
      </w:r>
      <w:r>
        <w:rPr>
          <w:rFonts w:hAnsi="宋体"/>
          <w:color w:val="000000"/>
          <w:szCs w:val="21"/>
        </w:rPr>
        <w:t>、</w:t>
      </w:r>
      <w:r>
        <w:rPr>
          <w:rFonts w:hint="eastAsia" w:hAnsi="宋体"/>
          <w:color w:val="000000"/>
          <w:szCs w:val="21"/>
        </w:rPr>
        <w:t>此报价一览表须单独制作一份，用于现场第二次谈判报价备用；</w:t>
      </w:r>
    </w:p>
    <w:p>
      <w:pPr>
        <w:snapToGrid w:val="0"/>
        <w:spacing w:line="360" w:lineRule="auto"/>
        <w:ind w:firstLine="420" w:firstLineChars="200"/>
        <w:rPr>
          <w:color w:val="000000"/>
          <w:szCs w:val="21"/>
        </w:rPr>
      </w:pPr>
      <w:r>
        <w:rPr>
          <w:color w:val="000000"/>
          <w:szCs w:val="21"/>
        </w:rPr>
        <w:t>2</w:t>
      </w:r>
      <w:r>
        <w:rPr>
          <w:rFonts w:hAnsi="宋体"/>
          <w:color w:val="000000"/>
          <w:szCs w:val="21"/>
        </w:rPr>
        <w:t>、</w:t>
      </w:r>
      <w:r>
        <w:rPr>
          <w:rFonts w:hint="eastAsia" w:hAnsi="宋体"/>
          <w:color w:val="000000"/>
          <w:szCs w:val="21"/>
        </w:rPr>
        <w:t>本报价精确到小数点后两位数，</w:t>
      </w:r>
      <w:r>
        <w:rPr>
          <w:rFonts w:hAnsi="宋体"/>
          <w:color w:val="000000"/>
          <w:szCs w:val="21"/>
        </w:rPr>
        <w:t>报价大小写不一致时以大写为准；</w:t>
      </w:r>
    </w:p>
    <w:p>
      <w:pPr>
        <w:snapToGrid w:val="0"/>
        <w:spacing w:line="360" w:lineRule="auto"/>
        <w:ind w:firstLine="413" w:firstLineChars="197"/>
        <w:rPr>
          <w:color w:val="000000"/>
          <w:szCs w:val="21"/>
        </w:rPr>
      </w:pPr>
      <w:r>
        <w:rPr>
          <w:rFonts w:hint="eastAsia"/>
          <w:color w:val="000000"/>
          <w:szCs w:val="21"/>
        </w:rPr>
        <w:t>3、投标报价应包括本谈判文件所确定的采购范围内的全部工作内容的价格体现，并视为本项目所有的采购内容投标；</w:t>
      </w:r>
    </w:p>
    <w:p>
      <w:pPr>
        <w:tabs>
          <w:tab w:val="left" w:pos="360"/>
        </w:tabs>
        <w:snapToGrid w:val="0"/>
        <w:spacing w:line="360" w:lineRule="auto"/>
        <w:ind w:right="-119" w:firstLine="413" w:firstLineChars="197"/>
        <w:rPr>
          <w:rFonts w:hAnsi="宋体"/>
          <w:color w:val="000000"/>
          <w:szCs w:val="21"/>
        </w:rPr>
      </w:pPr>
      <w:r>
        <w:rPr>
          <w:rFonts w:hint="eastAsia"/>
          <w:color w:val="000000"/>
          <w:szCs w:val="21"/>
        </w:rPr>
        <w:t>4</w:t>
      </w:r>
      <w:r>
        <w:rPr>
          <w:rFonts w:hAnsi="宋体"/>
          <w:color w:val="000000"/>
          <w:szCs w:val="21"/>
        </w:rPr>
        <w:t>、</w:t>
      </w:r>
      <w:r>
        <w:rPr>
          <w:rFonts w:hint="eastAsia" w:hAnsi="宋体"/>
          <w:color w:val="000000"/>
          <w:szCs w:val="21"/>
        </w:rPr>
        <w:t>报价</w:t>
      </w:r>
      <w:r>
        <w:rPr>
          <w:rFonts w:hAnsi="宋体"/>
          <w:color w:val="000000"/>
          <w:szCs w:val="21"/>
        </w:rPr>
        <w:t>一览表格式不得自行改动。</w:t>
      </w:r>
    </w:p>
    <w:p>
      <w:pPr>
        <w:tabs>
          <w:tab w:val="left" w:pos="360"/>
        </w:tabs>
        <w:snapToGrid w:val="0"/>
        <w:spacing w:line="360" w:lineRule="auto"/>
        <w:ind w:right="-119" w:firstLine="354" w:firstLineChars="147"/>
        <w:rPr>
          <w:rFonts w:hAnsi="宋体"/>
          <w:b/>
          <w:color w:val="000000"/>
          <w:sz w:val="24"/>
        </w:rPr>
      </w:pPr>
    </w:p>
    <w:p>
      <w:pPr>
        <w:spacing w:line="480" w:lineRule="exact"/>
        <w:ind w:firstLine="422" w:firstLineChars="200"/>
        <w:rPr>
          <w:rFonts w:ascii="宋体" w:hAnsi="宋体"/>
          <w:color w:val="000000"/>
          <w:szCs w:val="21"/>
        </w:rPr>
      </w:pPr>
      <w:r>
        <w:rPr>
          <w:rFonts w:hint="eastAsia" w:ascii="宋体" w:hAnsi="宋体"/>
          <w:b/>
          <w:color w:val="000000"/>
          <w:szCs w:val="21"/>
        </w:rPr>
        <w:t>投标人</w:t>
      </w:r>
      <w:r>
        <w:rPr>
          <w:rFonts w:hint="eastAsia" w:ascii="宋体" w:hAnsi="宋体"/>
          <w:color w:val="000000"/>
          <w:szCs w:val="21"/>
        </w:rPr>
        <w:t>（盖章）：</w:t>
      </w:r>
    </w:p>
    <w:p>
      <w:pPr>
        <w:spacing w:line="480" w:lineRule="exact"/>
        <w:ind w:firstLine="422" w:firstLineChars="200"/>
        <w:rPr>
          <w:rFonts w:ascii="宋体" w:hAnsi="宋体"/>
          <w:color w:val="000000"/>
          <w:szCs w:val="21"/>
        </w:rPr>
      </w:pPr>
      <w:r>
        <w:rPr>
          <w:rFonts w:hint="eastAsia" w:ascii="宋体" w:hAnsi="宋体"/>
          <w:b/>
          <w:color w:val="000000"/>
          <w:szCs w:val="21"/>
        </w:rPr>
        <w:t>法定代表人或其授权代表</w:t>
      </w:r>
      <w:r>
        <w:rPr>
          <w:rFonts w:hint="eastAsia" w:ascii="宋体" w:hAnsi="宋体"/>
          <w:color w:val="000000"/>
          <w:szCs w:val="21"/>
        </w:rPr>
        <w:t>（签字）：</w:t>
      </w:r>
    </w:p>
    <w:p>
      <w:pPr>
        <w:spacing w:line="480" w:lineRule="exact"/>
        <w:ind w:firstLine="422" w:firstLineChars="200"/>
        <w:rPr>
          <w:rFonts w:ascii="宋体" w:hAnsi="宋体"/>
          <w:b/>
          <w:color w:val="000000"/>
          <w:szCs w:val="21"/>
        </w:rPr>
      </w:pPr>
      <w:r>
        <w:rPr>
          <w:rFonts w:hint="eastAsia" w:ascii="宋体" w:hAnsi="宋体"/>
          <w:b/>
          <w:color w:val="000000"/>
          <w:szCs w:val="21"/>
        </w:rPr>
        <w:t>日期：</w:t>
      </w:r>
      <w:r>
        <w:rPr>
          <w:rFonts w:hint="eastAsia" w:ascii="宋体" w:hAnsi="宋体"/>
          <w:b/>
          <w:color w:val="000000"/>
          <w:szCs w:val="21"/>
          <w:u w:val="single"/>
        </w:rPr>
        <w:t xml:space="preserve">     </w:t>
      </w:r>
      <w:r>
        <w:rPr>
          <w:rFonts w:hint="eastAsia" w:ascii="宋体" w:hAnsi="宋体"/>
          <w:b/>
          <w:color w:val="000000"/>
          <w:szCs w:val="21"/>
        </w:rPr>
        <w:t>年</w:t>
      </w:r>
      <w:r>
        <w:rPr>
          <w:rFonts w:hint="eastAsia" w:ascii="宋体" w:hAnsi="宋体"/>
          <w:b/>
          <w:color w:val="000000"/>
          <w:szCs w:val="21"/>
          <w:u w:val="single"/>
        </w:rPr>
        <w:t xml:space="preserve">     </w:t>
      </w:r>
      <w:r>
        <w:rPr>
          <w:rFonts w:hint="eastAsia" w:ascii="宋体" w:hAnsi="宋体"/>
          <w:b/>
          <w:color w:val="000000"/>
          <w:szCs w:val="21"/>
        </w:rPr>
        <w:t xml:space="preserve">月 </w:t>
      </w:r>
      <w:r>
        <w:rPr>
          <w:rFonts w:hint="eastAsia" w:ascii="宋体" w:hAnsi="宋体"/>
          <w:b/>
          <w:color w:val="000000"/>
          <w:szCs w:val="21"/>
          <w:u w:val="single"/>
        </w:rPr>
        <w:t xml:space="preserve">    </w:t>
      </w:r>
      <w:r>
        <w:rPr>
          <w:rFonts w:hint="eastAsia" w:ascii="宋体" w:hAnsi="宋体"/>
          <w:b/>
          <w:color w:val="000000"/>
          <w:szCs w:val="21"/>
        </w:rPr>
        <w:t>日</w:t>
      </w:r>
    </w:p>
    <w:p>
      <w:pPr>
        <w:snapToGrid w:val="0"/>
        <w:spacing w:line="360" w:lineRule="auto"/>
        <w:jc w:val="center"/>
        <w:rPr>
          <w:rFonts w:ascii="宋体" w:hAnsi="宋体"/>
          <w:b/>
          <w:color w:val="000000"/>
          <w:szCs w:val="21"/>
        </w:rPr>
      </w:pPr>
    </w:p>
    <w:p>
      <w:pPr>
        <w:snapToGrid w:val="0"/>
        <w:spacing w:line="360" w:lineRule="auto"/>
        <w:jc w:val="center"/>
        <w:rPr>
          <w:rFonts w:ascii="宋体" w:hAnsi="宋体"/>
          <w:b/>
          <w:color w:val="000000"/>
          <w:szCs w:val="21"/>
        </w:rPr>
      </w:pPr>
    </w:p>
    <w:p>
      <w:pPr>
        <w:snapToGrid w:val="0"/>
        <w:spacing w:line="360" w:lineRule="auto"/>
        <w:rPr>
          <w:rFonts w:hAnsi="宋体"/>
          <w:b/>
          <w:color w:val="000000"/>
          <w:sz w:val="28"/>
          <w:szCs w:val="28"/>
        </w:rPr>
      </w:pPr>
    </w:p>
    <w:p>
      <w:pPr>
        <w:snapToGrid w:val="0"/>
        <w:spacing w:line="360" w:lineRule="auto"/>
        <w:jc w:val="center"/>
        <w:rPr>
          <w:rFonts w:hAnsi="宋体"/>
          <w:b/>
          <w:color w:val="000000"/>
          <w:sz w:val="28"/>
          <w:szCs w:val="28"/>
        </w:rPr>
      </w:pPr>
      <w:r>
        <w:rPr>
          <w:rFonts w:hAnsi="宋体"/>
          <w:b/>
          <w:color w:val="000000"/>
          <w:sz w:val="28"/>
          <w:szCs w:val="28"/>
        </w:rPr>
        <w:t>表</w:t>
      </w:r>
      <w:r>
        <w:rPr>
          <w:rFonts w:hint="eastAsia" w:hAnsi="宋体"/>
          <w:b/>
          <w:color w:val="000000"/>
          <w:sz w:val="28"/>
          <w:szCs w:val="28"/>
        </w:rPr>
        <w:t>3</w:t>
      </w:r>
      <w:r>
        <w:rPr>
          <w:rFonts w:hAnsi="宋体"/>
          <w:b/>
          <w:color w:val="000000"/>
          <w:sz w:val="28"/>
          <w:szCs w:val="28"/>
        </w:rPr>
        <w:t>、</w:t>
      </w:r>
      <w:r>
        <w:rPr>
          <w:rFonts w:hint="eastAsia" w:hAnsi="宋体"/>
          <w:b/>
          <w:color w:val="000000"/>
          <w:sz w:val="28"/>
          <w:szCs w:val="28"/>
        </w:rPr>
        <w:t>技术及资质要求响应表</w:t>
      </w:r>
    </w:p>
    <w:p>
      <w:pPr>
        <w:snapToGrid w:val="0"/>
        <w:spacing w:line="360" w:lineRule="auto"/>
        <w:jc w:val="center"/>
        <w:rPr>
          <w:rFonts w:ascii="宋体" w:hAnsi="宋体"/>
          <w:b/>
          <w:color w:val="000000"/>
          <w:szCs w:val="21"/>
        </w:rPr>
      </w:pPr>
    </w:p>
    <w:p>
      <w:pPr>
        <w:snapToGrid w:val="0"/>
        <w:spacing w:line="360" w:lineRule="auto"/>
        <w:ind w:firstLine="480" w:firstLineChars="200"/>
        <w:rPr>
          <w:rFonts w:ascii="宋体" w:hAnsi="宋体"/>
          <w:color w:val="000000"/>
          <w:sz w:val="24"/>
          <w:u w:val="single"/>
        </w:rPr>
      </w:pPr>
      <w:r>
        <w:rPr>
          <w:rFonts w:hint="eastAsia" w:ascii="宋体" w:hAnsi="宋体"/>
          <w:color w:val="000000"/>
          <w:sz w:val="24"/>
        </w:rPr>
        <w:t>说明：投标人必须仔细阅读谈判文件中所有技术规范条款和相关功能要求，并对所有技术规范、功能及资质要求条目列入下表，未列入下表的视作投标人不响应。带★的指标列入下表时，必须在指标前面保留★，否则视为不响应。</w:t>
      </w:r>
      <w:r>
        <w:rPr>
          <w:rFonts w:hint="eastAsia" w:ascii="宋体" w:hAnsi="宋体"/>
          <w:b/>
          <w:color w:val="000000"/>
          <w:sz w:val="24"/>
          <w:u w:val="single"/>
        </w:rPr>
        <w:t>投标人必须根据所投产品的实际情况如实填写，如发现有虚假描述的，该投标文件无效，并报政府采购主管部门严肃处理。</w:t>
      </w:r>
    </w:p>
    <w:tbl>
      <w:tblPr>
        <w:tblStyle w:val="5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693"/>
        <w:gridCol w:w="2405"/>
        <w:gridCol w:w="2590"/>
        <w:gridCol w:w="92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639" w:type="dxa"/>
            <w:tcBorders>
              <w:bottom w:val="single" w:color="auto" w:sz="4" w:space="0"/>
            </w:tcBorders>
            <w:shd w:val="clear" w:color="auto" w:fill="D9D9D9"/>
            <w:vAlign w:val="center"/>
          </w:tcPr>
          <w:p>
            <w:pPr>
              <w:snapToGrid w:val="0"/>
              <w:spacing w:line="360" w:lineRule="auto"/>
              <w:jc w:val="center"/>
              <w:rPr>
                <w:rFonts w:ascii="宋体" w:hAnsi="宋体"/>
                <w:szCs w:val="21"/>
              </w:rPr>
            </w:pPr>
            <w:r>
              <w:rPr>
                <w:rFonts w:hint="eastAsia" w:ascii="宋体" w:hAnsi="宋体"/>
                <w:szCs w:val="21"/>
              </w:rPr>
              <w:t>序号</w:t>
            </w:r>
          </w:p>
        </w:tc>
        <w:tc>
          <w:tcPr>
            <w:tcW w:w="1693" w:type="dxa"/>
            <w:tcBorders>
              <w:bottom w:val="single" w:color="auto" w:sz="4" w:space="0"/>
            </w:tcBorders>
            <w:shd w:val="clear" w:color="auto" w:fill="D9D9D9"/>
          </w:tcPr>
          <w:p>
            <w:pPr>
              <w:snapToGrid w:val="0"/>
              <w:spacing w:line="360" w:lineRule="auto"/>
              <w:jc w:val="center"/>
              <w:rPr>
                <w:rFonts w:ascii="宋体" w:hAnsi="宋体"/>
                <w:szCs w:val="21"/>
              </w:rPr>
            </w:pPr>
            <w:r>
              <w:rPr>
                <w:rFonts w:hint="eastAsia" w:ascii="宋体" w:hAnsi="宋体"/>
                <w:szCs w:val="21"/>
              </w:rPr>
              <w:t>产品名称</w:t>
            </w:r>
          </w:p>
        </w:tc>
        <w:tc>
          <w:tcPr>
            <w:tcW w:w="2405" w:type="dxa"/>
            <w:tcBorders>
              <w:bottom w:val="single" w:color="auto" w:sz="4" w:space="0"/>
            </w:tcBorders>
            <w:shd w:val="clear" w:color="auto" w:fill="D9D9D9"/>
            <w:vAlign w:val="center"/>
          </w:tcPr>
          <w:p>
            <w:pPr>
              <w:snapToGrid w:val="0"/>
              <w:spacing w:line="360" w:lineRule="auto"/>
              <w:jc w:val="center"/>
              <w:rPr>
                <w:rFonts w:ascii="宋体" w:hAnsi="宋体"/>
                <w:szCs w:val="21"/>
              </w:rPr>
            </w:pPr>
            <w:r>
              <w:rPr>
                <w:rFonts w:hint="eastAsia" w:ascii="宋体" w:hAnsi="宋体"/>
                <w:szCs w:val="21"/>
              </w:rPr>
              <w:t>谈判文件技术参数、功能及资质要求</w:t>
            </w:r>
          </w:p>
        </w:tc>
        <w:tc>
          <w:tcPr>
            <w:tcW w:w="2590" w:type="dxa"/>
            <w:tcBorders>
              <w:bottom w:val="single" w:color="auto" w:sz="4" w:space="0"/>
            </w:tcBorders>
            <w:shd w:val="clear" w:color="auto" w:fill="D9D9D9"/>
            <w:vAlign w:val="center"/>
          </w:tcPr>
          <w:p>
            <w:pPr>
              <w:snapToGrid w:val="0"/>
              <w:spacing w:line="360" w:lineRule="auto"/>
              <w:jc w:val="center"/>
              <w:rPr>
                <w:rFonts w:ascii="宋体" w:hAnsi="宋体"/>
                <w:szCs w:val="21"/>
              </w:rPr>
            </w:pPr>
            <w:r>
              <w:rPr>
                <w:rFonts w:hint="eastAsia" w:ascii="宋体" w:hAnsi="宋体"/>
                <w:szCs w:val="21"/>
              </w:rPr>
              <w:t>报价文件响应</w:t>
            </w:r>
          </w:p>
        </w:tc>
        <w:tc>
          <w:tcPr>
            <w:tcW w:w="925" w:type="dxa"/>
            <w:tcBorders>
              <w:bottom w:val="single" w:color="auto" w:sz="4" w:space="0"/>
            </w:tcBorders>
            <w:shd w:val="clear" w:color="auto" w:fill="D9D9D9"/>
            <w:vAlign w:val="center"/>
          </w:tcPr>
          <w:p>
            <w:pPr>
              <w:snapToGrid w:val="0"/>
              <w:spacing w:line="360" w:lineRule="auto"/>
              <w:jc w:val="center"/>
              <w:rPr>
                <w:rFonts w:ascii="宋体" w:hAnsi="宋体"/>
                <w:szCs w:val="21"/>
              </w:rPr>
            </w:pPr>
            <w:r>
              <w:rPr>
                <w:rFonts w:hint="eastAsia" w:ascii="宋体" w:hAnsi="宋体"/>
                <w:szCs w:val="21"/>
              </w:rPr>
              <w:t>偏离情况</w:t>
            </w:r>
          </w:p>
        </w:tc>
        <w:tc>
          <w:tcPr>
            <w:tcW w:w="856" w:type="dxa"/>
            <w:tcBorders>
              <w:bottom w:val="single" w:color="auto" w:sz="4" w:space="0"/>
            </w:tcBorders>
            <w:shd w:val="clear" w:color="auto" w:fill="D9D9D9"/>
            <w:vAlign w:val="center"/>
          </w:tcPr>
          <w:p>
            <w:pPr>
              <w:snapToGrid w:val="0"/>
              <w:spacing w:line="360" w:lineRule="auto"/>
              <w:jc w:val="center"/>
              <w:rPr>
                <w:rFonts w:ascii="宋体" w:hAnsi="宋体"/>
                <w:szCs w:val="21"/>
              </w:rPr>
            </w:pPr>
            <w:r>
              <w:rPr>
                <w:rFonts w:hint="eastAsia" w:ascii="宋体" w:hAnsi="宋体"/>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639" w:type="dxa"/>
            <w:vAlign w:val="center"/>
          </w:tcPr>
          <w:p>
            <w:pPr>
              <w:spacing w:line="360" w:lineRule="auto"/>
              <w:jc w:val="center"/>
              <w:rPr>
                <w:rFonts w:ascii="宋体" w:hAnsi="宋体"/>
                <w:szCs w:val="21"/>
              </w:rPr>
            </w:pPr>
            <w:r>
              <w:rPr>
                <w:rFonts w:hint="eastAsia" w:ascii="宋体" w:hAnsi="宋体"/>
                <w:szCs w:val="21"/>
              </w:rPr>
              <w:t>1</w:t>
            </w:r>
          </w:p>
        </w:tc>
        <w:tc>
          <w:tcPr>
            <w:tcW w:w="1693" w:type="dxa"/>
            <w:vAlign w:val="center"/>
          </w:tcPr>
          <w:p>
            <w:pPr>
              <w:snapToGrid w:val="0"/>
              <w:spacing w:line="360" w:lineRule="auto"/>
              <w:jc w:val="center"/>
              <w:rPr>
                <w:rFonts w:ascii="宋体" w:hAnsi="宋体"/>
                <w:szCs w:val="21"/>
              </w:rPr>
            </w:pPr>
          </w:p>
        </w:tc>
        <w:tc>
          <w:tcPr>
            <w:tcW w:w="2405" w:type="dxa"/>
            <w:vAlign w:val="center"/>
          </w:tcPr>
          <w:p>
            <w:pPr>
              <w:snapToGrid w:val="0"/>
              <w:spacing w:line="360" w:lineRule="auto"/>
              <w:jc w:val="center"/>
              <w:rPr>
                <w:rFonts w:ascii="宋体" w:hAnsi="宋体"/>
                <w:szCs w:val="21"/>
              </w:rPr>
            </w:pPr>
          </w:p>
        </w:tc>
        <w:tc>
          <w:tcPr>
            <w:tcW w:w="2590" w:type="dxa"/>
            <w:vAlign w:val="center"/>
          </w:tcPr>
          <w:p>
            <w:pPr>
              <w:snapToGrid w:val="0"/>
              <w:spacing w:line="360" w:lineRule="auto"/>
              <w:jc w:val="center"/>
              <w:rPr>
                <w:rFonts w:ascii="宋体" w:hAnsi="宋体"/>
                <w:szCs w:val="21"/>
              </w:rPr>
            </w:pPr>
          </w:p>
        </w:tc>
        <w:tc>
          <w:tcPr>
            <w:tcW w:w="925" w:type="dxa"/>
            <w:vAlign w:val="center"/>
          </w:tcPr>
          <w:p>
            <w:pPr>
              <w:snapToGrid w:val="0"/>
              <w:spacing w:line="360" w:lineRule="auto"/>
              <w:jc w:val="center"/>
              <w:rPr>
                <w:rFonts w:ascii="宋体" w:hAnsi="宋体"/>
                <w:szCs w:val="21"/>
              </w:rPr>
            </w:pPr>
          </w:p>
        </w:tc>
        <w:tc>
          <w:tcPr>
            <w:tcW w:w="856"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639" w:type="dxa"/>
            <w:vAlign w:val="center"/>
          </w:tcPr>
          <w:p>
            <w:pPr>
              <w:spacing w:line="360" w:lineRule="auto"/>
              <w:jc w:val="center"/>
              <w:rPr>
                <w:rFonts w:ascii="宋体" w:hAnsi="宋体"/>
                <w:szCs w:val="21"/>
              </w:rPr>
            </w:pPr>
            <w:r>
              <w:rPr>
                <w:rFonts w:hint="eastAsia" w:ascii="宋体" w:hAnsi="宋体"/>
                <w:szCs w:val="21"/>
              </w:rPr>
              <w:t>2</w:t>
            </w:r>
          </w:p>
        </w:tc>
        <w:tc>
          <w:tcPr>
            <w:tcW w:w="1693" w:type="dxa"/>
            <w:vAlign w:val="center"/>
          </w:tcPr>
          <w:p>
            <w:pPr>
              <w:snapToGrid w:val="0"/>
              <w:spacing w:line="360" w:lineRule="auto"/>
              <w:jc w:val="center"/>
              <w:rPr>
                <w:rFonts w:ascii="宋体" w:hAnsi="宋体"/>
                <w:szCs w:val="21"/>
              </w:rPr>
            </w:pPr>
          </w:p>
        </w:tc>
        <w:tc>
          <w:tcPr>
            <w:tcW w:w="2405" w:type="dxa"/>
            <w:vAlign w:val="center"/>
          </w:tcPr>
          <w:p>
            <w:pPr>
              <w:snapToGrid w:val="0"/>
              <w:spacing w:line="360" w:lineRule="auto"/>
              <w:jc w:val="center"/>
              <w:rPr>
                <w:rFonts w:ascii="宋体" w:hAnsi="宋体"/>
                <w:szCs w:val="21"/>
              </w:rPr>
            </w:pPr>
          </w:p>
        </w:tc>
        <w:tc>
          <w:tcPr>
            <w:tcW w:w="2590" w:type="dxa"/>
            <w:vAlign w:val="center"/>
          </w:tcPr>
          <w:p>
            <w:pPr>
              <w:snapToGrid w:val="0"/>
              <w:spacing w:line="360" w:lineRule="auto"/>
              <w:jc w:val="center"/>
              <w:rPr>
                <w:rFonts w:ascii="宋体" w:hAnsi="宋体"/>
                <w:szCs w:val="21"/>
              </w:rPr>
            </w:pPr>
          </w:p>
        </w:tc>
        <w:tc>
          <w:tcPr>
            <w:tcW w:w="925" w:type="dxa"/>
            <w:vAlign w:val="center"/>
          </w:tcPr>
          <w:p>
            <w:pPr>
              <w:snapToGrid w:val="0"/>
              <w:spacing w:line="360" w:lineRule="auto"/>
              <w:jc w:val="center"/>
              <w:rPr>
                <w:rFonts w:ascii="宋体" w:hAnsi="宋体"/>
                <w:szCs w:val="21"/>
              </w:rPr>
            </w:pPr>
          </w:p>
        </w:tc>
        <w:tc>
          <w:tcPr>
            <w:tcW w:w="856"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639" w:type="dxa"/>
            <w:vAlign w:val="center"/>
          </w:tcPr>
          <w:p>
            <w:pPr>
              <w:spacing w:line="360" w:lineRule="auto"/>
              <w:jc w:val="center"/>
              <w:rPr>
                <w:rFonts w:ascii="宋体" w:hAnsi="宋体"/>
                <w:szCs w:val="21"/>
              </w:rPr>
            </w:pPr>
            <w:r>
              <w:rPr>
                <w:rFonts w:hint="eastAsia" w:ascii="宋体" w:hAnsi="宋体"/>
                <w:szCs w:val="21"/>
              </w:rPr>
              <w:t>3</w:t>
            </w:r>
          </w:p>
        </w:tc>
        <w:tc>
          <w:tcPr>
            <w:tcW w:w="1693" w:type="dxa"/>
            <w:vAlign w:val="center"/>
          </w:tcPr>
          <w:p>
            <w:pPr>
              <w:snapToGrid w:val="0"/>
              <w:spacing w:line="360" w:lineRule="auto"/>
              <w:jc w:val="center"/>
              <w:rPr>
                <w:rFonts w:ascii="宋体" w:hAnsi="宋体"/>
                <w:szCs w:val="21"/>
              </w:rPr>
            </w:pPr>
          </w:p>
        </w:tc>
        <w:tc>
          <w:tcPr>
            <w:tcW w:w="2405" w:type="dxa"/>
            <w:vAlign w:val="center"/>
          </w:tcPr>
          <w:p>
            <w:pPr>
              <w:snapToGrid w:val="0"/>
              <w:spacing w:line="360" w:lineRule="auto"/>
              <w:jc w:val="center"/>
              <w:rPr>
                <w:rFonts w:ascii="宋体" w:hAnsi="宋体"/>
                <w:szCs w:val="21"/>
              </w:rPr>
            </w:pPr>
          </w:p>
        </w:tc>
        <w:tc>
          <w:tcPr>
            <w:tcW w:w="2590" w:type="dxa"/>
            <w:vAlign w:val="center"/>
          </w:tcPr>
          <w:p>
            <w:pPr>
              <w:snapToGrid w:val="0"/>
              <w:spacing w:line="360" w:lineRule="auto"/>
              <w:jc w:val="center"/>
              <w:rPr>
                <w:rFonts w:ascii="宋体" w:hAnsi="宋体"/>
                <w:szCs w:val="21"/>
              </w:rPr>
            </w:pPr>
          </w:p>
        </w:tc>
        <w:tc>
          <w:tcPr>
            <w:tcW w:w="925" w:type="dxa"/>
            <w:vAlign w:val="center"/>
          </w:tcPr>
          <w:p>
            <w:pPr>
              <w:snapToGrid w:val="0"/>
              <w:spacing w:line="360" w:lineRule="auto"/>
              <w:jc w:val="center"/>
              <w:rPr>
                <w:rFonts w:ascii="宋体" w:hAnsi="宋体"/>
                <w:szCs w:val="21"/>
              </w:rPr>
            </w:pPr>
          </w:p>
        </w:tc>
        <w:tc>
          <w:tcPr>
            <w:tcW w:w="856"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639" w:type="dxa"/>
            <w:vAlign w:val="center"/>
          </w:tcPr>
          <w:p>
            <w:pPr>
              <w:spacing w:line="360" w:lineRule="auto"/>
              <w:jc w:val="center"/>
              <w:rPr>
                <w:rFonts w:ascii="宋体" w:hAnsi="宋体"/>
                <w:szCs w:val="21"/>
              </w:rPr>
            </w:pPr>
            <w:r>
              <w:rPr>
                <w:rFonts w:hint="eastAsia" w:ascii="宋体" w:hAnsi="宋体"/>
                <w:szCs w:val="21"/>
              </w:rPr>
              <w:t>4</w:t>
            </w:r>
          </w:p>
        </w:tc>
        <w:tc>
          <w:tcPr>
            <w:tcW w:w="1693" w:type="dxa"/>
            <w:vAlign w:val="center"/>
          </w:tcPr>
          <w:p>
            <w:pPr>
              <w:snapToGrid w:val="0"/>
              <w:spacing w:line="360" w:lineRule="auto"/>
              <w:jc w:val="center"/>
              <w:rPr>
                <w:rFonts w:ascii="宋体" w:hAnsi="宋体"/>
                <w:szCs w:val="21"/>
              </w:rPr>
            </w:pPr>
          </w:p>
        </w:tc>
        <w:tc>
          <w:tcPr>
            <w:tcW w:w="2405" w:type="dxa"/>
            <w:vAlign w:val="center"/>
          </w:tcPr>
          <w:p>
            <w:pPr>
              <w:snapToGrid w:val="0"/>
              <w:spacing w:line="360" w:lineRule="auto"/>
              <w:jc w:val="center"/>
              <w:rPr>
                <w:rFonts w:ascii="宋体" w:hAnsi="宋体"/>
                <w:szCs w:val="21"/>
              </w:rPr>
            </w:pPr>
          </w:p>
        </w:tc>
        <w:tc>
          <w:tcPr>
            <w:tcW w:w="2590" w:type="dxa"/>
            <w:vAlign w:val="center"/>
          </w:tcPr>
          <w:p>
            <w:pPr>
              <w:snapToGrid w:val="0"/>
              <w:spacing w:line="360" w:lineRule="auto"/>
              <w:jc w:val="center"/>
              <w:rPr>
                <w:rFonts w:ascii="宋体" w:hAnsi="宋体"/>
                <w:szCs w:val="21"/>
              </w:rPr>
            </w:pPr>
          </w:p>
        </w:tc>
        <w:tc>
          <w:tcPr>
            <w:tcW w:w="925" w:type="dxa"/>
            <w:vAlign w:val="center"/>
          </w:tcPr>
          <w:p>
            <w:pPr>
              <w:snapToGrid w:val="0"/>
              <w:spacing w:line="360" w:lineRule="auto"/>
              <w:jc w:val="center"/>
              <w:rPr>
                <w:rFonts w:ascii="宋体" w:hAnsi="宋体"/>
                <w:szCs w:val="21"/>
              </w:rPr>
            </w:pPr>
          </w:p>
        </w:tc>
        <w:tc>
          <w:tcPr>
            <w:tcW w:w="856"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639" w:type="dxa"/>
            <w:vAlign w:val="center"/>
          </w:tcPr>
          <w:p>
            <w:pPr>
              <w:spacing w:line="360" w:lineRule="auto"/>
              <w:jc w:val="center"/>
              <w:rPr>
                <w:rFonts w:ascii="宋体" w:hAnsi="宋体"/>
                <w:szCs w:val="21"/>
              </w:rPr>
            </w:pPr>
            <w:r>
              <w:rPr>
                <w:rFonts w:hint="eastAsia" w:ascii="宋体" w:hAnsi="宋体"/>
                <w:szCs w:val="21"/>
              </w:rPr>
              <w:t>5</w:t>
            </w:r>
          </w:p>
        </w:tc>
        <w:tc>
          <w:tcPr>
            <w:tcW w:w="1693" w:type="dxa"/>
            <w:vAlign w:val="center"/>
          </w:tcPr>
          <w:p>
            <w:pPr>
              <w:snapToGrid w:val="0"/>
              <w:spacing w:line="360" w:lineRule="auto"/>
              <w:jc w:val="center"/>
              <w:rPr>
                <w:rFonts w:ascii="宋体" w:hAnsi="宋体"/>
                <w:szCs w:val="21"/>
              </w:rPr>
            </w:pPr>
            <w:r>
              <w:rPr>
                <w:rFonts w:ascii="宋体" w:hAnsi="宋体"/>
                <w:szCs w:val="21"/>
              </w:rPr>
              <w:t>…</w:t>
            </w:r>
          </w:p>
        </w:tc>
        <w:tc>
          <w:tcPr>
            <w:tcW w:w="2405" w:type="dxa"/>
            <w:vAlign w:val="center"/>
          </w:tcPr>
          <w:p>
            <w:pPr>
              <w:snapToGrid w:val="0"/>
              <w:spacing w:line="360" w:lineRule="auto"/>
              <w:jc w:val="center"/>
              <w:rPr>
                <w:rFonts w:ascii="宋体" w:hAnsi="宋体"/>
                <w:szCs w:val="21"/>
              </w:rPr>
            </w:pPr>
          </w:p>
        </w:tc>
        <w:tc>
          <w:tcPr>
            <w:tcW w:w="2590" w:type="dxa"/>
            <w:vAlign w:val="center"/>
          </w:tcPr>
          <w:p>
            <w:pPr>
              <w:snapToGrid w:val="0"/>
              <w:spacing w:line="360" w:lineRule="auto"/>
              <w:jc w:val="center"/>
              <w:rPr>
                <w:rFonts w:ascii="宋体" w:hAnsi="宋体"/>
                <w:szCs w:val="21"/>
              </w:rPr>
            </w:pPr>
          </w:p>
        </w:tc>
        <w:tc>
          <w:tcPr>
            <w:tcW w:w="925" w:type="dxa"/>
            <w:vAlign w:val="center"/>
          </w:tcPr>
          <w:p>
            <w:pPr>
              <w:snapToGrid w:val="0"/>
              <w:spacing w:line="360" w:lineRule="auto"/>
              <w:jc w:val="center"/>
              <w:rPr>
                <w:rFonts w:ascii="宋体" w:hAnsi="宋体"/>
                <w:szCs w:val="21"/>
              </w:rPr>
            </w:pPr>
          </w:p>
        </w:tc>
        <w:tc>
          <w:tcPr>
            <w:tcW w:w="856" w:type="dxa"/>
            <w:vAlign w:val="center"/>
          </w:tcPr>
          <w:p>
            <w:pPr>
              <w:snapToGrid w:val="0"/>
              <w:spacing w:line="360" w:lineRule="auto"/>
              <w:jc w:val="center"/>
              <w:rPr>
                <w:rFonts w:ascii="宋体" w:hAnsi="宋体"/>
                <w:szCs w:val="21"/>
              </w:rPr>
            </w:pPr>
          </w:p>
        </w:tc>
      </w:tr>
    </w:tbl>
    <w:p>
      <w:pPr>
        <w:snapToGrid w:val="0"/>
        <w:spacing w:line="360" w:lineRule="auto"/>
        <w:rPr>
          <w:rFonts w:ascii="宋体" w:hAnsi="宋体"/>
          <w:bCs/>
          <w:sz w:val="24"/>
        </w:rPr>
      </w:pPr>
    </w:p>
    <w:p>
      <w:pPr>
        <w:snapToGrid w:val="0"/>
        <w:spacing w:line="360" w:lineRule="auto"/>
        <w:rPr>
          <w:rFonts w:ascii="宋体" w:hAnsi="宋体"/>
          <w:sz w:val="24"/>
        </w:rPr>
      </w:pPr>
      <w:r>
        <w:rPr>
          <w:rFonts w:hint="eastAsia" w:ascii="宋体" w:hAnsi="宋体"/>
          <w:bCs/>
          <w:sz w:val="24"/>
        </w:rPr>
        <w:t>投标人全称（公章）：            授权代表（签字）：</w:t>
      </w:r>
    </w:p>
    <w:p>
      <w:pPr>
        <w:tabs>
          <w:tab w:val="left" w:pos="11130"/>
        </w:tabs>
        <w:snapToGrid w:val="0"/>
        <w:spacing w:line="360" w:lineRule="auto"/>
        <w:ind w:firstLine="120" w:firstLineChars="50"/>
        <w:rPr>
          <w:rFonts w:ascii="宋体" w:hAnsi="宋体"/>
          <w:bCs/>
          <w:sz w:val="24"/>
        </w:rPr>
      </w:pPr>
    </w:p>
    <w:p>
      <w:pPr>
        <w:shd w:val="clear" w:color="auto" w:fill="FFFFFF"/>
        <w:snapToGrid w:val="0"/>
        <w:spacing w:line="360" w:lineRule="auto"/>
        <w:rPr>
          <w:rFonts w:ascii="宋体" w:hAnsi="宋体"/>
          <w:bCs/>
          <w:szCs w:val="21"/>
        </w:rPr>
      </w:pPr>
      <w:r>
        <w:rPr>
          <w:rFonts w:hint="eastAsia" w:ascii="宋体" w:hAnsi="宋体"/>
          <w:bCs/>
          <w:sz w:val="24"/>
        </w:rPr>
        <w:t>注：</w:t>
      </w:r>
      <w:r>
        <w:rPr>
          <w:rFonts w:hint="eastAsia" w:ascii="宋体" w:hAnsi="宋体"/>
          <w:bCs/>
          <w:szCs w:val="21"/>
        </w:rPr>
        <w:t xml:space="preserve"> 1、此表为表样，行数可自行添加，但表式不变。</w:t>
      </w:r>
    </w:p>
    <w:p>
      <w:pPr>
        <w:shd w:val="clear" w:color="auto" w:fill="FFFFFF"/>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b/>
          <w:szCs w:val="21"/>
          <w:u w:val="single"/>
        </w:rPr>
        <w:t>此表后面按响应顺序附上第三章中要求的各产品资质文件等相关复印件</w:t>
      </w:r>
      <w:r>
        <w:rPr>
          <w:rFonts w:hint="eastAsia" w:ascii="宋体" w:hAnsi="宋体"/>
          <w:b/>
          <w:szCs w:val="21"/>
        </w:rPr>
        <w:t>（如有），否则视为不满足</w:t>
      </w:r>
      <w:r>
        <w:rPr>
          <w:rFonts w:hint="eastAsia" w:ascii="宋体" w:hAnsi="宋体"/>
          <w:szCs w:val="21"/>
        </w:rPr>
        <w:t>。</w:t>
      </w:r>
    </w:p>
    <w:p>
      <w:pPr>
        <w:shd w:val="clear" w:color="auto" w:fill="FFFFFF"/>
        <w:snapToGrid w:val="0"/>
        <w:spacing w:line="360" w:lineRule="auto"/>
        <w:ind w:firstLine="420" w:firstLineChars="200"/>
        <w:rPr>
          <w:rFonts w:ascii="宋体" w:hAnsi="宋体"/>
          <w:bCs/>
          <w:szCs w:val="21"/>
        </w:rPr>
      </w:pPr>
      <w:r>
        <w:rPr>
          <w:rFonts w:hint="eastAsia" w:ascii="宋体" w:hAnsi="宋体"/>
          <w:bCs/>
          <w:szCs w:val="21"/>
        </w:rPr>
        <w:t>3、偏离情况说明分正偏离、完全响应、负偏离，分别表示优于要求、满足要求、不满足要求。</w:t>
      </w:r>
      <w:r>
        <w:rPr>
          <w:rFonts w:hint="eastAsia" w:ascii="宋体" w:hAnsi="宋体"/>
          <w:b/>
          <w:bCs/>
          <w:szCs w:val="21"/>
          <w:u w:val="single"/>
        </w:rPr>
        <w:t>评委评标时不能只根据投标人填写的偏离情况说明来判断是否响应</w:t>
      </w:r>
      <w:r>
        <w:rPr>
          <w:rFonts w:hint="eastAsia" w:ascii="宋体" w:hAnsi="宋体"/>
          <w:bCs/>
          <w:szCs w:val="21"/>
        </w:rPr>
        <w:t>，而应认真查阅“报价文件响应”内容以及相关的资料判断是否满足要求。</w:t>
      </w:r>
    </w:p>
    <w:p>
      <w:pPr>
        <w:tabs>
          <w:tab w:val="left" w:pos="11130"/>
        </w:tabs>
        <w:snapToGrid w:val="0"/>
        <w:spacing w:line="360" w:lineRule="auto"/>
        <w:ind w:firstLine="420" w:firstLineChars="200"/>
        <w:rPr>
          <w:rFonts w:ascii="宋体" w:hAnsi="宋体"/>
          <w:bCs/>
          <w:sz w:val="24"/>
        </w:rPr>
      </w:pPr>
      <w:r>
        <w:rPr>
          <w:rFonts w:hint="eastAsia" w:ascii="宋体" w:hAnsi="宋体"/>
        </w:rPr>
        <w:t>4、</w:t>
      </w:r>
      <w:r>
        <w:rPr>
          <w:rFonts w:hint="eastAsia" w:ascii="宋体" w:hAnsi="宋体"/>
          <w:b/>
        </w:rPr>
        <w:t>“页码索引”指“投标人技术参数、功能及资质响应”所对应的证明材料在投标人报价文件中的页码。</w:t>
      </w:r>
    </w:p>
    <w:p>
      <w:pPr>
        <w:snapToGrid w:val="0"/>
        <w:spacing w:line="360" w:lineRule="auto"/>
        <w:rPr>
          <w:rFonts w:ascii="宋体" w:hAnsi="宋体"/>
          <w:b/>
          <w:color w:val="000000"/>
          <w:szCs w:val="21"/>
        </w:rPr>
        <w:sectPr>
          <w:footnotePr>
            <w:pos w:val="beneathText"/>
          </w:footnotePr>
          <w:pgSz w:w="11906" w:h="16838"/>
          <w:pgMar w:top="1440" w:right="1559" w:bottom="1440" w:left="1559" w:header="851" w:footer="992" w:gutter="0"/>
          <w:cols w:space="720" w:num="1"/>
          <w:docGrid w:linePitch="312" w:charSpace="0"/>
        </w:sectPr>
      </w:pPr>
    </w:p>
    <w:p>
      <w:pPr>
        <w:jc w:val="center"/>
        <w:rPr>
          <w:rFonts w:hAnsi="宋体"/>
          <w:b/>
          <w:color w:val="000000"/>
          <w:sz w:val="28"/>
          <w:szCs w:val="28"/>
        </w:rPr>
      </w:pPr>
      <w:r>
        <w:rPr>
          <w:rFonts w:hint="eastAsia" w:hAnsi="宋体"/>
          <w:b/>
          <w:color w:val="000000"/>
          <w:sz w:val="28"/>
          <w:szCs w:val="28"/>
        </w:rPr>
        <w:t>表4、</w:t>
      </w:r>
      <w:bookmarkEnd w:id="8"/>
      <w:r>
        <w:rPr>
          <w:rFonts w:hint="eastAsia" w:hAnsi="宋体"/>
          <w:b/>
          <w:color w:val="000000"/>
          <w:sz w:val="28"/>
          <w:szCs w:val="28"/>
        </w:rPr>
        <w:t>授权委托书</w:t>
      </w:r>
    </w:p>
    <w:p>
      <w:pPr>
        <w:rPr>
          <w:rFonts w:ascii="宋体" w:hAnsi="宋体"/>
          <w:b/>
          <w:color w:val="000000"/>
          <w:szCs w:val="21"/>
        </w:rPr>
      </w:pPr>
    </w:p>
    <w:p>
      <w:pPr>
        <w:rPr>
          <w:rFonts w:ascii="宋体" w:hAnsi="宋体"/>
          <w:b/>
          <w:color w:val="000000"/>
          <w:szCs w:val="21"/>
        </w:rPr>
      </w:pPr>
    </w:p>
    <w:p>
      <w:pPr>
        <w:spacing w:line="500" w:lineRule="exact"/>
        <w:rPr>
          <w:b/>
          <w:color w:val="000000"/>
          <w:szCs w:val="21"/>
        </w:rPr>
      </w:pPr>
      <w:r>
        <w:rPr>
          <w:rFonts w:hAnsi="宋体"/>
          <w:b/>
          <w:color w:val="000000"/>
          <w:szCs w:val="21"/>
        </w:rPr>
        <w:t>致：四川恒鑫工程管理咨询有限公司</w:t>
      </w:r>
    </w:p>
    <w:p>
      <w:pPr>
        <w:spacing w:line="500" w:lineRule="exact"/>
        <w:rPr>
          <w:color w:val="000000"/>
          <w:szCs w:val="21"/>
        </w:rPr>
      </w:pPr>
      <w:r>
        <w:rPr>
          <w:rFonts w:hAnsi="宋体"/>
          <w:color w:val="000000"/>
          <w:szCs w:val="21"/>
        </w:rPr>
        <w:t>本授权书声明：</w:t>
      </w:r>
    </w:p>
    <w:p>
      <w:pPr>
        <w:spacing w:line="360" w:lineRule="auto"/>
        <w:rPr>
          <w:rFonts w:ascii="宋体" w:hAnsi="宋体"/>
          <w:szCs w:val="21"/>
          <w:u w:val="single"/>
        </w:rPr>
      </w:pPr>
      <w:r>
        <w:rPr>
          <w:rFonts w:hint="eastAsia" w:ascii="宋体" w:hAnsi="宋体"/>
          <w:szCs w:val="21"/>
        </w:rPr>
        <w:t>委托人：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受托人：姓名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出生日期：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hint="eastAsia" w:ascii="宋体" w:hAnsi="宋体"/>
          <w:szCs w:val="21"/>
        </w:rPr>
        <w:t>所在单位：</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身 份 证：</w:t>
      </w:r>
      <w:r>
        <w:rPr>
          <w:rFonts w:hint="eastAsia" w:ascii="宋体" w:hAnsi="宋体"/>
          <w:szCs w:val="21"/>
          <w:u w:val="single"/>
        </w:rPr>
        <w:t xml:space="preserve">                </w:t>
      </w:r>
      <w:r>
        <w:rPr>
          <w:rFonts w:hint="eastAsia" w:ascii="宋体" w:hAnsi="宋体"/>
          <w:szCs w:val="21"/>
        </w:rPr>
        <w:t>联系方式:</w:t>
      </w:r>
      <w:r>
        <w:rPr>
          <w:rFonts w:hint="eastAsia" w:ascii="宋体" w:hAnsi="宋体"/>
          <w:szCs w:val="21"/>
          <w:u w:val="single"/>
        </w:rPr>
        <w:t xml:space="preserve">                    </w:t>
      </w:r>
    </w:p>
    <w:p>
      <w:pPr>
        <w:spacing w:line="500" w:lineRule="exact"/>
        <w:ind w:firstLine="420" w:firstLineChars="200"/>
        <w:rPr>
          <w:color w:val="000000"/>
          <w:szCs w:val="21"/>
        </w:rPr>
      </w:pPr>
      <w:r>
        <w:rPr>
          <w:rFonts w:hAnsi="宋体"/>
          <w:color w:val="000000"/>
          <w:szCs w:val="21"/>
        </w:rPr>
        <w:t>兹委托受托人</w:t>
      </w:r>
      <w:r>
        <w:rPr>
          <w:rFonts w:hint="eastAsia" w:hAnsi="宋体"/>
          <w:color w:val="000000"/>
          <w:szCs w:val="21"/>
          <w:u w:val="single"/>
        </w:rPr>
        <w:t xml:space="preserve">        </w:t>
      </w:r>
      <w:r>
        <w:rPr>
          <w:rFonts w:hAnsi="宋体"/>
          <w:color w:val="000000"/>
          <w:szCs w:val="21"/>
        </w:rPr>
        <w:t>代表我方参加四川恒鑫工程管理咨询有限公司组织的</w:t>
      </w:r>
      <w:r>
        <w:rPr>
          <w:rFonts w:hint="eastAsia" w:hAnsi="宋体"/>
          <w:color w:val="000000"/>
          <w:szCs w:val="21"/>
          <w:u w:val="single"/>
        </w:rPr>
        <w:t xml:space="preserve"> 海口市灵山中学采购水泵房设备项目 </w:t>
      </w:r>
      <w:r>
        <w:rPr>
          <w:rFonts w:hAnsi="宋体"/>
          <w:color w:val="000000"/>
          <w:szCs w:val="21"/>
        </w:rPr>
        <w:t>（项目编号为：</w:t>
      </w:r>
      <w:r>
        <w:rPr>
          <w:color w:val="000000"/>
          <w:szCs w:val="21"/>
        </w:rPr>
        <w:t>SCHX-HK2016062</w:t>
      </w:r>
      <w:r>
        <w:rPr>
          <w:rFonts w:hAnsi="宋体"/>
          <w:color w:val="000000"/>
          <w:szCs w:val="21"/>
        </w:rPr>
        <w:t>）的政府采购活动，并授权其全权办理以下事宜：</w:t>
      </w:r>
    </w:p>
    <w:p>
      <w:pPr>
        <w:spacing w:line="500" w:lineRule="exact"/>
        <w:ind w:firstLine="420" w:firstLineChars="200"/>
        <w:rPr>
          <w:color w:val="000000"/>
          <w:szCs w:val="21"/>
        </w:rPr>
      </w:pPr>
      <w:r>
        <w:rPr>
          <w:color w:val="000000"/>
          <w:szCs w:val="21"/>
        </w:rPr>
        <w:t>1</w:t>
      </w:r>
      <w:r>
        <w:rPr>
          <w:rFonts w:hAnsi="宋体"/>
          <w:color w:val="000000"/>
          <w:szCs w:val="21"/>
        </w:rPr>
        <w:t>、参加</w:t>
      </w:r>
      <w:r>
        <w:rPr>
          <w:rFonts w:hint="eastAsia" w:hAnsi="宋体"/>
          <w:color w:val="000000"/>
          <w:szCs w:val="21"/>
        </w:rPr>
        <w:t>谈判</w:t>
      </w:r>
      <w:r>
        <w:rPr>
          <w:rFonts w:hAnsi="宋体"/>
          <w:color w:val="000000"/>
          <w:szCs w:val="21"/>
        </w:rPr>
        <w:t>活动；</w:t>
      </w:r>
    </w:p>
    <w:p>
      <w:pPr>
        <w:spacing w:line="500" w:lineRule="exact"/>
        <w:ind w:firstLine="420" w:firstLineChars="200"/>
        <w:rPr>
          <w:color w:val="000000"/>
          <w:szCs w:val="21"/>
        </w:rPr>
      </w:pPr>
      <w:r>
        <w:rPr>
          <w:color w:val="000000"/>
          <w:szCs w:val="21"/>
        </w:rPr>
        <w:t>2</w:t>
      </w:r>
      <w:r>
        <w:rPr>
          <w:rFonts w:hAnsi="宋体"/>
          <w:color w:val="000000"/>
          <w:szCs w:val="21"/>
        </w:rPr>
        <w:t>、出席</w:t>
      </w:r>
      <w:r>
        <w:rPr>
          <w:rFonts w:hint="eastAsia" w:hAnsi="宋体"/>
          <w:color w:val="000000"/>
          <w:szCs w:val="21"/>
        </w:rPr>
        <w:t>谈判</w:t>
      </w:r>
      <w:r>
        <w:rPr>
          <w:rFonts w:hAnsi="宋体"/>
          <w:color w:val="000000"/>
          <w:szCs w:val="21"/>
        </w:rPr>
        <w:t>会议；</w:t>
      </w:r>
    </w:p>
    <w:p>
      <w:pPr>
        <w:spacing w:line="500" w:lineRule="exact"/>
        <w:ind w:firstLine="420" w:firstLineChars="200"/>
        <w:rPr>
          <w:color w:val="000000"/>
          <w:szCs w:val="21"/>
        </w:rPr>
      </w:pPr>
      <w:r>
        <w:rPr>
          <w:color w:val="000000"/>
          <w:szCs w:val="21"/>
        </w:rPr>
        <w:t>3</w:t>
      </w:r>
      <w:r>
        <w:rPr>
          <w:rFonts w:hAnsi="宋体"/>
          <w:color w:val="000000"/>
          <w:szCs w:val="21"/>
        </w:rPr>
        <w:t>、签订与成交事宜有关的合同；</w:t>
      </w:r>
    </w:p>
    <w:p>
      <w:pPr>
        <w:spacing w:line="500" w:lineRule="exact"/>
        <w:ind w:firstLine="420" w:firstLineChars="200"/>
        <w:rPr>
          <w:color w:val="000000"/>
          <w:szCs w:val="21"/>
        </w:rPr>
      </w:pPr>
      <w:r>
        <w:rPr>
          <w:color w:val="000000"/>
          <w:szCs w:val="21"/>
        </w:rPr>
        <w:t>4</w:t>
      </w:r>
      <w:r>
        <w:rPr>
          <w:rFonts w:hAnsi="宋体"/>
          <w:color w:val="000000"/>
          <w:szCs w:val="21"/>
        </w:rPr>
        <w:t>、负责合同的履行、服务以及在合同履行过程中有关事宜的洽谈和处理。</w:t>
      </w:r>
    </w:p>
    <w:p>
      <w:pPr>
        <w:spacing w:line="500" w:lineRule="exact"/>
        <w:rPr>
          <w:color w:val="000000"/>
          <w:szCs w:val="21"/>
        </w:rPr>
      </w:pPr>
      <w:r>
        <w:rPr>
          <w:rFonts w:hAnsi="宋体"/>
          <w:color w:val="000000"/>
          <w:szCs w:val="21"/>
        </w:rPr>
        <w:t>受托人在办理上述事宜过程中以其自己的名义所签署的所有文件我方均予以承认。受托人无转委托权。</w:t>
      </w:r>
    </w:p>
    <w:p>
      <w:pPr>
        <w:spacing w:line="500" w:lineRule="exact"/>
        <w:ind w:firstLine="420" w:firstLineChars="200"/>
        <w:rPr>
          <w:color w:val="000000"/>
          <w:szCs w:val="21"/>
        </w:rPr>
      </w:pPr>
      <w:r>
        <w:rPr>
          <w:rFonts w:hAnsi="宋体"/>
          <w:color w:val="000000"/>
          <w:szCs w:val="21"/>
        </w:rPr>
        <w:t>委托期限：至上述事宜处理完毕止。</w:t>
      </w:r>
    </w:p>
    <w:p>
      <w:pPr>
        <w:spacing w:line="500" w:lineRule="exact"/>
        <w:ind w:firstLine="3360" w:firstLineChars="1600"/>
        <w:rPr>
          <w:color w:val="000000"/>
          <w:szCs w:val="21"/>
        </w:rPr>
      </w:pPr>
    </w:p>
    <w:p>
      <w:pPr>
        <w:spacing w:line="500" w:lineRule="exact"/>
        <w:ind w:firstLine="4305" w:firstLineChars="2050"/>
        <w:rPr>
          <w:color w:val="000000"/>
          <w:szCs w:val="21"/>
          <w:u w:val="single"/>
        </w:rPr>
      </w:pPr>
      <w:r>
        <w:rPr>
          <w:rFonts w:hAnsi="宋体"/>
          <w:color w:val="000000"/>
          <w:szCs w:val="21"/>
        </w:rPr>
        <w:t>委托单位</w:t>
      </w:r>
      <w:r>
        <w:rPr>
          <w:rFonts w:hint="eastAsia" w:hAnsi="宋体"/>
          <w:color w:val="000000"/>
          <w:szCs w:val="21"/>
        </w:rPr>
        <w:t>：</w:t>
      </w:r>
      <w:r>
        <w:rPr>
          <w:rFonts w:hint="eastAsia" w:hAnsi="宋体"/>
          <w:color w:val="000000"/>
          <w:szCs w:val="21"/>
          <w:u w:val="single"/>
        </w:rPr>
        <w:t xml:space="preserve">                    </w:t>
      </w:r>
      <w:r>
        <w:rPr>
          <w:rFonts w:hAnsi="宋体"/>
          <w:color w:val="000000"/>
          <w:szCs w:val="21"/>
          <w:u w:val="single"/>
        </w:rPr>
        <w:t>（公章）</w:t>
      </w:r>
    </w:p>
    <w:p>
      <w:pPr>
        <w:spacing w:line="500" w:lineRule="exact"/>
        <w:ind w:firstLine="4200" w:firstLineChars="2000"/>
        <w:rPr>
          <w:color w:val="000000"/>
          <w:szCs w:val="21"/>
          <w:u w:val="single"/>
        </w:rPr>
      </w:pPr>
      <w:r>
        <w:rPr>
          <w:rFonts w:hAnsi="宋体"/>
          <w:color w:val="000000"/>
          <w:szCs w:val="21"/>
        </w:rPr>
        <w:t>法定代表人</w:t>
      </w:r>
      <w:r>
        <w:rPr>
          <w:rFonts w:hint="eastAsia" w:hAnsi="宋体"/>
          <w:color w:val="000000"/>
          <w:szCs w:val="21"/>
        </w:rPr>
        <w:t>：</w:t>
      </w:r>
      <w:r>
        <w:rPr>
          <w:rFonts w:hint="eastAsia" w:hAnsi="宋体"/>
          <w:color w:val="000000"/>
          <w:szCs w:val="21"/>
          <w:u w:val="single"/>
        </w:rPr>
        <w:t xml:space="preserve">              </w:t>
      </w:r>
      <w:r>
        <w:rPr>
          <w:rFonts w:hAnsi="宋体"/>
          <w:color w:val="000000"/>
          <w:szCs w:val="21"/>
          <w:u w:val="single"/>
        </w:rPr>
        <w:t>（签章</w:t>
      </w:r>
      <w:r>
        <w:rPr>
          <w:rFonts w:hint="eastAsia" w:hAnsi="宋体"/>
          <w:color w:val="000000"/>
          <w:szCs w:val="21"/>
          <w:u w:val="single"/>
        </w:rPr>
        <w:t>或签字</w:t>
      </w:r>
      <w:r>
        <w:rPr>
          <w:rFonts w:hAnsi="宋体"/>
          <w:color w:val="000000"/>
          <w:szCs w:val="21"/>
          <w:u w:val="single"/>
        </w:rPr>
        <w:t>）</w:t>
      </w:r>
    </w:p>
    <w:p>
      <w:pPr>
        <w:spacing w:line="500" w:lineRule="exact"/>
        <w:ind w:firstLine="4305" w:firstLineChars="2050"/>
        <w:rPr>
          <w:color w:val="000000"/>
          <w:szCs w:val="21"/>
          <w:u w:val="single"/>
        </w:rPr>
      </w:pPr>
      <w:r>
        <w:rPr>
          <w:rFonts w:hAnsi="宋体"/>
          <w:color w:val="000000"/>
          <w:szCs w:val="21"/>
        </w:rPr>
        <w:t>受托人</w:t>
      </w:r>
      <w:r>
        <w:rPr>
          <w:rFonts w:hint="eastAsia" w:hAnsi="宋体"/>
          <w:color w:val="000000"/>
          <w:szCs w:val="21"/>
        </w:rPr>
        <w:t xml:space="preserve"> ：</w:t>
      </w:r>
      <w:r>
        <w:rPr>
          <w:rFonts w:hint="eastAsia" w:hAnsi="宋体"/>
          <w:color w:val="000000"/>
          <w:szCs w:val="21"/>
          <w:u w:val="single"/>
        </w:rPr>
        <w:t xml:space="preserve">                     </w:t>
      </w:r>
      <w:r>
        <w:rPr>
          <w:rFonts w:hAnsi="宋体"/>
          <w:color w:val="000000"/>
          <w:szCs w:val="21"/>
          <w:u w:val="single"/>
        </w:rPr>
        <w:t>（</w:t>
      </w:r>
      <w:r>
        <w:rPr>
          <w:rFonts w:hint="eastAsia" w:hAnsi="宋体"/>
          <w:color w:val="000000"/>
          <w:szCs w:val="21"/>
          <w:u w:val="single"/>
        </w:rPr>
        <w:t>签字</w:t>
      </w:r>
      <w:r>
        <w:rPr>
          <w:rFonts w:hAnsi="宋体"/>
          <w:color w:val="000000"/>
          <w:szCs w:val="21"/>
          <w:u w:val="single"/>
        </w:rPr>
        <w:t>）</w:t>
      </w:r>
    </w:p>
    <w:p>
      <w:pPr>
        <w:spacing w:line="360" w:lineRule="auto"/>
        <w:ind w:firstLine="4305" w:firstLineChars="20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Ansi="宋体"/>
          <w:b/>
          <w:color w:val="000000"/>
          <w:sz w:val="28"/>
          <w:szCs w:val="28"/>
        </w:rPr>
      </w:pPr>
      <w:r>
        <w:rPr>
          <w:rFonts w:hAnsi="宋体"/>
          <w:b/>
          <w:color w:val="000000"/>
          <w:sz w:val="28"/>
          <w:szCs w:val="28"/>
        </w:rPr>
        <w:br w:type="page"/>
      </w:r>
    </w:p>
    <w:p>
      <w:pPr>
        <w:pStyle w:val="4"/>
        <w:spacing w:before="0" w:after="0"/>
        <w:jc w:val="center"/>
        <w:rPr>
          <w:rFonts w:hAnsi="宋体"/>
          <w:sz w:val="32"/>
          <w:szCs w:val="32"/>
        </w:rPr>
      </w:pPr>
      <w:r>
        <w:rPr>
          <w:rFonts w:hint="eastAsia" w:hAnsi="宋体"/>
          <w:sz w:val="32"/>
          <w:szCs w:val="32"/>
        </w:rPr>
        <w:t>表5、制造厂商授权书</w:t>
      </w:r>
    </w:p>
    <w:p>
      <w:pPr>
        <w:pStyle w:val="16"/>
        <w:snapToGrid w:val="0"/>
        <w:spacing w:after="0" w:line="360" w:lineRule="auto"/>
        <w:rPr>
          <w:rFonts w:ascii="宋体" w:hAnsi="宋体"/>
          <w:sz w:val="24"/>
        </w:rPr>
      </w:pPr>
    </w:p>
    <w:p>
      <w:pPr>
        <w:pStyle w:val="16"/>
        <w:snapToGrid w:val="0"/>
        <w:spacing w:after="0" w:line="360" w:lineRule="auto"/>
        <w:rPr>
          <w:rFonts w:ascii="宋体" w:hAnsi="宋体"/>
          <w:szCs w:val="21"/>
        </w:rPr>
      </w:pPr>
      <w:r>
        <w:rPr>
          <w:rFonts w:hint="eastAsia" w:ascii="宋体" w:hAnsi="宋体"/>
          <w:szCs w:val="21"/>
        </w:rPr>
        <w:t>四川恒鑫工程管理咨询有限公司：</w:t>
      </w:r>
    </w:p>
    <w:p>
      <w:pPr>
        <w:pStyle w:val="16"/>
        <w:snapToGrid w:val="0"/>
        <w:spacing w:after="0" w:line="360" w:lineRule="auto"/>
        <w:ind w:firstLine="420" w:firstLineChars="200"/>
        <w:rPr>
          <w:rFonts w:ascii="宋体" w:hAnsi="宋体"/>
          <w:szCs w:val="21"/>
        </w:rPr>
      </w:pPr>
      <w:r>
        <w:rPr>
          <w:rFonts w:hint="eastAsia" w:ascii="宋体" w:hAnsi="宋体"/>
          <w:szCs w:val="21"/>
        </w:rPr>
        <w:t>作为设在</w:t>
      </w:r>
      <w:r>
        <w:rPr>
          <w:rFonts w:hint="eastAsia" w:ascii="宋体" w:hAnsi="宋体"/>
          <w:szCs w:val="21"/>
          <w:u w:val="single"/>
        </w:rPr>
        <w:t xml:space="preserve">                  </w:t>
      </w:r>
      <w:r>
        <w:rPr>
          <w:rFonts w:hint="eastAsia" w:ascii="宋体" w:hAnsi="宋体"/>
          <w:szCs w:val="21"/>
        </w:rPr>
        <w:t>（制造厂家地址）的制造/生产</w:t>
      </w:r>
      <w:r>
        <w:rPr>
          <w:rFonts w:hint="eastAsia" w:ascii="宋体" w:hAnsi="宋体"/>
          <w:szCs w:val="21"/>
          <w:u w:val="single"/>
        </w:rPr>
        <w:t xml:space="preserve">             </w:t>
      </w:r>
      <w:r>
        <w:rPr>
          <w:rFonts w:hint="eastAsia" w:ascii="宋体" w:hAnsi="宋体"/>
          <w:szCs w:val="21"/>
        </w:rPr>
        <w:t xml:space="preserve"> （货物名称）的 </w:t>
      </w:r>
      <w:r>
        <w:rPr>
          <w:rFonts w:hint="eastAsia" w:ascii="宋体" w:hAnsi="宋体"/>
          <w:szCs w:val="21"/>
          <w:u w:val="single"/>
        </w:rPr>
        <w:t xml:space="preserve">             </w:t>
      </w:r>
      <w:r>
        <w:rPr>
          <w:rFonts w:hint="eastAsia" w:ascii="宋体" w:hAnsi="宋体"/>
          <w:szCs w:val="21"/>
        </w:rPr>
        <w:t>（制造厂家名称）在此以制造厂的名义授权</w:t>
      </w:r>
      <w:r>
        <w:rPr>
          <w:rFonts w:hint="eastAsia" w:ascii="宋体" w:hAnsi="宋体"/>
          <w:szCs w:val="21"/>
          <w:u w:val="single"/>
        </w:rPr>
        <w:t xml:space="preserve">                </w:t>
      </w:r>
      <w:r>
        <w:rPr>
          <w:rFonts w:hint="eastAsia" w:ascii="宋体" w:hAnsi="宋体"/>
          <w:szCs w:val="21"/>
        </w:rPr>
        <w:t>（投标人名称和地址）用我厂制造的上述货物参加四川恒鑫工程管理咨询有限公司组织的采购项目编号为</w:t>
      </w:r>
      <w:r>
        <w:rPr>
          <w:rFonts w:hint="eastAsia" w:ascii="宋体" w:hAnsi="宋体"/>
          <w:color w:val="000000"/>
          <w:szCs w:val="21"/>
          <w:u w:val="single"/>
        </w:rPr>
        <w:t>SCHX-HK2016062</w:t>
      </w:r>
      <w:r>
        <w:rPr>
          <w:rFonts w:hint="eastAsia" w:ascii="宋体" w:hAnsi="宋体"/>
          <w:szCs w:val="21"/>
        </w:rPr>
        <w:t>的</w:t>
      </w:r>
      <w:r>
        <w:rPr>
          <w:rFonts w:hint="eastAsia" w:ascii="宋体" w:hAnsi="宋体"/>
          <w:szCs w:val="21"/>
          <w:u w:val="single"/>
        </w:rPr>
        <w:t>海口市灵山中学采购水泵房设备项目</w:t>
      </w:r>
      <w:r>
        <w:rPr>
          <w:rFonts w:hint="eastAsia" w:ascii="宋体" w:hAnsi="宋体"/>
          <w:szCs w:val="21"/>
        </w:rPr>
        <w:t>的投标活动及后续的合同谈判和签署合同。</w:t>
      </w:r>
    </w:p>
    <w:p>
      <w:pPr>
        <w:pStyle w:val="16"/>
        <w:snapToGrid w:val="0"/>
        <w:spacing w:after="0" w:line="360" w:lineRule="auto"/>
        <w:ind w:firstLine="420" w:firstLineChars="200"/>
        <w:rPr>
          <w:rFonts w:ascii="宋体" w:hAnsi="宋体"/>
          <w:szCs w:val="21"/>
        </w:rPr>
      </w:pPr>
    </w:p>
    <w:p>
      <w:pPr>
        <w:pStyle w:val="16"/>
        <w:snapToGrid w:val="0"/>
        <w:spacing w:after="0" w:line="360" w:lineRule="auto"/>
        <w:ind w:firstLine="315" w:firstLineChars="150"/>
        <w:rPr>
          <w:rFonts w:ascii="宋体" w:hAnsi="宋体"/>
          <w:i/>
          <w:szCs w:val="21"/>
        </w:rPr>
      </w:pPr>
      <w:r>
        <w:rPr>
          <w:rFonts w:hint="eastAsia" w:ascii="宋体" w:hAnsi="宋体"/>
          <w:i/>
          <w:szCs w:val="21"/>
        </w:rPr>
        <w:t>（可针对本谈判文件的要求增加其它服务承诺内容）</w:t>
      </w:r>
    </w:p>
    <w:p>
      <w:pPr>
        <w:pStyle w:val="16"/>
        <w:snapToGrid w:val="0"/>
        <w:spacing w:after="0" w:line="360" w:lineRule="auto"/>
        <w:ind w:firstLine="420" w:firstLineChars="200"/>
        <w:rPr>
          <w:rFonts w:ascii="宋体" w:hAnsi="宋体"/>
          <w:szCs w:val="21"/>
        </w:rPr>
      </w:pPr>
    </w:p>
    <w:p>
      <w:pPr>
        <w:pStyle w:val="16"/>
        <w:snapToGrid w:val="0"/>
        <w:spacing w:after="0" w:line="360" w:lineRule="auto"/>
        <w:ind w:firstLine="480"/>
        <w:rPr>
          <w:rFonts w:ascii="宋体" w:hAnsi="宋体"/>
          <w:szCs w:val="21"/>
        </w:rPr>
      </w:pPr>
      <w:r>
        <w:rPr>
          <w:rFonts w:hint="eastAsia" w:ascii="宋体" w:hAnsi="宋体"/>
          <w:szCs w:val="21"/>
        </w:rPr>
        <w:t>我们在此保证以合作人来约束自己，并为上述投标人就此次采购而提交的货物承担全部质量保证责任及按采购文件要求提供售后服务。</w:t>
      </w:r>
    </w:p>
    <w:p>
      <w:pPr>
        <w:pStyle w:val="16"/>
        <w:snapToGrid w:val="0"/>
        <w:spacing w:after="0" w:line="360" w:lineRule="auto"/>
        <w:rPr>
          <w:rFonts w:ascii="宋体" w:hAnsi="宋体"/>
          <w:szCs w:val="21"/>
        </w:rPr>
      </w:pPr>
      <w:r>
        <w:rPr>
          <w:rFonts w:hint="eastAsia" w:ascii="宋体" w:hAnsi="宋体"/>
          <w:szCs w:val="21"/>
        </w:rPr>
        <w:t xml:space="preserve">    我方于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日签署本文，以此为证。</w:t>
      </w:r>
    </w:p>
    <w:p>
      <w:pPr>
        <w:snapToGrid w:val="0"/>
        <w:spacing w:line="360" w:lineRule="auto"/>
        <w:rPr>
          <w:rFonts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 xml:space="preserve">    出具授权书的制造厂家名称：</w:t>
      </w:r>
      <w:r>
        <w:rPr>
          <w:rFonts w:hint="eastAsia" w:ascii="宋体" w:hAnsi="宋体"/>
          <w:szCs w:val="21"/>
          <w:u w:val="single"/>
        </w:rPr>
        <w:t xml:space="preserve">                       </w:t>
      </w:r>
    </w:p>
    <w:p>
      <w:pPr>
        <w:snapToGrid w:val="0"/>
        <w:spacing w:line="360" w:lineRule="auto"/>
        <w:ind w:left="525" w:hanging="525" w:hangingChars="250"/>
        <w:rPr>
          <w:rFonts w:ascii="宋体" w:hAnsi="宋体"/>
          <w:szCs w:val="21"/>
        </w:rPr>
      </w:pPr>
      <w:r>
        <w:rPr>
          <w:rFonts w:hint="eastAsia" w:ascii="宋体" w:hAnsi="宋体"/>
          <w:szCs w:val="21"/>
        </w:rPr>
        <w:t xml:space="preserve">    姓   名：</w:t>
      </w:r>
      <w:r>
        <w:rPr>
          <w:rFonts w:hint="eastAsia" w:ascii="宋体" w:hAnsi="宋体"/>
          <w:szCs w:val="21"/>
          <w:u w:val="single"/>
        </w:rPr>
        <w:t xml:space="preserve">                 </w:t>
      </w:r>
      <w:r>
        <w:rPr>
          <w:rFonts w:hint="eastAsia" w:ascii="宋体" w:hAnsi="宋体"/>
          <w:szCs w:val="21"/>
        </w:rPr>
        <w:t xml:space="preserve">（制造厂授权代表签字） </w:t>
      </w:r>
    </w:p>
    <w:p>
      <w:pPr>
        <w:snapToGrid w:val="0"/>
        <w:spacing w:line="360" w:lineRule="auto"/>
        <w:ind w:firstLine="420" w:firstLineChars="200"/>
        <w:rPr>
          <w:rFonts w:ascii="宋体" w:hAnsi="宋体"/>
          <w:szCs w:val="21"/>
        </w:rPr>
      </w:pPr>
      <w:r>
        <w:rPr>
          <w:rFonts w:hint="eastAsia" w:ascii="宋体" w:hAnsi="宋体"/>
          <w:szCs w:val="21"/>
        </w:rPr>
        <w:t>职   务：</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420" w:firstLineChars="200"/>
        <w:rPr>
          <w:rFonts w:ascii="宋体" w:hAnsi="宋体"/>
          <w:bCs/>
          <w:szCs w:val="21"/>
        </w:rPr>
      </w:pPr>
      <w:r>
        <w:rPr>
          <w:rFonts w:hint="eastAsia" w:ascii="宋体" w:hAnsi="宋体"/>
          <w:szCs w:val="21"/>
        </w:rPr>
        <w:t>公   章：</w:t>
      </w:r>
      <w:r>
        <w:rPr>
          <w:rFonts w:hint="eastAsia" w:ascii="宋体" w:hAnsi="宋体"/>
          <w:szCs w:val="21"/>
          <w:u w:val="single"/>
        </w:rPr>
        <w:t xml:space="preserve">            </w:t>
      </w: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注：1、如投标人所投产品为国外品牌产品，可以由该品牌中国总公司或在国内的总代理</w:t>
      </w:r>
      <w:r>
        <w:rPr>
          <w:rFonts w:hint="eastAsia" w:ascii="宋体" w:hAnsi="宋体"/>
          <w:szCs w:val="21"/>
        </w:rPr>
        <w:t>出具授权（该总代理须提供获得授权的证明材料）。国外品牌在国内生产的产品，适用本条规定。</w:t>
      </w:r>
    </w:p>
    <w:p>
      <w:pPr>
        <w:spacing w:line="360" w:lineRule="auto"/>
        <w:ind w:firstLine="420" w:firstLineChars="200"/>
        <w:rPr>
          <w:rFonts w:ascii="宋体" w:hAnsi="宋体"/>
          <w:szCs w:val="21"/>
        </w:rPr>
      </w:pPr>
      <w:r>
        <w:rPr>
          <w:rFonts w:hint="eastAsia" w:ascii="宋体" w:hAnsi="宋体"/>
          <w:szCs w:val="21"/>
        </w:rPr>
        <w:t>2、授权出具单位如有内部格式授权书，可以按其格式出具，但必须包含上述格式文件的意思表达。</w:t>
      </w:r>
    </w:p>
    <w:p>
      <w:pPr>
        <w:spacing w:line="360" w:lineRule="auto"/>
        <w:ind w:firstLine="420" w:firstLineChars="200"/>
        <w:rPr>
          <w:rFonts w:ascii="宋体" w:hAnsi="宋体"/>
          <w:szCs w:val="21"/>
        </w:rPr>
      </w:pPr>
      <w:r>
        <w:rPr>
          <w:rFonts w:hint="eastAsia" w:ascii="宋体" w:hAnsi="宋体"/>
          <w:szCs w:val="21"/>
        </w:rPr>
        <w:t>3、制造厂盖章可以为公章或授权专用章。</w:t>
      </w:r>
    </w:p>
    <w:p>
      <w:pPr>
        <w:spacing w:line="360" w:lineRule="auto"/>
        <w:ind w:firstLine="420" w:firstLineChars="200"/>
        <w:rPr>
          <w:rFonts w:ascii="宋体" w:hAnsi="宋体"/>
          <w:szCs w:val="21"/>
        </w:rPr>
      </w:pPr>
      <w:r>
        <w:rPr>
          <w:rFonts w:hint="eastAsia" w:ascii="宋体" w:hAnsi="宋体"/>
          <w:szCs w:val="21"/>
        </w:rPr>
        <w:t>4、制造厂商投标则无需提供此授权书。</w:t>
      </w:r>
    </w:p>
    <w:p>
      <w:pPr>
        <w:jc w:val="center"/>
        <w:rPr>
          <w:rFonts w:hAnsi="宋体"/>
          <w:b/>
          <w:color w:val="000000"/>
          <w:sz w:val="28"/>
          <w:szCs w:val="28"/>
        </w:rPr>
      </w:pPr>
    </w:p>
    <w:p>
      <w:pPr>
        <w:pStyle w:val="4"/>
        <w:spacing w:before="0" w:after="0"/>
        <w:jc w:val="center"/>
        <w:rPr>
          <w:rFonts w:hAnsi="宋体"/>
          <w:b w:val="0"/>
          <w:color w:val="000000"/>
          <w:szCs w:val="28"/>
        </w:rPr>
      </w:pPr>
      <w:r>
        <w:rPr>
          <w:rFonts w:hAnsi="宋体"/>
          <w:b w:val="0"/>
          <w:color w:val="000000"/>
          <w:szCs w:val="28"/>
        </w:rPr>
        <w:br w:type="page"/>
      </w:r>
      <w:r>
        <w:rPr>
          <w:rFonts w:hint="eastAsia" w:hAnsi="宋体"/>
          <w:b w:val="0"/>
          <w:color w:val="000000"/>
          <w:szCs w:val="28"/>
        </w:rPr>
        <w:t xml:space="preserve"> </w:t>
      </w:r>
    </w:p>
    <w:p>
      <w:pPr>
        <w:widowControl/>
        <w:jc w:val="left"/>
        <w:rPr>
          <w:rFonts w:hAnsi="宋体"/>
          <w:b/>
          <w:color w:val="000000"/>
          <w:sz w:val="28"/>
          <w:szCs w:val="28"/>
        </w:rPr>
      </w:pPr>
    </w:p>
    <w:p>
      <w:pPr>
        <w:jc w:val="center"/>
        <w:rPr>
          <w:b/>
          <w:color w:val="000000"/>
          <w:sz w:val="24"/>
        </w:rPr>
      </w:pPr>
      <w:r>
        <w:rPr>
          <w:rFonts w:hAnsi="宋体"/>
          <w:b/>
          <w:color w:val="000000"/>
          <w:sz w:val="28"/>
          <w:szCs w:val="28"/>
        </w:rPr>
        <w:t>表</w:t>
      </w:r>
      <w:r>
        <w:rPr>
          <w:rFonts w:hint="eastAsia" w:hAnsi="宋体"/>
          <w:b/>
          <w:color w:val="000000"/>
          <w:sz w:val="28"/>
          <w:szCs w:val="28"/>
        </w:rPr>
        <w:t>6</w:t>
      </w:r>
      <w:r>
        <w:rPr>
          <w:rFonts w:hAnsi="宋体"/>
          <w:b/>
          <w:color w:val="000000"/>
          <w:sz w:val="28"/>
          <w:szCs w:val="28"/>
        </w:rPr>
        <w:t>、声明书</w:t>
      </w:r>
    </w:p>
    <w:p>
      <w:pPr>
        <w:rPr>
          <w:color w:val="000000"/>
          <w:szCs w:val="21"/>
        </w:rPr>
      </w:pPr>
    </w:p>
    <w:p>
      <w:pPr>
        <w:rPr>
          <w:color w:val="000000"/>
          <w:szCs w:val="21"/>
        </w:rPr>
      </w:pPr>
    </w:p>
    <w:p>
      <w:pPr>
        <w:spacing w:line="500" w:lineRule="exact"/>
        <w:rPr>
          <w:b/>
          <w:color w:val="000000"/>
          <w:szCs w:val="21"/>
        </w:rPr>
      </w:pPr>
      <w:r>
        <w:rPr>
          <w:rFonts w:hint="eastAsia"/>
          <w:b/>
          <w:color w:val="000000"/>
          <w:szCs w:val="21"/>
        </w:rPr>
        <w:t xml:space="preserve">致：四川恒鑫工程管理咨询有限公司 </w:t>
      </w:r>
    </w:p>
    <w:p>
      <w:pPr>
        <w:spacing w:line="500" w:lineRule="exact"/>
        <w:ind w:firstLine="420" w:firstLineChars="200"/>
        <w:rPr>
          <w:rFonts w:ascii="宋体" w:hAnsi="宋体"/>
          <w:color w:val="000000"/>
          <w:szCs w:val="21"/>
        </w:rPr>
      </w:pPr>
      <w:r>
        <w:rPr>
          <w:rFonts w:hint="eastAsia" w:ascii="宋体" w:hAnsi="宋体"/>
          <w:color w:val="000000"/>
          <w:szCs w:val="21"/>
        </w:rPr>
        <w:t>我公司在参加本次政府采购</w:t>
      </w:r>
      <w:r>
        <w:rPr>
          <w:rFonts w:ascii="宋体" w:hAnsi="宋体"/>
          <w:color w:val="000000"/>
          <w:szCs w:val="21"/>
        </w:rPr>
        <w:t>（招标编号:</w:t>
      </w:r>
      <w:r>
        <w:rPr>
          <w:color w:val="000000"/>
          <w:szCs w:val="21"/>
        </w:rPr>
        <w:t xml:space="preserve"> SCHX-HK2016062</w:t>
      </w:r>
      <w:r>
        <w:rPr>
          <w:rFonts w:ascii="宋体" w:hAnsi="宋体"/>
          <w:color w:val="000000"/>
          <w:szCs w:val="21"/>
        </w:rPr>
        <w:t>）</w:t>
      </w:r>
      <w:r>
        <w:rPr>
          <w:rFonts w:hint="eastAsia" w:ascii="宋体" w:hAnsi="宋体"/>
          <w:color w:val="000000"/>
          <w:szCs w:val="21"/>
        </w:rPr>
        <w:t>活动前三年内，在经营活动中没有重大事故，没有任何违法行为记录。</w:t>
      </w:r>
    </w:p>
    <w:p>
      <w:pPr>
        <w:spacing w:line="500" w:lineRule="exact"/>
        <w:ind w:firstLine="420" w:firstLineChars="200"/>
        <w:rPr>
          <w:rFonts w:ascii="宋体" w:hAnsi="宋体"/>
          <w:color w:val="000000"/>
          <w:szCs w:val="21"/>
        </w:rPr>
      </w:pPr>
      <w:r>
        <w:rPr>
          <w:rFonts w:hint="eastAsia" w:ascii="宋体" w:hAnsi="宋体"/>
          <w:color w:val="000000"/>
          <w:szCs w:val="21"/>
        </w:rPr>
        <w:t>特此声明。</w:t>
      </w:r>
    </w:p>
    <w:p>
      <w:pPr>
        <w:spacing w:line="500" w:lineRule="exact"/>
        <w:rPr>
          <w:rFonts w:ascii="宋体" w:hAnsi="宋体" w:cs="宋体"/>
          <w:color w:val="000000"/>
          <w:szCs w:val="21"/>
        </w:rPr>
      </w:pPr>
    </w:p>
    <w:p>
      <w:pPr>
        <w:spacing w:line="500" w:lineRule="exact"/>
        <w:rPr>
          <w:rFonts w:ascii="宋体" w:hAnsi="宋体" w:cs="宋体"/>
          <w:color w:val="000000"/>
          <w:szCs w:val="21"/>
        </w:rPr>
      </w:pPr>
    </w:p>
    <w:p>
      <w:pPr>
        <w:spacing w:line="480" w:lineRule="exact"/>
        <w:ind w:firstLine="4490" w:firstLineChars="2130"/>
        <w:rPr>
          <w:rFonts w:ascii="宋体" w:hAnsi="宋体"/>
          <w:color w:val="000000"/>
          <w:szCs w:val="21"/>
        </w:rPr>
      </w:pPr>
      <w:r>
        <w:rPr>
          <w:rFonts w:hint="eastAsia" w:ascii="宋体" w:hAnsi="宋体"/>
          <w:b/>
          <w:color w:val="000000"/>
          <w:szCs w:val="21"/>
        </w:rPr>
        <w:t>投标人</w:t>
      </w:r>
      <w:r>
        <w:rPr>
          <w:rFonts w:hint="eastAsia" w:ascii="宋体" w:hAnsi="宋体"/>
          <w:color w:val="000000"/>
          <w:szCs w:val="21"/>
        </w:rPr>
        <w:t>（盖章）：</w:t>
      </w:r>
    </w:p>
    <w:p>
      <w:pPr>
        <w:spacing w:line="480" w:lineRule="exact"/>
        <w:ind w:firstLine="4490" w:firstLineChars="2130"/>
        <w:rPr>
          <w:rFonts w:ascii="宋体" w:hAnsi="宋体"/>
          <w:color w:val="000000"/>
          <w:szCs w:val="21"/>
        </w:rPr>
      </w:pPr>
      <w:r>
        <w:rPr>
          <w:rFonts w:hint="eastAsia" w:ascii="宋体" w:hAnsi="宋体"/>
          <w:b/>
          <w:color w:val="000000"/>
          <w:szCs w:val="21"/>
        </w:rPr>
        <w:t>法定代表人或其授权代表</w:t>
      </w:r>
      <w:r>
        <w:rPr>
          <w:rFonts w:hint="eastAsia" w:ascii="宋体" w:hAnsi="宋体"/>
          <w:color w:val="000000"/>
          <w:szCs w:val="21"/>
        </w:rPr>
        <w:t>（签字）：</w:t>
      </w:r>
    </w:p>
    <w:p>
      <w:pPr>
        <w:spacing w:line="480" w:lineRule="exact"/>
        <w:ind w:firstLine="4490" w:firstLineChars="2130"/>
        <w:rPr>
          <w:rFonts w:ascii="宋体" w:hAnsi="宋体"/>
          <w:b/>
          <w:color w:val="000000"/>
          <w:szCs w:val="21"/>
        </w:rPr>
      </w:pPr>
      <w:r>
        <w:rPr>
          <w:rFonts w:hint="eastAsia" w:ascii="宋体" w:hAnsi="宋体"/>
          <w:b/>
          <w:color w:val="000000"/>
          <w:szCs w:val="21"/>
        </w:rPr>
        <w:t>日期：   年   月   日</w:t>
      </w:r>
    </w:p>
    <w:p>
      <w:pPr>
        <w:pStyle w:val="2"/>
        <w:spacing w:afterLines="0"/>
      </w:pPr>
      <w:r>
        <w:rPr>
          <w:rFonts w:hint="eastAsia"/>
        </w:rPr>
        <w:t>第六章  磋商程序</w:t>
      </w:r>
      <w:bookmarkEnd w:id="5"/>
    </w:p>
    <w:p>
      <w:pPr>
        <w:tabs>
          <w:tab w:val="left" w:pos="720"/>
        </w:tabs>
        <w:snapToGrid w:val="0"/>
        <w:spacing w:line="360" w:lineRule="auto"/>
        <w:ind w:right="-105" w:rightChars="-50"/>
        <w:rPr>
          <w:rFonts w:ascii="宋体" w:hAnsi="宋体"/>
          <w:b/>
          <w:sz w:val="32"/>
          <w:szCs w:val="32"/>
        </w:rPr>
      </w:pPr>
      <w:r>
        <w:rPr>
          <w:rFonts w:hint="eastAsia" w:ascii="宋体" w:hAnsi="宋体"/>
          <w:b/>
          <w:sz w:val="32"/>
          <w:szCs w:val="32"/>
        </w:rPr>
        <w:t>一、评审原则</w:t>
      </w:r>
    </w:p>
    <w:p>
      <w:pPr>
        <w:snapToGrid w:val="0"/>
        <w:spacing w:line="360" w:lineRule="auto"/>
        <w:ind w:firstLine="480" w:firstLineChars="200"/>
        <w:jc w:val="left"/>
        <w:rPr>
          <w:rFonts w:ascii="宋体" w:hAnsi="宋体"/>
          <w:sz w:val="24"/>
        </w:rPr>
      </w:pPr>
      <w:r>
        <w:rPr>
          <w:rFonts w:hint="eastAsia" w:ascii="宋体" w:hAnsi="宋体"/>
          <w:sz w:val="24"/>
        </w:rPr>
        <w:t>1、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pPr>
        <w:tabs>
          <w:tab w:val="left" w:pos="360"/>
        </w:tabs>
        <w:snapToGrid w:val="0"/>
        <w:spacing w:line="360" w:lineRule="auto"/>
        <w:ind w:firstLine="480" w:firstLineChars="200"/>
        <w:jc w:val="left"/>
        <w:rPr>
          <w:rFonts w:ascii="宋体" w:hAnsi="宋体"/>
          <w:sz w:val="24"/>
        </w:rPr>
      </w:pPr>
      <w:r>
        <w:rPr>
          <w:rFonts w:hint="eastAsia" w:ascii="宋体" w:hAnsi="宋体"/>
          <w:sz w:val="24"/>
        </w:rPr>
        <w:t>2、本次竞争性磋商采购的评审采用综合评分法。</w:t>
      </w:r>
    </w:p>
    <w:p>
      <w:pPr>
        <w:tabs>
          <w:tab w:val="left" w:pos="720"/>
        </w:tabs>
        <w:snapToGrid w:val="0"/>
        <w:spacing w:line="360" w:lineRule="auto"/>
        <w:ind w:right="-105" w:rightChars="-50"/>
        <w:rPr>
          <w:rFonts w:ascii="宋体" w:hAnsi="宋体"/>
          <w:b/>
          <w:sz w:val="32"/>
          <w:szCs w:val="32"/>
        </w:rPr>
      </w:pPr>
      <w:r>
        <w:rPr>
          <w:rFonts w:hint="eastAsia" w:ascii="宋体" w:hAnsi="宋体"/>
          <w:b/>
          <w:sz w:val="32"/>
          <w:szCs w:val="32"/>
        </w:rPr>
        <w:t>二、磋商程序和评审方法</w:t>
      </w:r>
    </w:p>
    <w:p>
      <w:pPr>
        <w:adjustRightInd w:val="0"/>
        <w:snapToGrid w:val="0"/>
        <w:spacing w:line="360" w:lineRule="auto"/>
        <w:ind w:firstLine="482" w:firstLineChars="200"/>
        <w:rPr>
          <w:rFonts w:ascii="宋体" w:hAnsi="宋体" w:cs="宋体"/>
          <w:snapToGrid w:val="0"/>
          <w:kern w:val="0"/>
          <w:sz w:val="24"/>
        </w:rPr>
      </w:pPr>
      <w:r>
        <w:rPr>
          <w:rFonts w:hint="eastAsia" w:ascii="宋体" w:hAnsi="宋体" w:cs="宋体"/>
          <w:b/>
          <w:snapToGrid w:val="0"/>
          <w:kern w:val="0"/>
          <w:sz w:val="24"/>
        </w:rPr>
        <w:t>1、</w:t>
      </w:r>
      <w:r>
        <w:rPr>
          <w:rFonts w:hint="eastAsia" w:ascii="宋体" w:hAnsi="宋体" w:cs="宋体"/>
          <w:snapToGrid w:val="0"/>
          <w:kern w:val="0"/>
          <w:sz w:val="24"/>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pPr>
        <w:adjustRightInd w:val="0"/>
        <w:snapToGrid w:val="0"/>
        <w:spacing w:line="360" w:lineRule="auto"/>
        <w:ind w:firstLine="480" w:firstLineChars="200"/>
        <w:rPr>
          <w:rFonts w:ascii="宋体" w:hAnsi="宋体"/>
          <w:sz w:val="24"/>
        </w:rPr>
      </w:pPr>
      <w:r>
        <w:rPr>
          <w:rFonts w:hint="eastAsia" w:ascii="宋体" w:hAnsi="宋体" w:cs="宋体"/>
          <w:snapToGrid w:val="0"/>
          <w:kern w:val="0"/>
          <w:sz w:val="24"/>
        </w:rPr>
        <w:t>2、</w:t>
      </w:r>
      <w:r>
        <w:rPr>
          <w:rFonts w:hint="eastAsia" w:ascii="宋体" w:hAnsi="宋体"/>
          <w:sz w:val="24"/>
        </w:rPr>
        <w:t>磋商小组根据附表1的内容，对响应文件进行初步评审，只有通过初步评审的报价人才能继续进行磋商程序。</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除符合“</w:t>
      </w:r>
      <w:r>
        <w:rPr>
          <w:rFonts w:hint="eastAsia" w:ascii="宋体" w:hAnsi="宋体"/>
          <w:snapToGrid w:val="0"/>
          <w:kern w:val="0"/>
          <w:sz w:val="24"/>
        </w:rPr>
        <w:t>政府采购竞争性磋商采购方式管理暂行办法”</w:t>
      </w:r>
      <w:r>
        <w:rPr>
          <w:rFonts w:hint="eastAsia" w:ascii="宋体" w:hAnsi="宋体" w:cs="宋体"/>
          <w:snapToGrid w:val="0"/>
          <w:kern w:val="0"/>
          <w:sz w:val="24"/>
        </w:rPr>
        <w:t xml:space="preserve">第三条第四项情形的，通过初步评审的报价人必须不少于2家，否则磋商失败。 </w:t>
      </w:r>
    </w:p>
    <w:p>
      <w:pPr>
        <w:widowControl/>
        <w:snapToGrid w:val="0"/>
        <w:spacing w:line="360" w:lineRule="auto"/>
        <w:ind w:firstLine="482" w:firstLineChars="200"/>
        <w:rPr>
          <w:rFonts w:ascii="宋体" w:hAnsi="宋体" w:cs="宋体"/>
          <w:snapToGrid w:val="0"/>
          <w:kern w:val="0"/>
          <w:sz w:val="24"/>
        </w:rPr>
      </w:pPr>
      <w:r>
        <w:rPr>
          <w:rFonts w:hint="eastAsia" w:ascii="宋体" w:hAnsi="宋体" w:cs="宋体"/>
          <w:b/>
          <w:bCs/>
          <w:snapToGrid w:val="0"/>
          <w:kern w:val="0"/>
          <w:sz w:val="24"/>
        </w:rPr>
        <w:t>3、</w:t>
      </w:r>
      <w:r>
        <w:rPr>
          <w:rFonts w:hint="eastAsia" w:ascii="宋体" w:hAnsi="宋体" w:cs="宋体"/>
          <w:snapToGrid w:val="0"/>
          <w:kern w:val="0"/>
          <w:sz w:val="24"/>
        </w:rPr>
        <w:t>磋商小组所有成员应当集中与单一报价人分别进行磋商。</w:t>
      </w:r>
    </w:p>
    <w:p>
      <w:pPr>
        <w:widowControl/>
        <w:snapToGrid w:val="0"/>
        <w:spacing w:line="360" w:lineRule="auto"/>
        <w:ind w:firstLine="480"/>
        <w:rPr>
          <w:rFonts w:ascii="宋体" w:hAnsi="宋体" w:cs="宋体"/>
          <w:snapToGrid w:val="0"/>
          <w:kern w:val="0"/>
          <w:sz w:val="24"/>
        </w:rPr>
      </w:pPr>
      <w:r>
        <w:rPr>
          <w:rFonts w:hint="eastAsia" w:ascii="宋体" w:hAnsi="宋体" w:cs="宋体"/>
          <w:snapToGrid w:val="0"/>
          <w:kern w:val="0"/>
          <w:sz w:val="24"/>
        </w:rPr>
        <w:t>4、磋商结束后，磋商小组应当要求所有实质性响应的报价人在规定时间内提交最后报价。最后报价是报价人响应文件的有效组成部分。</w:t>
      </w:r>
    </w:p>
    <w:p>
      <w:pPr>
        <w:widowControl/>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已提交响应文件的报价人，在提交最后报价之前，可以根据磋商情况退出磋商。 </w:t>
      </w:r>
    </w:p>
    <w:p>
      <w:pPr>
        <w:widowControl/>
        <w:snapToGrid w:val="0"/>
        <w:spacing w:line="360" w:lineRule="auto"/>
        <w:ind w:firstLine="480" w:firstLineChars="200"/>
        <w:rPr>
          <w:rFonts w:ascii="宋体" w:hAnsi="宋体"/>
          <w:bCs/>
          <w:snapToGrid w:val="0"/>
          <w:kern w:val="0"/>
          <w:sz w:val="24"/>
        </w:rPr>
      </w:pPr>
      <w:r>
        <w:rPr>
          <w:rFonts w:hint="eastAsia" w:ascii="宋体" w:hAnsi="宋体" w:cs="宋体"/>
          <w:snapToGrid w:val="0"/>
          <w:kern w:val="0"/>
          <w:sz w:val="24"/>
        </w:rPr>
        <w:t>5、</w:t>
      </w:r>
      <w:r>
        <w:rPr>
          <w:rFonts w:hint="eastAsia" w:ascii="宋体" w:hAnsi="宋体"/>
          <w:snapToGrid w:val="0"/>
          <w:kern w:val="0"/>
          <w:sz w:val="24"/>
        </w:rPr>
        <w:t>经磋商确定</w:t>
      </w:r>
      <w:r>
        <w:rPr>
          <w:rFonts w:hint="eastAsia" w:ascii="宋体" w:hAnsi="宋体"/>
          <w:bCs/>
          <w:snapToGrid w:val="0"/>
          <w:kern w:val="0"/>
          <w:sz w:val="24"/>
        </w:rPr>
        <w:t>最终采购需求和提交最后报价的报价人后，由磋商小组采用综合评分法对提交最后报价的报价人的响应文件和最后报价进行综合评分。</w:t>
      </w:r>
    </w:p>
    <w:p>
      <w:pPr>
        <w:shd w:val="clear" w:color="auto" w:fill="FFFFFF"/>
        <w:tabs>
          <w:tab w:val="left" w:pos="720"/>
        </w:tabs>
        <w:snapToGrid w:val="0"/>
        <w:spacing w:line="360" w:lineRule="auto"/>
        <w:ind w:firstLine="480" w:firstLineChars="200"/>
        <w:rPr>
          <w:rFonts w:ascii="宋体" w:hAnsi="宋体"/>
          <w:color w:val="000000"/>
          <w:sz w:val="24"/>
        </w:rPr>
      </w:pPr>
      <w:r>
        <w:rPr>
          <w:rFonts w:hint="eastAsia" w:ascii="宋体" w:hAnsi="宋体"/>
          <w:color w:val="000000"/>
          <w:sz w:val="24"/>
        </w:rPr>
        <w:t>6.综合评分具体评审的内容详见（附表2），技术、商务及价格权重分配如下：</w:t>
      </w:r>
    </w:p>
    <w:tbl>
      <w:tblPr>
        <w:tblStyle w:val="50"/>
        <w:tblW w:w="5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800" w:type="dxa"/>
            <w:vAlign w:val="center"/>
          </w:tcPr>
          <w:p>
            <w:pPr>
              <w:shd w:val="clear" w:color="auto" w:fill="FFFFFF"/>
              <w:snapToGrid w:val="0"/>
              <w:jc w:val="center"/>
              <w:rPr>
                <w:rFonts w:ascii="宋体" w:hAnsi="宋体"/>
                <w:b/>
                <w:color w:val="000000"/>
                <w:sz w:val="24"/>
              </w:rPr>
            </w:pPr>
            <w:r>
              <w:rPr>
                <w:rFonts w:hint="eastAsia" w:ascii="宋体" w:hAnsi="宋体"/>
                <w:b/>
                <w:color w:val="000000"/>
                <w:sz w:val="24"/>
              </w:rPr>
              <w:t>类别</w:t>
            </w:r>
          </w:p>
        </w:tc>
        <w:tc>
          <w:tcPr>
            <w:tcW w:w="2700" w:type="dxa"/>
            <w:vAlign w:val="center"/>
          </w:tcPr>
          <w:p>
            <w:pPr>
              <w:shd w:val="clear" w:color="auto" w:fill="FFFFFF"/>
              <w:snapToGrid w:val="0"/>
              <w:jc w:val="center"/>
              <w:rPr>
                <w:rFonts w:ascii="宋体" w:hAnsi="宋体"/>
                <w:b/>
                <w:color w:val="000000"/>
                <w:sz w:val="24"/>
              </w:rPr>
            </w:pPr>
            <w:r>
              <w:rPr>
                <w:rFonts w:hint="eastAsia" w:ascii="宋体" w:hAnsi="宋体"/>
                <w:b/>
                <w:color w:val="000000"/>
                <w:sz w:val="24"/>
              </w:rPr>
              <w:t>技术、商务</w:t>
            </w:r>
          </w:p>
        </w:tc>
        <w:tc>
          <w:tcPr>
            <w:tcW w:w="1260" w:type="dxa"/>
            <w:vAlign w:val="center"/>
          </w:tcPr>
          <w:p>
            <w:pPr>
              <w:shd w:val="clear" w:color="auto" w:fill="FFFFFF"/>
              <w:snapToGrid w:val="0"/>
              <w:jc w:val="center"/>
              <w:rPr>
                <w:rFonts w:ascii="宋体" w:hAnsi="宋体"/>
                <w:b/>
                <w:color w:val="000000"/>
                <w:sz w:val="24"/>
              </w:rPr>
            </w:pPr>
            <w:r>
              <w:rPr>
                <w:rFonts w:hint="eastAsia" w:ascii="宋体" w:hAnsi="宋体"/>
                <w:b/>
                <w:color w:val="000000"/>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800" w:type="dxa"/>
            <w:vAlign w:val="center"/>
          </w:tcPr>
          <w:p>
            <w:pPr>
              <w:shd w:val="clear" w:color="auto" w:fill="FFFFFF"/>
              <w:snapToGrid w:val="0"/>
              <w:jc w:val="center"/>
              <w:rPr>
                <w:rFonts w:ascii="宋体" w:hAnsi="宋体"/>
                <w:color w:val="000000"/>
                <w:sz w:val="24"/>
              </w:rPr>
            </w:pPr>
            <w:r>
              <w:rPr>
                <w:rFonts w:hint="eastAsia" w:ascii="宋体" w:hAnsi="宋体"/>
                <w:color w:val="000000"/>
                <w:sz w:val="24"/>
              </w:rPr>
              <w:t>权重</w:t>
            </w:r>
          </w:p>
        </w:tc>
        <w:tc>
          <w:tcPr>
            <w:tcW w:w="2700" w:type="dxa"/>
            <w:vAlign w:val="center"/>
          </w:tcPr>
          <w:p>
            <w:pPr>
              <w:shd w:val="clear" w:color="auto" w:fill="FFFFFF"/>
              <w:snapToGrid w:val="0"/>
              <w:jc w:val="center"/>
              <w:rPr>
                <w:rFonts w:ascii="宋体" w:hAnsi="宋体"/>
                <w:color w:val="000000"/>
                <w:sz w:val="24"/>
              </w:rPr>
            </w:pPr>
            <w:r>
              <w:rPr>
                <w:rFonts w:hint="eastAsia" w:ascii="宋体" w:hAnsi="宋体"/>
                <w:color w:val="000000"/>
                <w:sz w:val="24"/>
              </w:rPr>
              <w:t>70%</w:t>
            </w:r>
          </w:p>
        </w:tc>
        <w:tc>
          <w:tcPr>
            <w:tcW w:w="1260" w:type="dxa"/>
            <w:vAlign w:val="center"/>
          </w:tcPr>
          <w:p>
            <w:pPr>
              <w:shd w:val="clear" w:color="auto" w:fill="FFFFFF"/>
              <w:snapToGrid w:val="0"/>
              <w:jc w:val="center"/>
              <w:rPr>
                <w:rFonts w:ascii="宋体" w:hAnsi="宋体"/>
                <w:color w:val="000000"/>
                <w:sz w:val="24"/>
              </w:rPr>
            </w:pPr>
            <w:r>
              <w:rPr>
                <w:rFonts w:hint="eastAsia" w:ascii="宋体" w:hAnsi="宋体"/>
                <w:color w:val="000000"/>
                <w:sz w:val="24"/>
              </w:rPr>
              <w:t>30%</w:t>
            </w:r>
          </w:p>
        </w:tc>
      </w:tr>
    </w:tbl>
    <w:p>
      <w:pPr>
        <w:shd w:val="clear" w:color="auto" w:fill="FFFFFF"/>
        <w:tabs>
          <w:tab w:val="left" w:pos="720"/>
        </w:tabs>
        <w:snapToGrid w:val="0"/>
        <w:spacing w:line="360" w:lineRule="auto"/>
        <w:ind w:right="630" w:firstLine="480" w:firstLineChars="200"/>
        <w:rPr>
          <w:rFonts w:ascii="宋体" w:hAnsi="宋体"/>
          <w:color w:val="000000"/>
          <w:sz w:val="24"/>
        </w:rPr>
      </w:pPr>
      <w:r>
        <w:rPr>
          <w:rFonts w:hint="eastAsia" w:ascii="宋体" w:hAnsi="宋体"/>
          <w:color w:val="000000"/>
          <w:sz w:val="24"/>
        </w:rPr>
        <w:t>7.价格分计算方法：</w:t>
      </w:r>
    </w:p>
    <w:p>
      <w:pPr>
        <w:shd w:val="clear" w:color="auto" w:fill="FFFFFF"/>
        <w:tabs>
          <w:tab w:val="left" w:pos="720"/>
        </w:tabs>
        <w:snapToGrid w:val="0"/>
        <w:spacing w:line="360" w:lineRule="auto"/>
        <w:ind w:firstLine="480" w:firstLineChars="200"/>
        <w:rPr>
          <w:rFonts w:ascii="宋体" w:hAnsi="宋体"/>
          <w:color w:val="000000"/>
          <w:sz w:val="24"/>
        </w:rPr>
      </w:pPr>
      <w:r>
        <w:rPr>
          <w:rFonts w:hint="eastAsia" w:ascii="宋体" w:hAnsi="宋体"/>
          <w:color w:val="000000"/>
          <w:sz w:val="24"/>
        </w:rPr>
        <w:t>满足磋商文件要求且最终报价最低的报价为基准价，价格分统一按照下列公式计算：价格分=(基准价／最终报价)×价格权值×100</w:t>
      </w:r>
    </w:p>
    <w:p>
      <w:pPr>
        <w:shd w:val="clear" w:color="auto" w:fill="FFFFFF"/>
        <w:tabs>
          <w:tab w:val="left" w:pos="720"/>
        </w:tabs>
        <w:snapToGrid w:val="0"/>
        <w:spacing w:line="360" w:lineRule="auto"/>
        <w:ind w:firstLine="480" w:firstLineChars="200"/>
        <w:rPr>
          <w:rFonts w:ascii="宋体" w:hAnsi="宋体"/>
          <w:sz w:val="24"/>
        </w:rPr>
      </w:pPr>
      <w:r>
        <w:rPr>
          <w:rFonts w:hint="eastAsia" w:ascii="宋体" w:hAnsi="宋体"/>
          <w:sz w:val="24"/>
        </w:rPr>
        <w:t>8. 综合评分及其统计：磋商小组成员对各报价人评分的算术平均值为该报价人的综合评分。综合得分最高的报价人为第一中标候选报价人，综合得分次高的报价人为第二中标候选报价人，以此类推。综合得分相同的，按投标报价由低到高顺序排列。综合得分和投标报价均相同的，按技术指标由优至劣顺序排列。</w:t>
      </w:r>
    </w:p>
    <w:p>
      <w:pPr>
        <w:snapToGrid w:val="0"/>
        <w:spacing w:line="360" w:lineRule="auto"/>
        <w:ind w:left="1805" w:right="420" w:rightChars="200" w:hanging="1805" w:hangingChars="562"/>
        <w:rPr>
          <w:rFonts w:ascii="宋体" w:hAnsi="宋体"/>
          <w:sz w:val="32"/>
          <w:szCs w:val="32"/>
        </w:rPr>
      </w:pPr>
      <w:r>
        <w:rPr>
          <w:rFonts w:hint="eastAsia" w:ascii="宋体" w:hAnsi="宋体"/>
          <w:b/>
          <w:sz w:val="32"/>
          <w:szCs w:val="32"/>
        </w:rPr>
        <w:t>三、磋商、评审过程的保密性</w:t>
      </w:r>
    </w:p>
    <w:p>
      <w:pPr>
        <w:snapToGrid w:val="0"/>
        <w:spacing w:line="360" w:lineRule="auto"/>
        <w:ind w:firstLine="480" w:firstLineChars="200"/>
        <w:jc w:val="left"/>
        <w:rPr>
          <w:rFonts w:ascii="宋体" w:hAnsi="宋体"/>
          <w:sz w:val="24"/>
        </w:rPr>
      </w:pPr>
      <w:r>
        <w:rPr>
          <w:rFonts w:hint="eastAsia" w:ascii="宋体" w:hAnsi="宋体"/>
          <w:sz w:val="24"/>
        </w:rPr>
        <w:t>1、接受报价后，直至成交报价人与采购人签订合同后止，凡与磋商、审查、澄清、评价、比较、确定成交人意见有关的内容，任何人均不得向报价人及与磋商、评审无关的其他人透露。</w:t>
      </w:r>
    </w:p>
    <w:p>
      <w:pPr>
        <w:snapToGrid w:val="0"/>
        <w:spacing w:line="360" w:lineRule="auto"/>
        <w:ind w:firstLine="480" w:firstLineChars="200"/>
        <w:jc w:val="left"/>
        <w:rPr>
          <w:rFonts w:ascii="宋体" w:hAnsi="宋体"/>
          <w:sz w:val="24"/>
        </w:rPr>
      </w:pPr>
      <w:r>
        <w:rPr>
          <w:rFonts w:hint="eastAsia" w:ascii="宋体" w:hAnsi="宋体"/>
          <w:sz w:val="24"/>
        </w:rPr>
        <w:t>2、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pPr>
        <w:snapToGrid w:val="0"/>
        <w:spacing w:line="360" w:lineRule="auto"/>
        <w:ind w:left="1805" w:right="420" w:rightChars="200" w:hanging="1805" w:hangingChars="562"/>
        <w:rPr>
          <w:rFonts w:ascii="宋体" w:hAnsi="宋体"/>
          <w:b/>
          <w:sz w:val="32"/>
          <w:szCs w:val="32"/>
        </w:rPr>
      </w:pPr>
      <w:r>
        <w:rPr>
          <w:rFonts w:hint="eastAsia" w:ascii="宋体" w:hAnsi="宋体"/>
          <w:b/>
          <w:sz w:val="32"/>
          <w:szCs w:val="32"/>
        </w:rPr>
        <w:t>四、接受和拒绝任何或所有报价的权利</w:t>
      </w:r>
    </w:p>
    <w:p>
      <w:pPr>
        <w:tabs>
          <w:tab w:val="left" w:pos="180"/>
          <w:tab w:val="left" w:pos="360"/>
        </w:tabs>
        <w:snapToGrid w:val="0"/>
        <w:spacing w:line="360" w:lineRule="auto"/>
        <w:ind w:left="-2" w:leftChars="-1" w:right="31" w:rightChars="15" w:firstLine="480" w:firstLineChars="200"/>
        <w:rPr>
          <w:rFonts w:ascii="宋体" w:hAnsi="宋体"/>
          <w:sz w:val="24"/>
        </w:rPr>
      </w:pPr>
      <w:r>
        <w:rPr>
          <w:rFonts w:hint="eastAsia" w:ascii="宋体" w:hAnsi="宋体"/>
          <w:sz w:val="24"/>
        </w:rPr>
        <w:t>招标代理机构和采购人保留在成交之前任何时候接受或拒绝任何报价，以及宣布竞争性磋商无效或拒绝所有报价的权力，对受影响的报价人不承担任何责任。</w:t>
      </w:r>
    </w:p>
    <w:p>
      <w:pPr>
        <w:snapToGrid w:val="0"/>
        <w:spacing w:line="360" w:lineRule="auto"/>
        <w:ind w:right="420" w:rightChars="200"/>
        <w:rPr>
          <w:rFonts w:ascii="宋体" w:hAnsi="宋体"/>
          <w:b/>
          <w:sz w:val="32"/>
          <w:szCs w:val="32"/>
        </w:rPr>
      </w:pPr>
      <w:r>
        <w:rPr>
          <w:rFonts w:hint="eastAsia" w:ascii="宋体" w:hAnsi="宋体"/>
          <w:b/>
          <w:sz w:val="32"/>
          <w:szCs w:val="32"/>
        </w:rPr>
        <w:t>五、变更技术方案的权利</w:t>
      </w:r>
    </w:p>
    <w:p>
      <w:pPr>
        <w:snapToGrid w:val="0"/>
        <w:spacing w:line="360" w:lineRule="auto"/>
        <w:ind w:firstLine="480"/>
        <w:rPr>
          <w:rFonts w:ascii="宋体" w:hAnsi="宋体"/>
          <w:sz w:val="24"/>
        </w:rPr>
      </w:pPr>
      <w:r>
        <w:rPr>
          <w:rFonts w:hint="eastAsia" w:ascii="宋体" w:hAnsi="宋体"/>
          <w:sz w:val="24"/>
        </w:rPr>
        <w:t>在竞争性磋商过程中，采购人有权变更技术方案或采购数量，如果报价人根据采购人提出的变更要求调整方案或价格后未能获得合同，采购人和招标代理机构不承担任何责任。</w:t>
      </w:r>
    </w:p>
    <w:p>
      <w:pPr>
        <w:spacing w:line="360" w:lineRule="auto"/>
        <w:rPr>
          <w:rFonts w:ascii="宋体" w:hAnsi="宋体"/>
          <w:b/>
          <w:sz w:val="36"/>
          <w:szCs w:val="36"/>
        </w:rPr>
      </w:pPr>
      <w:r>
        <w:rPr>
          <w:rFonts w:ascii="宋体" w:hAnsi="宋体"/>
          <w:b/>
          <w:sz w:val="36"/>
          <w:szCs w:val="36"/>
        </w:rPr>
        <w:br w:type="page"/>
      </w:r>
      <w:r>
        <w:rPr>
          <w:rFonts w:hint="eastAsia" w:ascii="宋体" w:hAnsi="宋体"/>
          <w:b/>
          <w:sz w:val="36"/>
          <w:szCs w:val="36"/>
        </w:rPr>
        <w:t>附表1</w:t>
      </w:r>
    </w:p>
    <w:p>
      <w:pPr>
        <w:pStyle w:val="4"/>
        <w:spacing w:before="0" w:after="0"/>
        <w:ind w:firstLine="551" w:firstLineChars="196"/>
        <w:jc w:val="center"/>
      </w:pPr>
      <w:bookmarkStart w:id="9" w:name="_Toc452457443"/>
      <w:r>
        <w:rPr>
          <w:rFonts w:hint="eastAsia"/>
        </w:rPr>
        <w:t>初步审查表</w:t>
      </w:r>
      <w:bookmarkEnd w:id="9"/>
    </w:p>
    <w:p>
      <w:pPr>
        <w:spacing w:afterLines="50" w:line="360" w:lineRule="auto"/>
        <w:rPr>
          <w:rFonts w:ascii="宋体" w:hAnsi="宋体" w:cs="Tahoma"/>
          <w:sz w:val="24"/>
          <w:u w:val="single"/>
        </w:rPr>
      </w:pPr>
      <w:r>
        <w:rPr>
          <w:rFonts w:hint="eastAsia" w:ascii="宋体" w:hAnsi="宋体"/>
          <w:sz w:val="24"/>
        </w:rPr>
        <w:t>项目名称：</w:t>
      </w:r>
      <w:r>
        <w:rPr>
          <w:rFonts w:hint="eastAsia" w:ascii="宋体" w:hAnsi="宋体" w:cs="Tahoma"/>
          <w:sz w:val="24"/>
          <w:u w:val="single"/>
        </w:rPr>
        <w:t>海口市灵山中学采购水泵房设备项目</w:t>
      </w:r>
    </w:p>
    <w:p>
      <w:pPr>
        <w:spacing w:afterLines="50" w:line="360" w:lineRule="auto"/>
        <w:rPr>
          <w:rFonts w:ascii="宋体" w:hAnsi="宋体" w:cs="Tahoma"/>
          <w:sz w:val="24"/>
        </w:rPr>
      </w:pPr>
      <w:r>
        <w:rPr>
          <w:rFonts w:hint="eastAsia" w:ascii="宋体" w:hAnsi="宋体"/>
          <w:sz w:val="24"/>
        </w:rPr>
        <w:t>项目编号：</w:t>
      </w:r>
      <w:r>
        <w:rPr>
          <w:rFonts w:hint="eastAsia" w:ascii="宋体" w:hAnsi="宋体"/>
          <w:sz w:val="24"/>
          <w:u w:val="single"/>
        </w:rPr>
        <w:t xml:space="preserve"> SCHX-HK2016062</w:t>
      </w:r>
    </w:p>
    <w:tbl>
      <w:tblPr>
        <w:tblStyle w:val="50"/>
        <w:tblW w:w="918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800"/>
        <w:gridCol w:w="3600"/>
        <w:gridCol w:w="1021"/>
        <w:gridCol w:w="1021"/>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72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序号</w:t>
            </w:r>
          </w:p>
        </w:tc>
        <w:tc>
          <w:tcPr>
            <w:tcW w:w="18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审查项目</w:t>
            </w:r>
          </w:p>
        </w:tc>
        <w:tc>
          <w:tcPr>
            <w:tcW w:w="3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评议内容</w:t>
            </w:r>
            <w:r>
              <w:rPr>
                <w:rFonts w:hint="eastAsia" w:ascii="宋体" w:hAnsi="宋体"/>
              </w:rPr>
              <w:t>（无效报价认定条件）</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报价人1</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报价人2</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报价人3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1</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Tahoma" w:hAnsi="Tahoma"/>
              </w:rPr>
              <w:t>报价人</w:t>
            </w:r>
            <w:r>
              <w:rPr>
                <w:rFonts w:hint="eastAsia" w:ascii="宋体" w:hAnsi="宋体"/>
              </w:rPr>
              <w:t>的资格</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是否符合报价人资格要求</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2</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响应文件的有效性、完整性</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是否符合磋商文件的式样和签署要求且内容完整无缺漏</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3</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报价项目完整性</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szCs w:val="21"/>
              </w:rPr>
            </w:pPr>
            <w:r>
              <w:rPr>
                <w:rFonts w:hint="eastAsia" w:ascii="宋体" w:hAnsi="宋体"/>
                <w:kern w:val="28"/>
                <w:szCs w:val="21"/>
              </w:rPr>
              <w:t>是否对</w:t>
            </w:r>
            <w:r>
              <w:rPr>
                <w:rFonts w:hint="eastAsia" w:ascii="宋体" w:hAnsi="宋体" w:cs="Tahoma"/>
                <w:kern w:val="28"/>
                <w:szCs w:val="21"/>
              </w:rPr>
              <w:t>本项目内所有的内容进行报价</w:t>
            </w:r>
            <w:r>
              <w:rPr>
                <w:rFonts w:hint="eastAsia" w:ascii="宋体" w:hAnsi="宋体"/>
                <w:kern w:val="28"/>
                <w:szCs w:val="21"/>
              </w:rPr>
              <w:t>，漏报其报价将被拒绝</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4</w:t>
            </w:r>
          </w:p>
        </w:tc>
        <w:tc>
          <w:tcPr>
            <w:tcW w:w="18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40" w:lineRule="exact"/>
              <w:rPr>
                <w:rFonts w:ascii="宋体" w:hAnsi="宋体"/>
              </w:rPr>
            </w:pPr>
            <w:r>
              <w:rPr>
                <w:rFonts w:hint="eastAsia" w:ascii="宋体" w:hAnsi="宋体"/>
              </w:rPr>
              <w:t>响应文件递交情况</w:t>
            </w:r>
          </w:p>
        </w:tc>
        <w:tc>
          <w:tcPr>
            <w:tcW w:w="36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40" w:lineRule="exact"/>
              <w:rPr>
                <w:rFonts w:ascii="宋体" w:hAnsi="宋体"/>
              </w:rPr>
            </w:pPr>
            <w:r>
              <w:rPr>
                <w:rFonts w:hint="eastAsia" w:ascii="宋体" w:hAnsi="宋体"/>
              </w:rPr>
              <w:t>正本和副本的数量是否符合磋商文件要求</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5</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szCs w:val="21"/>
              </w:rPr>
            </w:pPr>
            <w:r>
              <w:rPr>
                <w:rFonts w:hint="eastAsia" w:ascii="宋体" w:hAnsi="宋体"/>
                <w:szCs w:val="21"/>
              </w:rPr>
              <w:t>磋商保证金</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szCs w:val="21"/>
              </w:rPr>
            </w:pPr>
            <w:r>
              <w:rPr>
                <w:rFonts w:hint="eastAsia" w:ascii="宋体" w:hAnsi="宋体"/>
                <w:szCs w:val="21"/>
              </w:rPr>
              <w:t>是否提交磋商保证金的</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6</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报价有效期</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是否满足磋商文件要求</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7</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交货期或工期</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szCs w:val="21"/>
              </w:rPr>
            </w:pPr>
            <w:r>
              <w:rPr>
                <w:rFonts w:hint="eastAsia" w:ascii="宋体" w:hAnsi="宋体"/>
              </w:rPr>
              <w:t>是否满足磋商文件要求</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rPr>
            </w:pPr>
            <w:r>
              <w:rPr>
                <w:rFonts w:hint="eastAsia" w:ascii="宋体" w:hAnsi="宋体"/>
              </w:rPr>
              <w:t>8</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其它</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rPr>
            </w:pPr>
            <w:r>
              <w:rPr>
                <w:rFonts w:hint="eastAsia" w:ascii="宋体" w:hAnsi="宋体"/>
              </w:rPr>
              <w:t>无其它无效报价认定条件</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12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rPr>
            </w:pPr>
            <w:r>
              <w:rPr>
                <w:rFonts w:hint="eastAsia" w:ascii="宋体" w:hAnsi="宋体"/>
                <w:b/>
              </w:rPr>
              <w:t>结论</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c>
          <w:tcPr>
            <w:tcW w:w="10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rPr>
            </w:pPr>
            <w:r>
              <w:rPr>
                <w:rFonts w:hint="eastAsia" w:ascii="宋体" w:hAnsi="宋体"/>
                <w:b/>
              </w:rPr>
              <w:t> </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1、表中只需填写“√/通过”或“×/不通过”。</w:t>
      </w:r>
    </w:p>
    <w:p>
      <w:pPr>
        <w:spacing w:line="360" w:lineRule="auto"/>
        <w:rPr>
          <w:rFonts w:ascii="宋体" w:hAnsi="宋体"/>
          <w:szCs w:val="21"/>
        </w:rPr>
      </w:pPr>
      <w:r>
        <w:rPr>
          <w:rFonts w:hint="eastAsia" w:ascii="宋体" w:hAnsi="宋体"/>
          <w:szCs w:val="21"/>
        </w:rPr>
        <w:t>2、在结论中按“一项否决”的原则，只有全部是√/通过的，填写“合格”；只要其中有一项是×/不通过的，填写“不合格”。</w:t>
      </w:r>
    </w:p>
    <w:p>
      <w:pPr>
        <w:spacing w:line="360" w:lineRule="auto"/>
        <w:rPr>
          <w:rFonts w:ascii="宋体" w:hAnsi="宋体"/>
          <w:sz w:val="24"/>
        </w:rPr>
      </w:pPr>
      <w:r>
        <w:rPr>
          <w:rFonts w:hint="eastAsia" w:ascii="宋体" w:hAnsi="宋体"/>
          <w:szCs w:val="21"/>
        </w:rPr>
        <w:t>3、结论是合格的，才能进入下一轮；不合格的被淘汰。</w:t>
      </w:r>
    </w:p>
    <w:p>
      <w:pPr>
        <w:spacing w:line="480" w:lineRule="exact"/>
        <w:rPr>
          <w:rFonts w:ascii="宋体" w:hAnsi="宋体"/>
          <w:sz w:val="24"/>
        </w:rPr>
      </w:pPr>
      <w:r>
        <w:rPr>
          <w:rFonts w:hint="eastAsia" w:ascii="宋体" w:hAnsi="宋体"/>
          <w:sz w:val="24"/>
        </w:rPr>
        <w:t>评委：                                              日期</w:t>
      </w:r>
      <w:r>
        <w:rPr>
          <w:rFonts w:hint="eastAsia" w:ascii="黑体" w:eastAsia="黑体"/>
          <w:sz w:val="24"/>
        </w:rPr>
        <w:t>：</w:t>
      </w:r>
    </w:p>
    <w:p>
      <w:pPr>
        <w:shd w:val="clear" w:color="auto" w:fill="FFFFFF"/>
        <w:spacing w:line="360" w:lineRule="auto"/>
        <w:rPr>
          <w:rFonts w:ascii="宋体" w:hAnsi="宋体"/>
          <w:b/>
          <w:sz w:val="36"/>
          <w:szCs w:val="36"/>
        </w:rPr>
      </w:pPr>
      <w:r>
        <w:rPr>
          <w:rFonts w:ascii="宋体" w:hAnsi="宋体"/>
          <w:b/>
          <w:sz w:val="36"/>
          <w:szCs w:val="36"/>
        </w:rPr>
        <w:br w:type="page"/>
      </w:r>
      <w:r>
        <w:rPr>
          <w:rFonts w:hint="eastAsia" w:ascii="宋体" w:hAnsi="宋体"/>
          <w:b/>
          <w:sz w:val="36"/>
          <w:szCs w:val="36"/>
        </w:rPr>
        <w:t xml:space="preserve">附表2  </w:t>
      </w:r>
    </w:p>
    <w:p>
      <w:pPr>
        <w:pStyle w:val="4"/>
        <w:spacing w:before="0" w:after="0"/>
        <w:ind w:firstLine="551" w:firstLineChars="196"/>
        <w:jc w:val="center"/>
      </w:pPr>
      <w:bookmarkStart w:id="10" w:name="_Toc452457444"/>
      <w:bookmarkStart w:id="11" w:name="_Toc417386194"/>
      <w:r>
        <w:rPr>
          <w:rFonts w:hint="eastAsia"/>
        </w:rPr>
        <w:t>详细评分表</w:t>
      </w:r>
      <w:bookmarkEnd w:id="10"/>
      <w:bookmarkEnd w:id="11"/>
    </w:p>
    <w:p>
      <w:pPr>
        <w:spacing w:afterLines="50" w:line="360" w:lineRule="auto"/>
        <w:rPr>
          <w:rFonts w:ascii="宋体" w:hAnsi="宋体" w:cs="Tahoma"/>
          <w:sz w:val="24"/>
        </w:rPr>
      </w:pPr>
      <w:r>
        <w:rPr>
          <w:rFonts w:hint="eastAsia" w:ascii="宋体" w:hAnsi="宋体"/>
          <w:sz w:val="24"/>
        </w:rPr>
        <w:t>项目名称：</w:t>
      </w:r>
      <w:r>
        <w:rPr>
          <w:rFonts w:hint="eastAsia" w:ascii="宋体" w:hAnsi="宋体" w:cs="Tahoma"/>
          <w:sz w:val="24"/>
          <w:u w:val="single"/>
        </w:rPr>
        <w:t xml:space="preserve">海口市灵山中学采购水泵房设备项目   </w:t>
      </w:r>
      <w:r>
        <w:rPr>
          <w:rFonts w:hint="eastAsia" w:ascii="宋体" w:hAnsi="宋体"/>
          <w:sz w:val="24"/>
        </w:rPr>
        <w:t>项目编号：</w:t>
      </w:r>
      <w:r>
        <w:rPr>
          <w:rFonts w:hint="eastAsia" w:ascii="宋体" w:hAnsi="宋体"/>
          <w:sz w:val="24"/>
          <w:u w:val="single"/>
        </w:rPr>
        <w:t xml:space="preserve"> SCHX-HK2016062</w:t>
      </w:r>
    </w:p>
    <w:tbl>
      <w:tblPr>
        <w:tblStyle w:val="50"/>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3"/>
        <w:gridCol w:w="5954"/>
        <w:gridCol w:w="567"/>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序号</w:t>
            </w:r>
          </w:p>
        </w:tc>
        <w:tc>
          <w:tcPr>
            <w:tcW w:w="1303" w:type="dxa"/>
            <w:vAlign w:val="center"/>
          </w:tcPr>
          <w:p>
            <w:pPr>
              <w:snapToGrid w:val="0"/>
              <w:spacing w:line="300" w:lineRule="auto"/>
              <w:jc w:val="center"/>
              <w:rPr>
                <w:rFonts w:ascii="宋体" w:hAnsi="宋体" w:cs="宋体"/>
                <w:szCs w:val="21"/>
              </w:rPr>
            </w:pPr>
            <w:r>
              <w:rPr>
                <w:rFonts w:hint="eastAsia" w:ascii="宋体" w:hAnsi="宋体" w:cs="宋体"/>
                <w:szCs w:val="21"/>
              </w:rPr>
              <w:t>项目名称</w:t>
            </w:r>
          </w:p>
        </w:tc>
        <w:tc>
          <w:tcPr>
            <w:tcW w:w="5954" w:type="dxa"/>
            <w:vAlign w:val="center"/>
          </w:tcPr>
          <w:p>
            <w:pPr>
              <w:snapToGrid w:val="0"/>
              <w:spacing w:line="300" w:lineRule="auto"/>
              <w:jc w:val="center"/>
              <w:rPr>
                <w:rFonts w:ascii="宋体" w:hAnsi="宋体" w:cs="宋体"/>
                <w:szCs w:val="21"/>
              </w:rPr>
            </w:pPr>
            <w:r>
              <w:rPr>
                <w:rFonts w:hint="eastAsia" w:ascii="宋体" w:hAnsi="宋体" w:cs="宋体"/>
                <w:szCs w:val="21"/>
              </w:rPr>
              <w:t>评分标准</w:t>
            </w:r>
          </w:p>
        </w:tc>
        <w:tc>
          <w:tcPr>
            <w:tcW w:w="567" w:type="dxa"/>
            <w:vAlign w:val="center"/>
          </w:tcPr>
          <w:p>
            <w:pPr>
              <w:snapToGrid w:val="0"/>
              <w:spacing w:line="300" w:lineRule="auto"/>
              <w:jc w:val="center"/>
              <w:rPr>
                <w:rFonts w:ascii="宋体" w:hAnsi="宋体" w:cs="宋体"/>
                <w:szCs w:val="21"/>
              </w:rPr>
            </w:pPr>
            <w:r>
              <w:rPr>
                <w:rFonts w:hint="eastAsia" w:ascii="宋体" w:hAnsi="宋体" w:cs="宋体"/>
                <w:szCs w:val="21"/>
              </w:rPr>
              <w:t>满分</w:t>
            </w:r>
          </w:p>
        </w:tc>
        <w:tc>
          <w:tcPr>
            <w:tcW w:w="636" w:type="dxa"/>
            <w:vAlign w:val="center"/>
          </w:tcPr>
          <w:p>
            <w:pPr>
              <w:snapToGrid w:val="0"/>
              <w:spacing w:line="300" w:lineRule="auto"/>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pacing w:line="360" w:lineRule="auto"/>
              <w:jc w:val="center"/>
              <w:rPr>
                <w:rFonts w:ascii="宋体" w:hAnsi="宋体" w:cs="Arial"/>
                <w:szCs w:val="21"/>
              </w:rPr>
            </w:pPr>
            <w:bookmarkStart w:id="12" w:name="_Hlk452457195"/>
            <w:r>
              <w:rPr>
                <w:rFonts w:hint="eastAsia" w:ascii="宋体" w:hAnsi="宋体" w:cs="Arial"/>
                <w:szCs w:val="21"/>
              </w:rPr>
              <w:t>1</w:t>
            </w:r>
          </w:p>
        </w:tc>
        <w:tc>
          <w:tcPr>
            <w:tcW w:w="1303" w:type="dxa"/>
            <w:vAlign w:val="center"/>
          </w:tcPr>
          <w:p>
            <w:pPr>
              <w:spacing w:line="300" w:lineRule="exact"/>
              <w:jc w:val="center"/>
              <w:rPr>
                <w:rFonts w:ascii="宋体" w:hAnsi="宋体"/>
                <w:szCs w:val="21"/>
              </w:rPr>
            </w:pPr>
          </w:p>
          <w:p>
            <w:pPr>
              <w:spacing w:line="300" w:lineRule="exact"/>
              <w:jc w:val="center"/>
              <w:rPr>
                <w:rFonts w:ascii="宋体" w:hAnsi="宋体"/>
                <w:szCs w:val="21"/>
              </w:rPr>
            </w:pPr>
            <w:r>
              <w:rPr>
                <w:rFonts w:hint="eastAsia" w:ascii="宋体" w:hAnsi="宋体"/>
                <w:szCs w:val="21"/>
              </w:rPr>
              <w:t>主要规格及技术性能</w:t>
            </w:r>
          </w:p>
          <w:p>
            <w:pPr>
              <w:spacing w:line="300" w:lineRule="exact"/>
              <w:ind w:firstLine="525" w:firstLineChars="250"/>
              <w:jc w:val="center"/>
              <w:rPr>
                <w:rFonts w:ascii="宋体" w:hAnsi="宋体" w:cs="Arial"/>
                <w:szCs w:val="21"/>
              </w:rPr>
            </w:pPr>
          </w:p>
        </w:tc>
        <w:tc>
          <w:tcPr>
            <w:tcW w:w="5954" w:type="dxa"/>
            <w:vAlign w:val="center"/>
          </w:tcPr>
          <w:p>
            <w:pPr>
              <w:rPr>
                <w:rFonts w:ascii="宋体" w:hAnsi="宋体"/>
                <w:szCs w:val="21"/>
              </w:rPr>
            </w:pPr>
            <w:r>
              <w:rPr>
                <w:rFonts w:hint="eastAsia" w:ascii="宋体" w:hAnsi="宋体"/>
                <w:szCs w:val="21"/>
              </w:rPr>
              <w:t>优：20-25满足或优于采购需求，设备选型、配置科学合理，可维护性和适应性强，对比最优； 良：15-20</w:t>
            </w:r>
            <w:r>
              <w:rPr>
                <w:rFonts w:hint="eastAsia" w:ascii="宋体" w:hAnsi="宋体" w:cs="宋体"/>
                <w:szCs w:val="21"/>
              </w:rPr>
              <w:t>（含）</w:t>
            </w:r>
            <w:r>
              <w:rPr>
                <w:rFonts w:hint="eastAsia" w:ascii="宋体" w:hAnsi="宋体"/>
                <w:szCs w:val="21"/>
              </w:rPr>
              <w:t>满足采购需求，对比次之； 中：10-15</w:t>
            </w:r>
            <w:r>
              <w:rPr>
                <w:rFonts w:hint="eastAsia" w:ascii="宋体" w:hAnsi="宋体" w:cs="宋体"/>
                <w:szCs w:val="21"/>
              </w:rPr>
              <w:t>（含）</w:t>
            </w:r>
            <w:r>
              <w:rPr>
                <w:rFonts w:hint="eastAsia" w:ascii="宋体" w:hAnsi="宋体"/>
                <w:szCs w:val="21"/>
              </w:rPr>
              <w:t>不完全满足采购需求； 差：0-10</w:t>
            </w:r>
            <w:r>
              <w:rPr>
                <w:rFonts w:hint="eastAsia" w:ascii="宋体" w:hAnsi="宋体" w:cs="宋体"/>
                <w:szCs w:val="21"/>
              </w:rPr>
              <w:t>（含）</w:t>
            </w:r>
            <w:r>
              <w:rPr>
                <w:rFonts w:hint="eastAsia" w:ascii="宋体" w:hAnsi="宋体"/>
                <w:szCs w:val="21"/>
              </w:rPr>
              <w:t>。</w:t>
            </w:r>
          </w:p>
        </w:tc>
        <w:tc>
          <w:tcPr>
            <w:tcW w:w="567" w:type="dxa"/>
            <w:vAlign w:val="center"/>
          </w:tcPr>
          <w:p>
            <w:pPr>
              <w:spacing w:line="360" w:lineRule="auto"/>
              <w:ind w:left="-40" w:leftChars="-19" w:firstLine="39" w:firstLineChars="19"/>
              <w:jc w:val="center"/>
              <w:rPr>
                <w:rFonts w:ascii="宋体" w:hAnsi="宋体" w:cs="Arial"/>
                <w:szCs w:val="21"/>
              </w:rPr>
            </w:pPr>
            <w:r>
              <w:rPr>
                <w:rFonts w:hint="eastAsia" w:ascii="宋体" w:hAnsi="宋体" w:cs="Arial"/>
                <w:szCs w:val="21"/>
              </w:rPr>
              <w:t>25</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2</w:t>
            </w:r>
          </w:p>
        </w:tc>
        <w:tc>
          <w:tcPr>
            <w:tcW w:w="1303" w:type="dxa"/>
            <w:vAlign w:val="center"/>
          </w:tcPr>
          <w:p>
            <w:pPr>
              <w:spacing w:line="240" w:lineRule="atLeast"/>
              <w:jc w:val="center"/>
              <w:rPr>
                <w:color w:val="000000"/>
                <w:szCs w:val="21"/>
              </w:rPr>
            </w:pPr>
            <w:r>
              <w:rPr>
                <w:rFonts w:hint="eastAsia"/>
                <w:color w:val="000000"/>
                <w:szCs w:val="21"/>
              </w:rPr>
              <w:t>现场安装组织方案</w:t>
            </w:r>
          </w:p>
        </w:tc>
        <w:tc>
          <w:tcPr>
            <w:tcW w:w="5954" w:type="dxa"/>
            <w:vAlign w:val="center"/>
          </w:tcPr>
          <w:p>
            <w:pPr>
              <w:spacing w:line="200" w:lineRule="atLeast"/>
              <w:rPr>
                <w:b/>
                <w:color w:val="000000"/>
                <w:szCs w:val="21"/>
              </w:rPr>
            </w:pPr>
            <w:r>
              <w:rPr>
                <w:rFonts w:hint="eastAsia"/>
                <w:color w:val="000000"/>
                <w:szCs w:val="21"/>
              </w:rPr>
              <w:t>根据现场安装组织方案进行评分；</w:t>
            </w:r>
            <w:r>
              <w:rPr>
                <w:color w:val="000000"/>
                <w:szCs w:val="21"/>
              </w:rPr>
              <w:t>优</w:t>
            </w:r>
            <w:r>
              <w:rPr>
                <w:rFonts w:hint="eastAsia"/>
                <w:color w:val="000000"/>
                <w:szCs w:val="21"/>
              </w:rPr>
              <w:t>：4-5</w:t>
            </w:r>
            <w:r>
              <w:rPr>
                <w:rFonts w:hint="eastAsia" w:ascii="宋体" w:hAnsi="宋体" w:cs="宋体"/>
                <w:szCs w:val="21"/>
              </w:rPr>
              <w:t>（含）</w:t>
            </w:r>
            <w:r>
              <w:rPr>
                <w:rFonts w:hint="eastAsia"/>
                <w:color w:val="000000"/>
                <w:szCs w:val="21"/>
              </w:rPr>
              <w:t>分，良：3-4</w:t>
            </w:r>
            <w:r>
              <w:rPr>
                <w:rFonts w:hint="eastAsia" w:ascii="宋体" w:hAnsi="宋体" w:cs="宋体"/>
                <w:szCs w:val="21"/>
              </w:rPr>
              <w:t>（含）</w:t>
            </w:r>
            <w:r>
              <w:rPr>
                <w:rFonts w:hint="eastAsia"/>
                <w:color w:val="000000"/>
                <w:szCs w:val="21"/>
              </w:rPr>
              <w:t>分，中：2-3</w:t>
            </w:r>
            <w:r>
              <w:rPr>
                <w:rFonts w:hint="eastAsia" w:ascii="宋体" w:hAnsi="宋体" w:cs="宋体"/>
                <w:szCs w:val="21"/>
              </w:rPr>
              <w:t>（含）</w:t>
            </w:r>
            <w:r>
              <w:rPr>
                <w:rFonts w:hint="eastAsia"/>
                <w:color w:val="000000"/>
                <w:szCs w:val="21"/>
              </w:rPr>
              <w:t>分，差：0-2</w:t>
            </w:r>
            <w:r>
              <w:rPr>
                <w:rFonts w:hint="eastAsia" w:ascii="宋体" w:hAnsi="宋体" w:cs="宋体"/>
                <w:szCs w:val="21"/>
              </w:rPr>
              <w:t>（含）</w:t>
            </w:r>
            <w:r>
              <w:rPr>
                <w:rFonts w:hint="eastAsia"/>
                <w:color w:val="000000"/>
                <w:szCs w:val="21"/>
              </w:rPr>
              <w:t>分。</w:t>
            </w:r>
          </w:p>
        </w:tc>
        <w:tc>
          <w:tcPr>
            <w:tcW w:w="567" w:type="dxa"/>
            <w:vAlign w:val="center"/>
          </w:tcPr>
          <w:p>
            <w:pPr>
              <w:spacing w:line="240" w:lineRule="atLeast"/>
              <w:jc w:val="center"/>
              <w:rPr>
                <w:color w:val="000000"/>
                <w:szCs w:val="21"/>
              </w:rPr>
            </w:pPr>
            <w:r>
              <w:rPr>
                <w:rFonts w:hint="eastAsia"/>
                <w:color w:val="000000"/>
                <w:szCs w:val="21"/>
              </w:rPr>
              <w:t>5</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3</w:t>
            </w:r>
          </w:p>
        </w:tc>
        <w:tc>
          <w:tcPr>
            <w:tcW w:w="1303" w:type="dxa"/>
            <w:vAlign w:val="center"/>
          </w:tcPr>
          <w:p>
            <w:pPr>
              <w:shd w:val="clear" w:color="auto" w:fill="FFFFFF"/>
              <w:snapToGrid w:val="0"/>
              <w:spacing w:line="300" w:lineRule="auto"/>
              <w:rPr>
                <w:rFonts w:ascii="宋体" w:hAnsi="宋体" w:cs="宋体"/>
                <w:szCs w:val="21"/>
              </w:rPr>
            </w:pPr>
            <w:r>
              <w:rPr>
                <w:rFonts w:hint="eastAsia" w:ascii="宋体" w:hAnsi="宋体" w:cs="宋体"/>
                <w:szCs w:val="21"/>
              </w:rPr>
              <w:t>产品质量保证</w:t>
            </w:r>
          </w:p>
        </w:tc>
        <w:tc>
          <w:tcPr>
            <w:tcW w:w="5954" w:type="dxa"/>
            <w:vAlign w:val="center"/>
          </w:tcPr>
          <w:p>
            <w:pPr>
              <w:snapToGrid w:val="0"/>
              <w:spacing w:line="300" w:lineRule="auto"/>
              <w:rPr>
                <w:rFonts w:ascii="宋体" w:hAnsi="宋体" w:cs="宋体"/>
                <w:szCs w:val="21"/>
              </w:rPr>
            </w:pPr>
            <w:r>
              <w:rPr>
                <w:rFonts w:hint="eastAsia" w:ascii="宋体" w:hAnsi="宋体" w:cs="宋体"/>
                <w:color w:val="000000"/>
                <w:kern w:val="0"/>
                <w:szCs w:val="21"/>
              </w:rPr>
              <w:t>所投产品室外消火栓泵、室内消火栓泵和室外消防增压稳压设备三种消防系统设备中水泵及控制柜同时具有CCCF认证的加5分。</w:t>
            </w:r>
          </w:p>
        </w:tc>
        <w:tc>
          <w:tcPr>
            <w:tcW w:w="567" w:type="dxa"/>
            <w:vAlign w:val="center"/>
          </w:tcPr>
          <w:p>
            <w:pPr>
              <w:shd w:val="clear" w:color="auto" w:fill="FFFFFF"/>
              <w:spacing w:line="300" w:lineRule="auto"/>
              <w:jc w:val="center"/>
              <w:rPr>
                <w:rFonts w:ascii="宋体" w:hAnsi="宋体" w:cs="宋体"/>
                <w:szCs w:val="21"/>
              </w:rPr>
            </w:pPr>
            <w:r>
              <w:rPr>
                <w:rFonts w:hint="eastAsia" w:ascii="宋体" w:hAnsi="宋体" w:cs="宋体"/>
                <w:szCs w:val="21"/>
              </w:rPr>
              <w:t>5</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4</w:t>
            </w:r>
          </w:p>
        </w:tc>
        <w:tc>
          <w:tcPr>
            <w:tcW w:w="1303" w:type="dxa"/>
            <w:vAlign w:val="center"/>
          </w:tcPr>
          <w:p>
            <w:pPr>
              <w:snapToGrid w:val="0"/>
              <w:spacing w:line="320" w:lineRule="exact"/>
              <w:rPr>
                <w:rFonts w:ascii="宋体" w:hAnsi="宋体"/>
                <w:szCs w:val="21"/>
              </w:rPr>
            </w:pPr>
            <w:r>
              <w:rPr>
                <w:rFonts w:hint="eastAsia" w:ascii="宋体" w:hAnsi="宋体"/>
                <w:szCs w:val="21"/>
              </w:rPr>
              <w:t>投标样品</w:t>
            </w:r>
          </w:p>
        </w:tc>
        <w:tc>
          <w:tcPr>
            <w:tcW w:w="5954" w:type="dxa"/>
            <w:vAlign w:val="center"/>
          </w:tcPr>
          <w:p>
            <w:pPr>
              <w:pStyle w:val="24"/>
              <w:spacing w:line="400" w:lineRule="exact"/>
              <w:rPr>
                <w:rFonts w:hAnsi="宋体" w:cs="Times New Roman"/>
                <w:sz w:val="21"/>
                <w:szCs w:val="21"/>
              </w:rPr>
            </w:pPr>
            <w:r>
              <w:rPr>
                <w:rFonts w:hint="eastAsia" w:hAnsi="宋体" w:cs="Times New Roman"/>
                <w:sz w:val="21"/>
                <w:szCs w:val="21"/>
              </w:rPr>
              <w:t>由评委根据招标文件提出的技术标准和要求对投标样品进行检验评定，分四档：</w:t>
            </w:r>
          </w:p>
          <w:p>
            <w:pPr>
              <w:pStyle w:val="24"/>
              <w:spacing w:line="400" w:lineRule="exact"/>
              <w:rPr>
                <w:rFonts w:hAnsi="宋体" w:cs="Times New Roman"/>
                <w:sz w:val="21"/>
                <w:szCs w:val="21"/>
              </w:rPr>
            </w:pPr>
            <w:r>
              <w:rPr>
                <w:rFonts w:hint="eastAsia" w:hAnsi="宋体" w:cs="Times New Roman"/>
                <w:sz w:val="21"/>
                <w:szCs w:val="21"/>
              </w:rPr>
              <w:t>优: 样品质量优秀，完全符合招标文件技术要求，6-9</w:t>
            </w:r>
            <w:r>
              <w:rPr>
                <w:rFonts w:hint="eastAsia" w:hAnsi="宋体" w:cs="宋体"/>
                <w:sz w:val="21"/>
                <w:szCs w:val="21"/>
              </w:rPr>
              <w:t>（含）</w:t>
            </w:r>
            <w:r>
              <w:rPr>
                <w:rFonts w:hint="eastAsia" w:hAnsi="宋体" w:cs="Times New Roman"/>
                <w:sz w:val="21"/>
                <w:szCs w:val="21"/>
              </w:rPr>
              <w:t>分。</w:t>
            </w:r>
          </w:p>
          <w:p>
            <w:pPr>
              <w:pStyle w:val="24"/>
              <w:spacing w:line="400" w:lineRule="exact"/>
              <w:rPr>
                <w:rFonts w:hAnsi="宋体" w:cs="Times New Roman"/>
                <w:sz w:val="21"/>
                <w:szCs w:val="21"/>
              </w:rPr>
            </w:pPr>
            <w:r>
              <w:rPr>
                <w:rFonts w:hint="eastAsia" w:hAnsi="宋体" w:cs="Times New Roman"/>
                <w:sz w:val="21"/>
                <w:szCs w:val="21"/>
              </w:rPr>
              <w:t>良:样品质量良好，符合招标文件技术要求，3-6</w:t>
            </w:r>
            <w:r>
              <w:rPr>
                <w:rFonts w:hint="eastAsia" w:hAnsi="宋体" w:cs="宋体"/>
                <w:sz w:val="21"/>
                <w:szCs w:val="21"/>
              </w:rPr>
              <w:t>（含）</w:t>
            </w:r>
            <w:r>
              <w:rPr>
                <w:rFonts w:hint="eastAsia" w:hAnsi="宋体" w:cs="Times New Roman"/>
                <w:sz w:val="21"/>
                <w:szCs w:val="21"/>
              </w:rPr>
              <w:t>分。</w:t>
            </w:r>
          </w:p>
          <w:p>
            <w:pPr>
              <w:pStyle w:val="24"/>
              <w:spacing w:line="400" w:lineRule="exact"/>
              <w:rPr>
                <w:rFonts w:hAnsi="宋体" w:cs="Times New Roman"/>
                <w:sz w:val="21"/>
                <w:szCs w:val="21"/>
              </w:rPr>
            </w:pPr>
            <w:r>
              <w:rPr>
                <w:rFonts w:hint="eastAsia" w:hAnsi="宋体" w:cs="Times New Roman"/>
                <w:sz w:val="21"/>
                <w:szCs w:val="21"/>
              </w:rPr>
              <w:t>一般: 样品质量一般，基本符合招标文件技术要求，1-3</w:t>
            </w:r>
            <w:r>
              <w:rPr>
                <w:rFonts w:hint="eastAsia" w:hAnsi="宋体" w:cs="宋体"/>
                <w:sz w:val="21"/>
                <w:szCs w:val="21"/>
              </w:rPr>
              <w:t>（含）</w:t>
            </w:r>
            <w:r>
              <w:rPr>
                <w:rFonts w:hint="eastAsia" w:hAnsi="宋体" w:cs="Times New Roman"/>
                <w:sz w:val="21"/>
                <w:szCs w:val="21"/>
              </w:rPr>
              <w:t>分。</w:t>
            </w:r>
          </w:p>
          <w:p>
            <w:pPr>
              <w:pStyle w:val="24"/>
              <w:spacing w:line="400" w:lineRule="exact"/>
              <w:rPr>
                <w:rFonts w:hAnsi="宋体" w:cs="Times New Roman"/>
                <w:sz w:val="21"/>
                <w:szCs w:val="21"/>
              </w:rPr>
            </w:pPr>
            <w:r>
              <w:rPr>
                <w:rFonts w:hint="eastAsia" w:hAnsi="宋体" w:cs="Times New Roman"/>
                <w:sz w:val="21"/>
                <w:szCs w:val="21"/>
              </w:rPr>
              <w:t>差：样品质量差，不符合招标文件技术要求，0-1</w:t>
            </w:r>
            <w:r>
              <w:rPr>
                <w:rFonts w:hint="eastAsia" w:hAnsi="宋体" w:cs="宋体"/>
                <w:sz w:val="21"/>
                <w:szCs w:val="21"/>
              </w:rPr>
              <w:t>（含）</w:t>
            </w:r>
            <w:r>
              <w:rPr>
                <w:rFonts w:hint="eastAsia" w:hAnsi="宋体" w:cs="Times New Roman"/>
                <w:sz w:val="21"/>
                <w:szCs w:val="21"/>
              </w:rPr>
              <w:t>分。</w:t>
            </w:r>
          </w:p>
        </w:tc>
        <w:tc>
          <w:tcPr>
            <w:tcW w:w="567" w:type="dxa"/>
            <w:vAlign w:val="center"/>
          </w:tcPr>
          <w:p>
            <w:pPr>
              <w:shd w:val="clear" w:color="auto" w:fill="FFFFFF"/>
              <w:spacing w:line="300" w:lineRule="auto"/>
              <w:jc w:val="center"/>
              <w:rPr>
                <w:rFonts w:ascii="宋体" w:hAnsi="宋体" w:cs="宋体"/>
                <w:szCs w:val="21"/>
              </w:rPr>
            </w:pPr>
            <w:r>
              <w:rPr>
                <w:rFonts w:hint="eastAsia" w:ascii="宋体" w:hAnsi="宋体" w:cs="宋体"/>
                <w:szCs w:val="21"/>
              </w:rPr>
              <w:t>9</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5</w:t>
            </w:r>
          </w:p>
        </w:tc>
        <w:tc>
          <w:tcPr>
            <w:tcW w:w="1303" w:type="dxa"/>
            <w:vAlign w:val="center"/>
          </w:tcPr>
          <w:p>
            <w:pPr>
              <w:jc w:val="center"/>
              <w:rPr>
                <w:rFonts w:ascii="宋体" w:hAnsi="宋体" w:cs="宋体"/>
                <w:szCs w:val="21"/>
              </w:rPr>
            </w:pPr>
            <w:r>
              <w:rPr>
                <w:rFonts w:hint="eastAsia" w:ascii="宋体" w:hAnsi="宋体" w:cs="宋体"/>
                <w:szCs w:val="21"/>
              </w:rPr>
              <w:t>业绩</w:t>
            </w:r>
          </w:p>
        </w:tc>
        <w:tc>
          <w:tcPr>
            <w:tcW w:w="5954" w:type="dxa"/>
            <w:vAlign w:val="center"/>
          </w:tcPr>
          <w:p>
            <w:pPr>
              <w:spacing w:line="300" w:lineRule="exact"/>
              <w:rPr>
                <w:rFonts w:ascii="宋体" w:hAnsi="宋体"/>
                <w:szCs w:val="21"/>
              </w:rPr>
            </w:pPr>
            <w:r>
              <w:rPr>
                <w:rFonts w:hint="eastAsia" w:ascii="宋体" w:hAnsi="宋体"/>
                <w:szCs w:val="21"/>
              </w:rPr>
              <w:t>2013年以来完成的同类项目业绩，每个得3分，满分15分（以合同为准）</w:t>
            </w:r>
          </w:p>
        </w:tc>
        <w:tc>
          <w:tcPr>
            <w:tcW w:w="567" w:type="dxa"/>
            <w:vAlign w:val="center"/>
          </w:tcPr>
          <w:p>
            <w:pPr>
              <w:shd w:val="clear" w:color="auto" w:fill="FFFFFF"/>
              <w:spacing w:line="300" w:lineRule="auto"/>
              <w:jc w:val="center"/>
              <w:rPr>
                <w:rFonts w:ascii="宋体" w:hAnsi="宋体" w:cs="宋体"/>
                <w:szCs w:val="21"/>
              </w:rPr>
            </w:pPr>
            <w:r>
              <w:rPr>
                <w:rFonts w:hint="eastAsia" w:ascii="宋体" w:hAnsi="宋体" w:cs="宋体"/>
                <w:szCs w:val="21"/>
              </w:rPr>
              <w:t>15</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6</w:t>
            </w:r>
          </w:p>
        </w:tc>
        <w:tc>
          <w:tcPr>
            <w:tcW w:w="1303" w:type="dxa"/>
            <w:vAlign w:val="center"/>
          </w:tcPr>
          <w:p>
            <w:pPr>
              <w:jc w:val="center"/>
              <w:rPr>
                <w:rFonts w:ascii="宋体" w:hAnsi="宋体" w:cs="宋体"/>
                <w:szCs w:val="21"/>
              </w:rPr>
            </w:pPr>
            <w:r>
              <w:rPr>
                <w:rFonts w:hint="eastAsia" w:ascii="宋体" w:hAnsi="宋体"/>
                <w:szCs w:val="21"/>
                <w:lang w:val="en-GB"/>
              </w:rPr>
              <w:t>文件编制水平</w:t>
            </w:r>
          </w:p>
        </w:tc>
        <w:tc>
          <w:tcPr>
            <w:tcW w:w="5954" w:type="dxa"/>
            <w:vAlign w:val="center"/>
          </w:tcPr>
          <w:p>
            <w:pPr>
              <w:spacing w:line="276" w:lineRule="auto"/>
              <w:rPr>
                <w:rFonts w:ascii="宋体" w:hAnsi="宋体"/>
                <w:szCs w:val="21"/>
                <w:lang w:val="en-GB"/>
              </w:rPr>
            </w:pPr>
            <w:r>
              <w:rPr>
                <w:rFonts w:hint="eastAsia" w:ascii="宋体" w:hAnsi="宋体"/>
                <w:szCs w:val="21"/>
                <w:lang w:val="en-GB"/>
              </w:rPr>
              <w:t>投标文件编制水平：</w:t>
            </w:r>
          </w:p>
          <w:p>
            <w:pPr>
              <w:snapToGrid w:val="0"/>
              <w:spacing w:line="276" w:lineRule="auto"/>
              <w:rPr>
                <w:rFonts w:ascii="宋体" w:hAnsi="宋体"/>
                <w:szCs w:val="21"/>
              </w:rPr>
            </w:pPr>
            <w:r>
              <w:rPr>
                <w:rFonts w:hint="eastAsia" w:ascii="宋体" w:hAnsi="宋体" w:cs="宋体"/>
                <w:szCs w:val="21"/>
              </w:rPr>
              <w:t>优：4-6（含）；良：2-4（含）；一般或差：0-2（含）；</w:t>
            </w:r>
          </w:p>
        </w:tc>
        <w:tc>
          <w:tcPr>
            <w:tcW w:w="567" w:type="dxa"/>
            <w:vAlign w:val="center"/>
          </w:tcPr>
          <w:p>
            <w:pPr>
              <w:shd w:val="clear" w:color="auto" w:fill="FFFFFF"/>
              <w:spacing w:line="300" w:lineRule="auto"/>
              <w:jc w:val="center"/>
              <w:rPr>
                <w:rFonts w:ascii="宋体" w:hAnsi="宋体" w:cs="宋体"/>
                <w:szCs w:val="21"/>
              </w:rPr>
            </w:pPr>
            <w:r>
              <w:rPr>
                <w:rFonts w:hint="eastAsia" w:ascii="宋体" w:hAnsi="宋体" w:cs="宋体"/>
                <w:szCs w:val="21"/>
              </w:rPr>
              <w:t>6</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vAlign w:val="center"/>
          </w:tcPr>
          <w:p>
            <w:pPr>
              <w:snapToGrid w:val="0"/>
              <w:spacing w:line="300" w:lineRule="auto"/>
              <w:jc w:val="center"/>
              <w:rPr>
                <w:rFonts w:ascii="宋体" w:hAnsi="宋体" w:cs="宋体"/>
                <w:szCs w:val="21"/>
              </w:rPr>
            </w:pPr>
            <w:r>
              <w:rPr>
                <w:rFonts w:hint="eastAsia" w:ascii="宋体" w:hAnsi="宋体" w:cs="宋体"/>
                <w:szCs w:val="21"/>
              </w:rPr>
              <w:t>7</w:t>
            </w:r>
          </w:p>
        </w:tc>
        <w:tc>
          <w:tcPr>
            <w:tcW w:w="1303" w:type="dxa"/>
            <w:vAlign w:val="center"/>
          </w:tcPr>
          <w:p>
            <w:pPr>
              <w:spacing w:line="240" w:lineRule="atLeast"/>
              <w:jc w:val="center"/>
              <w:rPr>
                <w:color w:val="000000"/>
                <w:szCs w:val="21"/>
              </w:rPr>
            </w:pPr>
            <w:r>
              <w:rPr>
                <w:rFonts w:hint="eastAsia"/>
                <w:color w:val="000000"/>
                <w:szCs w:val="21"/>
              </w:rPr>
              <w:t>售后服务和保障能力</w:t>
            </w:r>
          </w:p>
        </w:tc>
        <w:tc>
          <w:tcPr>
            <w:tcW w:w="5954" w:type="dxa"/>
            <w:vAlign w:val="center"/>
          </w:tcPr>
          <w:p>
            <w:pPr>
              <w:spacing w:line="200" w:lineRule="atLeast"/>
              <w:rPr>
                <w:color w:val="000000"/>
                <w:szCs w:val="21"/>
              </w:rPr>
            </w:pPr>
            <w:r>
              <w:rPr>
                <w:rFonts w:hint="eastAsia"/>
                <w:color w:val="000000"/>
                <w:szCs w:val="21"/>
              </w:rPr>
              <w:t>根据投标人售后服务承诺及保障措施进行评比；优：4-5分；良：2-4</w:t>
            </w:r>
            <w:r>
              <w:rPr>
                <w:rFonts w:hint="eastAsia" w:ascii="宋体" w:hAnsi="宋体" w:cs="宋体"/>
                <w:szCs w:val="21"/>
              </w:rPr>
              <w:t>（含）</w:t>
            </w:r>
            <w:r>
              <w:rPr>
                <w:rFonts w:hint="eastAsia"/>
                <w:color w:val="000000"/>
                <w:szCs w:val="21"/>
              </w:rPr>
              <w:t>分；一般：0-2</w:t>
            </w:r>
            <w:r>
              <w:rPr>
                <w:rFonts w:hint="eastAsia" w:ascii="宋体" w:hAnsi="宋体" w:cs="宋体"/>
                <w:szCs w:val="21"/>
              </w:rPr>
              <w:t>（含）</w:t>
            </w:r>
            <w:r>
              <w:rPr>
                <w:rFonts w:hint="eastAsia"/>
                <w:color w:val="000000"/>
                <w:szCs w:val="21"/>
              </w:rPr>
              <w:t>分。</w:t>
            </w:r>
          </w:p>
        </w:tc>
        <w:tc>
          <w:tcPr>
            <w:tcW w:w="567" w:type="dxa"/>
            <w:vAlign w:val="center"/>
          </w:tcPr>
          <w:p>
            <w:pPr>
              <w:spacing w:line="240" w:lineRule="atLeast"/>
              <w:jc w:val="center"/>
              <w:rPr>
                <w:color w:val="000000"/>
                <w:szCs w:val="21"/>
              </w:rPr>
            </w:pPr>
            <w:r>
              <w:rPr>
                <w:rFonts w:hint="eastAsia"/>
                <w:color w:val="000000"/>
                <w:szCs w:val="21"/>
              </w:rPr>
              <w:t>5</w:t>
            </w:r>
          </w:p>
        </w:tc>
        <w:tc>
          <w:tcPr>
            <w:tcW w:w="636" w:type="dxa"/>
            <w:vAlign w:val="center"/>
          </w:tcPr>
          <w:p>
            <w:pPr>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r>
              <w:rPr>
                <w:rFonts w:hint="eastAsia" w:ascii="宋体" w:hAnsi="宋体" w:cs="宋体"/>
                <w:szCs w:val="21"/>
              </w:rPr>
              <w:t>8</w:t>
            </w:r>
          </w:p>
        </w:tc>
        <w:tc>
          <w:tcPr>
            <w:tcW w:w="1303"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cs="宋体"/>
                <w:szCs w:val="21"/>
              </w:rPr>
            </w:pPr>
            <w:r>
              <w:rPr>
                <w:rFonts w:hint="eastAsia" w:ascii="宋体" w:hAnsi="宋体" w:cs="宋体"/>
                <w:szCs w:val="21"/>
              </w:rPr>
              <w:t xml:space="preserve">价格分  </w:t>
            </w:r>
          </w:p>
        </w:tc>
        <w:tc>
          <w:tcPr>
            <w:tcW w:w="595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cs="宋体"/>
                <w:szCs w:val="21"/>
              </w:rPr>
            </w:pPr>
            <w:r>
              <w:rPr>
                <w:rFonts w:hint="eastAsia" w:ascii="宋体" w:hAnsi="宋体" w:cs="宋体"/>
                <w:szCs w:val="21"/>
              </w:rPr>
              <w:t>满足招标文件要求且价格最低的投标价为基准价，价格分统一按照下列公式计算：价格分=(基准价／投标报价)×价格权值×100</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auto"/>
              <w:jc w:val="center"/>
              <w:rPr>
                <w:rFonts w:ascii="宋体" w:hAnsi="宋体" w:cs="宋体"/>
                <w:szCs w:val="21"/>
              </w:rPr>
            </w:pPr>
            <w:r>
              <w:rPr>
                <w:rFonts w:hint="eastAsia" w:ascii="宋体" w:hAnsi="宋体" w:cs="宋体"/>
                <w:szCs w:val="21"/>
              </w:rPr>
              <w:t>30</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cs="宋体"/>
                <w:szCs w:val="21"/>
              </w:rPr>
            </w:pPr>
            <w:r>
              <w:rPr>
                <w:rFonts w:hint="eastAsia" w:ascii="宋体" w:hAnsi="宋体" w:cs="宋体"/>
                <w:szCs w:val="21"/>
              </w:rPr>
              <w:t>合计</w:t>
            </w:r>
          </w:p>
        </w:tc>
        <w:tc>
          <w:tcPr>
            <w:tcW w:w="5954"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auto"/>
              <w:jc w:val="center"/>
              <w:rPr>
                <w:rFonts w:ascii="宋体" w:hAnsi="宋体" w:cs="宋体"/>
                <w:szCs w:val="21"/>
              </w:rPr>
            </w:pPr>
            <w:r>
              <w:rPr>
                <w:rFonts w:hint="eastAsia" w:ascii="宋体" w:hAnsi="宋体" w:cs="宋体"/>
                <w:szCs w:val="21"/>
              </w:rPr>
              <w:t>100</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sectPr>
          <w:footnotePr>
            <w:pos w:val="beneathText"/>
          </w:footnotePr>
          <w:pgSz w:w="11906" w:h="16838"/>
          <w:pgMar w:top="1440" w:right="1559" w:bottom="1440" w:left="1797" w:header="851" w:footer="992" w:gutter="0"/>
          <w:cols w:space="720" w:num="1"/>
          <w:docGrid w:linePitch="312" w:charSpace="0"/>
        </w:sectPr>
      </w:pPr>
      <w:r>
        <w:rPr>
          <w:rFonts w:hint="eastAsia" w:ascii="宋体" w:hAnsi="宋体"/>
          <w:sz w:val="24"/>
        </w:rPr>
        <w:t>评委：</w:t>
      </w:r>
    </w:p>
    <w:p>
      <w:pPr>
        <w:snapToGrid w:val="0"/>
        <w:spacing w:line="360" w:lineRule="auto"/>
        <w:jc w:val="left"/>
        <w:rPr>
          <w:rFonts w:hint="eastAsia" w:ascii="宋体" w:hAnsi="宋体"/>
          <w:sz w:val="24"/>
        </w:rPr>
      </w:pPr>
      <w:r>
        <w:rPr>
          <w:rFonts w:hint="eastAsia" w:ascii="宋体" w:hAnsi="宋体"/>
          <w:b/>
          <w:sz w:val="36"/>
          <w:szCs w:val="36"/>
        </w:rPr>
        <w:t>附</w:t>
      </w:r>
      <w:r>
        <w:rPr>
          <w:rFonts w:hint="eastAsia" w:ascii="宋体" w:hAnsi="宋体"/>
          <w:b/>
          <w:sz w:val="36"/>
          <w:szCs w:val="36"/>
          <w:lang w:val="en-US" w:eastAsia="zh-CN"/>
        </w:rPr>
        <w:t>3</w:t>
      </w:r>
      <w:r>
        <w:rPr>
          <w:rFonts w:hint="eastAsia" w:ascii="宋体" w:hAnsi="宋体"/>
          <w:sz w:val="24"/>
        </w:rPr>
        <w:t>关于政策性加分</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1所投分包(如不分包则指本项目)的所有投标产品进入当期节能清单的，其评标价=投标报价*（1-2%）；投标人所投产品满足此规定的，必须提供声明函并提供相关证明文件。 </w:t>
      </w:r>
    </w:p>
    <w:p>
      <w:pPr>
        <w:snapToGrid w:val="0"/>
        <w:spacing w:line="360" w:lineRule="auto"/>
        <w:ind w:firstLine="480" w:firstLineChars="200"/>
        <w:jc w:val="left"/>
        <w:rPr>
          <w:rFonts w:hint="eastAsia" w:ascii="宋体" w:hAnsi="宋体"/>
          <w:sz w:val="24"/>
        </w:rPr>
      </w:pPr>
      <w:r>
        <w:rPr>
          <w:rFonts w:hint="eastAsia" w:ascii="宋体" w:hAnsi="宋体"/>
          <w:sz w:val="24"/>
        </w:rPr>
        <w:t>2所投分包(如不分包则指本项目)的所有投标产品进入当期环保清单的，其评标价=投标报价*（1-1%）；投标人所投产品满足此规定的，必须提供声明函并提供相关证明文件。</w:t>
      </w:r>
    </w:p>
    <w:p>
      <w:pPr>
        <w:snapToGrid w:val="0"/>
        <w:spacing w:line="360" w:lineRule="auto"/>
        <w:ind w:firstLine="480" w:firstLineChars="200"/>
        <w:jc w:val="left"/>
        <w:rPr>
          <w:rFonts w:hint="eastAsia" w:ascii="宋体" w:hAnsi="宋体"/>
          <w:sz w:val="24"/>
        </w:rPr>
      </w:pPr>
      <w:r>
        <w:rPr>
          <w:rFonts w:hint="eastAsia" w:ascii="宋体" w:hAnsi="宋体"/>
          <w:sz w:val="24"/>
        </w:rPr>
        <w:t>3投标人为小型和微型企业（含联合体）的情况：</w:t>
      </w:r>
    </w:p>
    <w:p>
      <w:pPr>
        <w:snapToGrid w:val="0"/>
        <w:spacing w:line="360" w:lineRule="auto"/>
        <w:ind w:firstLine="480" w:firstLineChars="200"/>
        <w:jc w:val="left"/>
        <w:rPr>
          <w:rFonts w:hint="eastAsia" w:ascii="宋体" w:hAnsi="宋体"/>
          <w:sz w:val="24"/>
        </w:rPr>
      </w:pPr>
      <w:r>
        <w:rPr>
          <w:rFonts w:hint="eastAsia" w:ascii="宋体" w:hAnsi="宋体"/>
          <w:sz w:val="24"/>
        </w:rPr>
        <w:t>3.1中小企业的认定标准：</w:t>
      </w:r>
    </w:p>
    <w:p>
      <w:pPr>
        <w:snapToGrid w:val="0"/>
        <w:spacing w:line="360" w:lineRule="auto"/>
        <w:ind w:firstLine="480" w:firstLineChars="200"/>
        <w:jc w:val="left"/>
        <w:rPr>
          <w:rFonts w:hint="eastAsia" w:ascii="宋体" w:hAnsi="宋体"/>
          <w:sz w:val="24"/>
        </w:rPr>
      </w:pPr>
      <w:r>
        <w:rPr>
          <w:rFonts w:hint="eastAsia" w:ascii="宋体" w:hAnsi="宋体"/>
          <w:sz w:val="24"/>
        </w:rPr>
        <w:t>1）提供本企业制造的货物、承担的工程或者服务，或者提供其他中小企业制造的货物，不包括提供或使用大型企业注册商标的货物；</w:t>
      </w:r>
    </w:p>
    <w:p>
      <w:pPr>
        <w:snapToGrid w:val="0"/>
        <w:spacing w:line="360" w:lineRule="auto"/>
        <w:ind w:firstLine="480" w:firstLineChars="200"/>
        <w:jc w:val="left"/>
        <w:rPr>
          <w:rFonts w:hint="eastAsia" w:ascii="宋体" w:hAnsi="宋体"/>
          <w:sz w:val="24"/>
        </w:rPr>
      </w:pPr>
      <w:r>
        <w:rPr>
          <w:rFonts w:hint="eastAsia" w:ascii="宋体" w:hAnsi="宋体"/>
          <w:sz w:val="24"/>
        </w:rPr>
        <w:t>2）本规定所称中小企业划分标准，是指国务院有关部门根据企业从业人员、营业收入、资产总额等指标制定的中小企业划型标准（工信部联企业〔2011〕300号）；</w:t>
      </w:r>
    </w:p>
    <w:p>
      <w:pPr>
        <w:snapToGrid w:val="0"/>
        <w:spacing w:line="360" w:lineRule="auto"/>
        <w:ind w:firstLine="480" w:firstLineChars="200"/>
        <w:jc w:val="left"/>
        <w:rPr>
          <w:rFonts w:hint="eastAsia" w:ascii="宋体" w:hAnsi="宋体"/>
          <w:sz w:val="24"/>
        </w:rPr>
      </w:pPr>
      <w:r>
        <w:rPr>
          <w:rFonts w:hint="eastAsia" w:ascii="宋体" w:hAnsi="宋体"/>
          <w:sz w:val="24"/>
        </w:rPr>
        <w:t>3）小型、微型企业提供有中型企业制造的货物的，视同为中型企业；小型、微型、中型企业提供有大型企业制造的货物的，视同为大型企业。</w:t>
      </w:r>
    </w:p>
    <w:p>
      <w:pPr>
        <w:snapToGrid w:val="0"/>
        <w:spacing w:line="360" w:lineRule="auto"/>
        <w:ind w:firstLine="480" w:firstLineChars="200"/>
        <w:jc w:val="left"/>
        <w:rPr>
          <w:rFonts w:hint="eastAsia" w:ascii="宋体" w:hAnsi="宋体"/>
          <w:sz w:val="24"/>
        </w:rPr>
      </w:pPr>
      <w:r>
        <w:rPr>
          <w:rFonts w:hint="eastAsia" w:ascii="宋体" w:hAnsi="宋体"/>
          <w:sz w:val="24"/>
        </w:rPr>
        <w:t>4）监狱企业视同为小型、微型企业。</w:t>
      </w:r>
    </w:p>
    <w:p>
      <w:pPr>
        <w:snapToGrid w:val="0"/>
        <w:spacing w:line="360" w:lineRule="auto"/>
        <w:ind w:firstLine="480" w:firstLineChars="200"/>
        <w:jc w:val="left"/>
        <w:rPr>
          <w:rFonts w:hint="eastAsia" w:ascii="宋体" w:hAnsi="宋体"/>
          <w:sz w:val="24"/>
        </w:rPr>
      </w:pPr>
      <w:r>
        <w:rPr>
          <w:rFonts w:hint="eastAsia" w:ascii="宋体" w:hAnsi="宋体"/>
          <w:sz w:val="24"/>
        </w:rPr>
        <w:t>（投标人为小型、微型企业，同时所投产品为小型、微型企业生产的才能享受政策性优惠）</w:t>
      </w:r>
    </w:p>
    <w:p>
      <w:pPr>
        <w:snapToGrid w:val="0"/>
        <w:spacing w:line="360" w:lineRule="auto"/>
        <w:ind w:firstLine="480" w:firstLineChars="200"/>
        <w:jc w:val="left"/>
        <w:rPr>
          <w:rFonts w:hint="eastAsia" w:ascii="宋体" w:hAnsi="宋体"/>
          <w:sz w:val="24"/>
        </w:rPr>
      </w:pPr>
      <w:r>
        <w:rPr>
          <w:rFonts w:hint="eastAsia" w:ascii="宋体" w:hAnsi="宋体"/>
          <w:sz w:val="24"/>
        </w:rPr>
        <w:t>3.2具体评审价说明：</w:t>
      </w:r>
    </w:p>
    <w:p>
      <w:pPr>
        <w:snapToGrid w:val="0"/>
        <w:spacing w:line="360" w:lineRule="auto"/>
        <w:ind w:firstLine="480" w:firstLineChars="200"/>
        <w:jc w:val="left"/>
        <w:rPr>
          <w:rFonts w:hint="eastAsia" w:ascii="宋体" w:hAnsi="宋体"/>
          <w:sz w:val="24"/>
        </w:rPr>
      </w:pPr>
      <w:r>
        <w:rPr>
          <w:rFonts w:hint="eastAsia" w:ascii="宋体" w:hAnsi="宋体"/>
          <w:sz w:val="24"/>
        </w:rPr>
        <w:t>1）投标人为小型或微型企业，其评审价=投标报价*（1-6%）；</w:t>
      </w:r>
    </w:p>
    <w:p>
      <w:pPr>
        <w:snapToGrid w:val="0"/>
        <w:spacing w:line="360" w:lineRule="auto"/>
        <w:ind w:firstLine="480" w:firstLineChars="200"/>
        <w:jc w:val="left"/>
        <w:rPr>
          <w:rFonts w:hint="eastAsia" w:ascii="宋体" w:hAnsi="宋体"/>
          <w:sz w:val="24"/>
        </w:rPr>
      </w:pPr>
      <w:r>
        <w:rPr>
          <w:rFonts w:hint="eastAsia" w:ascii="宋体" w:hAnsi="宋体"/>
          <w:sz w:val="24"/>
        </w:rPr>
        <w:t>2）投标人为联合体投标，联合体中有小型或微型企业且联合协议中约定小型、微型企业的协议合同金额占到联合体协议合同总金额30％以上的，其评审价=投标报价*（1-2%）。</w:t>
      </w:r>
    </w:p>
    <w:p>
      <w:pPr>
        <w:snapToGrid w:val="0"/>
        <w:spacing w:line="360" w:lineRule="auto"/>
        <w:ind w:firstLine="480" w:firstLineChars="200"/>
        <w:jc w:val="left"/>
        <w:rPr>
          <w:rFonts w:hint="eastAsia" w:ascii="宋体" w:hAnsi="宋体"/>
          <w:sz w:val="24"/>
        </w:rPr>
      </w:pPr>
      <w:r>
        <w:rPr>
          <w:rFonts w:hint="eastAsia" w:ascii="宋体" w:hAnsi="宋体"/>
          <w:sz w:val="24"/>
        </w:rPr>
        <w:t>3.3 投标人为工信部联企业〔2011〕300号文规定的小型和微型企业（含联合体）的，必须如实填写“中小企业声明函”（内容、格式见财库〔2011〕181号），并提供中小企业认定机构的证明材料，否则无效。如有虚假骗取政策性加分，将依法承担相应责任。</w:t>
      </w:r>
    </w:p>
    <w:p>
      <w:pPr>
        <w:spacing w:line="360" w:lineRule="auto"/>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FuturaA Md BT">
    <w:altName w:val="Lucida Sans Unicode"/>
    <w:panose1 w:val="00000000000000000000"/>
    <w:charset w:val="00"/>
    <w:family w:val="swiss"/>
    <w:pitch w:val="default"/>
    <w:sig w:usb0="00000000" w:usb1="00000000" w:usb2="00000000" w:usb3="00000000" w:csb0="0000001B"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0000000000000000000"/>
    <w:charset w:val="00"/>
    <w:family w:val="swiss"/>
    <w:pitch w:val="default"/>
    <w:sig w:usb0="00000000" w:usb1="00000000" w:usb2="00000000" w:usb3="00000000" w:csb0="000001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11</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0</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left"/>
      <w:rPr>
        <w:rFonts w:ascii="宋体" w:hAnsi="宋体"/>
      </w:rPr>
    </w:pPr>
    <w:r>
      <w:rPr>
        <w:rFonts w:hint="eastAsia" w:ascii="宋体" w:hAnsi="宋体"/>
      </w:rPr>
      <w:t xml:space="preserve">四川恒鑫工程管理咨询有限公司                                                 </w:t>
    </w:r>
    <w:r>
      <w:rPr>
        <w:rFonts w:ascii="宋体" w:hAnsi="宋体"/>
      </w:rPr>
      <w:t>SCHX-HK2016062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0</w:t>
    </w:r>
    <w:r>
      <w:fldChar w:fldCharType="end"/>
    </w:r>
  </w:p>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四川恒鑫工程管理咨询有限公司</w:t>
    </w:r>
    <w:r>
      <w:rPr>
        <w:rFonts w:ascii="宋体" w:hAnsi="宋体"/>
      </w:rPr>
      <w:t>SCHX-HK2016062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0</w:t>
    </w:r>
    <w:r>
      <w:fldChar w:fldCharType="end"/>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bullet"/>
      <w:pStyle w:val="18"/>
      <w:lvlText w:val=""/>
      <w:lvlJc w:val="left"/>
      <w:pPr>
        <w:tabs>
          <w:tab w:val="left" w:pos="748"/>
        </w:tabs>
        <w:ind w:left="748" w:hanging="374"/>
      </w:pPr>
      <w:rPr>
        <w:rFonts w:hint="default" w:ascii="Wingdings" w:hAnsi="Wingdings"/>
        <w:sz w:val="21"/>
      </w:rPr>
    </w:lvl>
  </w:abstractNum>
  <w:abstractNum w:abstractNumId="1">
    <w:nsid w:val="0000000C"/>
    <w:multiLevelType w:val="multilevel"/>
    <w:tmpl w:val="0000000C"/>
    <w:lvl w:ilvl="0" w:tentative="0">
      <w:start w:val="1"/>
      <w:numFmt w:val="decimal"/>
      <w:pStyle w:val="202"/>
      <w:lvlText w:val="%1."/>
      <w:lvlJc w:val="left"/>
      <w:pPr>
        <w:tabs>
          <w:tab w:val="left" w:pos="709"/>
        </w:tabs>
        <w:ind w:left="709" w:hanging="709"/>
      </w:pPr>
      <w:rPr>
        <w:rFonts w:hint="eastAsia"/>
      </w:rPr>
    </w:lvl>
    <w:lvl w:ilvl="1" w:tentative="0">
      <w:start w:val="1"/>
      <w:numFmt w:val="decimal"/>
      <w:pStyle w:val="222"/>
      <w:lvlText w:val="%1.%2"/>
      <w:lvlJc w:val="left"/>
      <w:pPr>
        <w:tabs>
          <w:tab w:val="left" w:pos="709"/>
        </w:tabs>
        <w:ind w:left="709" w:hanging="709"/>
      </w:pPr>
      <w:rPr>
        <w:rFonts w:hint="eastAsia"/>
        <w:color w:val="auto"/>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D"/>
    <w:multiLevelType w:val="multilevel"/>
    <w:tmpl w:val="0000000D"/>
    <w:lvl w:ilvl="0" w:tentative="0">
      <w:start w:val="1"/>
      <w:numFmt w:val="decimal"/>
      <w:lvlText w:val="第%1章."/>
      <w:lvlJc w:val="left"/>
      <w:pPr>
        <w:tabs>
          <w:tab w:val="left" w:pos="425"/>
        </w:tabs>
        <w:ind w:left="425" w:hanging="425"/>
      </w:pPr>
      <w:rPr>
        <w:rFonts w:hint="eastAsia"/>
      </w:rPr>
    </w:lvl>
    <w:lvl w:ilvl="1" w:tentative="0">
      <w:start w:val="1"/>
      <w:numFmt w:val="decimal"/>
      <w:pStyle w:val="99"/>
      <w:lvlText w:val="%1.%2."/>
      <w:lvlJc w:val="left"/>
      <w:pPr>
        <w:tabs>
          <w:tab w:val="left" w:pos="567"/>
        </w:tabs>
        <w:ind w:left="56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E"/>
    <w:multiLevelType w:val="multilevel"/>
    <w:tmpl w:val="0000000E"/>
    <w:lvl w:ilvl="0" w:tentative="0">
      <w:start w:val="1"/>
      <w:numFmt w:val="decimal"/>
      <w:pStyle w:val="6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bullet"/>
      <w:pStyle w:val="137"/>
      <w:lvlText w:val=""/>
      <w:lvlJc w:val="left"/>
      <w:pPr>
        <w:tabs>
          <w:tab w:val="left" w:pos="900"/>
        </w:tabs>
        <w:ind w:left="900" w:hanging="420"/>
      </w:pPr>
      <w:rPr>
        <w:rFonts w:hint="default" w:ascii="Wingdings" w:hAnsi="Wingdings"/>
      </w:rPr>
    </w:lvl>
    <w:lvl w:ilvl="1" w:tentative="0">
      <w:start w:val="1"/>
      <w:numFmt w:val="bullet"/>
      <w:pStyle w:val="203"/>
      <w:lvlText w:val=""/>
      <w:lvlJc w:val="left"/>
      <w:pPr>
        <w:tabs>
          <w:tab w:val="left" w:pos="1320"/>
        </w:tabs>
        <w:ind w:left="1320" w:hanging="420"/>
      </w:pPr>
      <w:rPr>
        <w:rFonts w:hint="default" w:ascii="Wingdings" w:hAnsi="Wingdings"/>
      </w:rPr>
    </w:lvl>
    <w:lvl w:ilvl="2" w:tentative="0">
      <w:start w:val="1"/>
      <w:numFmt w:val="bullet"/>
      <w:pStyle w:val="134"/>
      <w:lvlText w:val=""/>
      <w:lvlJc w:val="left"/>
      <w:pPr>
        <w:tabs>
          <w:tab w:val="left" w:pos="1740"/>
        </w:tabs>
        <w:ind w:left="1740" w:hanging="420"/>
      </w:pPr>
      <w:rPr>
        <w:rFonts w:hint="default" w:ascii="Wingdings" w:hAnsi="Wingdings"/>
      </w:rPr>
    </w:lvl>
    <w:lvl w:ilvl="3" w:tentative="0">
      <w:start w:val="1"/>
      <w:numFmt w:val="bullet"/>
      <w:pStyle w:val="172"/>
      <w:lvlText w:val=""/>
      <w:lvlJc w:val="left"/>
      <w:pPr>
        <w:tabs>
          <w:tab w:val="left" w:pos="2160"/>
        </w:tabs>
        <w:ind w:left="2160" w:hanging="420"/>
      </w:pPr>
      <w:rPr>
        <w:rFonts w:hint="default" w:ascii="Wingdings" w:hAnsi="Wingdings"/>
      </w:rPr>
    </w:lvl>
    <w:lvl w:ilvl="4" w:tentative="0">
      <w:start w:val="1"/>
      <w:numFmt w:val="bullet"/>
      <w:pStyle w:val="232"/>
      <w:lvlText w:val=""/>
      <w:lvlJc w:val="left"/>
      <w:pPr>
        <w:tabs>
          <w:tab w:val="left" w:pos="2580"/>
        </w:tabs>
        <w:ind w:left="2580" w:hanging="420"/>
      </w:pPr>
      <w:rPr>
        <w:rFonts w:hint="default" w:ascii="Wingdings" w:hAnsi="Wingdings"/>
      </w:rPr>
    </w:lvl>
    <w:lvl w:ilvl="5" w:tentative="0">
      <w:start w:val="1"/>
      <w:numFmt w:val="bullet"/>
      <w:pStyle w:val="162"/>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00000010"/>
    <w:multiLevelType w:val="multilevel"/>
    <w:tmpl w:val="00000010"/>
    <w:lvl w:ilvl="0" w:tentative="0">
      <w:start w:val="1"/>
      <w:numFmt w:val="chineseCountingThousand"/>
      <w:pStyle w:val="16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9"/>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00000012"/>
    <w:multiLevelType w:val="multilevel"/>
    <w:tmpl w:val="00000012"/>
    <w:lvl w:ilvl="0" w:tentative="0">
      <w:start w:val="1"/>
      <w:numFmt w:val="decimal"/>
      <w:pStyle w:val="176"/>
      <w:lvlText w:val="%1)"/>
      <w:lvlJc w:val="left"/>
      <w:pPr>
        <w:tabs>
          <w:tab w:val="left" w:pos="1078"/>
        </w:tabs>
        <w:ind w:left="107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multilevel"/>
    <w:tmpl w:val="00000013"/>
    <w:lvl w:ilvl="0" w:tentative="0">
      <w:start w:val="1"/>
      <w:numFmt w:val="lowerLetter"/>
      <w:lvlText w:val="%1."/>
      <w:lvlJc w:val="left"/>
      <w:pPr>
        <w:tabs>
          <w:tab w:val="left" w:pos="1265"/>
        </w:tabs>
        <w:ind w:left="1265" w:hanging="420"/>
      </w:pPr>
      <w:rPr>
        <w:rFonts w:hint="eastAsia"/>
        <w:b/>
        <w:sz w:val="24"/>
        <w:szCs w:val="24"/>
      </w:rPr>
    </w:lvl>
    <w:lvl w:ilvl="1" w:tentative="0">
      <w:start w:val="1"/>
      <w:numFmt w:val="lowerLetter"/>
      <w:lvlText w:val="%2)"/>
      <w:lvlJc w:val="left"/>
      <w:pPr>
        <w:tabs>
          <w:tab w:val="left" w:pos="1205"/>
        </w:tabs>
        <w:ind w:left="1205" w:hanging="420"/>
      </w:pPr>
    </w:lvl>
    <w:lvl w:ilvl="2" w:tentative="0">
      <w:start w:val="1"/>
      <w:numFmt w:val="lowerRoman"/>
      <w:lvlText w:val="%3."/>
      <w:lvlJc w:val="right"/>
      <w:pPr>
        <w:tabs>
          <w:tab w:val="left" w:pos="1625"/>
        </w:tabs>
        <w:ind w:left="1625" w:hanging="420"/>
      </w:pPr>
    </w:lvl>
    <w:lvl w:ilvl="3" w:tentative="0">
      <w:start w:val="1"/>
      <w:numFmt w:val="decimal"/>
      <w:lvlText w:val="%4."/>
      <w:lvlJc w:val="left"/>
      <w:pPr>
        <w:tabs>
          <w:tab w:val="left" w:pos="2045"/>
        </w:tabs>
        <w:ind w:left="2045" w:hanging="420"/>
      </w:pPr>
    </w:lvl>
    <w:lvl w:ilvl="4" w:tentative="0">
      <w:start w:val="1"/>
      <w:numFmt w:val="lowerLetter"/>
      <w:pStyle w:val="122"/>
      <w:lvlText w:val="%5)"/>
      <w:lvlJc w:val="left"/>
      <w:pPr>
        <w:tabs>
          <w:tab w:val="left" w:pos="2465"/>
        </w:tabs>
        <w:ind w:left="2465" w:hanging="420"/>
      </w:pPr>
    </w:lvl>
    <w:lvl w:ilvl="5" w:tentative="0">
      <w:start w:val="1"/>
      <w:numFmt w:val="lowerRoman"/>
      <w:lvlText w:val="%6."/>
      <w:lvlJc w:val="right"/>
      <w:pPr>
        <w:tabs>
          <w:tab w:val="left" w:pos="2885"/>
        </w:tabs>
        <w:ind w:left="2885" w:hanging="420"/>
      </w:pPr>
    </w:lvl>
    <w:lvl w:ilvl="6" w:tentative="0">
      <w:start w:val="1"/>
      <w:numFmt w:val="decimal"/>
      <w:lvlText w:val="%7."/>
      <w:lvlJc w:val="left"/>
      <w:pPr>
        <w:tabs>
          <w:tab w:val="left" w:pos="3305"/>
        </w:tabs>
        <w:ind w:left="3305" w:hanging="420"/>
      </w:pPr>
    </w:lvl>
    <w:lvl w:ilvl="7" w:tentative="0">
      <w:start w:val="1"/>
      <w:numFmt w:val="lowerLetter"/>
      <w:lvlText w:val="%8)"/>
      <w:lvlJc w:val="left"/>
      <w:pPr>
        <w:tabs>
          <w:tab w:val="left" w:pos="3725"/>
        </w:tabs>
        <w:ind w:left="3725" w:hanging="420"/>
      </w:pPr>
    </w:lvl>
    <w:lvl w:ilvl="8" w:tentative="0">
      <w:start w:val="1"/>
      <w:numFmt w:val="lowerRoman"/>
      <w:lvlText w:val="%9."/>
      <w:lvlJc w:val="right"/>
      <w:pPr>
        <w:tabs>
          <w:tab w:val="left" w:pos="4145"/>
        </w:tabs>
        <w:ind w:left="4145" w:hanging="420"/>
      </w:pPr>
    </w:lvl>
  </w:abstractNum>
  <w:abstractNum w:abstractNumId="8">
    <w:nsid w:val="00000014"/>
    <w:multiLevelType w:val="multilevel"/>
    <w:tmpl w:val="00000014"/>
    <w:lvl w:ilvl="0" w:tentative="0">
      <w:start w:val="1"/>
      <w:numFmt w:val="decimal"/>
      <w:pStyle w:val="178"/>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6"/>
    <w:multiLevelType w:val="multilevel"/>
    <w:tmpl w:val="00000016"/>
    <w:lvl w:ilvl="0" w:tentative="0">
      <w:start w:val="1"/>
      <w:numFmt w:val="decimal"/>
      <w:pStyle w:val="13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8"/>
    <w:multiLevelType w:val="multilevel"/>
    <w:tmpl w:val="00000018"/>
    <w:lvl w:ilvl="0" w:tentative="0">
      <w:start w:val="1"/>
      <w:numFmt w:val="decimal"/>
      <w:pStyle w:val="161"/>
      <w:lvlText w:val="%1."/>
      <w:lvlJc w:val="left"/>
      <w:pPr>
        <w:ind w:left="420" w:hanging="420"/>
      </w:pPr>
    </w:lvl>
    <w:lvl w:ilvl="1" w:tentative="0">
      <w:start w:val="1"/>
      <w:numFmt w:val="decimal"/>
      <w:pStyle w:val="199"/>
      <w:lvlText w:val="%2)"/>
      <w:lvlJc w:val="left"/>
      <w:pPr>
        <w:tabs>
          <w:tab w:val="left" w:pos="840"/>
        </w:tabs>
        <w:ind w:left="840" w:hanging="420"/>
      </w:pPr>
    </w:lvl>
    <w:lvl w:ilvl="2" w:tentative="0">
      <w:start w:val="1"/>
      <w:numFmt w:val="lowerRoman"/>
      <w:pStyle w:val="93"/>
      <w:lvlText w:val="%3."/>
      <w:lvlJc w:val="right"/>
      <w:pPr>
        <w:ind w:left="1260" w:hanging="420"/>
      </w:pPr>
    </w:lvl>
    <w:lvl w:ilvl="3" w:tentative="0">
      <w:start w:val="1"/>
      <w:numFmt w:val="decimal"/>
      <w:pStyle w:val="92"/>
      <w:lvlText w:val="%4."/>
      <w:lvlJc w:val="left"/>
      <w:pPr>
        <w:ind w:left="1680" w:hanging="420"/>
      </w:pPr>
    </w:lvl>
    <w:lvl w:ilvl="4" w:tentative="0">
      <w:start w:val="1"/>
      <w:numFmt w:val="lowerLetter"/>
      <w:pStyle w:val="228"/>
      <w:lvlText w:val="%5)"/>
      <w:lvlJc w:val="left"/>
      <w:pPr>
        <w:ind w:left="2100" w:hanging="420"/>
      </w:pPr>
    </w:lvl>
    <w:lvl w:ilvl="5" w:tentative="0">
      <w:start w:val="1"/>
      <w:numFmt w:val="lowerRoman"/>
      <w:pStyle w:val="133"/>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5"/>
    <w:multiLevelType w:val="multilevel"/>
    <w:tmpl w:val="00000025"/>
    <w:lvl w:ilvl="0" w:tentative="0">
      <w:start w:val="1"/>
      <w:numFmt w:val="decimal"/>
      <w:pStyle w:val="262"/>
      <w:suff w:val="space"/>
      <w:lvlText w:val="第%1章"/>
      <w:lvlJc w:val="left"/>
      <w:pPr>
        <w:ind w:left="0" w:firstLine="0"/>
      </w:pPr>
      <w:rPr>
        <w:rFonts w:hint="eastAsia" w:ascii="黑体" w:eastAsia="黑体"/>
        <w:b w:val="0"/>
        <w:i w:val="0"/>
      </w:rPr>
    </w:lvl>
    <w:lvl w:ilvl="1" w:tentative="0">
      <w:start w:val="1"/>
      <w:numFmt w:val="decimal"/>
      <w:suff w:val="space"/>
      <w:lvlText w:val="%1.%2"/>
      <w:lvlJc w:val="left"/>
      <w:pPr>
        <w:ind w:left="0" w:firstLine="0"/>
      </w:pPr>
      <w:rPr>
        <w:rFonts w:hint="eastAsia" w:ascii="黑体" w:eastAsia="黑体"/>
        <w:b w:val="0"/>
        <w:i w:val="0"/>
      </w:rPr>
    </w:lvl>
    <w:lvl w:ilvl="2" w:tentative="0">
      <w:start w:val="1"/>
      <w:numFmt w:val="decimal"/>
      <w:pStyle w:val="263"/>
      <w:suff w:val="space"/>
      <w:lvlText w:val="%1.%2.%3"/>
      <w:lvlJc w:val="left"/>
      <w:pPr>
        <w:ind w:left="284" w:firstLine="0"/>
      </w:pPr>
      <w:rPr>
        <w:rFonts w:hint="eastAsia" w:ascii="黑体" w:eastAsia="黑体"/>
        <w:b w:val="0"/>
        <w:i w:val="0"/>
      </w:rPr>
    </w:lvl>
    <w:lvl w:ilvl="3" w:tentative="0">
      <w:start w:val="1"/>
      <w:numFmt w:val="decimal"/>
      <w:suff w:val="space"/>
      <w:lvlText w:val="%1.%2.%3.%4"/>
      <w:lvlJc w:val="left"/>
      <w:pPr>
        <w:ind w:left="0" w:firstLine="0"/>
      </w:pPr>
      <w:rPr>
        <w:rFonts w:hint="eastAsia" w:ascii="黑体" w:eastAsia="黑体"/>
        <w:b w:val="0"/>
        <w:i w:val="0"/>
      </w:rPr>
    </w:lvl>
    <w:lvl w:ilvl="4" w:tentative="0">
      <w:start w:val="1"/>
      <w:numFmt w:val="decimal"/>
      <w:suff w:val="space"/>
      <w:lvlText w:val="%1.%2.%3.%4.%5"/>
      <w:lvlJc w:val="left"/>
      <w:pPr>
        <w:ind w:left="0" w:firstLine="0"/>
      </w:pPr>
      <w:rPr>
        <w:rFonts w:hint="eastAsia" w:ascii="黑体" w:eastAsia="黑体"/>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1EE354D"/>
    <w:multiLevelType w:val="multilevel"/>
    <w:tmpl w:val="01EE354D"/>
    <w:lvl w:ilvl="0" w:tentative="0">
      <w:start w:val="1"/>
      <w:numFmt w:val="decimal"/>
      <w:pStyle w:val="260"/>
      <w:lvlText w:val="%1."/>
      <w:lvlJc w:val="left"/>
      <w:pPr>
        <w:ind w:left="420" w:hanging="420"/>
      </w:pPr>
      <w:rPr>
        <w:rFonts w:hint="eastAsia"/>
      </w:rPr>
    </w:lvl>
    <w:lvl w:ilvl="1" w:tentative="0">
      <w:start w:val="1"/>
      <w:numFmt w:val="lowerLetter"/>
      <w:pStyle w:val="261"/>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E7A408F"/>
    <w:multiLevelType w:val="multilevel"/>
    <w:tmpl w:val="2E7A408F"/>
    <w:lvl w:ilvl="0" w:tentative="0">
      <w:start w:val="1"/>
      <w:numFmt w:val="chineseCountingThousand"/>
      <w:pStyle w:val="153"/>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3"/>
  </w:num>
  <w:num w:numId="4">
    <w:abstractNumId w:val="10"/>
  </w:num>
  <w:num w:numId="5">
    <w:abstractNumId w:val="2"/>
  </w:num>
  <w:num w:numId="6">
    <w:abstractNumId w:val="7"/>
  </w:num>
  <w:num w:numId="7">
    <w:abstractNumId w:val="4"/>
  </w:num>
  <w:num w:numId="8">
    <w:abstractNumId w:val="9"/>
  </w:num>
  <w:num w:numId="9">
    <w:abstractNumId w:val="13"/>
  </w:num>
  <w:num w:numId="10">
    <w:abstractNumId w:val="6"/>
  </w:num>
  <w:num w:numId="11">
    <w:abstractNumId w:val="8"/>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BCA"/>
    <w:rsid w:val="00000F0F"/>
    <w:rsid w:val="00037709"/>
    <w:rsid w:val="00057734"/>
    <w:rsid w:val="0008238E"/>
    <w:rsid w:val="001243E4"/>
    <w:rsid w:val="00161D86"/>
    <w:rsid w:val="00167781"/>
    <w:rsid w:val="00197CB8"/>
    <w:rsid w:val="002736DE"/>
    <w:rsid w:val="002A494A"/>
    <w:rsid w:val="002C06D5"/>
    <w:rsid w:val="00317D40"/>
    <w:rsid w:val="003E2E3E"/>
    <w:rsid w:val="004476CE"/>
    <w:rsid w:val="004D486D"/>
    <w:rsid w:val="004D4899"/>
    <w:rsid w:val="004F0D0D"/>
    <w:rsid w:val="005024BD"/>
    <w:rsid w:val="00511F8E"/>
    <w:rsid w:val="00573BC2"/>
    <w:rsid w:val="006B0104"/>
    <w:rsid w:val="00735D5E"/>
    <w:rsid w:val="00827D5A"/>
    <w:rsid w:val="008768CE"/>
    <w:rsid w:val="0089169C"/>
    <w:rsid w:val="008C2300"/>
    <w:rsid w:val="008D4888"/>
    <w:rsid w:val="00970A2A"/>
    <w:rsid w:val="009835C9"/>
    <w:rsid w:val="00A03EBD"/>
    <w:rsid w:val="00A87BB9"/>
    <w:rsid w:val="00AA6357"/>
    <w:rsid w:val="00AC0116"/>
    <w:rsid w:val="00AE212B"/>
    <w:rsid w:val="00B83657"/>
    <w:rsid w:val="00BB007B"/>
    <w:rsid w:val="00BF2AC4"/>
    <w:rsid w:val="00C402F4"/>
    <w:rsid w:val="00C677C3"/>
    <w:rsid w:val="00CD2542"/>
    <w:rsid w:val="00CE4E89"/>
    <w:rsid w:val="00CF028A"/>
    <w:rsid w:val="00CF31E4"/>
    <w:rsid w:val="00D74BCA"/>
    <w:rsid w:val="00DC51DB"/>
    <w:rsid w:val="00DE2FDA"/>
    <w:rsid w:val="00E70418"/>
    <w:rsid w:val="00ED4BAC"/>
    <w:rsid w:val="00F32322"/>
    <w:rsid w:val="00F42E3F"/>
    <w:rsid w:val="00FE53C0"/>
    <w:rsid w:val="06EB38BA"/>
    <w:rsid w:val="3B414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pageBreakBefore/>
      <w:spacing w:afterLines="100" w:line="360" w:lineRule="auto"/>
      <w:jc w:val="center"/>
      <w:textAlignment w:val="baseline"/>
      <w:outlineLvl w:val="0"/>
    </w:pPr>
    <w:rPr>
      <w:rFonts w:ascii="宋体" w:hAnsi="宋体" w:cs="Arial"/>
      <w:b/>
      <w:sz w:val="44"/>
      <w:szCs w:val="44"/>
    </w:rPr>
  </w:style>
  <w:style w:type="paragraph" w:styleId="3">
    <w:name w:val="heading 2"/>
    <w:basedOn w:val="1"/>
    <w:next w:val="1"/>
    <w:link w:val="53"/>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link w:val="96"/>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6">
    <w:name w:val="heading 4"/>
    <w:basedOn w:val="1"/>
    <w:next w:val="1"/>
    <w:link w:val="55"/>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5"/>
    <w:link w:val="56"/>
    <w:qFormat/>
    <w:uiPriority w:val="0"/>
    <w:pPr>
      <w:keepNext/>
      <w:keepLines/>
      <w:numPr>
        <w:ilvl w:val="4"/>
        <w:numId w:val="1"/>
      </w:numPr>
      <w:spacing w:before="280" w:after="290" w:line="372" w:lineRule="auto"/>
      <w:outlineLvl w:val="4"/>
    </w:pPr>
    <w:rPr>
      <w:b/>
      <w:sz w:val="28"/>
    </w:rPr>
  </w:style>
  <w:style w:type="paragraph" w:styleId="8">
    <w:name w:val="heading 6"/>
    <w:basedOn w:val="1"/>
    <w:next w:val="5"/>
    <w:link w:val="57"/>
    <w:qFormat/>
    <w:uiPriority w:val="0"/>
    <w:pPr>
      <w:keepNext/>
      <w:keepLines/>
      <w:numPr>
        <w:ilvl w:val="5"/>
        <w:numId w:val="1"/>
      </w:numPr>
      <w:spacing w:before="240" w:after="64" w:line="317" w:lineRule="auto"/>
      <w:outlineLvl w:val="5"/>
    </w:pPr>
    <w:rPr>
      <w:rFonts w:ascii="Arial" w:hAnsi="Arial" w:eastAsia="黑体"/>
      <w:b/>
      <w:sz w:val="24"/>
      <w:szCs w:val="20"/>
    </w:rPr>
  </w:style>
  <w:style w:type="paragraph" w:styleId="9">
    <w:name w:val="heading 7"/>
    <w:basedOn w:val="1"/>
    <w:next w:val="5"/>
    <w:link w:val="58"/>
    <w:qFormat/>
    <w:uiPriority w:val="0"/>
    <w:pPr>
      <w:keepNext/>
      <w:keepLines/>
      <w:numPr>
        <w:ilvl w:val="6"/>
        <w:numId w:val="1"/>
      </w:numPr>
      <w:spacing w:before="240" w:after="64" w:line="317" w:lineRule="auto"/>
      <w:outlineLvl w:val="6"/>
    </w:pPr>
    <w:rPr>
      <w:b/>
      <w:sz w:val="24"/>
      <w:szCs w:val="20"/>
    </w:rPr>
  </w:style>
  <w:style w:type="paragraph" w:styleId="10">
    <w:name w:val="heading 8"/>
    <w:basedOn w:val="1"/>
    <w:next w:val="5"/>
    <w:link w:val="59"/>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1">
    <w:name w:val="heading 9"/>
    <w:basedOn w:val="1"/>
    <w:next w:val="5"/>
    <w:link w:val="60"/>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44">
    <w:name w:val="Default Paragraph Font"/>
    <w:unhideWhenUsed/>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01"/>
    <w:qFormat/>
    <w:uiPriority w:val="0"/>
    <w:pPr>
      <w:autoSpaceDE w:val="0"/>
      <w:autoSpaceDN w:val="0"/>
      <w:spacing w:line="360" w:lineRule="auto"/>
      <w:ind w:left="181" w:firstLine="420"/>
    </w:pPr>
    <w:rPr>
      <w:rFonts w:asciiTheme="minorHAnsi" w:hAnsiTheme="minorHAnsi" w:cstheme="minorBidi"/>
      <w:sz w:val="24"/>
      <w:szCs w:val="22"/>
    </w:rPr>
  </w:style>
  <w:style w:type="paragraph" w:styleId="12">
    <w:name w:val="annotation subject"/>
    <w:basedOn w:val="13"/>
    <w:next w:val="13"/>
    <w:link w:val="144"/>
    <w:qFormat/>
    <w:uiPriority w:val="0"/>
    <w:pPr>
      <w:widowControl/>
    </w:pPr>
    <w:rPr>
      <w:b/>
      <w:bCs/>
      <w:sz w:val="18"/>
      <w:szCs w:val="18"/>
    </w:rPr>
  </w:style>
  <w:style w:type="paragraph" w:styleId="13">
    <w:name w:val="annotation text"/>
    <w:basedOn w:val="1"/>
    <w:link w:val="143"/>
    <w:unhideWhenUsed/>
    <w:qFormat/>
    <w:uiPriority w:val="0"/>
    <w:pPr>
      <w:jc w:val="left"/>
    </w:pPr>
  </w:style>
  <w:style w:type="paragraph" w:styleId="14">
    <w:name w:val="toc 7"/>
    <w:basedOn w:val="1"/>
    <w:next w:val="1"/>
    <w:qFormat/>
    <w:uiPriority w:val="0"/>
    <w:pPr>
      <w:ind w:left="1260"/>
      <w:jc w:val="left"/>
    </w:pPr>
    <w:rPr>
      <w:sz w:val="20"/>
      <w:szCs w:val="20"/>
    </w:rPr>
  </w:style>
  <w:style w:type="paragraph" w:styleId="15">
    <w:name w:val="Body Text First Indent"/>
    <w:basedOn w:val="16"/>
    <w:link w:val="204"/>
    <w:qFormat/>
    <w:uiPriority w:val="0"/>
    <w:pPr>
      <w:ind w:firstLine="420" w:firstLineChars="100"/>
    </w:pPr>
  </w:style>
  <w:style w:type="paragraph" w:styleId="16">
    <w:name w:val="Body Text"/>
    <w:basedOn w:val="1"/>
    <w:link w:val="89"/>
    <w:qFormat/>
    <w:uiPriority w:val="0"/>
    <w:pPr>
      <w:widowControl/>
      <w:spacing w:after="120"/>
      <w:jc w:val="left"/>
    </w:pPr>
    <w:rPr>
      <w:rFonts w:asciiTheme="minorHAnsi" w:hAnsiTheme="minorHAnsi" w:cstheme="minorBidi"/>
      <w:szCs w:val="22"/>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numPr>
        <w:ilvl w:val="0"/>
        <w:numId w:val="2"/>
      </w:numPr>
      <w:spacing w:line="360" w:lineRule="auto"/>
    </w:pPr>
  </w:style>
  <w:style w:type="paragraph" w:styleId="19">
    <w:name w:val="Document Map"/>
    <w:basedOn w:val="1"/>
    <w:link w:val="192"/>
    <w:uiPriority w:val="0"/>
    <w:pPr>
      <w:shd w:val="clear" w:color="auto" w:fill="000080"/>
    </w:pPr>
  </w:style>
  <w:style w:type="paragraph" w:styleId="20">
    <w:name w:val="Body Text Indent"/>
    <w:basedOn w:val="1"/>
    <w:link w:val="236"/>
    <w:qFormat/>
    <w:uiPriority w:val="0"/>
    <w:pPr>
      <w:autoSpaceDE w:val="0"/>
      <w:autoSpaceDN w:val="0"/>
      <w:spacing w:line="360" w:lineRule="auto"/>
      <w:ind w:left="181" w:firstLine="539"/>
    </w:pPr>
    <w:rPr>
      <w:sz w:val="24"/>
      <w:szCs w:val="20"/>
    </w:rPr>
  </w:style>
  <w:style w:type="paragraph" w:styleId="21">
    <w:name w:val="List Bullet 2"/>
    <w:basedOn w:val="1"/>
    <w:qFormat/>
    <w:uiPriority w:val="0"/>
    <w:pPr>
      <w:tabs>
        <w:tab w:val="left" w:pos="780"/>
      </w:tabs>
      <w:spacing w:line="360" w:lineRule="auto"/>
    </w:pPr>
    <w:rPr>
      <w:szCs w:val="20"/>
    </w:rPr>
  </w:style>
  <w:style w:type="paragraph" w:styleId="22">
    <w:name w:val="toc 5"/>
    <w:basedOn w:val="1"/>
    <w:next w:val="1"/>
    <w:qFormat/>
    <w:uiPriority w:val="0"/>
    <w:pPr>
      <w:ind w:left="840"/>
      <w:jc w:val="left"/>
    </w:pPr>
    <w:rPr>
      <w:sz w:val="20"/>
      <w:szCs w:val="20"/>
    </w:rPr>
  </w:style>
  <w:style w:type="paragraph" w:styleId="23">
    <w:name w:val="toc 3"/>
    <w:basedOn w:val="1"/>
    <w:next w:val="1"/>
    <w:uiPriority w:val="39"/>
    <w:pPr>
      <w:ind w:left="420"/>
      <w:jc w:val="left"/>
    </w:pPr>
    <w:rPr>
      <w:sz w:val="20"/>
      <w:szCs w:val="20"/>
    </w:rPr>
  </w:style>
  <w:style w:type="paragraph" w:styleId="24">
    <w:name w:val="Plain Text"/>
    <w:basedOn w:val="1"/>
    <w:link w:val="105"/>
    <w:uiPriority w:val="99"/>
    <w:pPr>
      <w:spacing w:line="360" w:lineRule="auto"/>
    </w:pPr>
    <w:rPr>
      <w:rFonts w:ascii="宋体" w:hAnsi="Courier New" w:cstheme="minorBidi"/>
      <w:spacing w:val="-8"/>
      <w:sz w:val="24"/>
      <w:szCs w:val="22"/>
    </w:rPr>
  </w:style>
  <w:style w:type="paragraph" w:styleId="25">
    <w:name w:val="toc 8"/>
    <w:basedOn w:val="1"/>
    <w:next w:val="1"/>
    <w:uiPriority w:val="0"/>
    <w:pPr>
      <w:ind w:left="1470"/>
      <w:jc w:val="left"/>
    </w:pPr>
    <w:rPr>
      <w:sz w:val="20"/>
      <w:szCs w:val="20"/>
    </w:rPr>
  </w:style>
  <w:style w:type="paragraph" w:styleId="26">
    <w:name w:val="Date"/>
    <w:basedOn w:val="1"/>
    <w:next w:val="1"/>
    <w:link w:val="174"/>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7">
    <w:name w:val="Body Text Indent 2"/>
    <w:basedOn w:val="1"/>
    <w:link w:val="183"/>
    <w:qFormat/>
    <w:uiPriority w:val="0"/>
    <w:pPr>
      <w:ind w:firstLine="540"/>
    </w:pPr>
    <w:rPr>
      <w:szCs w:val="20"/>
    </w:rPr>
  </w:style>
  <w:style w:type="paragraph" w:styleId="28">
    <w:name w:val="Balloon Text"/>
    <w:basedOn w:val="1"/>
    <w:link w:val="194"/>
    <w:uiPriority w:val="0"/>
    <w:rPr>
      <w:sz w:val="18"/>
      <w:szCs w:val="18"/>
    </w:rPr>
  </w:style>
  <w:style w:type="paragraph" w:styleId="29">
    <w:name w:val="footer"/>
    <w:basedOn w:val="1"/>
    <w:link w:val="7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header"/>
    <w:basedOn w:val="1"/>
    <w:link w:val="95"/>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31">
    <w:name w:val="toc 1"/>
    <w:basedOn w:val="1"/>
    <w:next w:val="1"/>
    <w:qFormat/>
    <w:uiPriority w:val="39"/>
    <w:pPr>
      <w:spacing w:before="120"/>
      <w:jc w:val="left"/>
    </w:pPr>
    <w:rPr>
      <w:b/>
      <w:bCs/>
      <w:i/>
      <w:iCs/>
      <w:sz w:val="24"/>
    </w:rPr>
  </w:style>
  <w:style w:type="paragraph" w:styleId="32">
    <w:name w:val="toc 4"/>
    <w:basedOn w:val="1"/>
    <w:next w:val="1"/>
    <w:uiPriority w:val="0"/>
    <w:pPr>
      <w:ind w:left="630"/>
      <w:jc w:val="left"/>
    </w:pPr>
    <w:rPr>
      <w:sz w:val="20"/>
      <w:szCs w:val="20"/>
    </w:rPr>
  </w:style>
  <w:style w:type="paragraph" w:styleId="33">
    <w:name w:val="List"/>
    <w:basedOn w:val="1"/>
    <w:qFormat/>
    <w:uiPriority w:val="0"/>
    <w:pPr>
      <w:tabs>
        <w:tab w:val="left" w:pos="780"/>
        <w:tab w:val="left" w:pos="851"/>
      </w:tabs>
      <w:spacing w:before="120" w:after="120" w:line="360" w:lineRule="auto"/>
      <w:ind w:left="780" w:hanging="420"/>
    </w:pPr>
    <w:rPr>
      <w:sz w:val="24"/>
      <w:szCs w:val="20"/>
    </w:rPr>
  </w:style>
  <w:style w:type="paragraph" w:styleId="34">
    <w:name w:val="toc 6"/>
    <w:basedOn w:val="1"/>
    <w:next w:val="1"/>
    <w:uiPriority w:val="0"/>
    <w:pPr>
      <w:ind w:left="1050"/>
      <w:jc w:val="left"/>
    </w:pPr>
    <w:rPr>
      <w:sz w:val="20"/>
      <w:szCs w:val="20"/>
    </w:rPr>
  </w:style>
  <w:style w:type="paragraph" w:styleId="35">
    <w:name w:val="Body Text Indent 3"/>
    <w:basedOn w:val="1"/>
    <w:link w:val="182"/>
    <w:qFormat/>
    <w:uiPriority w:val="0"/>
    <w:pPr>
      <w:ind w:firstLine="426"/>
    </w:pPr>
    <w:rPr>
      <w:szCs w:val="20"/>
    </w:rPr>
  </w:style>
  <w:style w:type="paragraph" w:styleId="36">
    <w:name w:val="toc 2"/>
    <w:basedOn w:val="1"/>
    <w:next w:val="1"/>
    <w:qFormat/>
    <w:uiPriority w:val="0"/>
    <w:pPr>
      <w:spacing w:before="120"/>
      <w:ind w:left="210"/>
      <w:jc w:val="left"/>
    </w:pPr>
    <w:rPr>
      <w:b/>
      <w:bCs/>
      <w:sz w:val="22"/>
      <w:szCs w:val="22"/>
    </w:rPr>
  </w:style>
  <w:style w:type="paragraph" w:styleId="37">
    <w:name w:val="toc 9"/>
    <w:basedOn w:val="1"/>
    <w:next w:val="1"/>
    <w:qFormat/>
    <w:uiPriority w:val="0"/>
    <w:pPr>
      <w:ind w:left="1680"/>
      <w:jc w:val="left"/>
    </w:pPr>
    <w:rPr>
      <w:sz w:val="20"/>
      <w:szCs w:val="20"/>
    </w:rPr>
  </w:style>
  <w:style w:type="paragraph" w:styleId="38">
    <w:name w:val="Body Text 2"/>
    <w:basedOn w:val="1"/>
    <w:link w:val="205"/>
    <w:qFormat/>
    <w:uiPriority w:val="0"/>
    <w:pPr>
      <w:spacing w:line="280" w:lineRule="exact"/>
    </w:pPr>
    <w:rPr>
      <w:rFonts w:ascii="仿宋_GB2312" w:eastAsia="仿宋_GB2312"/>
      <w:sz w:val="24"/>
      <w:szCs w:val="20"/>
    </w:rPr>
  </w:style>
  <w:style w:type="paragraph" w:styleId="39">
    <w:name w:val="Message Header"/>
    <w:basedOn w:val="16"/>
    <w:link w:val="195"/>
    <w:qFormat/>
    <w:uiPriority w:val="0"/>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40">
    <w:name w:val="HTML Preformatted"/>
    <w:basedOn w:val="1"/>
    <w:link w:val="2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1"/>
    <w:basedOn w:val="1"/>
    <w:next w:val="1"/>
    <w:uiPriority w:val="0"/>
  </w:style>
  <w:style w:type="paragraph" w:styleId="43">
    <w:name w:val="Title"/>
    <w:basedOn w:val="1"/>
    <w:link w:val="193"/>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45">
    <w:name w:val="Strong"/>
    <w:qFormat/>
    <w:uiPriority w:val="0"/>
    <w:rPr>
      <w:rFonts w:eastAsia="宋体"/>
      <w:b/>
      <w:bCs/>
      <w:kern w:val="2"/>
      <w:sz w:val="24"/>
      <w:szCs w:val="24"/>
      <w:lang w:val="en-US" w:eastAsia="zh-CN" w:bidi="ar-SA"/>
    </w:rPr>
  </w:style>
  <w:style w:type="character" w:styleId="46">
    <w:name w:val="page number"/>
    <w:basedOn w:val="44"/>
    <w:qFormat/>
    <w:uiPriority w:val="0"/>
  </w:style>
  <w:style w:type="character" w:styleId="47">
    <w:name w:val="FollowedHyperlink"/>
    <w:basedOn w:val="44"/>
    <w:unhideWhenUsed/>
    <w:uiPriority w:val="99"/>
    <w:rPr>
      <w:color w:val="954F72" w:themeColor="followedHyperlink"/>
      <w:u w:val="single"/>
    </w:rPr>
  </w:style>
  <w:style w:type="character" w:styleId="48">
    <w:name w:val="Hyperlink"/>
    <w:qFormat/>
    <w:uiPriority w:val="99"/>
    <w:rPr>
      <w:rFonts w:eastAsia="宋体"/>
      <w:color w:val="0000FF"/>
      <w:kern w:val="2"/>
      <w:sz w:val="24"/>
      <w:szCs w:val="24"/>
      <w:u w:val="single"/>
      <w:lang w:val="en-US" w:eastAsia="zh-CN" w:bidi="ar-SA"/>
    </w:rPr>
  </w:style>
  <w:style w:type="character" w:styleId="49">
    <w:name w:val="annotation reference"/>
    <w:qFormat/>
    <w:uiPriority w:val="0"/>
    <w:rPr>
      <w:sz w:val="21"/>
      <w:szCs w:val="21"/>
    </w:rPr>
  </w:style>
  <w:style w:type="table" w:styleId="51">
    <w:name w:val="Table Grid"/>
    <w:basedOn w:val="5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basedOn w:val="44"/>
    <w:link w:val="2"/>
    <w:qFormat/>
    <w:uiPriority w:val="0"/>
    <w:rPr>
      <w:rFonts w:ascii="宋体" w:hAnsi="宋体" w:eastAsia="宋体" w:cs="Arial"/>
      <w:b/>
      <w:sz w:val="44"/>
      <w:szCs w:val="44"/>
    </w:rPr>
  </w:style>
  <w:style w:type="character" w:customStyle="1" w:styleId="53">
    <w:name w:val="标题 2 Char"/>
    <w:basedOn w:val="44"/>
    <w:link w:val="3"/>
    <w:qFormat/>
    <w:uiPriority w:val="0"/>
    <w:rPr>
      <w:rFonts w:ascii="Arial" w:hAnsi="Arial" w:eastAsia="黑体" w:cs="Times New Roman"/>
      <w:b/>
      <w:spacing w:val="24"/>
      <w:kern w:val="0"/>
      <w:sz w:val="24"/>
      <w:szCs w:val="20"/>
    </w:rPr>
  </w:style>
  <w:style w:type="character" w:customStyle="1" w:styleId="54">
    <w:name w:val="标题 3 Char"/>
    <w:basedOn w:val="44"/>
    <w:qFormat/>
    <w:uiPriority w:val="0"/>
    <w:rPr>
      <w:rFonts w:ascii="Times New Roman" w:hAnsi="Times New Roman" w:eastAsia="宋体" w:cs="Times New Roman"/>
      <w:b/>
      <w:bCs/>
      <w:sz w:val="32"/>
      <w:szCs w:val="32"/>
    </w:rPr>
  </w:style>
  <w:style w:type="character" w:customStyle="1" w:styleId="55">
    <w:name w:val="标题 4 Char"/>
    <w:basedOn w:val="44"/>
    <w:link w:val="6"/>
    <w:qFormat/>
    <w:uiPriority w:val="0"/>
    <w:rPr>
      <w:rFonts w:ascii="Arial" w:hAnsi="Arial" w:eastAsia="黑体" w:cs="Times New Roman"/>
      <w:b/>
      <w:bCs/>
      <w:sz w:val="28"/>
      <w:szCs w:val="28"/>
    </w:rPr>
  </w:style>
  <w:style w:type="character" w:customStyle="1" w:styleId="56">
    <w:name w:val="标题 5 Char"/>
    <w:basedOn w:val="44"/>
    <w:link w:val="7"/>
    <w:qFormat/>
    <w:uiPriority w:val="0"/>
    <w:rPr>
      <w:rFonts w:ascii="Times New Roman" w:hAnsi="Times New Roman" w:eastAsia="宋体" w:cs="Times New Roman"/>
      <w:b/>
      <w:sz w:val="28"/>
      <w:szCs w:val="24"/>
    </w:rPr>
  </w:style>
  <w:style w:type="character" w:customStyle="1" w:styleId="57">
    <w:name w:val="标题 6 Char"/>
    <w:basedOn w:val="44"/>
    <w:link w:val="8"/>
    <w:qFormat/>
    <w:uiPriority w:val="0"/>
    <w:rPr>
      <w:rFonts w:ascii="Arial" w:hAnsi="Arial" w:eastAsia="黑体" w:cs="Times New Roman"/>
      <w:b/>
      <w:sz w:val="24"/>
      <w:szCs w:val="20"/>
    </w:rPr>
  </w:style>
  <w:style w:type="character" w:customStyle="1" w:styleId="58">
    <w:name w:val="标题 7 Char"/>
    <w:basedOn w:val="44"/>
    <w:link w:val="9"/>
    <w:qFormat/>
    <w:uiPriority w:val="0"/>
    <w:rPr>
      <w:rFonts w:ascii="Times New Roman" w:hAnsi="Times New Roman" w:eastAsia="宋体" w:cs="Times New Roman"/>
      <w:b/>
      <w:sz w:val="24"/>
      <w:szCs w:val="20"/>
    </w:rPr>
  </w:style>
  <w:style w:type="character" w:customStyle="1" w:styleId="59">
    <w:name w:val="标题 8 Char"/>
    <w:basedOn w:val="44"/>
    <w:link w:val="10"/>
    <w:qFormat/>
    <w:uiPriority w:val="0"/>
    <w:rPr>
      <w:rFonts w:ascii="Arial" w:hAnsi="Arial" w:eastAsia="黑体" w:cs="Times New Roman"/>
      <w:sz w:val="24"/>
      <w:szCs w:val="20"/>
    </w:rPr>
  </w:style>
  <w:style w:type="character" w:customStyle="1" w:styleId="60">
    <w:name w:val="标题 9 Char"/>
    <w:basedOn w:val="44"/>
    <w:link w:val="11"/>
    <w:uiPriority w:val="0"/>
    <w:rPr>
      <w:rFonts w:ascii="Arial" w:hAnsi="Arial" w:eastAsia="黑体" w:cs="Times New Roman"/>
      <w:szCs w:val="20"/>
    </w:rPr>
  </w:style>
  <w:style w:type="character" w:customStyle="1" w:styleId="61">
    <w:name w:val="!楔形编号 Alt+X Char"/>
    <w:basedOn w:val="62"/>
    <w:link w:val="64"/>
    <w:uiPriority w:val="0"/>
    <w:rPr>
      <w:rFonts w:ascii="Arial" w:hAnsi="Arial" w:eastAsia="宋体"/>
      <w:sz w:val="24"/>
      <w:szCs w:val="21"/>
    </w:rPr>
  </w:style>
  <w:style w:type="character" w:customStyle="1" w:styleId="62">
    <w:name w:val="!我的正文 Ctr+Q Char"/>
    <w:link w:val="63"/>
    <w:qFormat/>
    <w:uiPriority w:val="0"/>
    <w:rPr>
      <w:rFonts w:ascii="Arial" w:hAnsi="Arial" w:eastAsia="宋体"/>
      <w:sz w:val="24"/>
      <w:szCs w:val="21"/>
    </w:rPr>
  </w:style>
  <w:style w:type="paragraph" w:customStyle="1" w:styleId="63">
    <w:name w:val="!我的正文 Ctr+Q"/>
    <w:basedOn w:val="1"/>
    <w:link w:val="62"/>
    <w:qFormat/>
    <w:uiPriority w:val="0"/>
    <w:pPr>
      <w:adjustRightInd w:val="0"/>
      <w:snapToGrid w:val="0"/>
      <w:spacing w:line="360" w:lineRule="auto"/>
      <w:ind w:firstLine="480" w:firstLineChars="200"/>
    </w:pPr>
    <w:rPr>
      <w:rFonts w:ascii="Arial" w:hAnsi="Arial" w:cstheme="minorBidi"/>
      <w:sz w:val="24"/>
      <w:szCs w:val="21"/>
    </w:rPr>
  </w:style>
  <w:style w:type="paragraph" w:customStyle="1" w:styleId="64">
    <w:name w:val="!楔形编号 Alt+X"/>
    <w:basedOn w:val="63"/>
    <w:link w:val="61"/>
    <w:uiPriority w:val="0"/>
    <w:pPr>
      <w:numPr>
        <w:ilvl w:val="0"/>
        <w:numId w:val="3"/>
      </w:numPr>
      <w:tabs>
        <w:tab w:val="left" w:pos="902"/>
        <w:tab w:val="clear" w:pos="420"/>
      </w:tabs>
      <w:ind w:firstLine="0" w:firstLineChars="0"/>
    </w:pPr>
  </w:style>
  <w:style w:type="character" w:customStyle="1" w:styleId="65">
    <w:name w:val="正文 + 首行缩进:  2 字符 Char"/>
    <w:qFormat/>
    <w:uiPriority w:val="0"/>
    <w:rPr>
      <w:rFonts w:ascii="Verdana" w:hAnsi="Verdana" w:eastAsia="宋体"/>
      <w:sz w:val="24"/>
      <w:lang w:val="en-US" w:eastAsia="zh-CN"/>
    </w:rPr>
  </w:style>
  <w:style w:type="character" w:customStyle="1" w:styleId="66">
    <w:name w:val="Message Header Label"/>
    <w:qFormat/>
    <w:uiPriority w:val="0"/>
    <w:rPr>
      <w:rFonts w:ascii="Arial Black" w:hAnsi="Arial Black" w:eastAsia="宋体"/>
      <w:sz w:val="18"/>
    </w:rPr>
  </w:style>
  <w:style w:type="character" w:customStyle="1" w:styleId="67">
    <w:name w:val="Char Char8"/>
    <w:qFormat/>
    <w:uiPriority w:val="0"/>
    <w:rPr>
      <w:rFonts w:eastAsia="宋体"/>
      <w:kern w:val="2"/>
      <w:sz w:val="18"/>
      <w:lang w:val="en-US" w:eastAsia="zh-CN" w:bidi="ar-SA"/>
    </w:rPr>
  </w:style>
  <w:style w:type="character" w:customStyle="1" w:styleId="68">
    <w:name w:val="纯文本 Char"/>
    <w:qFormat/>
    <w:uiPriority w:val="99"/>
    <w:rPr>
      <w:rFonts w:ascii="宋体" w:hAnsi="Courier New"/>
      <w:spacing w:val="-8"/>
      <w:kern w:val="2"/>
      <w:sz w:val="24"/>
    </w:rPr>
  </w:style>
  <w:style w:type="character" w:customStyle="1" w:styleId="69">
    <w:name w:val="!标题4 Ctrl+4 Char Char"/>
    <w:qFormat/>
    <w:uiPriority w:val="0"/>
    <w:rPr>
      <w:rFonts w:ascii="Arial" w:hAnsi="Arial" w:eastAsia="黑体"/>
      <w:b/>
      <w:kern w:val="2"/>
      <w:sz w:val="30"/>
      <w:szCs w:val="30"/>
      <w:lang w:val="en-US" w:eastAsia="zh-CN" w:bidi="ar-SA"/>
    </w:rPr>
  </w:style>
  <w:style w:type="character" w:customStyle="1" w:styleId="70">
    <w:name w:val="DAS正文 Char"/>
    <w:link w:val="71"/>
    <w:qFormat/>
    <w:uiPriority w:val="0"/>
    <w:rPr>
      <w:rFonts w:ascii="Verdana" w:hAnsi="Verdana" w:eastAsia="宋体"/>
      <w:sz w:val="24"/>
      <w:szCs w:val="24"/>
      <w:lang w:bidi="en-US"/>
    </w:rPr>
  </w:style>
  <w:style w:type="paragraph" w:customStyle="1" w:styleId="71">
    <w:name w:val="DAS正文"/>
    <w:basedOn w:val="1"/>
    <w:link w:val="70"/>
    <w:qFormat/>
    <w:uiPriority w:val="0"/>
    <w:pPr>
      <w:spacing w:line="360" w:lineRule="auto"/>
      <w:ind w:right="181" w:firstLine="480" w:firstLineChars="200"/>
    </w:pPr>
    <w:rPr>
      <w:rFonts w:ascii="Verdana" w:hAnsi="Verdana" w:cstheme="minorBidi"/>
      <w:sz w:val="24"/>
      <w:lang w:bidi="en-US"/>
    </w:rPr>
  </w:style>
  <w:style w:type="character" w:customStyle="1" w:styleId="72">
    <w:name w:val="页脚 Char"/>
    <w:qFormat/>
    <w:uiPriority w:val="0"/>
    <w:rPr>
      <w:kern w:val="2"/>
      <w:sz w:val="18"/>
      <w:szCs w:val="18"/>
    </w:rPr>
  </w:style>
  <w:style w:type="character" w:customStyle="1" w:styleId="73">
    <w:name w:val="ca-01"/>
    <w:qFormat/>
    <w:uiPriority w:val="0"/>
    <w:rPr>
      <w:rFonts w:hint="default" w:ascii="Times New Roman" w:hAnsi="Times New Roman" w:cs="Times New Roman"/>
      <w:b/>
      <w:bCs/>
      <w:spacing w:val="-20"/>
      <w:sz w:val="21"/>
      <w:szCs w:val="21"/>
    </w:rPr>
  </w:style>
  <w:style w:type="character" w:customStyle="1" w:styleId="74">
    <w:name w:val="3zw1"/>
    <w:qFormat/>
    <w:uiPriority w:val="0"/>
    <w:rPr>
      <w:color w:val="000000"/>
      <w:sz w:val="21"/>
      <w:szCs w:val="21"/>
    </w:rPr>
  </w:style>
  <w:style w:type="character" w:customStyle="1" w:styleId="75">
    <w:name w:val="表正文 Char"/>
    <w:qFormat/>
    <w:uiPriority w:val="0"/>
    <w:rPr>
      <w:rFonts w:ascii="宋体" w:eastAsia="宋体"/>
      <w:sz w:val="21"/>
      <w:lang w:val="en-US" w:eastAsia="zh-CN" w:bidi="ar-SA"/>
    </w:rPr>
  </w:style>
  <w:style w:type="character" w:customStyle="1" w:styleId="76">
    <w:name w:val="页脚 Char1"/>
    <w:link w:val="29"/>
    <w:qFormat/>
    <w:uiPriority w:val="0"/>
    <w:rPr>
      <w:rFonts w:eastAsia="宋体"/>
      <w:sz w:val="18"/>
      <w:szCs w:val="18"/>
    </w:rPr>
  </w:style>
  <w:style w:type="character" w:customStyle="1" w:styleId="77">
    <w:name w:val="标题 2XW Char Char"/>
    <w:qFormat/>
    <w:uiPriority w:val="0"/>
    <w:rPr>
      <w:rFonts w:hAnsi="Arial" w:cs="Arial"/>
    </w:rPr>
  </w:style>
  <w:style w:type="character" w:customStyle="1" w:styleId="78">
    <w:name w:val="!标题4 Ctrl+4 Char"/>
    <w:link w:val="79"/>
    <w:qFormat/>
    <w:uiPriority w:val="0"/>
    <w:rPr>
      <w:rFonts w:ascii="Arial" w:hAnsi="Arial" w:eastAsia="黑体"/>
      <w:b/>
      <w:sz w:val="30"/>
      <w:szCs w:val="30"/>
    </w:rPr>
  </w:style>
  <w:style w:type="paragraph" w:customStyle="1" w:styleId="79">
    <w:name w:val="!标题4 Ctrl+4"/>
    <w:basedOn w:val="80"/>
    <w:next w:val="63"/>
    <w:link w:val="78"/>
    <w:qFormat/>
    <w:uiPriority w:val="0"/>
    <w:pPr>
      <w:numPr>
        <w:ilvl w:val="3"/>
        <w:numId w:val="1"/>
      </w:numPr>
      <w:tabs>
        <w:tab w:val="left" w:pos="851"/>
      </w:tabs>
      <w:adjustRightInd w:val="0"/>
      <w:snapToGrid w:val="0"/>
      <w:spacing w:beforeLines="50" w:afterLines="50"/>
      <w:outlineLvl w:val="3"/>
    </w:pPr>
    <w:rPr>
      <w:rFonts w:eastAsia="黑体" w:cstheme="minorBidi"/>
      <w:b/>
      <w:sz w:val="30"/>
      <w:szCs w:val="30"/>
    </w:rPr>
  </w:style>
  <w:style w:type="paragraph" w:customStyle="1" w:styleId="80">
    <w:name w:val="!模板基准"/>
    <w:basedOn w:val="1"/>
    <w:qFormat/>
    <w:uiPriority w:val="0"/>
    <w:rPr>
      <w:rFonts w:ascii="Arial" w:hAnsi="Arial"/>
      <w:szCs w:val="21"/>
    </w:rPr>
  </w:style>
  <w:style w:type="character" w:customStyle="1" w:styleId="81">
    <w:name w:val="style401"/>
    <w:qFormat/>
    <w:uiPriority w:val="0"/>
    <w:rPr>
      <w:color w:val="000000"/>
      <w:sz w:val="21"/>
      <w:szCs w:val="21"/>
    </w:rPr>
  </w:style>
  <w:style w:type="character" w:customStyle="1" w:styleId="82">
    <w:name w:val="二级目录 Char"/>
    <w:link w:val="83"/>
    <w:qFormat/>
    <w:uiPriority w:val="0"/>
    <w:rPr>
      <w:rFonts w:ascii="宋体" w:hAnsi="宋体" w:eastAsia="宋体"/>
      <w:b/>
      <w:bCs/>
      <w:sz w:val="28"/>
      <w:szCs w:val="28"/>
    </w:rPr>
  </w:style>
  <w:style w:type="paragraph" w:customStyle="1" w:styleId="83">
    <w:name w:val="二级目录"/>
    <w:basedOn w:val="3"/>
    <w:link w:val="82"/>
    <w:uiPriority w:val="0"/>
    <w:pPr>
      <w:autoSpaceDE/>
      <w:autoSpaceDN/>
      <w:adjustRightInd/>
      <w:snapToGrid w:val="0"/>
      <w:spacing w:before="0" w:after="0"/>
      <w:jc w:val="both"/>
      <w:textAlignment w:val="auto"/>
    </w:pPr>
    <w:rPr>
      <w:rFonts w:ascii="宋体" w:hAnsi="宋体" w:eastAsia="宋体" w:cstheme="minorBidi"/>
      <w:bCs/>
      <w:spacing w:val="0"/>
      <w:kern w:val="2"/>
      <w:sz w:val="28"/>
      <w:szCs w:val="28"/>
    </w:rPr>
  </w:style>
  <w:style w:type="character" w:customStyle="1" w:styleId="84">
    <w:name w:val="ca-291"/>
    <w:qFormat/>
    <w:uiPriority w:val="0"/>
    <w:rPr>
      <w:rFonts w:hint="default" w:ascii="Times New Roman" w:hAnsi="Times New Roman" w:cs="Times New Roman"/>
      <w:b/>
      <w:bCs/>
      <w:spacing w:val="-20"/>
      <w:sz w:val="24"/>
      <w:szCs w:val="24"/>
    </w:rPr>
  </w:style>
  <w:style w:type="character" w:customStyle="1" w:styleId="85">
    <w:name w:val="正文文字 Char"/>
    <w:link w:val="86"/>
    <w:qFormat/>
    <w:uiPriority w:val="0"/>
    <w:rPr>
      <w:rFonts w:ascii="仿宋_GB2312" w:hAnsi="宋体" w:eastAsia="仿宋_GB2312"/>
      <w:sz w:val="28"/>
      <w:szCs w:val="28"/>
    </w:rPr>
  </w:style>
  <w:style w:type="paragraph" w:customStyle="1" w:styleId="86">
    <w:name w:val="正文文字"/>
    <w:basedOn w:val="1"/>
    <w:link w:val="85"/>
    <w:qFormat/>
    <w:uiPriority w:val="0"/>
    <w:pPr>
      <w:spacing w:before="60" w:after="60" w:line="360" w:lineRule="auto"/>
      <w:ind w:firstLine="560" w:firstLineChars="200"/>
    </w:pPr>
    <w:rPr>
      <w:rFonts w:ascii="仿宋_GB2312" w:hAnsi="宋体" w:eastAsia="仿宋_GB2312" w:cstheme="minorBidi"/>
      <w:sz w:val="28"/>
      <w:szCs w:val="28"/>
    </w:rPr>
  </w:style>
  <w:style w:type="character" w:customStyle="1" w:styleId="87">
    <w:name w:val="样式 小四 段前: 3 磅 段后: 3 磅 行距: 1.5 倍行距 Char"/>
    <w:link w:val="88"/>
    <w:qFormat/>
    <w:uiPriority w:val="0"/>
    <w:rPr>
      <w:rFonts w:eastAsia="宋体" w:cs="宋体"/>
      <w:sz w:val="24"/>
    </w:rPr>
  </w:style>
  <w:style w:type="paragraph" w:customStyle="1" w:styleId="88">
    <w:name w:val="样式 小四 段前: 3 磅 段后: 3 磅 行距: 1.5 倍行距"/>
    <w:basedOn w:val="1"/>
    <w:link w:val="87"/>
    <w:uiPriority w:val="0"/>
    <w:pPr>
      <w:spacing w:before="60" w:after="60" w:line="360" w:lineRule="auto"/>
      <w:ind w:firstLine="540" w:firstLineChars="225"/>
    </w:pPr>
    <w:rPr>
      <w:rFonts w:cs="宋体" w:asciiTheme="minorHAnsi" w:hAnsiTheme="minorHAnsi"/>
      <w:sz w:val="24"/>
      <w:szCs w:val="22"/>
    </w:rPr>
  </w:style>
  <w:style w:type="character" w:customStyle="1" w:styleId="89">
    <w:name w:val="正文文本 Char"/>
    <w:link w:val="16"/>
    <w:qFormat/>
    <w:uiPriority w:val="0"/>
    <w:rPr>
      <w:rFonts w:eastAsia="宋体"/>
    </w:rPr>
  </w:style>
  <w:style w:type="character" w:customStyle="1" w:styleId="90">
    <w:name w:val="批注框文本 Char"/>
    <w:qFormat/>
    <w:uiPriority w:val="0"/>
    <w:rPr>
      <w:kern w:val="2"/>
      <w:sz w:val="18"/>
      <w:szCs w:val="18"/>
    </w:rPr>
  </w:style>
  <w:style w:type="character" w:customStyle="1" w:styleId="91">
    <w:name w:val="二级条标题 Char"/>
    <w:link w:val="92"/>
    <w:qFormat/>
    <w:uiPriority w:val="0"/>
    <w:rPr>
      <w:rFonts w:eastAsia="黑体"/>
    </w:rPr>
  </w:style>
  <w:style w:type="paragraph" w:customStyle="1" w:styleId="92">
    <w:name w:val="二级条标题"/>
    <w:basedOn w:val="93"/>
    <w:next w:val="1"/>
    <w:link w:val="91"/>
    <w:qFormat/>
    <w:uiPriority w:val="0"/>
    <w:pPr>
      <w:numPr>
        <w:ilvl w:val="3"/>
      </w:numPr>
      <w:outlineLvl w:val="3"/>
    </w:pPr>
    <w:rPr>
      <w:rFonts w:asciiTheme="minorHAnsi" w:hAnsiTheme="minorHAnsi" w:cstheme="minorBidi"/>
      <w:kern w:val="2"/>
      <w:szCs w:val="22"/>
    </w:rPr>
  </w:style>
  <w:style w:type="paragraph" w:customStyle="1" w:styleId="93">
    <w:name w:val="一级条标题"/>
    <w:next w:val="1"/>
    <w:uiPriority w:val="0"/>
    <w:pPr>
      <w:numPr>
        <w:ilvl w:val="2"/>
        <w:numId w:val="4"/>
      </w:numPr>
      <w:outlineLvl w:val="2"/>
    </w:pPr>
    <w:rPr>
      <w:rFonts w:ascii="Times New Roman" w:hAnsi="Times New Roman" w:eastAsia="黑体" w:cs="Times New Roman"/>
      <w:kern w:val="0"/>
      <w:sz w:val="21"/>
      <w:szCs w:val="20"/>
      <w:lang w:val="en-US" w:eastAsia="zh-CN" w:bidi="ar-SA"/>
    </w:rPr>
  </w:style>
  <w:style w:type="character" w:customStyle="1" w:styleId="94">
    <w:name w:val="ca-141"/>
    <w:qFormat/>
    <w:uiPriority w:val="0"/>
    <w:rPr>
      <w:rFonts w:hint="eastAsia" w:ascii="宋体" w:hAnsi="宋体" w:eastAsia="宋体"/>
      <w:sz w:val="24"/>
      <w:szCs w:val="24"/>
    </w:rPr>
  </w:style>
  <w:style w:type="character" w:customStyle="1" w:styleId="95">
    <w:name w:val="页眉 Char1"/>
    <w:link w:val="30"/>
    <w:qFormat/>
    <w:uiPriority w:val="0"/>
    <w:rPr>
      <w:rFonts w:eastAsia="宋体"/>
      <w:sz w:val="18"/>
      <w:szCs w:val="18"/>
    </w:rPr>
  </w:style>
  <w:style w:type="character" w:customStyle="1" w:styleId="96">
    <w:name w:val="标题 3 Char1"/>
    <w:link w:val="4"/>
    <w:qFormat/>
    <w:uiPriority w:val="0"/>
    <w:rPr>
      <w:rFonts w:ascii="宋体" w:hAnsi="Arial" w:eastAsia="宋体" w:cs="Times New Roman"/>
      <w:b/>
      <w:sz w:val="28"/>
      <w:szCs w:val="20"/>
    </w:rPr>
  </w:style>
  <w:style w:type="character" w:customStyle="1" w:styleId="97">
    <w:name w:val="style51"/>
    <w:qFormat/>
    <w:uiPriority w:val="0"/>
    <w:rPr>
      <w:color w:val="FF0000"/>
      <w:sz w:val="26"/>
      <w:szCs w:val="26"/>
    </w:rPr>
  </w:style>
  <w:style w:type="character" w:customStyle="1" w:styleId="98">
    <w:name w:val="!标题2 Ctrl+2 Char"/>
    <w:link w:val="99"/>
    <w:qFormat/>
    <w:uiPriority w:val="0"/>
    <w:rPr>
      <w:rFonts w:ascii="Arial" w:hAnsi="Arial" w:eastAsia="黑体"/>
      <w:b/>
      <w:spacing w:val="24"/>
      <w:sz w:val="36"/>
      <w:szCs w:val="36"/>
    </w:rPr>
  </w:style>
  <w:style w:type="paragraph" w:customStyle="1" w:styleId="99">
    <w:name w:val="!标题2 Ctrl+2"/>
    <w:basedOn w:val="3"/>
    <w:next w:val="1"/>
    <w:link w:val="98"/>
    <w:uiPriority w:val="0"/>
    <w:pPr>
      <w:keepNext w:val="0"/>
      <w:keepLines w:val="0"/>
      <w:numPr>
        <w:ilvl w:val="1"/>
        <w:numId w:val="5"/>
      </w:numPr>
      <w:autoSpaceDE/>
      <w:autoSpaceDN/>
      <w:snapToGrid w:val="0"/>
      <w:spacing w:beforeLines="200" w:afterLines="50"/>
      <w:jc w:val="both"/>
      <w:textAlignment w:val="auto"/>
    </w:pPr>
    <w:rPr>
      <w:rFonts w:cstheme="minorBidi"/>
      <w:kern w:val="2"/>
      <w:sz w:val="36"/>
      <w:szCs w:val="36"/>
    </w:rPr>
  </w:style>
  <w:style w:type="character" w:customStyle="1" w:styleId="100">
    <w:name w:val="强调1"/>
    <w:qFormat/>
    <w:uiPriority w:val="0"/>
    <w:rPr>
      <w:rFonts w:ascii="Arial Black" w:hAnsi="Arial Black" w:eastAsia="宋体"/>
      <w:sz w:val="18"/>
    </w:rPr>
  </w:style>
  <w:style w:type="character" w:customStyle="1" w:styleId="101">
    <w:name w:val="正文缩进 Char"/>
    <w:link w:val="5"/>
    <w:qFormat/>
    <w:uiPriority w:val="0"/>
    <w:rPr>
      <w:rFonts w:eastAsia="宋体"/>
      <w:sz w:val="24"/>
    </w:rPr>
  </w:style>
  <w:style w:type="character" w:customStyle="1" w:styleId="102">
    <w:name w:val="ca-61"/>
    <w:qFormat/>
    <w:uiPriority w:val="0"/>
    <w:rPr>
      <w:rFonts w:hint="default" w:ascii="Times New Roman" w:hAnsi="Times New Roman" w:cs="Times New Roman"/>
      <w:sz w:val="21"/>
      <w:szCs w:val="21"/>
    </w:rPr>
  </w:style>
  <w:style w:type="character" w:customStyle="1" w:styleId="103">
    <w:name w:val="ca-71"/>
    <w:qFormat/>
    <w:uiPriority w:val="0"/>
    <w:rPr>
      <w:rFonts w:hint="eastAsia" w:ascii="宋体" w:hAnsi="宋体" w:eastAsia="宋体"/>
      <w:sz w:val="21"/>
      <w:szCs w:val="21"/>
    </w:rPr>
  </w:style>
  <w:style w:type="character" w:customStyle="1" w:styleId="104">
    <w:name w:val="批注文字 Char"/>
    <w:qFormat/>
    <w:uiPriority w:val="0"/>
    <w:rPr>
      <w:rFonts w:eastAsia="宋体"/>
      <w:kern w:val="2"/>
      <w:sz w:val="18"/>
      <w:szCs w:val="18"/>
      <w:lang w:val="en-US" w:eastAsia="zh-CN" w:bidi="ar-SA"/>
    </w:rPr>
  </w:style>
  <w:style w:type="character" w:customStyle="1" w:styleId="105">
    <w:name w:val="纯文本 Char1"/>
    <w:link w:val="24"/>
    <w:qFormat/>
    <w:uiPriority w:val="0"/>
    <w:rPr>
      <w:rFonts w:ascii="宋体" w:hAnsi="Courier New" w:eastAsia="宋体"/>
      <w:spacing w:val="-8"/>
      <w:sz w:val="24"/>
    </w:rPr>
  </w:style>
  <w:style w:type="character" w:customStyle="1" w:styleId="106">
    <w:name w:val="ca-181"/>
    <w:qFormat/>
    <w:uiPriority w:val="0"/>
    <w:rPr>
      <w:rFonts w:hint="eastAsia" w:ascii="宋体" w:hAnsi="宋体" w:eastAsia="宋体"/>
      <w:b/>
      <w:bCs/>
      <w:spacing w:val="-20"/>
      <w:sz w:val="24"/>
      <w:szCs w:val="24"/>
    </w:rPr>
  </w:style>
  <w:style w:type="character" w:customStyle="1" w:styleId="107">
    <w:name w:val="正文格式 Char"/>
    <w:link w:val="108"/>
    <w:qFormat/>
    <w:uiPriority w:val="0"/>
    <w:rPr>
      <w:rFonts w:eastAsia="宋体"/>
      <w:sz w:val="24"/>
    </w:rPr>
  </w:style>
  <w:style w:type="paragraph" w:customStyle="1" w:styleId="108">
    <w:name w:val="正文格式"/>
    <w:basedOn w:val="1"/>
    <w:link w:val="107"/>
    <w:qFormat/>
    <w:uiPriority w:val="0"/>
    <w:pPr>
      <w:widowControl/>
      <w:adjustRightInd w:val="0"/>
      <w:snapToGrid w:val="0"/>
      <w:spacing w:line="360" w:lineRule="atLeast"/>
      <w:ind w:firstLine="482"/>
      <w:textAlignment w:val="baseline"/>
    </w:pPr>
    <w:rPr>
      <w:rFonts w:asciiTheme="minorHAnsi" w:hAnsiTheme="minorHAnsi" w:cstheme="minorBidi"/>
      <w:sz w:val="24"/>
      <w:szCs w:val="22"/>
    </w:rPr>
  </w:style>
  <w:style w:type="character" w:customStyle="1" w:styleId="109">
    <w:name w:val="ca-261"/>
    <w:qFormat/>
    <w:uiPriority w:val="0"/>
    <w:rPr>
      <w:rFonts w:hint="default" w:ascii="Times New Roman" w:hAnsi="Times New Roman" w:cs="Times New Roman"/>
      <w:sz w:val="24"/>
      <w:szCs w:val="24"/>
    </w:rPr>
  </w:style>
  <w:style w:type="character" w:customStyle="1" w:styleId="110">
    <w:name w:val="content1"/>
    <w:qFormat/>
    <w:uiPriority w:val="0"/>
    <w:rPr>
      <w:rFonts w:eastAsia="宋体"/>
      <w:kern w:val="2"/>
      <w:sz w:val="18"/>
      <w:lang w:val="en-US" w:eastAsia="zh-CN"/>
    </w:rPr>
  </w:style>
  <w:style w:type="character" w:customStyle="1" w:styleId="111">
    <w:name w:val="正文 首行缩进:  2 字符 Char"/>
    <w:qFormat/>
    <w:uiPriority w:val="0"/>
    <w:rPr>
      <w:rFonts w:ascii="Verdana" w:hAnsi="Verdana" w:eastAsia="宋体"/>
      <w:sz w:val="24"/>
      <w:lang w:val="en-US" w:eastAsia="zh-CN"/>
    </w:rPr>
  </w:style>
  <w:style w:type="character" w:customStyle="1" w:styleId="112">
    <w:name w:val="普通文字1 Char"/>
    <w:qFormat/>
    <w:uiPriority w:val="0"/>
    <w:rPr>
      <w:rFonts w:ascii="宋体" w:hAnsi="Courier New" w:eastAsia="宋体"/>
      <w:kern w:val="2"/>
      <w:sz w:val="21"/>
      <w:lang w:val="en-US" w:eastAsia="zh-CN" w:bidi="ar-SA"/>
    </w:rPr>
  </w:style>
  <w:style w:type="character" w:customStyle="1" w:styleId="113">
    <w:name w:val="Char Char4"/>
    <w:qFormat/>
    <w:uiPriority w:val="0"/>
    <w:rPr>
      <w:rFonts w:eastAsia="宋体"/>
      <w:kern w:val="2"/>
      <w:sz w:val="21"/>
      <w:lang w:val="en-US" w:eastAsia="zh-CN" w:bidi="ar-SA"/>
    </w:rPr>
  </w:style>
  <w:style w:type="character" w:customStyle="1" w:styleId="114">
    <w:name w:val="正文文本缩进 2 Char"/>
    <w:qFormat/>
    <w:uiPriority w:val="0"/>
    <w:rPr>
      <w:kern w:val="2"/>
      <w:sz w:val="21"/>
    </w:rPr>
  </w:style>
  <w:style w:type="character" w:customStyle="1" w:styleId="115">
    <w:name w:val="Char Char1"/>
    <w:qFormat/>
    <w:uiPriority w:val="0"/>
    <w:rPr>
      <w:rFonts w:eastAsia="宋体"/>
      <w:kern w:val="2"/>
      <w:sz w:val="18"/>
      <w:szCs w:val="18"/>
      <w:lang w:val="en-US" w:eastAsia="zh-CN" w:bidi="ar-SA"/>
    </w:rPr>
  </w:style>
  <w:style w:type="character" w:customStyle="1" w:styleId="116">
    <w:name w:val="标准小四 Char1"/>
    <w:link w:val="117"/>
    <w:qFormat/>
    <w:uiPriority w:val="0"/>
    <w:rPr>
      <w:rFonts w:ascii="Arial" w:hAnsi="Arial" w:eastAsia="宋体"/>
      <w:sz w:val="24"/>
    </w:rPr>
  </w:style>
  <w:style w:type="paragraph" w:customStyle="1" w:styleId="117">
    <w:name w:val="标准小四"/>
    <w:basedOn w:val="1"/>
    <w:link w:val="116"/>
    <w:qFormat/>
    <w:uiPriority w:val="0"/>
    <w:pPr>
      <w:spacing w:line="360" w:lineRule="auto"/>
      <w:ind w:firstLine="480" w:firstLineChars="200"/>
    </w:pPr>
    <w:rPr>
      <w:rFonts w:ascii="Arial" w:hAnsi="Arial" w:cstheme="minorBidi"/>
      <w:sz w:val="24"/>
      <w:szCs w:val="22"/>
    </w:rPr>
  </w:style>
  <w:style w:type="character" w:customStyle="1" w:styleId="118">
    <w:name w:val="标准正文 Char Char Char Char + 小四 段前: 7.8 磅 Char"/>
    <w:link w:val="119"/>
    <w:qFormat/>
    <w:uiPriority w:val="0"/>
    <w:rPr>
      <w:rFonts w:ascii="宋体" w:hAnsi="宋体" w:eastAsia="宋体"/>
      <w:color w:val="000000"/>
      <w:sz w:val="24"/>
    </w:rPr>
  </w:style>
  <w:style w:type="paragraph" w:customStyle="1" w:styleId="119">
    <w:name w:val="标准正文 Char Char Char Char + 小四 段前: 7.8 磅"/>
    <w:basedOn w:val="1"/>
    <w:link w:val="118"/>
    <w:qFormat/>
    <w:uiPriority w:val="0"/>
    <w:pPr>
      <w:spacing w:before="156" w:line="360" w:lineRule="auto"/>
      <w:ind w:firstLine="482"/>
    </w:pPr>
    <w:rPr>
      <w:rFonts w:ascii="宋体" w:hAnsi="宋体" w:cstheme="minorBidi"/>
      <w:color w:val="000000"/>
      <w:sz w:val="24"/>
      <w:szCs w:val="22"/>
    </w:rPr>
  </w:style>
  <w:style w:type="character" w:customStyle="1" w:styleId="120">
    <w:name w:val="ca-110"/>
    <w:qFormat/>
    <w:uiPriority w:val="0"/>
    <w:rPr>
      <w:rFonts w:hint="eastAsia" w:ascii="宋体" w:hAnsi="宋体" w:eastAsia="宋体"/>
      <w:b/>
      <w:bCs/>
      <w:spacing w:val="-20"/>
      <w:sz w:val="21"/>
      <w:szCs w:val="21"/>
    </w:rPr>
  </w:style>
  <w:style w:type="character" w:customStyle="1" w:styleId="121">
    <w:name w:val="!标题3 Ctrl+3 Char Char"/>
    <w:link w:val="122"/>
    <w:qFormat/>
    <w:uiPriority w:val="0"/>
    <w:rPr>
      <w:rFonts w:ascii="Arial" w:hAnsi="Arial" w:eastAsia="黑体"/>
      <w:b/>
      <w:sz w:val="32"/>
      <w:szCs w:val="32"/>
    </w:rPr>
  </w:style>
  <w:style w:type="paragraph" w:customStyle="1" w:styleId="122">
    <w:name w:val="!标题3 Ctrl+3"/>
    <w:basedOn w:val="4"/>
    <w:next w:val="63"/>
    <w:link w:val="121"/>
    <w:qFormat/>
    <w:uiPriority w:val="0"/>
    <w:pPr>
      <w:keepNext w:val="0"/>
      <w:keepLines w:val="0"/>
      <w:numPr>
        <w:ilvl w:val="4"/>
        <w:numId w:val="6"/>
      </w:numPr>
      <w:tabs>
        <w:tab w:val="left" w:pos="360"/>
        <w:tab w:val="clear" w:pos="2465"/>
      </w:tabs>
      <w:autoSpaceDE/>
      <w:autoSpaceDN/>
      <w:snapToGrid w:val="0"/>
      <w:spacing w:before="0" w:after="0"/>
      <w:ind w:left="360" w:hanging="360"/>
      <w:jc w:val="both"/>
      <w:textAlignment w:val="auto"/>
      <w:outlineLvl w:val="9"/>
    </w:pPr>
    <w:rPr>
      <w:rFonts w:ascii="Arial" w:eastAsia="黑体" w:cstheme="minorBidi"/>
      <w:sz w:val="32"/>
      <w:szCs w:val="32"/>
    </w:rPr>
  </w:style>
  <w:style w:type="character" w:customStyle="1" w:styleId="123">
    <w:name w:val="Char Char11"/>
    <w:qFormat/>
    <w:uiPriority w:val="0"/>
    <w:rPr>
      <w:rFonts w:ascii="宋体" w:eastAsia="宋体"/>
      <w:sz w:val="18"/>
      <w:lang w:val="en-US" w:eastAsia="zh-CN" w:bidi="ar-SA"/>
    </w:rPr>
  </w:style>
  <w:style w:type="character" w:customStyle="1" w:styleId="124">
    <w:name w:val="f12"/>
    <w:basedOn w:val="44"/>
    <w:qFormat/>
    <w:uiPriority w:val="0"/>
  </w:style>
  <w:style w:type="character" w:customStyle="1" w:styleId="125">
    <w:name w:val="apple-style-span"/>
    <w:basedOn w:val="44"/>
    <w:qFormat/>
    <w:uiPriority w:val="0"/>
  </w:style>
  <w:style w:type="character" w:customStyle="1" w:styleId="126">
    <w:name w:val="ca-11"/>
    <w:qFormat/>
    <w:uiPriority w:val="0"/>
    <w:rPr>
      <w:rFonts w:hint="eastAsia" w:ascii="宋体" w:hAnsi="宋体" w:eastAsia="宋体"/>
      <w:color w:val="000000"/>
      <w:sz w:val="18"/>
      <w:szCs w:val="18"/>
    </w:rPr>
  </w:style>
  <w:style w:type="character" w:customStyle="1" w:styleId="127">
    <w:name w:val="style81"/>
    <w:qFormat/>
    <w:uiPriority w:val="0"/>
    <w:rPr>
      <w:b/>
      <w:bCs/>
      <w:color w:val="0066CC"/>
    </w:rPr>
  </w:style>
  <w:style w:type="character" w:customStyle="1" w:styleId="128">
    <w:name w:val="ca-51"/>
    <w:qFormat/>
    <w:uiPriority w:val="0"/>
    <w:rPr>
      <w:rFonts w:hint="eastAsia" w:ascii="宋体" w:hAnsi="宋体" w:eastAsia="宋体"/>
      <w:color w:val="FF0000"/>
      <w:sz w:val="22"/>
      <w:szCs w:val="22"/>
    </w:rPr>
  </w:style>
  <w:style w:type="character" w:customStyle="1" w:styleId="129">
    <w:name w:val="页眉 Char"/>
    <w:qFormat/>
    <w:uiPriority w:val="0"/>
    <w:rPr>
      <w:kern w:val="2"/>
      <w:sz w:val="18"/>
      <w:szCs w:val="18"/>
    </w:rPr>
  </w:style>
  <w:style w:type="paragraph" w:customStyle="1" w:styleId="130">
    <w:name w:val="_Style 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2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Char1 Char Char Char Char Char Char"/>
    <w:basedOn w:val="1"/>
    <w:qFormat/>
    <w:uiPriority w:val="0"/>
    <w:rPr>
      <w:rFonts w:ascii="Tahoma" w:hAnsi="Tahoma"/>
      <w:sz w:val="24"/>
      <w:szCs w:val="20"/>
    </w:rPr>
  </w:style>
  <w:style w:type="paragraph" w:customStyle="1" w:styleId="133">
    <w:name w:val="图表脚注"/>
    <w:next w:val="1"/>
    <w:qFormat/>
    <w:uiPriority w:val="0"/>
    <w:pPr>
      <w:numPr>
        <w:ilvl w:val="5"/>
        <w:numId w:val="4"/>
      </w:num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34">
    <w:name w:val="文档标题3"/>
    <w:basedOn w:val="4"/>
    <w:next w:val="1"/>
    <w:uiPriority w:val="0"/>
    <w:pPr>
      <w:numPr>
        <w:ilvl w:val="2"/>
        <w:numId w:val="7"/>
      </w:numPr>
      <w:tabs>
        <w:tab w:val="left" w:pos="709"/>
        <w:tab w:val="clear" w:pos="1740"/>
      </w:tabs>
      <w:autoSpaceDE/>
      <w:autoSpaceDN/>
      <w:adjustRightInd/>
      <w:spacing w:before="100" w:beforeAutospacing="1" w:after="100" w:afterAutospacing="1"/>
      <w:jc w:val="both"/>
      <w:textAlignment w:val="auto"/>
    </w:pPr>
    <w:rPr>
      <w:rFonts w:ascii="Times New Roman" w:hAnsi="Times New Roman"/>
      <w:bCs/>
      <w:sz w:val="32"/>
      <w:szCs w:val="32"/>
    </w:rPr>
  </w:style>
  <w:style w:type="paragraph" w:customStyle="1" w:styleId="135">
    <w:name w:val="规范正文"/>
    <w:basedOn w:val="1"/>
    <w:qFormat/>
    <w:uiPriority w:val="0"/>
    <w:pPr>
      <w:adjustRightInd w:val="0"/>
      <w:spacing w:line="360" w:lineRule="auto"/>
      <w:ind w:left="480"/>
      <w:textAlignment w:val="baseline"/>
    </w:pPr>
    <w:rPr>
      <w:kern w:val="0"/>
      <w:sz w:val="24"/>
      <w:szCs w:val="20"/>
    </w:rPr>
  </w:style>
  <w:style w:type="paragraph" w:customStyle="1" w:styleId="136">
    <w:name w:val="DAS列表二"/>
    <w:basedOn w:val="71"/>
    <w:next w:val="71"/>
    <w:uiPriority w:val="0"/>
    <w:pPr>
      <w:numPr>
        <w:ilvl w:val="0"/>
        <w:numId w:val="8"/>
      </w:numPr>
      <w:tabs>
        <w:tab w:val="left" w:pos="360"/>
        <w:tab w:val="left" w:pos="720"/>
      </w:tabs>
      <w:spacing w:line="360" w:lineRule="exact"/>
      <w:ind w:left="0" w:leftChars="-58" w:firstLine="425" w:firstLineChars="0"/>
    </w:pPr>
    <w:rPr>
      <w:sz w:val="21"/>
      <w:szCs w:val="21"/>
      <w:lang w:bidi="ar-SA"/>
    </w:rPr>
  </w:style>
  <w:style w:type="paragraph" w:customStyle="1" w:styleId="137">
    <w:name w:val="项目符号：一级"/>
    <w:basedOn w:val="1"/>
    <w:next w:val="1"/>
    <w:qFormat/>
    <w:uiPriority w:val="0"/>
    <w:pPr>
      <w:widowControl/>
      <w:numPr>
        <w:ilvl w:val="0"/>
        <w:numId w:val="7"/>
      </w:numPr>
      <w:adjustRightInd w:val="0"/>
      <w:snapToGrid w:val="0"/>
      <w:spacing w:line="360" w:lineRule="auto"/>
      <w:jc w:val="left"/>
      <w:textAlignment w:val="baseline"/>
    </w:pPr>
    <w:rPr>
      <w:rFonts w:ascii="宋体" w:hAnsi="宋体"/>
      <w:kern w:val="0"/>
      <w:sz w:val="24"/>
    </w:rPr>
  </w:style>
  <w:style w:type="paragraph" w:customStyle="1" w:styleId="138">
    <w:name w:val="文档标题1"/>
    <w:basedOn w:val="2"/>
    <w:next w:val="1"/>
    <w:qFormat/>
    <w:uiPriority w:val="0"/>
    <w:pPr>
      <w:pageBreakBefore w:val="0"/>
      <w:tabs>
        <w:tab w:val="left" w:pos="425"/>
      </w:tabs>
      <w:spacing w:before="100" w:beforeAutospacing="1" w:afterLines="0" w:afterAutospacing="1"/>
      <w:ind w:left="900" w:hanging="420"/>
      <w:jc w:val="both"/>
      <w:textAlignment w:val="auto"/>
    </w:pPr>
    <w:rPr>
      <w:rFonts w:ascii="Times New Roman" w:hAnsi="Times New Roman" w:cs="Times New Roman"/>
      <w:bCs/>
      <w:kern w:val="44"/>
    </w:rPr>
  </w:style>
  <w:style w:type="paragraph" w:customStyle="1" w:styleId="139">
    <w:name w:val="样式 标题 1H1标题 4-1 + 仿宋_GB2312 小二 居中"/>
    <w:basedOn w:val="1"/>
    <w:qFormat/>
    <w:uiPriority w:val="0"/>
  </w:style>
  <w:style w:type="paragraph" w:customStyle="1" w:styleId="140">
    <w:name w:val="题注4"/>
    <w:basedOn w:val="1"/>
    <w:next w:val="17"/>
    <w:uiPriority w:val="0"/>
    <w:pPr>
      <w:spacing w:line="440" w:lineRule="exact"/>
      <w:jc w:val="center"/>
    </w:pPr>
    <w:rPr>
      <w:rFonts w:ascii="宋体" w:hAnsi="宋体"/>
      <w:b/>
      <w:bCs/>
      <w:color w:val="000000"/>
      <w:sz w:val="28"/>
      <w:szCs w:val="28"/>
      <w:lang w:val="en-GB"/>
    </w:rPr>
  </w:style>
  <w:style w:type="paragraph" w:customStyle="1" w:styleId="141">
    <w:name w:val="List Paragraph"/>
    <w:basedOn w:val="1"/>
    <w:link w:val="283"/>
    <w:qFormat/>
    <w:uiPriority w:val="0"/>
    <w:pPr>
      <w:ind w:firstLine="420" w:firstLineChars="200"/>
    </w:p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character" w:customStyle="1" w:styleId="143">
    <w:name w:val="批注文字 Char1"/>
    <w:basedOn w:val="44"/>
    <w:link w:val="13"/>
    <w:semiHidden/>
    <w:qFormat/>
    <w:uiPriority w:val="99"/>
    <w:rPr>
      <w:rFonts w:ascii="Times New Roman" w:hAnsi="Times New Roman" w:eastAsia="宋体" w:cs="Times New Roman"/>
      <w:szCs w:val="24"/>
    </w:rPr>
  </w:style>
  <w:style w:type="character" w:customStyle="1" w:styleId="144">
    <w:name w:val="批注主题 Char"/>
    <w:basedOn w:val="143"/>
    <w:link w:val="12"/>
    <w:qFormat/>
    <w:uiPriority w:val="0"/>
    <w:rPr>
      <w:rFonts w:ascii="Times New Roman" w:hAnsi="Times New Roman" w:eastAsia="宋体" w:cs="Times New Roman"/>
      <w:b/>
      <w:bCs/>
      <w:sz w:val="18"/>
      <w:szCs w:val="18"/>
    </w:rPr>
  </w:style>
  <w:style w:type="character" w:customStyle="1" w:styleId="145">
    <w:name w:val="页脚 Char2"/>
    <w:basedOn w:val="44"/>
    <w:semiHidden/>
    <w:qFormat/>
    <w:uiPriority w:val="99"/>
    <w:rPr>
      <w:rFonts w:ascii="Times New Roman" w:hAnsi="Times New Roman" w:eastAsia="宋体" w:cs="Times New Roman"/>
      <w:sz w:val="18"/>
      <w:szCs w:val="18"/>
    </w:rPr>
  </w:style>
  <w:style w:type="paragraph" w:customStyle="1" w:styleId="146">
    <w:name w:val="基准页眉样式"/>
    <w:basedOn w:val="1"/>
    <w:qFormat/>
    <w:uiPriority w:val="0"/>
    <w:pPr>
      <w:keepLines/>
      <w:widowControl/>
      <w:tabs>
        <w:tab w:val="center" w:pos="4320"/>
        <w:tab w:val="right" w:pos="8640"/>
      </w:tabs>
      <w:spacing w:line="180" w:lineRule="atLeast"/>
    </w:pPr>
    <w:rPr>
      <w:rFonts w:ascii="Arial" w:hAnsi="Arial"/>
      <w:spacing w:val="-5"/>
      <w:kern w:val="0"/>
      <w:szCs w:val="20"/>
    </w:rPr>
  </w:style>
  <w:style w:type="paragraph" w:customStyle="1" w:styleId="147">
    <w:name w:val="Char6"/>
    <w:basedOn w:val="1"/>
    <w:qFormat/>
    <w:uiPriority w:val="0"/>
    <w:pPr>
      <w:widowControl/>
      <w:spacing w:line="360" w:lineRule="auto"/>
      <w:jc w:val="left"/>
    </w:pPr>
    <w:rPr>
      <w:rFonts w:ascii="宋体" w:hAnsi="宋体"/>
      <w:kern w:val="0"/>
      <w:sz w:val="24"/>
    </w:rPr>
  </w:style>
  <w:style w:type="paragraph" w:customStyle="1" w:styleId="148">
    <w:name w:val="样式 五号 首行缩进:  2 字符 行距: 固定值 20 磅"/>
    <w:basedOn w:val="1"/>
    <w:qFormat/>
    <w:uiPriority w:val="0"/>
    <w:pPr>
      <w:spacing w:line="400" w:lineRule="exact"/>
      <w:ind w:firstLine="420" w:firstLineChars="200"/>
    </w:pPr>
    <w:rPr>
      <w:rFonts w:ascii="Arial" w:hAnsi="Arial" w:cs="宋体"/>
      <w:szCs w:val="20"/>
    </w:rPr>
  </w:style>
  <w:style w:type="paragraph" w:customStyle="1" w:styleId="149">
    <w:name w:val="Char1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150">
    <w:name w:val="默认段落字体 Para Char Char Char Char"/>
    <w:basedOn w:val="1"/>
    <w:qFormat/>
    <w:uiPriority w:val="0"/>
  </w:style>
  <w:style w:type="paragraph" w:customStyle="1" w:styleId="151">
    <w:name w:val="Default"/>
    <w:qFormat/>
    <w:uiPriority w:val="0"/>
    <w:pPr>
      <w:widowControl w:val="0"/>
      <w:autoSpaceDE w:val="0"/>
      <w:autoSpaceDN w:val="0"/>
      <w:adjustRightInd w:val="0"/>
    </w:pPr>
    <w:rPr>
      <w:rFonts w:ascii="宋体" w:hAnsi="Times New Roman" w:eastAsia="宋体" w:cs="Times New Roman"/>
      <w:kern w:val="0"/>
      <w:sz w:val="20"/>
      <w:szCs w:val="20"/>
      <w:lang w:val="en-US" w:eastAsia="zh-CN" w:bidi="ar-SA"/>
    </w:rPr>
  </w:style>
  <w:style w:type="paragraph" w:customStyle="1" w:styleId="152">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53">
    <w:name w:val="!方块加粗"/>
    <w:basedOn w:val="63"/>
    <w:qFormat/>
    <w:uiPriority w:val="0"/>
    <w:pPr>
      <w:numPr>
        <w:ilvl w:val="0"/>
        <w:numId w:val="9"/>
      </w:numPr>
      <w:tabs>
        <w:tab w:val="left" w:pos="902"/>
        <w:tab w:val="clear" w:pos="420"/>
      </w:tabs>
      <w:adjustRightInd/>
      <w:ind w:firstLine="0" w:firstLineChars="0"/>
    </w:pPr>
    <w:rPr>
      <w:rFonts w:eastAsia="黑体" w:cs="Arial"/>
      <w:b/>
      <w:szCs w:val="24"/>
    </w:rPr>
  </w:style>
  <w:style w:type="paragraph" w:customStyle="1" w:styleId="154">
    <w:name w:val="pa-1"/>
    <w:basedOn w:val="1"/>
    <w:qFormat/>
    <w:uiPriority w:val="0"/>
    <w:pPr>
      <w:widowControl/>
      <w:spacing w:line="340" w:lineRule="atLeast"/>
    </w:pPr>
    <w:rPr>
      <w:rFonts w:ascii="宋体" w:hAnsi="宋体" w:cs="宋体"/>
      <w:kern w:val="0"/>
      <w:sz w:val="24"/>
    </w:rPr>
  </w:style>
  <w:style w:type="paragraph" w:customStyle="1" w:styleId="155">
    <w:name w:val="!目录"/>
    <w:basedOn w:val="1"/>
    <w:qFormat/>
    <w:uiPriority w:val="0"/>
    <w:pPr>
      <w:jc w:val="center"/>
    </w:pPr>
    <w:rPr>
      <w:rFonts w:ascii="黑体" w:eastAsia="黑体"/>
      <w:b/>
      <w:sz w:val="44"/>
      <w:szCs w:val="44"/>
    </w:rPr>
  </w:style>
  <w:style w:type="paragraph" w:customStyle="1" w:styleId="156">
    <w:name w:val="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样式 标题 2 + 段前: 0 磅 段后: 0 磅 行距: 单倍行距"/>
    <w:basedOn w:val="3"/>
    <w:qFormat/>
    <w:uiPriority w:val="0"/>
    <w:pPr>
      <w:autoSpaceDE/>
      <w:autoSpaceDN/>
      <w:adjustRightInd/>
      <w:spacing w:before="0" w:after="0" w:line="240" w:lineRule="auto"/>
      <w:jc w:val="both"/>
      <w:textAlignment w:val="auto"/>
    </w:pPr>
    <w:rPr>
      <w:rFonts w:ascii="仿宋_GB2312" w:eastAsia="仿宋_GB2312" w:cs="宋体"/>
      <w:bCs/>
      <w:spacing w:val="0"/>
      <w:kern w:val="2"/>
      <w:sz w:val="32"/>
      <w:szCs w:val="32"/>
    </w:rPr>
  </w:style>
  <w:style w:type="paragraph" w:customStyle="1" w:styleId="158">
    <w:name w:val="正文（利国）"/>
    <w:basedOn w:val="1"/>
    <w:qFormat/>
    <w:uiPriority w:val="0"/>
    <w:pPr>
      <w:ind w:firstLine="200" w:firstLineChars="200"/>
    </w:pPr>
    <w:rPr>
      <w:rFonts w:ascii="宋体"/>
    </w:rPr>
  </w:style>
  <w:style w:type="paragraph" w:customStyle="1" w:styleId="159">
    <w:name w:val="编号2级"/>
    <w:qFormat/>
    <w:uiPriority w:val="0"/>
    <w:pPr>
      <w:tabs>
        <w:tab w:val="left" w:pos="709"/>
      </w:tabs>
      <w:spacing w:line="360" w:lineRule="auto"/>
      <w:ind w:left="709" w:hanging="709"/>
    </w:pPr>
    <w:rPr>
      <w:rFonts w:ascii="Times New Roman" w:hAnsi="Times New Roman" w:eastAsia="宋体" w:cs="Times New Roman"/>
      <w:kern w:val="24"/>
      <w:sz w:val="24"/>
      <w:szCs w:val="18"/>
      <w:lang w:val="en-US" w:eastAsia="zh-CN" w:bidi="ar-SA"/>
    </w:rPr>
  </w:style>
  <w:style w:type="paragraph" w:customStyle="1" w:styleId="160">
    <w:name w:val="样式 标题 2第一章 标题 2Heading 2 HiddenHeading 2 CCBSheading 2H2h2..."/>
    <w:basedOn w:val="3"/>
    <w:qFormat/>
    <w:uiPriority w:val="0"/>
    <w:pPr>
      <w:keepLines w:val="0"/>
      <w:tabs>
        <w:tab w:val="left" w:pos="420"/>
      </w:tabs>
      <w:autoSpaceDE/>
      <w:autoSpaceDN/>
      <w:spacing w:beforeLines="50" w:afterLines="50" w:line="240" w:lineRule="auto"/>
      <w:ind w:left="420" w:hanging="420"/>
    </w:pPr>
    <w:rPr>
      <w:rFonts w:ascii="黑体" w:hAnsi="Times New Roman" w:cs="宋体"/>
      <w:b w:val="0"/>
      <w:spacing w:val="0"/>
      <w:sz w:val="32"/>
    </w:rPr>
  </w:style>
  <w:style w:type="paragraph" w:customStyle="1" w:styleId="161">
    <w:name w:val="前言、引言标题"/>
    <w:next w:val="1"/>
    <w:uiPriority w:val="0"/>
    <w:pPr>
      <w:numPr>
        <w:ilvl w:val="0"/>
        <w:numId w:val="4"/>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62">
    <w:name w:val="文档标题6"/>
    <w:basedOn w:val="8"/>
    <w:next w:val="1"/>
    <w:qFormat/>
    <w:uiPriority w:val="0"/>
    <w:pPr>
      <w:numPr>
        <w:numId w:val="7"/>
      </w:numPr>
      <w:tabs>
        <w:tab w:val="left" w:pos="900"/>
        <w:tab w:val="left" w:pos="1134"/>
      </w:tabs>
      <w:spacing w:before="100" w:beforeAutospacing="1" w:after="100" w:afterAutospacing="1" w:line="360" w:lineRule="auto"/>
    </w:pPr>
    <w:rPr>
      <w:rFonts w:eastAsia="宋体"/>
      <w:bCs/>
      <w:szCs w:val="24"/>
    </w:rPr>
  </w:style>
  <w:style w:type="paragraph" w:customStyle="1" w:styleId="163">
    <w:name w:val="段落内容"/>
    <w:basedOn w:val="1"/>
    <w:qFormat/>
    <w:uiPriority w:val="0"/>
    <w:pPr>
      <w:snapToGrid w:val="0"/>
      <w:spacing w:line="440" w:lineRule="atLeast"/>
      <w:ind w:firstLine="200" w:firstLineChars="200"/>
    </w:pPr>
    <w:rPr>
      <w:sz w:val="28"/>
      <w:szCs w:val="20"/>
    </w:rPr>
  </w:style>
  <w:style w:type="paragraph" w:customStyle="1" w:styleId="164">
    <w:name w:val="Char1 Char Char Char Char Char1 Char Char Char Char"/>
    <w:basedOn w:val="1"/>
    <w:qFormat/>
    <w:uiPriority w:val="0"/>
    <w:pPr>
      <w:numPr>
        <w:ilvl w:val="0"/>
        <w:numId w:val="1"/>
      </w:numPr>
    </w:pPr>
    <w:rPr>
      <w:sz w:val="24"/>
    </w:rPr>
  </w:style>
  <w:style w:type="paragraph" w:customStyle="1" w:styleId="165">
    <w:name w:val="正文 首行缩进:  2 字符"/>
    <w:basedOn w:val="1"/>
    <w:qFormat/>
    <w:uiPriority w:val="0"/>
    <w:pPr>
      <w:widowControl/>
      <w:spacing w:line="360" w:lineRule="auto"/>
      <w:ind w:firstLine="200" w:firstLineChars="200"/>
      <w:jc w:val="left"/>
    </w:pPr>
    <w:rPr>
      <w:rFonts w:ascii="Verdana" w:hAnsi="Verdana"/>
      <w:kern w:val="0"/>
      <w:sz w:val="24"/>
      <w:szCs w:val="20"/>
    </w:rPr>
  </w:style>
  <w:style w:type="paragraph" w:customStyle="1" w:styleId="166">
    <w:name w:val="样式 !标题3 Ctrl+3 +"/>
    <w:basedOn w:val="1"/>
    <w:qFormat/>
    <w:uiPriority w:val="0"/>
    <w:pPr>
      <w:tabs>
        <w:tab w:val="left" w:pos="709"/>
      </w:tabs>
      <w:adjustRightInd w:val="0"/>
      <w:snapToGrid w:val="0"/>
      <w:spacing w:beforeLines="75" w:afterLines="25" w:line="360" w:lineRule="auto"/>
      <w:ind w:firstLine="198"/>
      <w:outlineLvl w:val="2"/>
    </w:pPr>
    <w:rPr>
      <w:rFonts w:ascii="Arial" w:hAnsi="Arial" w:eastAsia="黑体" w:cs="宋体"/>
      <w:b/>
      <w:bCs/>
      <w:sz w:val="32"/>
      <w:szCs w:val="20"/>
    </w:rPr>
  </w:style>
  <w:style w:type="paragraph" w:customStyle="1" w:styleId="167">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68">
    <w:name w:val="样式 正文缩进 + 首行缩进:  2 字符"/>
    <w:basedOn w:val="5"/>
    <w:qFormat/>
    <w:uiPriority w:val="0"/>
    <w:pPr>
      <w:autoSpaceDE/>
      <w:autoSpaceDN/>
      <w:spacing w:before="160" w:after="160"/>
      <w:ind w:left="0" w:firstLine="480" w:firstLineChars="200"/>
    </w:pPr>
    <w:rPr>
      <w:rFonts w:ascii="宋体"/>
    </w:rPr>
  </w:style>
  <w:style w:type="paragraph" w:customStyle="1" w:styleId="169">
    <w:name w:val="B 正文"/>
    <w:basedOn w:val="1"/>
    <w:qFormat/>
    <w:uiPriority w:val="0"/>
    <w:pPr>
      <w:spacing w:line="360" w:lineRule="auto"/>
      <w:ind w:firstLine="200" w:firstLineChars="200"/>
    </w:pPr>
    <w:rPr>
      <w:rFonts w:cs="宋体"/>
      <w:sz w:val="28"/>
      <w:szCs w:val="20"/>
    </w:rPr>
  </w:style>
  <w:style w:type="paragraph" w:customStyle="1" w:styleId="170">
    <w:name w:val="样式 标题 1H1h1Level 1 Topic HeadingHeading 0Heading OnePIM 1..."/>
    <w:basedOn w:val="2"/>
    <w:qFormat/>
    <w:uiPriority w:val="0"/>
    <w:pPr>
      <w:pageBreakBefore w:val="0"/>
      <w:tabs>
        <w:tab w:val="left" w:pos="431"/>
      </w:tabs>
      <w:spacing w:before="340" w:afterLines="0" w:line="576" w:lineRule="auto"/>
      <w:ind w:left="431" w:hanging="431"/>
      <w:jc w:val="both"/>
      <w:textAlignment w:val="auto"/>
    </w:pPr>
    <w:rPr>
      <w:rFonts w:ascii="黑体" w:hAnsi="黑体" w:eastAsia="黑体" w:cs="Times New Roman"/>
      <w:bCs/>
      <w:color w:val="000000"/>
      <w:kern w:val="44"/>
      <w:sz w:val="32"/>
    </w:rPr>
  </w:style>
  <w:style w:type="paragraph" w:customStyle="1" w:styleId="171">
    <w:name w:val="!双列正文 Alt+S"/>
    <w:basedOn w:val="63"/>
    <w:qFormat/>
    <w:uiPriority w:val="0"/>
    <w:pPr>
      <w:tabs>
        <w:tab w:val="left" w:pos="3600"/>
      </w:tabs>
      <w:ind w:left="3600" w:hanging="3118" w:firstLineChars="0"/>
    </w:pPr>
  </w:style>
  <w:style w:type="paragraph" w:customStyle="1" w:styleId="172">
    <w:name w:val="文档标题4"/>
    <w:basedOn w:val="6"/>
    <w:next w:val="1"/>
    <w:uiPriority w:val="0"/>
    <w:pPr>
      <w:numPr>
        <w:ilvl w:val="3"/>
        <w:numId w:val="7"/>
      </w:numPr>
      <w:tabs>
        <w:tab w:val="left" w:pos="851"/>
        <w:tab w:val="clear" w:pos="2160"/>
      </w:tabs>
      <w:spacing w:before="100" w:beforeAutospacing="1" w:after="100" w:afterAutospacing="1" w:line="360" w:lineRule="auto"/>
    </w:pPr>
    <w:rPr>
      <w:rFonts w:eastAsia="宋体"/>
      <w:sz w:val="30"/>
    </w:rPr>
  </w:style>
  <w:style w:type="paragraph" w:customStyle="1" w:styleId="173">
    <w:name w:val="2册标题4"/>
    <w:basedOn w:val="1"/>
    <w:next w:val="1"/>
    <w:qFormat/>
    <w:uiPriority w:val="0"/>
    <w:pPr>
      <w:spacing w:before="156" w:after="156" w:line="300" w:lineRule="auto"/>
      <w:ind w:left="420" w:leftChars="200"/>
      <w:outlineLvl w:val="3"/>
    </w:pPr>
    <w:rPr>
      <w:rFonts w:ascii="Arial" w:hAnsi="Arial" w:eastAsia="幼圆"/>
      <w:b/>
      <w:sz w:val="24"/>
      <w:szCs w:val="20"/>
    </w:rPr>
  </w:style>
  <w:style w:type="character" w:customStyle="1" w:styleId="174">
    <w:name w:val="日期 Char"/>
    <w:basedOn w:val="44"/>
    <w:link w:val="26"/>
    <w:qFormat/>
    <w:uiPriority w:val="0"/>
    <w:rPr>
      <w:rFonts w:ascii="宋体" w:hAnsi="宋体" w:eastAsia="宋体" w:cs="Times New Roman"/>
      <w:kern w:val="0"/>
      <w:sz w:val="24"/>
      <w:szCs w:val="20"/>
    </w:rPr>
  </w:style>
  <w:style w:type="paragraph" w:customStyle="1" w:styleId="175">
    <w:name w:val="表中文字"/>
    <w:basedOn w:val="1"/>
    <w:qFormat/>
    <w:uiPriority w:val="0"/>
    <w:pPr>
      <w:widowControl/>
      <w:autoSpaceDE w:val="0"/>
      <w:autoSpaceDN w:val="0"/>
      <w:adjustRightInd w:val="0"/>
      <w:spacing w:line="320" w:lineRule="atLeast"/>
      <w:ind w:firstLine="360"/>
      <w:jc w:val="left"/>
    </w:pPr>
    <w:rPr>
      <w:rFonts w:ascii="Verdana" w:hAnsi="Verdana"/>
      <w:kern w:val="0"/>
      <w:sz w:val="18"/>
      <w:szCs w:val="18"/>
      <w:lang w:eastAsia="en-US" w:bidi="en-US"/>
    </w:rPr>
  </w:style>
  <w:style w:type="paragraph" w:customStyle="1" w:styleId="176">
    <w:name w:val="!菱形编号 Alt+L"/>
    <w:basedOn w:val="63"/>
    <w:uiPriority w:val="0"/>
    <w:pPr>
      <w:numPr>
        <w:ilvl w:val="0"/>
        <w:numId w:val="10"/>
      </w:numPr>
      <w:tabs>
        <w:tab w:val="left" w:pos="900"/>
        <w:tab w:val="clear" w:pos="1078"/>
      </w:tabs>
      <w:ind w:firstLine="0" w:firstLineChars="0"/>
    </w:pPr>
  </w:style>
  <w:style w:type="paragraph" w:customStyle="1" w:styleId="177">
    <w:name w:val="正文 + 首行缩进:  2 字符"/>
    <w:basedOn w:val="1"/>
    <w:qFormat/>
    <w:uiPriority w:val="0"/>
    <w:pPr>
      <w:widowControl/>
      <w:spacing w:line="360" w:lineRule="auto"/>
      <w:ind w:firstLine="480" w:firstLineChars="200"/>
      <w:jc w:val="left"/>
    </w:pPr>
    <w:rPr>
      <w:rFonts w:ascii="Verdana" w:hAnsi="Verdana"/>
      <w:kern w:val="0"/>
      <w:sz w:val="24"/>
      <w:szCs w:val="20"/>
    </w:rPr>
  </w:style>
  <w:style w:type="paragraph" w:customStyle="1" w:styleId="178">
    <w:name w:val="puce_1"/>
    <w:basedOn w:val="1"/>
    <w:uiPriority w:val="0"/>
    <w:pPr>
      <w:widowControl/>
      <w:numPr>
        <w:ilvl w:val="0"/>
        <w:numId w:val="11"/>
      </w:numPr>
      <w:tabs>
        <w:tab w:val="left" w:pos="426"/>
        <w:tab w:val="clear" w:pos="840"/>
      </w:tabs>
      <w:spacing w:before="40" w:after="40"/>
      <w:jc w:val="left"/>
    </w:pPr>
    <w:rPr>
      <w:rFonts w:ascii="FuturaA Md BT" w:hAnsi="FuturaA Md BT"/>
      <w:kern w:val="0"/>
      <w:sz w:val="22"/>
      <w:szCs w:val="20"/>
      <w:lang w:eastAsia="en-US"/>
    </w:rPr>
  </w:style>
  <w:style w:type="paragraph" w:customStyle="1" w:styleId="179">
    <w:name w:val="Char16"/>
    <w:basedOn w:val="1"/>
    <w:qFormat/>
    <w:uiPriority w:val="0"/>
    <w:pPr>
      <w:widowControl/>
      <w:spacing w:after="160" w:line="240" w:lineRule="exact"/>
      <w:jc w:val="left"/>
    </w:pPr>
    <w:rPr>
      <w:kern w:val="0"/>
      <w:szCs w:val="20"/>
    </w:rPr>
  </w:style>
  <w:style w:type="paragraph" w:customStyle="1" w:styleId="1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81">
    <w:name w:val="Char Char Char Char Char"/>
    <w:basedOn w:val="1"/>
    <w:uiPriority w:val="0"/>
    <w:pPr>
      <w:widowControl/>
      <w:spacing w:after="160" w:line="240" w:lineRule="exact"/>
      <w:jc w:val="left"/>
    </w:pPr>
    <w:rPr>
      <w:rFonts w:ascii="Verdana" w:hAnsi="Verdana"/>
      <w:b/>
      <w:kern w:val="0"/>
      <w:sz w:val="20"/>
      <w:szCs w:val="20"/>
      <w:lang w:eastAsia="en-US"/>
    </w:rPr>
  </w:style>
  <w:style w:type="character" w:customStyle="1" w:styleId="182">
    <w:name w:val="正文文本缩进 3 Char"/>
    <w:basedOn w:val="44"/>
    <w:link w:val="35"/>
    <w:qFormat/>
    <w:uiPriority w:val="0"/>
    <w:rPr>
      <w:rFonts w:ascii="Times New Roman" w:hAnsi="Times New Roman" w:eastAsia="宋体" w:cs="Times New Roman"/>
      <w:szCs w:val="20"/>
    </w:rPr>
  </w:style>
  <w:style w:type="character" w:customStyle="1" w:styleId="183">
    <w:name w:val="正文文本缩进 2 Char1"/>
    <w:basedOn w:val="44"/>
    <w:link w:val="27"/>
    <w:qFormat/>
    <w:uiPriority w:val="0"/>
    <w:rPr>
      <w:rFonts w:ascii="Times New Roman" w:hAnsi="Times New Roman" w:eastAsia="宋体" w:cs="Times New Roman"/>
      <w:szCs w:val="20"/>
    </w:rPr>
  </w:style>
  <w:style w:type="paragraph" w:customStyle="1" w:styleId="184">
    <w:name w:val="!标题1 Ctrl+1"/>
    <w:basedOn w:val="2"/>
    <w:next w:val="63"/>
    <w:qFormat/>
    <w:uiPriority w:val="0"/>
    <w:pPr>
      <w:keepNext w:val="0"/>
      <w:keepLines w:val="0"/>
      <w:tabs>
        <w:tab w:val="left" w:pos="1800"/>
      </w:tabs>
      <w:adjustRightInd w:val="0"/>
      <w:snapToGrid w:val="0"/>
      <w:spacing w:beforeLines="100" w:line="240" w:lineRule="auto"/>
      <w:textAlignment w:val="auto"/>
    </w:pPr>
    <w:rPr>
      <w:rFonts w:ascii="Arial" w:hAnsi="Arial" w:eastAsia="黑体" w:cs="Times New Roman"/>
      <w:bCs/>
    </w:rPr>
  </w:style>
  <w:style w:type="paragraph" w:customStyle="1" w:styleId="185">
    <w:name w:val="Char Char Char"/>
    <w:basedOn w:val="1"/>
    <w:qFormat/>
    <w:uiPriority w:val="0"/>
    <w:rPr>
      <w:rFonts w:ascii="Tahoma" w:hAnsi="Tahoma" w:eastAsia="仿宋_GB2312"/>
      <w:snapToGrid w:val="0"/>
      <w:kern w:val="0"/>
      <w:sz w:val="24"/>
      <w:szCs w:val="20"/>
    </w:rPr>
  </w:style>
  <w:style w:type="paragraph" w:customStyle="1" w:styleId="186">
    <w:name w:val="!正文居中"/>
    <w:basedOn w:val="63"/>
    <w:next w:val="63"/>
    <w:qFormat/>
    <w:uiPriority w:val="0"/>
    <w:pPr>
      <w:ind w:firstLine="0" w:firstLineChars="0"/>
      <w:jc w:val="center"/>
    </w:pPr>
  </w:style>
  <w:style w:type="paragraph" w:customStyle="1" w:styleId="187">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88">
    <w:name w:val="!圆点加粗"/>
    <w:basedOn w:val="189"/>
    <w:uiPriority w:val="0"/>
    <w:pPr>
      <w:tabs>
        <w:tab w:val="left" w:pos="900"/>
      </w:tabs>
    </w:pPr>
    <w:rPr>
      <w:rFonts w:eastAsia="黑体" w:cs="Arial"/>
      <w:b/>
    </w:rPr>
  </w:style>
  <w:style w:type="paragraph" w:customStyle="1" w:styleId="189">
    <w:name w:val="!圆点编号 Alt+Y"/>
    <w:basedOn w:val="80"/>
    <w:qFormat/>
    <w:uiPriority w:val="0"/>
    <w:pPr>
      <w:tabs>
        <w:tab w:val="left" w:pos="900"/>
      </w:tabs>
      <w:snapToGrid w:val="0"/>
      <w:spacing w:line="360" w:lineRule="auto"/>
      <w:ind w:left="902" w:hanging="420"/>
    </w:pPr>
    <w:rPr>
      <w:sz w:val="24"/>
    </w:rPr>
  </w:style>
  <w:style w:type="paragraph" w:customStyle="1" w:styleId="190">
    <w:name w:val="pa-41"/>
    <w:basedOn w:val="1"/>
    <w:qFormat/>
    <w:uiPriority w:val="0"/>
    <w:pPr>
      <w:widowControl/>
      <w:spacing w:line="280" w:lineRule="atLeast"/>
      <w:ind w:firstLine="360"/>
      <w:jc w:val="left"/>
    </w:pPr>
    <w:rPr>
      <w:rFonts w:ascii="宋体" w:hAnsi="宋体" w:cs="宋体"/>
      <w:kern w:val="0"/>
      <w:sz w:val="24"/>
    </w:rPr>
  </w:style>
  <w:style w:type="paragraph" w:customStyle="1" w:styleId="19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92">
    <w:name w:val="文档结构图 Char"/>
    <w:basedOn w:val="44"/>
    <w:link w:val="19"/>
    <w:qFormat/>
    <w:uiPriority w:val="0"/>
    <w:rPr>
      <w:rFonts w:ascii="Times New Roman" w:hAnsi="Times New Roman" w:eastAsia="宋体" w:cs="Times New Roman"/>
      <w:szCs w:val="24"/>
      <w:shd w:val="clear" w:color="auto" w:fill="000080"/>
    </w:rPr>
  </w:style>
  <w:style w:type="character" w:customStyle="1" w:styleId="193">
    <w:name w:val="标题 Char"/>
    <w:basedOn w:val="44"/>
    <w:link w:val="43"/>
    <w:qFormat/>
    <w:uiPriority w:val="0"/>
    <w:rPr>
      <w:rFonts w:ascii="Arial" w:hAnsi="Arial" w:eastAsia="宋体" w:cs="Times New Roman"/>
      <w:b/>
      <w:kern w:val="0"/>
      <w:sz w:val="36"/>
      <w:szCs w:val="20"/>
    </w:rPr>
  </w:style>
  <w:style w:type="character" w:customStyle="1" w:styleId="194">
    <w:name w:val="批注框文本 Char1"/>
    <w:basedOn w:val="44"/>
    <w:link w:val="28"/>
    <w:qFormat/>
    <w:uiPriority w:val="0"/>
    <w:rPr>
      <w:rFonts w:ascii="Times New Roman" w:hAnsi="Times New Roman" w:eastAsia="宋体" w:cs="Times New Roman"/>
      <w:sz w:val="18"/>
      <w:szCs w:val="18"/>
    </w:rPr>
  </w:style>
  <w:style w:type="character" w:customStyle="1" w:styleId="195">
    <w:name w:val="信息标题 Char"/>
    <w:basedOn w:val="44"/>
    <w:link w:val="39"/>
    <w:qFormat/>
    <w:uiPriority w:val="0"/>
    <w:rPr>
      <w:rFonts w:ascii="Arial" w:hAnsi="Arial" w:eastAsia="宋体"/>
      <w:spacing w:val="-5"/>
      <w:sz w:val="20"/>
    </w:rPr>
  </w:style>
  <w:style w:type="character" w:customStyle="1" w:styleId="196">
    <w:name w:val="正文文本 Char1"/>
    <w:basedOn w:val="44"/>
    <w:semiHidden/>
    <w:uiPriority w:val="99"/>
    <w:rPr>
      <w:rFonts w:ascii="Times New Roman" w:hAnsi="Times New Roman" w:eastAsia="宋体" w:cs="Times New Roman"/>
      <w:szCs w:val="24"/>
    </w:rPr>
  </w:style>
  <w:style w:type="character" w:customStyle="1" w:styleId="197">
    <w:name w:val="纯文本 Char2"/>
    <w:basedOn w:val="44"/>
    <w:semiHidden/>
    <w:qFormat/>
    <w:uiPriority w:val="99"/>
    <w:rPr>
      <w:rFonts w:ascii="宋体" w:hAnsi="Courier New" w:eastAsia="宋体" w:cs="Courier New"/>
      <w:szCs w:val="21"/>
    </w:rPr>
  </w:style>
  <w:style w:type="paragraph" w:customStyle="1" w:styleId="198">
    <w:name w:val="!标题6 Ctrl+6"/>
    <w:basedOn w:val="1"/>
    <w:next w:val="63"/>
    <w:qFormat/>
    <w:uiPriority w:val="0"/>
    <w:pPr>
      <w:tabs>
        <w:tab w:val="left" w:pos="1440"/>
      </w:tabs>
      <w:adjustRightInd w:val="0"/>
      <w:snapToGrid w:val="0"/>
      <w:spacing w:beforeLines="75" w:afterLines="50"/>
      <w:ind w:left="1440" w:hanging="1440"/>
      <w:outlineLvl w:val="5"/>
    </w:pPr>
    <w:rPr>
      <w:rFonts w:ascii="Arial" w:hAnsi="Arial" w:eastAsia="黑体"/>
      <w:b/>
      <w:sz w:val="24"/>
    </w:rPr>
  </w:style>
  <w:style w:type="paragraph" w:customStyle="1" w:styleId="199">
    <w:name w:val="章标题"/>
    <w:next w:val="1"/>
    <w:uiPriority w:val="0"/>
    <w:pPr>
      <w:numPr>
        <w:ilvl w:val="1"/>
        <w:numId w:val="4"/>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01">
    <w:name w:val="Char Char41"/>
    <w:basedOn w:val="1"/>
    <w:uiPriority w:val="0"/>
    <w:pPr>
      <w:widowControl/>
      <w:spacing w:after="160" w:line="240" w:lineRule="exact"/>
      <w:jc w:val="left"/>
    </w:pPr>
    <w:rPr>
      <w:rFonts w:ascii="Verdana" w:hAnsi="Verdana"/>
      <w:kern w:val="0"/>
      <w:sz w:val="20"/>
      <w:szCs w:val="20"/>
      <w:lang w:eastAsia="en-US"/>
    </w:rPr>
  </w:style>
  <w:style w:type="paragraph" w:customStyle="1" w:styleId="202">
    <w:name w:val="样式1"/>
    <w:basedOn w:val="1"/>
    <w:link w:val="247"/>
    <w:uiPriority w:val="0"/>
    <w:pPr>
      <w:numPr>
        <w:ilvl w:val="0"/>
        <w:numId w:val="12"/>
      </w:numPr>
      <w:adjustRightInd w:val="0"/>
      <w:textAlignment w:val="baseline"/>
    </w:pPr>
    <w:rPr>
      <w:rFonts w:ascii="宋体" w:hAnsi="宋体"/>
      <w:kern w:val="0"/>
      <w:szCs w:val="21"/>
    </w:rPr>
  </w:style>
  <w:style w:type="paragraph" w:customStyle="1" w:styleId="203">
    <w:name w:val="文档标题2"/>
    <w:basedOn w:val="3"/>
    <w:next w:val="1"/>
    <w:uiPriority w:val="0"/>
    <w:pPr>
      <w:numPr>
        <w:ilvl w:val="1"/>
        <w:numId w:val="7"/>
      </w:numPr>
      <w:tabs>
        <w:tab w:val="left" w:pos="567"/>
        <w:tab w:val="clear" w:pos="1320"/>
      </w:tabs>
      <w:autoSpaceDE/>
      <w:autoSpaceDN/>
      <w:adjustRightInd/>
      <w:spacing w:before="260" w:line="413" w:lineRule="auto"/>
      <w:jc w:val="both"/>
      <w:textAlignment w:val="auto"/>
    </w:pPr>
    <w:rPr>
      <w:rFonts w:eastAsia="宋体"/>
      <w:bCs/>
      <w:spacing w:val="0"/>
      <w:kern w:val="2"/>
      <w:sz w:val="32"/>
      <w:szCs w:val="32"/>
    </w:rPr>
  </w:style>
  <w:style w:type="character" w:customStyle="1" w:styleId="204">
    <w:name w:val="正文首行缩进 Char"/>
    <w:basedOn w:val="196"/>
    <w:link w:val="15"/>
    <w:uiPriority w:val="0"/>
    <w:rPr>
      <w:rFonts w:ascii="Times New Roman" w:hAnsi="Times New Roman" w:eastAsia="宋体" w:cs="Times New Roman"/>
      <w:szCs w:val="24"/>
    </w:rPr>
  </w:style>
  <w:style w:type="character" w:customStyle="1" w:styleId="205">
    <w:name w:val="正文文本 2 Char"/>
    <w:basedOn w:val="44"/>
    <w:link w:val="38"/>
    <w:qFormat/>
    <w:uiPriority w:val="0"/>
    <w:rPr>
      <w:rFonts w:ascii="仿宋_GB2312" w:hAnsi="Times New Roman" w:eastAsia="仿宋_GB2312" w:cs="Times New Roman"/>
      <w:sz w:val="24"/>
      <w:szCs w:val="20"/>
    </w:rPr>
  </w:style>
  <w:style w:type="paragraph" w:customStyle="1" w:styleId="206">
    <w:name w:val="!菱形加粗"/>
    <w:basedOn w:val="63"/>
    <w:uiPriority w:val="0"/>
    <w:pPr>
      <w:tabs>
        <w:tab w:val="left" w:pos="900"/>
      </w:tabs>
      <w:adjustRightInd/>
      <w:ind w:left="902" w:firstLine="0" w:firstLineChars="0"/>
    </w:pPr>
    <w:rPr>
      <w:rFonts w:eastAsia="黑体" w:cs="Arial"/>
      <w:b/>
      <w:szCs w:val="24"/>
    </w:rPr>
  </w:style>
  <w:style w:type="paragraph" w:customStyle="1" w:styleId="207">
    <w:name w:val="!标题5 Ctrl+5"/>
    <w:basedOn w:val="80"/>
    <w:next w:val="63"/>
    <w:uiPriority w:val="0"/>
    <w:pPr>
      <w:tabs>
        <w:tab w:val="left" w:pos="992"/>
      </w:tabs>
      <w:adjustRightInd w:val="0"/>
      <w:snapToGrid w:val="0"/>
      <w:spacing w:beforeLines="75" w:afterLines="50"/>
      <w:outlineLvl w:val="4"/>
    </w:pPr>
    <w:rPr>
      <w:rFonts w:eastAsia="黑体"/>
      <w:b/>
      <w:sz w:val="28"/>
      <w:szCs w:val="28"/>
    </w:rPr>
  </w:style>
  <w:style w:type="paragraph" w:customStyle="1" w:styleId="208">
    <w:name w:val="文档正文"/>
    <w:basedOn w:val="1"/>
    <w:uiPriority w:val="0"/>
    <w:rPr>
      <w:rFonts w:ascii="Arial" w:hAnsi="Arial" w:cs="Arial"/>
      <w:b/>
      <w:bCs/>
      <w:color w:val="FF0000"/>
      <w:szCs w:val="21"/>
    </w:rPr>
  </w:style>
  <w:style w:type="paragraph" w:customStyle="1" w:styleId="209">
    <w:name w:val="zi"/>
    <w:basedOn w:val="1"/>
    <w:uiPriority w:val="0"/>
    <w:pPr>
      <w:widowControl/>
      <w:spacing w:before="100" w:beforeAutospacing="1" w:after="100" w:afterAutospacing="1" w:line="336" w:lineRule="atLeast"/>
      <w:jc w:val="left"/>
    </w:pPr>
    <w:rPr>
      <w:rFonts w:ascii="ˎ̥" w:hAnsi="ˎ̥"/>
      <w:color w:val="000000"/>
      <w:kern w:val="0"/>
      <w:sz w:val="22"/>
      <w:szCs w:val="22"/>
    </w:rPr>
  </w:style>
  <w:style w:type="paragraph" w:customStyle="1" w:styleId="210">
    <w:name w:val="默认段落字体 Char Char Char"/>
    <w:basedOn w:val="1"/>
    <w:uiPriority w:val="0"/>
    <w:pPr>
      <w:widowControl/>
    </w:pPr>
    <w:rPr>
      <w:rFonts w:ascii="Arial" w:hAnsi="Arial" w:cs="Arial"/>
      <w:sz w:val="22"/>
      <w:szCs w:val="22"/>
      <w:lang w:eastAsia="en-US"/>
    </w:rPr>
  </w:style>
  <w:style w:type="paragraph" w:customStyle="1" w:styleId="211">
    <w:name w:val="!表格文字五号"/>
    <w:basedOn w:val="80"/>
    <w:qFormat/>
    <w:uiPriority w:val="0"/>
  </w:style>
  <w:style w:type="paragraph" w:customStyle="1" w:styleId="212">
    <w:name w:val="!加粗小标题 Alt+B"/>
    <w:basedOn w:val="63"/>
    <w:uiPriority w:val="0"/>
    <w:pPr>
      <w:ind w:firstLine="482"/>
    </w:pPr>
    <w:rPr>
      <w:rFonts w:eastAsia="黑体"/>
      <w:b/>
      <w:szCs w:val="24"/>
    </w:rPr>
  </w:style>
  <w:style w:type="paragraph" w:customStyle="1" w:styleId="213">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4">
    <w:name w:val="正文首行缩进1"/>
    <w:basedOn w:val="16"/>
    <w:uiPriority w:val="0"/>
    <w:pPr>
      <w:widowControl w:val="0"/>
      <w:suppressAutoHyphens/>
      <w:ind w:firstLine="420"/>
    </w:pPr>
    <w:rPr>
      <w:kern w:val="1"/>
      <w:sz w:val="28"/>
      <w:lang w:eastAsia="ar-SA"/>
    </w:rPr>
  </w:style>
  <w:style w:type="paragraph" w:customStyle="1" w:styleId="215">
    <w:name w:val="pa-9"/>
    <w:basedOn w:val="1"/>
    <w:uiPriority w:val="0"/>
    <w:pPr>
      <w:widowControl/>
      <w:spacing w:line="280" w:lineRule="atLeast"/>
      <w:ind w:firstLine="480"/>
      <w:jc w:val="left"/>
    </w:pPr>
    <w:rPr>
      <w:rFonts w:ascii="宋体" w:hAnsi="宋体" w:cs="宋体"/>
      <w:kern w:val="0"/>
      <w:sz w:val="24"/>
    </w:rPr>
  </w:style>
  <w:style w:type="paragraph" w:customStyle="1" w:styleId="216">
    <w:name w:val="!楔形加粗"/>
    <w:basedOn w:val="64"/>
    <w:qFormat/>
    <w:uiPriority w:val="0"/>
    <w:pPr>
      <w:numPr>
        <w:numId w:val="0"/>
      </w:numPr>
      <w:tabs>
        <w:tab w:val="left" w:pos="908"/>
        <w:tab w:val="clear" w:pos="902"/>
      </w:tabs>
      <w:ind w:left="709" w:hanging="709"/>
    </w:pPr>
    <w:rPr>
      <w:rFonts w:eastAsia="黑体" w:cs="Arial"/>
      <w:b/>
    </w:rPr>
  </w:style>
  <w:style w:type="paragraph" w:customStyle="1" w:styleId="217">
    <w:name w:val="Char Char Char Char"/>
    <w:basedOn w:val="1"/>
    <w:uiPriority w:val="0"/>
    <w:pPr>
      <w:widowControl/>
      <w:spacing w:after="160" w:line="240" w:lineRule="exact"/>
      <w:jc w:val="left"/>
    </w:pPr>
    <w:rPr>
      <w:rFonts w:ascii="Verdana" w:hAnsi="Verdana"/>
      <w:kern w:val="0"/>
      <w:szCs w:val="20"/>
      <w:lang w:eastAsia="en-US"/>
    </w:rPr>
  </w:style>
  <w:style w:type="paragraph" w:customStyle="1" w:styleId="218">
    <w:name w:val="缺省文本"/>
    <w:basedOn w:val="1"/>
    <w:qFormat/>
    <w:uiPriority w:val="0"/>
    <w:pPr>
      <w:autoSpaceDE w:val="0"/>
      <w:autoSpaceDN w:val="0"/>
      <w:adjustRightInd w:val="0"/>
      <w:spacing w:line="360" w:lineRule="auto"/>
      <w:jc w:val="left"/>
    </w:pPr>
    <w:rPr>
      <w:kern w:val="0"/>
      <w:sz w:val="24"/>
      <w:szCs w:val="20"/>
    </w:rPr>
  </w:style>
  <w:style w:type="paragraph" w:customStyle="1" w:styleId="219">
    <w:name w:val="!表格文字小四"/>
    <w:basedOn w:val="80"/>
    <w:next w:val="63"/>
    <w:qFormat/>
    <w:uiPriority w:val="0"/>
    <w:rPr>
      <w:sz w:val="24"/>
      <w:szCs w:val="24"/>
    </w:rPr>
  </w:style>
  <w:style w:type="paragraph" w:customStyle="1" w:styleId="220">
    <w:name w:val="DAS列表一"/>
    <w:basedOn w:val="71"/>
    <w:qFormat/>
    <w:uiPriority w:val="0"/>
    <w:pPr>
      <w:tabs>
        <w:tab w:val="left" w:pos="360"/>
        <w:tab w:val="left" w:pos="885"/>
      </w:tabs>
      <w:ind w:left="-58" w:leftChars="-58" w:firstLine="425" w:firstLineChars="0"/>
    </w:pPr>
    <w:rPr>
      <w:sz w:val="21"/>
      <w:szCs w:val="21"/>
      <w:lang w:bidi="ar-SA"/>
    </w:rPr>
  </w:style>
  <w:style w:type="paragraph" w:customStyle="1" w:styleId="221">
    <w:name w:val="样式 首行缩进:  2 字符3"/>
    <w:basedOn w:val="1"/>
    <w:uiPriority w:val="0"/>
    <w:pPr>
      <w:spacing w:line="360" w:lineRule="auto"/>
      <w:ind w:firstLine="480" w:firstLineChars="200"/>
    </w:pPr>
    <w:rPr>
      <w:sz w:val="24"/>
      <w:szCs w:val="20"/>
    </w:rPr>
  </w:style>
  <w:style w:type="paragraph" w:customStyle="1" w:styleId="222">
    <w:name w:val="!方块编号 Alt+F"/>
    <w:basedOn w:val="63"/>
    <w:qFormat/>
    <w:uiPriority w:val="0"/>
    <w:pPr>
      <w:numPr>
        <w:ilvl w:val="1"/>
        <w:numId w:val="12"/>
      </w:numPr>
      <w:tabs>
        <w:tab w:val="left" w:pos="902"/>
        <w:tab w:val="clear" w:pos="709"/>
      </w:tabs>
      <w:adjustRightInd/>
      <w:ind w:firstLine="0" w:firstLineChars="0"/>
    </w:pPr>
  </w:style>
  <w:style w:type="paragraph" w:customStyle="1" w:styleId="223">
    <w:name w:val="表格文字"/>
    <w:basedOn w:val="1"/>
    <w:qFormat/>
    <w:uiPriority w:val="0"/>
    <w:pPr>
      <w:spacing w:before="25" w:after="25"/>
      <w:jc w:val="left"/>
    </w:pPr>
    <w:rPr>
      <w:bCs/>
      <w:spacing w:val="10"/>
      <w:kern w:val="0"/>
      <w:sz w:val="24"/>
      <w:szCs w:val="20"/>
    </w:rPr>
  </w:style>
  <w:style w:type="character" w:customStyle="1" w:styleId="224">
    <w:name w:val="页眉 Char2"/>
    <w:basedOn w:val="44"/>
    <w:semiHidden/>
    <w:uiPriority w:val="99"/>
    <w:rPr>
      <w:rFonts w:ascii="Times New Roman" w:hAnsi="Times New Roman" w:eastAsia="宋体" w:cs="Times New Roman"/>
      <w:sz w:val="18"/>
      <w:szCs w:val="18"/>
    </w:rPr>
  </w:style>
  <w:style w:type="character" w:customStyle="1" w:styleId="225">
    <w:name w:val="HTML 预设格式 Char"/>
    <w:basedOn w:val="44"/>
    <w:link w:val="40"/>
    <w:uiPriority w:val="0"/>
    <w:rPr>
      <w:rFonts w:ascii="黑体" w:hAnsi="Courier New" w:eastAsia="黑体" w:cs="Courier New"/>
      <w:kern w:val="0"/>
      <w:sz w:val="20"/>
      <w:szCs w:val="20"/>
    </w:rPr>
  </w:style>
  <w:style w:type="paragraph" w:customStyle="1" w:styleId="2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Char Char Char Char Char Char Char"/>
    <w:basedOn w:val="1"/>
    <w:uiPriority w:val="0"/>
    <w:rPr>
      <w:rFonts w:ascii="仿宋_GB2312" w:eastAsia="仿宋_GB2312"/>
      <w:b/>
      <w:sz w:val="32"/>
      <w:szCs w:val="32"/>
    </w:rPr>
  </w:style>
  <w:style w:type="paragraph" w:customStyle="1" w:styleId="228">
    <w:name w:val="实施日期"/>
    <w:basedOn w:val="1"/>
    <w:qFormat/>
    <w:uiPriority w:val="0"/>
    <w:pPr>
      <w:widowControl/>
      <w:numPr>
        <w:ilvl w:val="4"/>
        <w:numId w:val="4"/>
      </w:numPr>
      <w:jc w:val="right"/>
    </w:pPr>
    <w:rPr>
      <w:rFonts w:eastAsia="黑体"/>
      <w:kern w:val="0"/>
      <w:sz w:val="28"/>
      <w:szCs w:val="20"/>
    </w:rPr>
  </w:style>
  <w:style w:type="paragraph" w:customStyle="1" w:styleId="229">
    <w:name w:val="正文2"/>
    <w:basedOn w:val="1"/>
    <w:qFormat/>
    <w:uiPriority w:val="0"/>
    <w:pPr>
      <w:adjustRightInd w:val="0"/>
      <w:spacing w:line="480" w:lineRule="atLeast"/>
      <w:ind w:firstLine="560"/>
      <w:textAlignment w:val="baseline"/>
    </w:pPr>
    <w:rPr>
      <w:rFonts w:ascii="CG Times" w:hAnsi="CG Times" w:eastAsia="楷体_GB2312"/>
      <w:color w:val="000000"/>
      <w:kern w:val="0"/>
      <w:sz w:val="28"/>
      <w:szCs w:val="20"/>
    </w:rPr>
  </w:style>
  <w:style w:type="paragraph" w:customStyle="1" w:styleId="230">
    <w:name w:val="WW-正文缩进"/>
    <w:basedOn w:val="1"/>
    <w:qFormat/>
    <w:uiPriority w:val="0"/>
    <w:pPr>
      <w:suppressAutoHyphens/>
      <w:ind w:firstLine="420"/>
      <w:jc w:val="left"/>
    </w:pPr>
    <w:rPr>
      <w:kern w:val="1"/>
      <w:sz w:val="24"/>
      <w:szCs w:val="20"/>
    </w:rPr>
  </w:style>
  <w:style w:type="paragraph" w:customStyle="1" w:styleId="231">
    <w:name w:val="pa-35"/>
    <w:basedOn w:val="1"/>
    <w:qFormat/>
    <w:uiPriority w:val="0"/>
    <w:pPr>
      <w:widowControl/>
      <w:spacing w:line="280" w:lineRule="atLeast"/>
      <w:ind w:firstLine="460"/>
      <w:jc w:val="left"/>
    </w:pPr>
    <w:rPr>
      <w:rFonts w:ascii="宋体" w:hAnsi="宋体" w:cs="宋体"/>
      <w:kern w:val="0"/>
      <w:sz w:val="24"/>
    </w:rPr>
  </w:style>
  <w:style w:type="paragraph" w:customStyle="1" w:styleId="232">
    <w:name w:val="文档标题5"/>
    <w:basedOn w:val="7"/>
    <w:next w:val="1"/>
    <w:uiPriority w:val="0"/>
    <w:pPr>
      <w:numPr>
        <w:numId w:val="7"/>
      </w:numPr>
      <w:tabs>
        <w:tab w:val="left" w:pos="900"/>
        <w:tab w:val="left" w:pos="992"/>
      </w:tabs>
      <w:spacing w:before="100" w:beforeAutospacing="1" w:after="100" w:afterAutospacing="1" w:line="360" w:lineRule="auto"/>
    </w:pPr>
    <w:rPr>
      <w:bCs/>
      <w:szCs w:val="28"/>
    </w:rPr>
  </w:style>
  <w:style w:type="paragraph" w:customStyle="1" w:styleId="233">
    <w:name w:val="pa-0"/>
    <w:basedOn w:val="1"/>
    <w:uiPriority w:val="0"/>
    <w:pPr>
      <w:widowControl/>
      <w:spacing w:line="240" w:lineRule="atLeast"/>
    </w:pPr>
    <w:rPr>
      <w:rFonts w:ascii="宋体" w:hAnsi="宋体" w:cs="宋体"/>
      <w:kern w:val="0"/>
      <w:sz w:val="24"/>
    </w:rPr>
  </w:style>
  <w:style w:type="paragraph" w:customStyle="1" w:styleId="234">
    <w:name w:val="Message Header First"/>
    <w:basedOn w:val="39"/>
    <w:next w:val="39"/>
    <w:uiPriority w:val="0"/>
  </w:style>
  <w:style w:type="paragraph" w:customStyle="1" w:styleId="235">
    <w:name w:val="TOC Heading"/>
    <w:basedOn w:val="2"/>
    <w:next w:val="1"/>
    <w:qFormat/>
    <w:uiPriority w:val="0"/>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character" w:customStyle="1" w:styleId="236">
    <w:name w:val="正文文本缩进 Char"/>
    <w:basedOn w:val="44"/>
    <w:link w:val="20"/>
    <w:qFormat/>
    <w:uiPriority w:val="0"/>
    <w:rPr>
      <w:rFonts w:ascii="Times New Roman" w:hAnsi="Times New Roman" w:eastAsia="宋体" w:cs="Times New Roman"/>
      <w:sz w:val="24"/>
      <w:szCs w:val="20"/>
    </w:rPr>
  </w:style>
  <w:style w:type="paragraph" w:customStyle="1" w:styleId="237">
    <w:name w:val="列出段落1"/>
    <w:basedOn w:val="1"/>
    <w:uiPriority w:val="0"/>
    <w:pPr>
      <w:ind w:firstLine="420" w:firstLineChars="200"/>
    </w:pPr>
  </w:style>
  <w:style w:type="paragraph" w:customStyle="1" w:styleId="238">
    <w:name w:val="p0"/>
    <w:basedOn w:val="1"/>
    <w:qFormat/>
    <w:uiPriority w:val="0"/>
    <w:pPr>
      <w:widowControl/>
    </w:pPr>
    <w:rPr>
      <w:kern w:val="0"/>
      <w:szCs w:val="21"/>
    </w:rPr>
  </w:style>
  <w:style w:type="character" w:customStyle="1" w:styleId="239">
    <w:name w:val="sect1.2.3 Char"/>
    <w:qFormat/>
    <w:uiPriority w:val="0"/>
    <w:rPr>
      <w:rFonts w:eastAsia="宋体"/>
      <w:b/>
      <w:kern w:val="2"/>
      <w:sz w:val="32"/>
      <w:lang w:val="en-US" w:eastAsia="zh-CN" w:bidi="ar-SA"/>
    </w:rPr>
  </w:style>
  <w:style w:type="paragraph" w:customStyle="1" w:styleId="240">
    <w:name w:val="Char1 Char Char Char Char Char Char11"/>
    <w:basedOn w:val="1"/>
    <w:qFormat/>
    <w:uiPriority w:val="0"/>
    <w:pPr>
      <w:widowControl/>
      <w:spacing w:after="160" w:line="240" w:lineRule="exact"/>
      <w:jc w:val="left"/>
    </w:pPr>
    <w:rPr>
      <w:kern w:val="0"/>
      <w:szCs w:val="20"/>
    </w:rPr>
  </w:style>
  <w:style w:type="character" w:customStyle="1" w:styleId="241">
    <w:name w:val="ca-131"/>
    <w:qFormat/>
    <w:uiPriority w:val="0"/>
    <w:rPr>
      <w:rFonts w:hint="eastAsia" w:ascii="宋体" w:hAnsi="宋体" w:eastAsia="宋体"/>
      <w:b/>
      <w:bCs/>
      <w:color w:val="000000"/>
      <w:spacing w:val="-20"/>
      <w:sz w:val="24"/>
      <w:szCs w:val="24"/>
    </w:rPr>
  </w:style>
  <w:style w:type="character" w:customStyle="1" w:styleId="242">
    <w:name w:val="ca-21"/>
    <w:qFormat/>
    <w:uiPriority w:val="0"/>
    <w:rPr>
      <w:rFonts w:hint="eastAsia" w:ascii="宋体" w:hAnsi="宋体" w:eastAsia="宋体"/>
      <w:sz w:val="21"/>
      <w:szCs w:val="21"/>
    </w:rPr>
  </w:style>
  <w:style w:type="character" w:customStyle="1" w:styleId="243">
    <w:name w:val="ca-101"/>
    <w:qFormat/>
    <w:uiPriority w:val="0"/>
    <w:rPr>
      <w:rFonts w:hint="eastAsia" w:ascii="宋体" w:hAnsi="宋体" w:eastAsia="宋体"/>
      <w:sz w:val="28"/>
      <w:szCs w:val="28"/>
    </w:rPr>
  </w:style>
  <w:style w:type="paragraph" w:customStyle="1" w:styleId="244">
    <w:name w:val="pa-2"/>
    <w:basedOn w:val="1"/>
    <w:qFormat/>
    <w:uiPriority w:val="0"/>
    <w:pPr>
      <w:widowControl/>
      <w:spacing w:line="280" w:lineRule="atLeast"/>
    </w:pPr>
    <w:rPr>
      <w:rFonts w:ascii="宋体" w:hAnsi="宋体" w:cs="宋体"/>
      <w:kern w:val="0"/>
      <w:sz w:val="24"/>
    </w:rPr>
  </w:style>
  <w:style w:type="paragraph" w:customStyle="1" w:styleId="245">
    <w:name w:val="pa-20"/>
    <w:basedOn w:val="1"/>
    <w:qFormat/>
    <w:uiPriority w:val="0"/>
    <w:pPr>
      <w:widowControl/>
      <w:spacing w:line="280" w:lineRule="atLeast"/>
      <w:ind w:firstLine="480"/>
    </w:pPr>
    <w:rPr>
      <w:rFonts w:ascii="宋体" w:hAnsi="宋体" w:cs="宋体"/>
      <w:kern w:val="0"/>
      <w:sz w:val="24"/>
    </w:rPr>
  </w:style>
  <w:style w:type="paragraph" w:customStyle="1" w:styleId="246">
    <w:name w:val="Char Char Char Char Char Char Char Char Char Char Char Char Char"/>
    <w:basedOn w:val="1"/>
    <w:qFormat/>
    <w:uiPriority w:val="0"/>
    <w:pPr>
      <w:widowControl/>
      <w:spacing w:after="160" w:line="240" w:lineRule="exact"/>
      <w:jc w:val="left"/>
    </w:pPr>
    <w:rPr>
      <w:szCs w:val="20"/>
    </w:rPr>
  </w:style>
  <w:style w:type="character" w:customStyle="1" w:styleId="247">
    <w:name w:val="样式1 Char"/>
    <w:link w:val="202"/>
    <w:qFormat/>
    <w:uiPriority w:val="0"/>
    <w:rPr>
      <w:rFonts w:ascii="宋体" w:hAnsi="宋体" w:eastAsia="宋体" w:cs="Times New Roman"/>
      <w:kern w:val="0"/>
      <w:szCs w:val="21"/>
    </w:rPr>
  </w:style>
  <w:style w:type="paragraph" w:customStyle="1" w:styleId="248">
    <w:name w:val="普通(网站)1"/>
    <w:basedOn w:val="1"/>
    <w:qFormat/>
    <w:uiPriority w:val="0"/>
    <w:rPr>
      <w:sz w:val="18"/>
      <w:szCs w:val="20"/>
    </w:rPr>
  </w:style>
  <w:style w:type="paragraph" w:customStyle="1" w:styleId="249">
    <w:name w:val="pa-4"/>
    <w:basedOn w:val="1"/>
    <w:qFormat/>
    <w:uiPriority w:val="0"/>
    <w:pPr>
      <w:widowControl/>
      <w:spacing w:line="240" w:lineRule="atLeast"/>
      <w:ind w:hanging="420"/>
    </w:pPr>
    <w:rPr>
      <w:rFonts w:ascii="宋体" w:hAnsi="宋体" w:cs="宋体"/>
      <w:kern w:val="0"/>
      <w:sz w:val="24"/>
    </w:rPr>
  </w:style>
  <w:style w:type="paragraph" w:customStyle="1" w:styleId="250">
    <w:name w:val="pa-39"/>
    <w:basedOn w:val="1"/>
    <w:qFormat/>
    <w:uiPriority w:val="0"/>
    <w:pPr>
      <w:widowControl/>
      <w:spacing w:line="280" w:lineRule="atLeast"/>
      <w:ind w:firstLine="360"/>
    </w:pPr>
    <w:rPr>
      <w:rFonts w:ascii="宋体" w:hAnsi="宋体" w:cs="宋体"/>
      <w:kern w:val="0"/>
      <w:sz w:val="24"/>
    </w:rPr>
  </w:style>
  <w:style w:type="character" w:customStyle="1" w:styleId="251">
    <w:name w:val="bord3"/>
    <w:basedOn w:val="44"/>
    <w:qFormat/>
    <w:uiPriority w:val="0"/>
  </w:style>
  <w:style w:type="character" w:customStyle="1" w:styleId="252">
    <w:name w:val="C正文 Char"/>
    <w:link w:val="253"/>
    <w:uiPriority w:val="0"/>
    <w:rPr>
      <w:sz w:val="24"/>
    </w:rPr>
  </w:style>
  <w:style w:type="paragraph" w:customStyle="1" w:styleId="253">
    <w:name w:val="C正文"/>
    <w:basedOn w:val="1"/>
    <w:link w:val="252"/>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254">
    <w:name w:val="表格 Char Char"/>
    <w:link w:val="255"/>
    <w:qFormat/>
    <w:uiPriority w:val="0"/>
    <w:rPr>
      <w:rFonts w:ascii="宋体" w:hAnsi="宋体" w:eastAsia="宋体"/>
    </w:rPr>
  </w:style>
  <w:style w:type="paragraph" w:customStyle="1" w:styleId="255">
    <w:name w:val="表格"/>
    <w:basedOn w:val="1"/>
    <w:link w:val="254"/>
    <w:qFormat/>
    <w:uiPriority w:val="0"/>
    <w:pPr>
      <w:snapToGrid w:val="0"/>
      <w:ind w:firstLine="42" w:firstLineChars="21"/>
    </w:pPr>
    <w:rPr>
      <w:rFonts w:ascii="宋体" w:hAnsi="宋体" w:cstheme="minorBidi"/>
      <w:szCs w:val="22"/>
    </w:rPr>
  </w:style>
  <w:style w:type="character" w:customStyle="1" w:styleId="256">
    <w:name w:val="段1.15 Char"/>
    <w:link w:val="257"/>
    <w:qFormat/>
    <w:uiPriority w:val="0"/>
    <w:rPr>
      <w:rFonts w:eastAsia="宋体"/>
      <w:kern w:val="21"/>
    </w:rPr>
  </w:style>
  <w:style w:type="paragraph" w:customStyle="1" w:styleId="257">
    <w:name w:val="段1.15"/>
    <w:basedOn w:val="1"/>
    <w:next w:val="1"/>
    <w:link w:val="256"/>
    <w:qFormat/>
    <w:uiPriority w:val="0"/>
    <w:pPr>
      <w:spacing w:line="276" w:lineRule="auto"/>
      <w:ind w:firstLine="420"/>
    </w:pPr>
    <w:rPr>
      <w:rFonts w:asciiTheme="minorHAnsi" w:hAnsiTheme="minorHAnsi" w:cstheme="minorBidi"/>
      <w:kern w:val="21"/>
      <w:szCs w:val="22"/>
    </w:rPr>
  </w:style>
  <w:style w:type="character" w:customStyle="1" w:styleId="258">
    <w:name w:val="样式9 Char"/>
    <w:link w:val="259"/>
    <w:qFormat/>
    <w:locked/>
    <w:uiPriority w:val="0"/>
    <w:rPr>
      <w:rFonts w:ascii="宋体" w:hAnsi="宋体" w:eastAsia="宋体"/>
      <w:spacing w:val="6"/>
      <w:sz w:val="24"/>
    </w:rPr>
  </w:style>
  <w:style w:type="paragraph" w:customStyle="1" w:styleId="259">
    <w:name w:val="样式9"/>
    <w:basedOn w:val="1"/>
    <w:link w:val="258"/>
    <w:uiPriority w:val="0"/>
    <w:pPr>
      <w:widowControl/>
      <w:spacing w:line="440" w:lineRule="exact"/>
      <w:ind w:firstLine="200" w:firstLineChars="200"/>
      <w:jc w:val="left"/>
    </w:pPr>
    <w:rPr>
      <w:rFonts w:ascii="宋体" w:hAnsi="宋体" w:cstheme="minorBidi"/>
      <w:spacing w:val="6"/>
      <w:sz w:val="24"/>
      <w:szCs w:val="22"/>
    </w:rPr>
  </w:style>
  <w:style w:type="paragraph" w:customStyle="1" w:styleId="260">
    <w:name w:val="列表（编号一级）（绿盟科技）"/>
    <w:basedOn w:val="1"/>
    <w:qFormat/>
    <w:uiPriority w:val="0"/>
    <w:pPr>
      <w:widowControl/>
      <w:numPr>
        <w:ilvl w:val="0"/>
        <w:numId w:val="13"/>
      </w:numPr>
      <w:spacing w:beforeLines="25" w:line="300" w:lineRule="auto"/>
      <w:jc w:val="left"/>
    </w:pPr>
    <w:rPr>
      <w:rFonts w:ascii="Arial" w:hAnsi="Arial"/>
      <w:kern w:val="0"/>
      <w:szCs w:val="21"/>
    </w:rPr>
  </w:style>
  <w:style w:type="paragraph" w:customStyle="1" w:styleId="261">
    <w:name w:val="列表（编号二级）（绿盟科技）"/>
    <w:basedOn w:val="260"/>
    <w:qFormat/>
    <w:uiPriority w:val="0"/>
    <w:pPr>
      <w:numPr>
        <w:ilvl w:val="1"/>
      </w:numPr>
      <w:spacing w:beforeLines="0"/>
    </w:pPr>
  </w:style>
  <w:style w:type="paragraph" w:customStyle="1" w:styleId="262">
    <w:name w:val="GP标题1"/>
    <w:basedOn w:val="1"/>
    <w:next w:val="1"/>
    <w:qFormat/>
    <w:uiPriority w:val="0"/>
    <w:pPr>
      <w:numPr>
        <w:ilvl w:val="0"/>
        <w:numId w:val="14"/>
      </w:numPr>
      <w:spacing w:beforeLines="100" w:afterLines="100" w:line="360" w:lineRule="auto"/>
      <w:jc w:val="center"/>
      <w:outlineLvl w:val="0"/>
    </w:pPr>
    <w:rPr>
      <w:rFonts w:ascii="黑体" w:hAnsi="黑体" w:eastAsia="黑体"/>
      <w:b/>
      <w:kern w:val="0"/>
      <w:sz w:val="36"/>
      <w:szCs w:val="20"/>
    </w:rPr>
  </w:style>
  <w:style w:type="paragraph" w:customStyle="1" w:styleId="263">
    <w:name w:val="GP标题3"/>
    <w:basedOn w:val="1"/>
    <w:next w:val="1"/>
    <w:qFormat/>
    <w:uiPriority w:val="0"/>
    <w:pPr>
      <w:numPr>
        <w:ilvl w:val="2"/>
        <w:numId w:val="14"/>
      </w:numPr>
      <w:spacing w:beforeLines="50" w:afterLines="50" w:line="360" w:lineRule="auto"/>
      <w:jc w:val="left"/>
      <w:outlineLvl w:val="2"/>
    </w:pPr>
    <w:rPr>
      <w:rFonts w:ascii="华文细黑" w:hAnsi="华文细黑" w:eastAsia="华文细黑"/>
      <w:b/>
      <w:kern w:val="0"/>
      <w:sz w:val="30"/>
      <w:szCs w:val="20"/>
    </w:rPr>
  </w:style>
  <w:style w:type="character" w:customStyle="1" w:styleId="264">
    <w:name w:val="lip2"/>
    <w:basedOn w:val="44"/>
    <w:qFormat/>
    <w:uiPriority w:val="0"/>
  </w:style>
  <w:style w:type="character" w:customStyle="1" w:styleId="265">
    <w:name w:val="rip2"/>
    <w:basedOn w:val="44"/>
    <w:qFormat/>
    <w:uiPriority w:val="0"/>
  </w:style>
  <w:style w:type="character" w:customStyle="1" w:styleId="266">
    <w:name w:val="表格字居中 Char Char"/>
    <w:basedOn w:val="267"/>
    <w:link w:val="269"/>
    <w:uiPriority w:val="0"/>
    <w:rPr>
      <w:rFonts w:eastAsia="楷体"/>
      <w:sz w:val="24"/>
      <w:szCs w:val="24"/>
    </w:rPr>
  </w:style>
  <w:style w:type="character" w:customStyle="1" w:styleId="267">
    <w:name w:val="表格字 Char Char"/>
    <w:link w:val="268"/>
    <w:uiPriority w:val="0"/>
    <w:rPr>
      <w:rFonts w:eastAsia="楷体"/>
      <w:sz w:val="24"/>
      <w:szCs w:val="24"/>
    </w:rPr>
  </w:style>
  <w:style w:type="paragraph" w:customStyle="1" w:styleId="268">
    <w:name w:val="表格字"/>
    <w:link w:val="267"/>
    <w:qFormat/>
    <w:uiPriority w:val="0"/>
    <w:rPr>
      <w:rFonts w:eastAsia="楷体" w:asciiTheme="minorHAnsi" w:hAnsiTheme="minorHAnsi" w:cstheme="minorBidi"/>
      <w:kern w:val="2"/>
      <w:sz w:val="24"/>
      <w:szCs w:val="24"/>
      <w:lang w:val="en-US" w:eastAsia="zh-CN" w:bidi="ar-SA"/>
    </w:rPr>
  </w:style>
  <w:style w:type="paragraph" w:customStyle="1" w:styleId="269">
    <w:name w:val="表格字居中"/>
    <w:basedOn w:val="268"/>
    <w:link w:val="266"/>
    <w:qFormat/>
    <w:uiPriority w:val="0"/>
    <w:pPr>
      <w:jc w:val="center"/>
    </w:pPr>
  </w:style>
  <w:style w:type="character" w:customStyle="1" w:styleId="270">
    <w:name w:val="表格标题 Char Char"/>
    <w:link w:val="271"/>
    <w:qFormat/>
    <w:uiPriority w:val="0"/>
    <w:rPr>
      <w:rFonts w:eastAsia="楷体"/>
      <w:b/>
      <w:sz w:val="24"/>
      <w:szCs w:val="24"/>
    </w:rPr>
  </w:style>
  <w:style w:type="paragraph" w:customStyle="1" w:styleId="271">
    <w:name w:val="表格标题"/>
    <w:link w:val="270"/>
    <w:uiPriority w:val="0"/>
    <w:pPr>
      <w:jc w:val="center"/>
    </w:pPr>
    <w:rPr>
      <w:rFonts w:eastAsia="楷体" w:asciiTheme="minorHAnsi" w:hAnsiTheme="minorHAnsi" w:cstheme="minorBidi"/>
      <w:b/>
      <w:kern w:val="2"/>
      <w:sz w:val="24"/>
      <w:szCs w:val="24"/>
      <w:lang w:val="en-US" w:eastAsia="zh-CN" w:bidi="ar-SA"/>
    </w:rPr>
  </w:style>
  <w:style w:type="paragraph" w:customStyle="1" w:styleId="272">
    <w:name w:val="表格字粗体"/>
    <w:basedOn w:val="268"/>
    <w:qFormat/>
    <w:uiPriority w:val="0"/>
    <w:rPr>
      <w:b/>
    </w:rPr>
  </w:style>
  <w:style w:type="paragraph" w:customStyle="1" w:styleId="273">
    <w:name w:val="正文列表字"/>
    <w:basedOn w:val="1"/>
    <w:qFormat/>
    <w:uiPriority w:val="0"/>
    <w:pPr>
      <w:spacing w:line="288" w:lineRule="auto"/>
      <w:ind w:left="200" w:leftChars="200" w:firstLine="200" w:firstLineChars="200"/>
      <w:jc w:val="left"/>
    </w:pPr>
    <w:rPr>
      <w:rFonts w:eastAsia="仿宋"/>
      <w:sz w:val="28"/>
      <w:szCs w:val="20"/>
    </w:rPr>
  </w:style>
  <w:style w:type="character" w:customStyle="1" w:styleId="274">
    <w:name w:val="normalpara"/>
    <w:basedOn w:val="44"/>
    <w:qFormat/>
    <w:uiPriority w:val="0"/>
  </w:style>
  <w:style w:type="character" w:customStyle="1" w:styleId="275">
    <w:name w:val="Char Char6"/>
    <w:semiHidden/>
    <w:uiPriority w:val="0"/>
    <w:rPr>
      <w:rFonts w:ascii="宋体" w:hAnsi="Courier New" w:eastAsia="宋体"/>
      <w:spacing w:val="-8"/>
      <w:kern w:val="2"/>
      <w:sz w:val="24"/>
      <w:lang w:val="en-US" w:eastAsia="zh-CN" w:bidi="ar-SA"/>
    </w:rPr>
  </w:style>
  <w:style w:type="paragraph" w:customStyle="1" w:styleId="276">
    <w:name w:val="x_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段标题1"/>
    <w:basedOn w:val="1"/>
    <w:qFormat/>
    <w:uiPriority w:val="0"/>
    <w:pPr>
      <w:tabs>
        <w:tab w:val="left" w:pos="420"/>
        <w:tab w:val="left" w:pos="1080"/>
      </w:tabs>
      <w:adjustRightInd w:val="0"/>
      <w:snapToGrid w:val="0"/>
      <w:spacing w:line="480" w:lineRule="auto"/>
      <w:ind w:left="420" w:hanging="420"/>
      <w:textAlignment w:val="baseline"/>
    </w:pPr>
    <w:rPr>
      <w:sz w:val="24"/>
      <w:szCs w:val="20"/>
    </w:rPr>
  </w:style>
  <w:style w:type="character" w:customStyle="1" w:styleId="278">
    <w:name w:val="正文文本 Char Char"/>
    <w:qFormat/>
    <w:uiPriority w:val="0"/>
    <w:rPr>
      <w:rFonts w:eastAsia="宋体"/>
      <w:sz w:val="21"/>
      <w:lang w:val="en-US" w:eastAsia="zh-CN" w:bidi="ar-SA"/>
    </w:rPr>
  </w:style>
  <w:style w:type="character" w:customStyle="1" w:styleId="279">
    <w:name w:val="font11"/>
    <w:basedOn w:val="44"/>
    <w:qFormat/>
    <w:uiPriority w:val="0"/>
    <w:rPr>
      <w:rFonts w:hint="eastAsia" w:ascii="宋体" w:hAnsi="宋体" w:eastAsia="宋体"/>
      <w:color w:val="000000"/>
      <w:sz w:val="24"/>
      <w:szCs w:val="24"/>
      <w:u w:val="none"/>
    </w:rPr>
  </w:style>
  <w:style w:type="paragraph" w:customStyle="1" w:styleId="280">
    <w:name w:val="Char Char Char Char Char Char"/>
    <w:basedOn w:val="1"/>
    <w:qFormat/>
    <w:uiPriority w:val="0"/>
    <w:pPr>
      <w:widowControl/>
      <w:spacing w:after="160" w:line="240" w:lineRule="exact"/>
      <w:jc w:val="left"/>
    </w:pPr>
    <w:rPr>
      <w:kern w:val="0"/>
      <w:szCs w:val="20"/>
    </w:rPr>
  </w:style>
  <w:style w:type="character" w:customStyle="1" w:styleId="281">
    <w:name w:val="textlarge1"/>
    <w:basedOn w:val="44"/>
    <w:qFormat/>
    <w:uiPriority w:val="0"/>
    <w:rPr>
      <w:sz w:val="20"/>
      <w:szCs w:val="20"/>
    </w:rPr>
  </w:style>
  <w:style w:type="paragraph" w:customStyle="1" w:styleId="282">
    <w:name w:val="4 Char"/>
    <w:basedOn w:val="1"/>
    <w:uiPriority w:val="0"/>
    <w:rPr>
      <w:szCs w:val="20"/>
    </w:rPr>
  </w:style>
  <w:style w:type="character" w:customStyle="1" w:styleId="283">
    <w:name w:val="列出段落 Char"/>
    <w:link w:val="141"/>
    <w:qFormat/>
    <w:uiPriority w:val="0"/>
    <w:rPr>
      <w:rFonts w:ascii="Times New Roman" w:hAnsi="Times New Roman" w:eastAsia="宋体" w:cs="Times New Roman"/>
      <w:szCs w:val="24"/>
    </w:rPr>
  </w:style>
  <w:style w:type="paragraph" w:customStyle="1" w:styleId="284">
    <w:name w:val="样式 (西文) 宋体 小四 首行缩进:  0.95 厘米 段前: 5 磅 段后: 5 磅 行距: 1.5 倍行距"/>
    <w:basedOn w:val="1"/>
    <w:uiPriority w:val="0"/>
    <w:pPr>
      <w:widowControl/>
      <w:spacing w:before="100" w:after="100" w:line="360" w:lineRule="auto"/>
      <w:ind w:firstLine="540"/>
      <w:jc w:val="left"/>
    </w:pPr>
    <w:rPr>
      <w:rFonts w:ascii="宋体" w:hAnsi="宋体" w:cs="宋体"/>
      <w:kern w:val="0"/>
      <w:sz w:val="24"/>
      <w:szCs w:val="20"/>
    </w:rPr>
  </w:style>
  <w:style w:type="character" w:customStyle="1" w:styleId="285">
    <w:name w:val="列出段落 Char1"/>
    <w:uiPriority w:val="0"/>
    <w:rPr>
      <w:rFonts w:ascii="Times New Roman" w:hAnsi="Times New Roman"/>
      <w:sz w:val="21"/>
    </w:rPr>
  </w:style>
  <w:style w:type="paragraph" w:customStyle="1" w:styleId="286">
    <w:name w:val="tytytyty"/>
    <w:basedOn w:val="1"/>
    <w:link w:val="287"/>
    <w:uiPriority w:val="0"/>
    <w:pPr>
      <w:widowControl/>
      <w:spacing w:before="100" w:beforeAutospacing="1" w:after="100" w:afterAutospacing="1"/>
      <w:jc w:val="left"/>
    </w:pPr>
    <w:rPr>
      <w:rFonts w:ascii="宋体" w:hAnsi="宋体" w:cs="宋体"/>
      <w:kern w:val="0"/>
      <w:sz w:val="24"/>
    </w:rPr>
  </w:style>
  <w:style w:type="character" w:customStyle="1" w:styleId="287">
    <w:name w:val="tytytyty Char"/>
    <w:basedOn w:val="44"/>
    <w:link w:val="286"/>
    <w:qFormat/>
    <w:uiPriority w:val="0"/>
    <w:rPr>
      <w:rFonts w:ascii="宋体" w:hAnsi="宋体" w:eastAsia="宋体" w:cs="宋体"/>
      <w:kern w:val="0"/>
      <w:sz w:val="24"/>
      <w:szCs w:val="24"/>
    </w:rPr>
  </w:style>
  <w:style w:type="paragraph" w:customStyle="1" w:styleId="288">
    <w:name w:val="符号"/>
    <w:basedOn w:val="1"/>
    <w:uiPriority w:val="0"/>
    <w:pPr>
      <w:tabs>
        <w:tab w:val="left" w:pos="840"/>
      </w:tabs>
      <w:adjustRightInd w:val="0"/>
      <w:snapToGrid w:val="0"/>
      <w:spacing w:line="420" w:lineRule="atLeast"/>
      <w:ind w:left="840" w:hanging="420"/>
      <w:jc w:val="left"/>
      <w:textAlignment w:val="baseline"/>
    </w:pPr>
    <w:rPr>
      <w:kern w:val="0"/>
      <w:sz w:val="24"/>
      <w:szCs w:val="20"/>
    </w:rPr>
  </w:style>
  <w:style w:type="character" w:customStyle="1" w:styleId="289">
    <w:name w:val="bord"/>
    <w:basedOn w:val="44"/>
    <w:uiPriority w:val="0"/>
  </w:style>
  <w:style w:type="character" w:customStyle="1" w:styleId="290">
    <w:name w:val="font01"/>
    <w:basedOn w:val="44"/>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E0C06-BBFB-4322-8D08-B8042401FA2C}">
  <ds:schemaRefs/>
</ds:datastoreItem>
</file>

<file path=docProps/app.xml><?xml version="1.0" encoding="utf-8"?>
<Properties xmlns="http://schemas.openxmlformats.org/officeDocument/2006/extended-properties" xmlns:vt="http://schemas.openxmlformats.org/officeDocument/2006/docPropsVTypes">
  <Template>Normal</Template>
  <Pages>28</Pages>
  <Words>2293</Words>
  <Characters>13076</Characters>
  <Lines>108</Lines>
  <Paragraphs>30</Paragraphs>
  <TotalTime>0</TotalTime>
  <ScaleCrop>false</ScaleCrop>
  <LinksUpToDate>false</LinksUpToDate>
  <CharactersWithSpaces>15339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2016-11-04T14:26:00Z</dcterms:created>
  <dc:creator>DCITS-sheny</dc:creator>
  <cp:lastModifiedBy>Administrator</cp:lastModifiedBy>
  <cp:lastPrinted>2017-10-11T01:15:24Z</cp:lastPrinted>
  <dcterms:modified xsi:type="dcterms:W3CDTF">2017-10-11T01:17:10Z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