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</w:rPr>
        <w:t>洋浦经济开发区技工学校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-洋浦经济开发区技工学校新能源汽车营销与维修实训室设备-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洋浦经济开发区技工学校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洋浦经济开发区技工学校新能源汽车营销与维修实训室设备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洋浦经济开发区技工学校新能源汽车营销与维修实训室设备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80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交付时间：合同签订后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 xml:space="preserve"> 天内发货到采购人指定地点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中标或成交结果公告期限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河南蜂云科技发展有限公司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2395345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（贰佰叁拾玖万伍仟叁佰肆拾伍元整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-512" w:rightChars="-244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郑州高新技术产业开发区长椿路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11号国家大学科技园C5E金石环境公司3楼西户</w:t>
      </w:r>
    </w:p>
    <w:tbl>
      <w:tblPr>
        <w:tblStyle w:val="8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混动轿车发动机教学系统、空调总成教学系统、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CVT总成教学系统、车身总成教学系统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 xml:space="preserve">一汽丰田卡罗拉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混动 1.8L E-CVT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电气控制仿真软件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225000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蔡秀霞、吴曹江、何启勇、林明碧、戴芸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:海口市大英山东一路10号国瑞城铂仕苑3栋2单元1002室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采购人：洋浦经济开发区技工学校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话：0898-28817918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洋浦经济开发区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9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9"/>
        <w:wordWrap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二〇一七年九月二十六日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7773F11"/>
    <w:rsid w:val="181E2527"/>
    <w:rsid w:val="257D0025"/>
    <w:rsid w:val="27794FF4"/>
    <w:rsid w:val="29594197"/>
    <w:rsid w:val="2A7741B8"/>
    <w:rsid w:val="311F548A"/>
    <w:rsid w:val="335F0785"/>
    <w:rsid w:val="36CE6FE9"/>
    <w:rsid w:val="390E5F9F"/>
    <w:rsid w:val="39784886"/>
    <w:rsid w:val="3F44388B"/>
    <w:rsid w:val="44B935D9"/>
    <w:rsid w:val="471707DD"/>
    <w:rsid w:val="4E896D5F"/>
    <w:rsid w:val="4EF170B6"/>
    <w:rsid w:val="4F5D6384"/>
    <w:rsid w:val="4FD23AF5"/>
    <w:rsid w:val="53522CC6"/>
    <w:rsid w:val="55F15812"/>
    <w:rsid w:val="56432FF9"/>
    <w:rsid w:val="595A0896"/>
    <w:rsid w:val="5D0E6650"/>
    <w:rsid w:val="5E945D26"/>
    <w:rsid w:val="600A3B2D"/>
    <w:rsid w:val="63354A69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0">
    <w:name w:val="hui"/>
    <w:basedOn w:val="3"/>
    <w:uiPriority w:val="0"/>
    <w:rPr>
      <w:color w:val="999999"/>
    </w:rPr>
  </w:style>
  <w:style w:type="character" w:customStyle="1" w:styleId="11">
    <w:name w:val="hui1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2017-09-26T08:01:34Z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