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numPr>
          <w:ilvl w:val="0"/>
          <w:numId w:val="0"/>
        </w:numPr>
        <w:spacing w:before="423" w:after="423" w:line="240" w:lineRule="auto"/>
        <w:ind w:left="420"/>
        <w:rPr>
          <w:rFonts w:hint="eastAsia" w:eastAsia="宋体"/>
          <w:lang w:val="en-US" w:eastAsia="zh-CN"/>
        </w:rPr>
      </w:pPr>
      <w:bookmarkStart w:id="0" w:name="_Toc483572415"/>
      <w:bookmarkStart w:id="1" w:name="_Toc421834139"/>
      <w:r>
        <w:rPr>
          <w:rFonts w:hint="eastAsia"/>
          <w:lang w:val="en-US" w:eastAsia="zh-CN"/>
        </w:rPr>
        <w:t>三亚市西水中调工程（一期）PPP项目</w:t>
      </w:r>
      <w:bookmarkStart w:id="27" w:name="_GoBack"/>
      <w:bookmarkEnd w:id="27"/>
    </w:p>
    <w:p>
      <w:pPr>
        <w:pStyle w:val="8"/>
        <w:numPr>
          <w:ilvl w:val="0"/>
          <w:numId w:val="0"/>
        </w:numPr>
        <w:spacing w:before="423" w:after="423" w:line="240" w:lineRule="auto"/>
        <w:ind w:left="420"/>
      </w:pPr>
      <w:r>
        <w:rPr>
          <w:rFonts w:hint="eastAsia"/>
        </w:rPr>
        <w:t>资格预审公告</w:t>
      </w:r>
      <w:bookmarkEnd w:id="0"/>
      <w:bookmarkEnd w:id="1"/>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ascii="宋体" w:hAnsi="宋体" w:eastAsia="宋体"/>
          <w:bCs/>
          <w:sz w:val="24"/>
          <w:u w:val="single"/>
        </w:rPr>
      </w:pPr>
      <w:r>
        <w:rPr>
          <w:rFonts w:hint="eastAsia" w:ascii="宋体" w:hAnsi="宋体" w:eastAsia="宋体"/>
          <w:bCs/>
          <w:sz w:val="24"/>
        </w:rPr>
        <w:t>根据《中华人民共和国政府采购法》、《中华人民共和国招标投标法》和《政府和社会资本合作项目政府采购管理办法》等有关法律、行政法规规定，</w:t>
      </w:r>
      <w:r>
        <w:rPr>
          <w:rFonts w:hint="eastAsia" w:ascii="宋体" w:hAnsi="宋体" w:eastAsia="宋体"/>
          <w:bCs/>
          <w:sz w:val="24"/>
          <w:u w:val="single"/>
        </w:rPr>
        <w:t>三亚市西水中调工程（一期）PPP项目</w:t>
      </w:r>
      <w:r>
        <w:rPr>
          <w:rFonts w:hint="eastAsia" w:ascii="宋体" w:hAnsi="宋体" w:eastAsia="宋体"/>
          <w:bCs/>
          <w:sz w:val="24"/>
        </w:rPr>
        <w:t>（项目编号：</w:t>
      </w:r>
      <w:r>
        <w:rPr>
          <w:rFonts w:hint="eastAsia" w:ascii="宋体" w:hAnsi="宋体" w:eastAsia="宋体"/>
          <w:bCs/>
          <w:sz w:val="24"/>
          <w:lang w:val="en-US" w:eastAsia="zh-CN"/>
        </w:rPr>
        <w:t>SZWD2017-SY002</w:t>
      </w:r>
      <w:r>
        <w:rPr>
          <w:rFonts w:hint="eastAsia" w:ascii="宋体" w:hAnsi="宋体" w:eastAsia="宋体"/>
          <w:bCs/>
          <w:sz w:val="24"/>
        </w:rPr>
        <w:t>）</w:t>
      </w:r>
      <w:r>
        <w:rPr>
          <w:rFonts w:hint="eastAsia" w:ascii="宋体" w:hAnsi="宋体" w:eastAsia="宋体"/>
          <w:bCs/>
          <w:color w:val="auto"/>
          <w:sz w:val="24"/>
        </w:rPr>
        <w:t>已经由三亚市人民政府批准实施，</w:t>
      </w:r>
      <w:r>
        <w:rPr>
          <w:rFonts w:hint="eastAsia" w:ascii="宋体" w:hAnsi="宋体" w:eastAsia="宋体"/>
          <w:bCs/>
          <w:color w:val="auto"/>
          <w:sz w:val="24"/>
          <w:lang w:eastAsia="zh-CN"/>
        </w:rPr>
        <w:t>并授权三亚市水务局作为项目实施机构，委托深圳市万德公共咨询有限公司对该项目</w:t>
      </w:r>
      <w:r>
        <w:rPr>
          <w:rFonts w:hint="eastAsia" w:ascii="宋体" w:hAnsi="宋体" w:eastAsia="宋体"/>
          <w:bCs/>
          <w:color w:val="auto"/>
          <w:sz w:val="24"/>
        </w:rPr>
        <w:t>采取公开招标方式选择社会资本方。现将资格预审有关事宜公告如下，特邀请符合条件的社会资本（以下简称“申请人”）参与资格预审：</w:t>
      </w:r>
    </w:p>
    <w:p>
      <w:pPr>
        <w:pStyle w:val="3"/>
        <w:ind w:left="0" w:firstLine="480" w:firstLineChars="200"/>
        <w:rPr>
          <w:rFonts w:ascii="宋体" w:hAnsi="宋体" w:eastAsia="宋体"/>
          <w:bCs/>
          <w:sz w:val="24"/>
          <w:u w:val="single"/>
        </w:rPr>
      </w:pPr>
    </w:p>
    <w:p>
      <w:pPr>
        <w:pStyle w:val="9"/>
        <w:spacing w:line="240" w:lineRule="auto"/>
      </w:pPr>
      <w:bookmarkStart w:id="2" w:name="_Toc483572416"/>
      <w:r>
        <w:rPr>
          <w:rFonts w:hint="eastAsia"/>
        </w:rPr>
        <w:t>采购项目</w:t>
      </w:r>
      <w:bookmarkEnd w:id="2"/>
    </w:p>
    <w:p>
      <w:pPr>
        <w:pStyle w:val="10"/>
        <w:spacing w:line="240" w:lineRule="auto"/>
      </w:pPr>
      <w:r>
        <w:rPr>
          <w:rFonts w:hint="eastAsia"/>
        </w:rPr>
        <w:t xml:space="preserve"> 项目名称：三亚市西水中调工程（一期）PPP项目</w:t>
      </w:r>
    </w:p>
    <w:p>
      <w:pPr>
        <w:pStyle w:val="10"/>
        <w:spacing w:line="240" w:lineRule="auto"/>
      </w:pPr>
      <w:r>
        <w:rPr>
          <w:rFonts w:hint="eastAsia"/>
        </w:rPr>
        <w:t xml:space="preserve"> 项目编号：</w:t>
      </w:r>
      <w:r>
        <w:rPr>
          <w:rFonts w:hint="eastAsia"/>
          <w:lang w:val="en-US" w:eastAsia="zh-CN"/>
        </w:rPr>
        <w:t>SZWD2017-SY002</w:t>
      </w:r>
    </w:p>
    <w:p>
      <w:pPr>
        <w:pStyle w:val="10"/>
        <w:spacing w:line="240" w:lineRule="auto"/>
      </w:pPr>
      <w:r>
        <w:rPr>
          <w:rFonts w:hint="eastAsia"/>
        </w:rPr>
        <w:t xml:space="preserve"> 采购方式：公开招标</w:t>
      </w:r>
    </w:p>
    <w:p>
      <w:pPr>
        <w:pStyle w:val="10"/>
        <w:spacing w:line="240" w:lineRule="auto"/>
      </w:pPr>
      <w:r>
        <w:rPr>
          <w:rFonts w:hint="eastAsia"/>
        </w:rPr>
        <w:t xml:space="preserve"> 项目授权主体：三亚市人民政府</w:t>
      </w:r>
    </w:p>
    <w:p>
      <w:pPr>
        <w:pStyle w:val="10"/>
        <w:spacing w:line="240" w:lineRule="auto"/>
      </w:pPr>
      <w:r>
        <w:rPr>
          <w:rFonts w:hint="eastAsia"/>
        </w:rPr>
        <w:t xml:space="preserve"> 项目实施机构：三亚市水务局</w:t>
      </w:r>
    </w:p>
    <w:p>
      <w:pPr>
        <w:pStyle w:val="9"/>
        <w:spacing w:line="240" w:lineRule="auto"/>
      </w:pPr>
      <w:bookmarkStart w:id="3" w:name="_Toc483572417"/>
      <w:r>
        <w:rPr>
          <w:rFonts w:hint="eastAsia"/>
        </w:rPr>
        <w:t>采购需求</w:t>
      </w:r>
      <w:bookmarkEnd w:id="3"/>
    </w:p>
    <w:p>
      <w:pPr>
        <w:pStyle w:val="10"/>
        <w:tabs>
          <w:tab w:val="left" w:pos="567"/>
          <w:tab w:val="clear" w:pos="426"/>
        </w:tabs>
        <w:spacing w:line="240" w:lineRule="auto"/>
        <w:outlineLvl w:val="2"/>
      </w:pPr>
      <w:bookmarkStart w:id="4" w:name="_Toc483572418"/>
      <w:r>
        <w:rPr>
          <w:rFonts w:hint="eastAsia"/>
        </w:rPr>
        <w:t>项目内容：社会资本与政府授权主体共同出资组建（其中社会资本方出资75%，以联合体形式投标的，由联合体按照联合体协议约定共同出资）项目公司负责本项目的融资、建造、运营、维护，采取“PPP+EPC+全程监管”模式实施三亚市西水中调工程（一期）PPP项目。建设内容分为原水工程、净水厂工程（含配水干管工程）。</w:t>
      </w:r>
      <w:bookmarkEnd w:id="4"/>
    </w:p>
    <w:p>
      <w:pPr>
        <w:pStyle w:val="10"/>
        <w:tabs>
          <w:tab w:val="left" w:pos="567"/>
          <w:tab w:val="clear" w:pos="426"/>
        </w:tabs>
        <w:spacing w:line="240" w:lineRule="auto"/>
        <w:outlineLvl w:val="2"/>
      </w:pPr>
      <w:bookmarkStart w:id="5" w:name="_Toc483572419"/>
      <w:r>
        <w:rPr>
          <w:rFonts w:hint="eastAsia"/>
        </w:rPr>
        <w:t>项目建设规模：本项目总规模40万m³/d。原水工程按40万m³/d一次性建成。净水厂工程（含配水干管工程）分两期建设，一期建设规模20万m³/d。</w:t>
      </w:r>
      <w:bookmarkEnd w:id="5"/>
    </w:p>
    <w:p>
      <w:pPr>
        <w:pStyle w:val="10"/>
        <w:tabs>
          <w:tab w:val="left" w:pos="567"/>
          <w:tab w:val="clear" w:pos="426"/>
        </w:tabs>
        <w:spacing w:line="240" w:lineRule="auto"/>
        <w:outlineLvl w:val="2"/>
      </w:pPr>
      <w:bookmarkStart w:id="6" w:name="_Toc483572420"/>
      <w:r>
        <w:rPr>
          <w:rFonts w:hint="eastAsia"/>
        </w:rPr>
        <w:t>项目投资规模：本项目可研批复总投资为287462.62万元。</w:t>
      </w:r>
      <w:bookmarkEnd w:id="6"/>
    </w:p>
    <w:p>
      <w:pPr>
        <w:pStyle w:val="10"/>
        <w:tabs>
          <w:tab w:val="left" w:pos="567"/>
          <w:tab w:val="clear" w:pos="426"/>
        </w:tabs>
        <w:spacing w:line="240" w:lineRule="auto"/>
        <w:outlineLvl w:val="2"/>
      </w:pPr>
      <w:bookmarkStart w:id="7" w:name="_Toc483572421"/>
      <w:r>
        <w:rPr>
          <w:rFonts w:hint="eastAsia"/>
        </w:rPr>
        <w:t>项目合作期限：本项目合作期限为30年，其中建设期为4年（原水工程建设期为4年，净水厂工程建设期为1年），运营期均为26年。</w:t>
      </w:r>
      <w:bookmarkEnd w:id="7"/>
    </w:p>
    <w:p>
      <w:pPr>
        <w:pStyle w:val="9"/>
        <w:spacing w:line="240" w:lineRule="auto"/>
      </w:pPr>
      <w:bookmarkStart w:id="8" w:name="_Toc483572422"/>
      <w:r>
        <w:rPr>
          <w:rFonts w:hint="eastAsia"/>
        </w:rPr>
        <w:t>申请人资格要求</w:t>
      </w:r>
      <w:bookmarkEnd w:id="8"/>
    </w:p>
    <w:p>
      <w:pPr>
        <w:pStyle w:val="10"/>
        <w:tabs>
          <w:tab w:val="left" w:pos="567"/>
          <w:tab w:val="clear" w:pos="426"/>
        </w:tabs>
        <w:spacing w:line="240" w:lineRule="auto"/>
        <w:outlineLvl w:val="2"/>
        <w:rPr>
          <w:b/>
        </w:rPr>
      </w:pPr>
      <w:bookmarkStart w:id="9" w:name="_Toc483572423"/>
      <w:r>
        <w:rPr>
          <w:rFonts w:hint="eastAsia"/>
          <w:b/>
        </w:rPr>
        <w:t>资质要求</w:t>
      </w:r>
      <w:bookmarkEnd w:id="9"/>
    </w:p>
    <w:p>
      <w:pPr>
        <w:pStyle w:val="14"/>
        <w:spacing w:line="240" w:lineRule="auto"/>
        <w:ind w:left="851" w:hanging="851"/>
      </w:pPr>
      <w:r>
        <w:rPr>
          <w:rFonts w:ascii="Times New Roman" w:hAnsi="Times New Roman"/>
          <w:color w:val="000000"/>
        </w:rPr>
        <w:t>单一申请人或</w:t>
      </w:r>
      <w:r>
        <w:rPr>
          <w:rFonts w:hint="eastAsia" w:ascii="Times New Roman" w:hAnsi="Times New Roman"/>
          <w:color w:val="000000"/>
        </w:rPr>
        <w:t>联合体各方共同</w:t>
      </w:r>
      <w:r>
        <w:rPr>
          <w:rFonts w:hint="eastAsia"/>
        </w:rPr>
        <w:t>满足以下条件：</w:t>
      </w:r>
    </w:p>
    <w:p>
      <w:pPr>
        <w:pStyle w:val="14"/>
        <w:numPr>
          <w:ilvl w:val="0"/>
          <w:numId w:val="2"/>
        </w:numPr>
        <w:spacing w:line="240" w:lineRule="auto"/>
      </w:pPr>
      <w:r>
        <w:rPr>
          <w:rFonts w:hint="eastAsia"/>
        </w:rPr>
        <w:t>水利水电工程施工总承包壹级或以上资质。</w:t>
      </w:r>
    </w:p>
    <w:p>
      <w:pPr>
        <w:pStyle w:val="14"/>
        <w:numPr>
          <w:ilvl w:val="0"/>
          <w:numId w:val="2"/>
        </w:numPr>
        <w:spacing w:line="240" w:lineRule="auto"/>
      </w:pPr>
      <w:r>
        <w:rPr>
          <w:rFonts w:hint="eastAsia"/>
        </w:rPr>
        <w:t>市政工程总承包壹级或以上资质。</w:t>
      </w:r>
    </w:p>
    <w:p>
      <w:pPr>
        <w:pStyle w:val="14"/>
        <w:numPr>
          <w:ilvl w:val="0"/>
          <w:numId w:val="2"/>
        </w:numPr>
        <w:spacing w:line="240" w:lineRule="auto"/>
      </w:pPr>
      <w:r>
        <w:rPr>
          <w:rFonts w:hint="eastAsia"/>
        </w:rPr>
        <w:t>工程设计综合甲级资质或：</w:t>
      </w:r>
    </w:p>
    <w:p>
      <w:pPr>
        <w:pStyle w:val="14"/>
        <w:numPr>
          <w:ilvl w:val="0"/>
          <w:numId w:val="3"/>
        </w:numPr>
        <w:spacing w:line="240" w:lineRule="auto"/>
      </w:pPr>
      <w:r>
        <w:rPr>
          <w:rFonts w:hint="eastAsia"/>
        </w:rPr>
        <w:t>具备水利行业设计甲级资质或引调水专业设计甲级资质；</w:t>
      </w:r>
    </w:p>
    <w:p>
      <w:pPr>
        <w:pStyle w:val="14"/>
        <w:numPr>
          <w:ilvl w:val="0"/>
          <w:numId w:val="3"/>
        </w:numPr>
        <w:spacing w:line="240" w:lineRule="auto"/>
      </w:pPr>
      <w:r>
        <w:rPr>
          <w:rFonts w:hint="eastAsia"/>
        </w:rPr>
        <w:t>具备市政行业设计甲级资质或给水工程专业设计甲级资质。</w:t>
      </w:r>
    </w:p>
    <w:p>
      <w:pPr>
        <w:pStyle w:val="14"/>
        <w:numPr>
          <w:ilvl w:val="0"/>
          <w:numId w:val="0"/>
        </w:numPr>
        <w:spacing w:line="240" w:lineRule="auto"/>
        <w:ind w:left="851"/>
      </w:pPr>
      <w:r>
        <w:rPr>
          <w:rFonts w:hint="eastAsia"/>
        </w:rPr>
        <w:t xml:space="preserve"> </w:t>
      </w:r>
    </w:p>
    <w:p>
      <w:pPr>
        <w:pStyle w:val="10"/>
        <w:tabs>
          <w:tab w:val="left" w:pos="567"/>
          <w:tab w:val="clear" w:pos="426"/>
        </w:tabs>
        <w:spacing w:line="240" w:lineRule="auto"/>
        <w:outlineLvl w:val="2"/>
        <w:rPr>
          <w:b/>
        </w:rPr>
      </w:pPr>
      <w:bookmarkStart w:id="10" w:name="_Toc483572424"/>
      <w:r>
        <w:rPr>
          <w:rFonts w:hint="eastAsia"/>
          <w:b/>
        </w:rPr>
        <w:t>财务要求</w:t>
      </w:r>
      <w:bookmarkEnd w:id="10"/>
    </w:p>
    <w:p>
      <w:pPr>
        <w:pStyle w:val="14"/>
        <w:spacing w:line="240" w:lineRule="auto"/>
        <w:ind w:left="851" w:hanging="851"/>
      </w:pPr>
      <w:r>
        <w:rPr>
          <w:rFonts w:ascii="Times New Roman" w:hAnsi="Times New Roman"/>
          <w:color w:val="000000"/>
        </w:rPr>
        <w:t>单一申请人或</w:t>
      </w:r>
      <w:r>
        <w:rPr>
          <w:rFonts w:hint="eastAsia" w:ascii="Times New Roman" w:hAnsi="Times New Roman"/>
          <w:color w:val="000000"/>
        </w:rPr>
        <w:t>联合体牵头方</w:t>
      </w:r>
      <w:r>
        <w:rPr>
          <w:rFonts w:hint="eastAsia"/>
        </w:rPr>
        <w:t>实收资本不低于人民币30亿元，或经审计的公司2016年年末净资产不低于人民币30亿元（或等值外币）。</w:t>
      </w:r>
    </w:p>
    <w:p>
      <w:pPr>
        <w:pStyle w:val="14"/>
        <w:spacing w:line="240" w:lineRule="auto"/>
        <w:ind w:left="851" w:hanging="851"/>
      </w:pPr>
      <w:r>
        <w:rPr>
          <w:rFonts w:ascii="Times New Roman" w:hAnsi="Times New Roman"/>
          <w:color w:val="000000"/>
        </w:rPr>
        <w:t>单一申请人或</w:t>
      </w:r>
      <w:r>
        <w:rPr>
          <w:rFonts w:hint="eastAsia" w:ascii="Times New Roman" w:hAnsi="Times New Roman"/>
          <w:color w:val="000000"/>
        </w:rPr>
        <w:t>联合体牵头方经审计的</w:t>
      </w:r>
      <w:r>
        <w:rPr>
          <w:rFonts w:hint="eastAsia"/>
        </w:rPr>
        <w:t>2016年净利润不低于人民币</w:t>
      </w:r>
      <w:r>
        <w:t>10</w:t>
      </w:r>
      <w:r>
        <w:rPr>
          <w:rFonts w:hint="eastAsia"/>
        </w:rPr>
        <w:t>000万元（或等值外币）。</w:t>
      </w:r>
    </w:p>
    <w:p>
      <w:pPr>
        <w:pStyle w:val="10"/>
        <w:tabs>
          <w:tab w:val="left" w:pos="567"/>
          <w:tab w:val="clear" w:pos="426"/>
        </w:tabs>
        <w:spacing w:line="240" w:lineRule="auto"/>
        <w:outlineLvl w:val="2"/>
        <w:rPr>
          <w:b/>
        </w:rPr>
      </w:pPr>
      <w:bookmarkStart w:id="11" w:name="_Toc483572425"/>
      <w:r>
        <w:rPr>
          <w:rFonts w:hint="eastAsia"/>
          <w:b/>
        </w:rPr>
        <w:t>业绩要求</w:t>
      </w:r>
      <w:bookmarkEnd w:id="11"/>
    </w:p>
    <w:p>
      <w:pPr>
        <w:pStyle w:val="14"/>
        <w:tabs>
          <w:tab w:val="clear" w:pos="426"/>
        </w:tabs>
        <w:spacing w:line="240" w:lineRule="auto"/>
        <w:ind w:left="851" w:hanging="851"/>
      </w:pPr>
      <w:r>
        <w:rPr>
          <w:rFonts w:hint="eastAsia"/>
        </w:rPr>
        <w:t>单一申请人或联合体牵头方在近5年（201</w:t>
      </w:r>
      <w:r>
        <w:t>2</w:t>
      </w:r>
      <w:r>
        <w:rPr>
          <w:rFonts w:hint="eastAsia"/>
        </w:rPr>
        <w:t>年7月1日-2017年6月30日） 实际运营至少一项总投资不低于10亿元或引水输水规模不低于20万吨/日的引调水工程、原水及输水工程；或近五年（201</w:t>
      </w:r>
      <w:r>
        <w:t>2</w:t>
      </w:r>
      <w:r>
        <w:rPr>
          <w:rFonts w:hint="eastAsia"/>
        </w:rPr>
        <w:t>年7月1日-2017年6月30日）至少拥有运营一个规模10万吨/日以上自来水厂的项目经验。</w:t>
      </w:r>
    </w:p>
    <w:p>
      <w:pPr>
        <w:pStyle w:val="14"/>
        <w:tabs>
          <w:tab w:val="clear" w:pos="426"/>
        </w:tabs>
        <w:spacing w:line="240" w:lineRule="auto"/>
        <w:ind w:left="851" w:hanging="851"/>
        <w:rPr>
          <w:rFonts w:ascii="Times New Roman" w:hAnsi="Times New Roman"/>
          <w:color w:val="000000"/>
        </w:rPr>
      </w:pPr>
      <w:r>
        <w:rPr>
          <w:rFonts w:hint="eastAsia"/>
        </w:rPr>
        <w:t>上述业绩包括单一申请人或联合体牵头方的绝对控股子公司（控股比例超过50%）的业绩。但联合体成员之间不得合并计算。</w:t>
      </w:r>
      <w:r>
        <w:rPr>
          <w:rFonts w:hint="eastAsia" w:ascii="Times New Roman" w:hAnsi="Times New Roman"/>
          <w:color w:val="000000"/>
        </w:rPr>
        <w:t>相关业绩是全资、控股子公司的，还需提供企业工商注册信息表以证明申请人与全资、控股子公司的股权关系。</w:t>
      </w:r>
    </w:p>
    <w:p>
      <w:pPr>
        <w:pStyle w:val="14"/>
        <w:tabs>
          <w:tab w:val="clear" w:pos="426"/>
        </w:tabs>
        <w:spacing w:line="240" w:lineRule="auto"/>
        <w:ind w:left="851" w:hanging="851"/>
      </w:pPr>
      <w:r>
        <w:rPr>
          <w:rFonts w:hint="eastAsia"/>
        </w:rPr>
        <w:t>上述业绩包括投资运营项目业绩或委托运营项目业绩。</w:t>
      </w:r>
    </w:p>
    <w:p>
      <w:pPr>
        <w:pStyle w:val="10"/>
        <w:tabs>
          <w:tab w:val="left" w:pos="567"/>
          <w:tab w:val="clear" w:pos="426"/>
        </w:tabs>
        <w:spacing w:line="240" w:lineRule="auto"/>
        <w:outlineLvl w:val="2"/>
        <w:rPr>
          <w:b/>
        </w:rPr>
      </w:pPr>
      <w:bookmarkStart w:id="12" w:name="_Toc483572426"/>
      <w:r>
        <w:rPr>
          <w:rFonts w:hint="eastAsia"/>
          <w:b/>
        </w:rPr>
        <w:t>合规及信用要求</w:t>
      </w:r>
      <w:bookmarkEnd w:id="12"/>
    </w:p>
    <w:p>
      <w:pPr>
        <w:pStyle w:val="14"/>
        <w:tabs>
          <w:tab w:val="clear" w:pos="426"/>
        </w:tabs>
        <w:spacing w:line="240" w:lineRule="auto"/>
        <w:ind w:left="851" w:hanging="851"/>
      </w:pPr>
      <w:r>
        <w:rPr>
          <w:rFonts w:hint="eastAsia"/>
        </w:rPr>
        <w:t>单一申请人或以联合体报名的联合体各方必须为在中华人民共和国境内、境外依法注册的独立企业法人（不接受以分支机构为代理人的申请），如为境外企业的，最终的实际控制人须为境内企业。</w:t>
      </w:r>
    </w:p>
    <w:p>
      <w:pPr>
        <w:pStyle w:val="14"/>
        <w:tabs>
          <w:tab w:val="clear" w:pos="426"/>
        </w:tabs>
        <w:spacing w:line="240" w:lineRule="auto"/>
        <w:ind w:left="851" w:hanging="851"/>
      </w:pPr>
      <w:r>
        <w:rPr>
          <w:rFonts w:ascii="Times New Roman" w:hAnsi="Times New Roman"/>
          <w:color w:val="000000"/>
        </w:rPr>
        <w:t>单一申请人或以联合体报名的联合体</w:t>
      </w:r>
      <w:r>
        <w:rPr>
          <w:rFonts w:hint="eastAsia" w:ascii="Times New Roman" w:hAnsi="Times New Roman"/>
          <w:color w:val="000000"/>
        </w:rPr>
        <w:t>各方</w:t>
      </w:r>
      <w:r>
        <w:rPr>
          <w:rFonts w:hint="eastAsia"/>
        </w:rPr>
        <w:t>在最近三年内没有骗取中标和严重违约及重大工程质量问题。在本项目投标期间未被建设行政主管部门明令取消、暂停、禁止参与投标且在处罚有效期内。</w:t>
      </w:r>
    </w:p>
    <w:p>
      <w:pPr>
        <w:pStyle w:val="14"/>
        <w:tabs>
          <w:tab w:val="clear" w:pos="426"/>
        </w:tabs>
        <w:spacing w:line="240" w:lineRule="auto"/>
        <w:ind w:left="851" w:hanging="851"/>
      </w:pPr>
      <w:r>
        <w:rPr>
          <w:rFonts w:ascii="Times New Roman" w:hAnsi="Times New Roman"/>
          <w:color w:val="000000"/>
        </w:rPr>
        <w:t>单一申请人或以联合体报名的联合体</w:t>
      </w:r>
      <w:r>
        <w:rPr>
          <w:rFonts w:hint="eastAsia" w:ascii="Times New Roman" w:hAnsi="Times New Roman"/>
          <w:color w:val="000000"/>
        </w:rPr>
        <w:t>各方</w:t>
      </w:r>
      <w:r>
        <w:rPr>
          <w:rFonts w:hint="eastAsia"/>
        </w:rPr>
        <w:t>商业信誉良好，近三年在经济活动中无重大违法违规行为，近三年内财务会计资料无虚假记载。</w:t>
      </w:r>
    </w:p>
    <w:p>
      <w:pPr>
        <w:pStyle w:val="14"/>
        <w:tabs>
          <w:tab w:val="clear" w:pos="426"/>
        </w:tabs>
        <w:spacing w:line="240" w:lineRule="auto"/>
        <w:ind w:left="851" w:hanging="851"/>
        <w:rPr>
          <w:rFonts w:ascii="Times New Roman" w:hAnsi="Times New Roman"/>
          <w:color w:val="000000"/>
        </w:rPr>
      </w:pPr>
      <w:r>
        <w:rPr>
          <w:rFonts w:ascii="Times New Roman" w:hAnsi="Times New Roman"/>
          <w:color w:val="000000"/>
        </w:rPr>
        <w:t>单一申请人或联合体</w:t>
      </w:r>
      <w:r>
        <w:rPr>
          <w:rFonts w:hint="eastAsia" w:ascii="Times New Roman" w:hAnsi="Times New Roman"/>
          <w:color w:val="000000"/>
        </w:rPr>
        <w:t>牵头方具备国有或商业银行（分行以上）出具的</w:t>
      </w:r>
      <w:r>
        <w:rPr>
          <w:rFonts w:ascii="Times New Roman" w:hAnsi="Times New Roman"/>
          <w:color w:val="000000"/>
        </w:rPr>
        <w:t>AA</w:t>
      </w:r>
      <w:r>
        <w:rPr>
          <w:rFonts w:hint="eastAsia" w:ascii="Times New Roman" w:hAnsi="Times New Roman"/>
          <w:color w:val="000000"/>
        </w:rPr>
        <w:t>级或以上资信评估证明书。或商业银行（分行以上）、国家政策性银行出具的不低于人民币</w:t>
      </w:r>
      <w:r>
        <w:rPr>
          <w:rFonts w:ascii="Times New Roman" w:hAnsi="Times New Roman"/>
          <w:color w:val="000000"/>
        </w:rPr>
        <w:t>25亿元</w:t>
      </w:r>
      <w:r>
        <w:rPr>
          <w:rFonts w:hint="eastAsia" w:ascii="Times New Roman" w:hAnsi="Times New Roman"/>
          <w:color w:val="000000"/>
        </w:rPr>
        <w:t>（或等值外币）</w:t>
      </w:r>
      <w:r>
        <w:rPr>
          <w:rFonts w:ascii="Times New Roman" w:hAnsi="Times New Roman"/>
          <w:color w:val="000000"/>
        </w:rPr>
        <w:t>的授信证明。</w:t>
      </w:r>
    </w:p>
    <w:p>
      <w:pPr>
        <w:pStyle w:val="10"/>
        <w:tabs>
          <w:tab w:val="left" w:pos="567"/>
          <w:tab w:val="clear" w:pos="426"/>
        </w:tabs>
        <w:spacing w:line="240" w:lineRule="auto"/>
        <w:outlineLvl w:val="2"/>
        <w:rPr>
          <w:b/>
        </w:rPr>
      </w:pPr>
      <w:bookmarkStart w:id="13" w:name="_Toc483572427"/>
      <w:r>
        <w:rPr>
          <w:rFonts w:hint="eastAsia"/>
          <w:b/>
        </w:rPr>
        <w:t>其他要求</w:t>
      </w:r>
      <w:bookmarkEnd w:id="13"/>
    </w:p>
    <w:p>
      <w:pPr>
        <w:pStyle w:val="14"/>
        <w:tabs>
          <w:tab w:val="clear" w:pos="426"/>
        </w:tabs>
        <w:spacing w:line="240" w:lineRule="auto"/>
        <w:ind w:left="851" w:hanging="851"/>
      </w:pPr>
      <w:r>
        <w:rPr>
          <w:rFonts w:hint="eastAsia"/>
        </w:rPr>
        <w:t>符合《中华人民共和国政府采购法》第二十二条的规定；</w:t>
      </w:r>
    </w:p>
    <w:p>
      <w:pPr>
        <w:pStyle w:val="14"/>
        <w:tabs>
          <w:tab w:val="clear" w:pos="426"/>
        </w:tabs>
        <w:spacing w:line="240" w:lineRule="auto"/>
        <w:ind w:left="851" w:hanging="851"/>
      </w:pPr>
      <w:r>
        <w:rPr>
          <w:rFonts w:hint="eastAsia"/>
        </w:rPr>
        <w:t>单位负责人、法定代表人为同一人或者存在直接控股、管理关系的不同申请人，不得同时参加本项目的资格预审，亦不得另行组建联合体参与本项目资格预审；</w:t>
      </w:r>
    </w:p>
    <w:p>
      <w:pPr>
        <w:pStyle w:val="14"/>
        <w:tabs>
          <w:tab w:val="clear" w:pos="426"/>
        </w:tabs>
        <w:spacing w:line="240" w:lineRule="auto"/>
        <w:ind w:left="851" w:hanging="851"/>
      </w:pPr>
      <w:r>
        <w:rPr>
          <w:rFonts w:hint="eastAsia"/>
        </w:rPr>
        <w:t>为本项目提供整体设计、规范编制或者项目管理、监理、检测等服务的供应商，不得以任何形式参与本项目的资格预审。</w:t>
      </w:r>
    </w:p>
    <w:p>
      <w:pPr>
        <w:pStyle w:val="14"/>
        <w:tabs>
          <w:tab w:val="clear" w:pos="426"/>
        </w:tabs>
        <w:spacing w:line="240" w:lineRule="auto"/>
        <w:ind w:left="851" w:hanging="851"/>
      </w:pPr>
      <w:r>
        <w:rPr>
          <w:rFonts w:hint="eastAsia"/>
        </w:rPr>
        <w:t>本次资格预审接受</w:t>
      </w:r>
      <w:r>
        <w:t>联合体资格预审</w:t>
      </w:r>
      <w:r>
        <w:rPr>
          <w:rFonts w:hint="eastAsia"/>
        </w:rPr>
        <w:t>申请。联合体申请资格预审的，应满足下列要求：</w:t>
      </w:r>
    </w:p>
    <w:p>
      <w:pPr>
        <w:numPr>
          <w:ilvl w:val="1"/>
          <w:numId w:val="4"/>
        </w:numPr>
        <w:ind w:left="1418" w:hanging="567"/>
        <w:rPr>
          <w:rFonts w:ascii="宋体" w:hAnsi="宋体"/>
          <w:sz w:val="24"/>
          <w:szCs w:val="24"/>
        </w:rPr>
      </w:pPr>
      <w:r>
        <w:rPr>
          <w:rFonts w:hint="eastAsia" w:ascii="宋体" w:hAnsi="宋体"/>
          <w:sz w:val="24"/>
          <w:szCs w:val="24"/>
        </w:rPr>
        <w:t>联合体成员不得超过4家；</w:t>
      </w:r>
    </w:p>
    <w:p>
      <w:pPr>
        <w:numPr>
          <w:ilvl w:val="1"/>
          <w:numId w:val="4"/>
        </w:numPr>
        <w:ind w:left="1418" w:hanging="567"/>
        <w:rPr>
          <w:rFonts w:ascii="宋体" w:hAnsi="宋体"/>
          <w:sz w:val="24"/>
          <w:szCs w:val="24"/>
        </w:rPr>
      </w:pPr>
      <w:r>
        <w:rPr>
          <w:rFonts w:hint="eastAsia" w:ascii="宋体" w:hAnsi="宋体"/>
          <w:sz w:val="24"/>
          <w:szCs w:val="24"/>
        </w:rPr>
        <w:t>社会资本在资格预审合格后，未经</w:t>
      </w:r>
      <w:r>
        <w:rPr>
          <w:rFonts w:ascii="宋体" w:hAnsi="宋体"/>
          <w:sz w:val="24"/>
          <w:szCs w:val="24"/>
        </w:rPr>
        <w:t>采购人</w:t>
      </w:r>
      <w:r>
        <w:rPr>
          <w:rFonts w:hint="eastAsia" w:ascii="宋体" w:hAnsi="宋体"/>
          <w:sz w:val="24"/>
          <w:szCs w:val="24"/>
        </w:rPr>
        <w:t>书面同意，联合体的组成结构或职责及出资比例均不得变动；</w:t>
      </w:r>
    </w:p>
    <w:p>
      <w:pPr>
        <w:numPr>
          <w:ilvl w:val="1"/>
          <w:numId w:val="4"/>
        </w:numPr>
        <w:ind w:left="1418" w:hanging="567"/>
        <w:rPr>
          <w:rFonts w:ascii="宋体" w:hAnsi="宋体"/>
          <w:sz w:val="24"/>
          <w:szCs w:val="24"/>
        </w:rPr>
      </w:pPr>
      <w:r>
        <w:rPr>
          <w:rFonts w:hint="eastAsia" w:ascii="宋体" w:hAnsi="宋体"/>
          <w:sz w:val="24"/>
          <w:szCs w:val="24"/>
        </w:rPr>
        <w:t>联合体牵头方在联合体中的出资比例不低于30%；</w:t>
      </w:r>
    </w:p>
    <w:p>
      <w:pPr>
        <w:numPr>
          <w:ilvl w:val="1"/>
          <w:numId w:val="4"/>
        </w:numPr>
        <w:ind w:left="1418" w:hanging="567"/>
        <w:rPr>
          <w:rFonts w:ascii="宋体" w:hAnsi="宋体"/>
          <w:sz w:val="24"/>
          <w:szCs w:val="24"/>
        </w:rPr>
      </w:pPr>
      <w:r>
        <w:rPr>
          <w:rFonts w:hint="eastAsia" w:ascii="宋体" w:hAnsi="宋体"/>
          <w:sz w:val="24"/>
          <w:szCs w:val="24"/>
        </w:rPr>
        <w:t>联合体相关资质应符合本项目资格预审文件的资质要求；</w:t>
      </w:r>
    </w:p>
    <w:p>
      <w:pPr>
        <w:numPr>
          <w:ilvl w:val="1"/>
          <w:numId w:val="4"/>
        </w:numPr>
        <w:ind w:left="1418" w:hanging="567"/>
        <w:rPr>
          <w:rFonts w:ascii="宋体" w:hAnsi="宋体"/>
          <w:sz w:val="24"/>
          <w:szCs w:val="24"/>
        </w:rPr>
      </w:pPr>
      <w:r>
        <w:rPr>
          <w:rFonts w:hint="eastAsia" w:ascii="宋体" w:hAnsi="宋体"/>
          <w:sz w:val="24"/>
          <w:szCs w:val="24"/>
        </w:rPr>
        <w:t>应提交联合体各方签字盖章的联合体协议书，约定联合体各成员单位在联合体中的出资比例及权利义务；明确联合体的</w:t>
      </w:r>
      <w:r>
        <w:rPr>
          <w:rFonts w:ascii="宋体" w:hAnsi="宋体"/>
          <w:sz w:val="24"/>
          <w:szCs w:val="24"/>
        </w:rPr>
        <w:t>牵头方</w:t>
      </w:r>
      <w:r>
        <w:rPr>
          <w:rFonts w:hint="eastAsia" w:ascii="宋体" w:hAnsi="宋体"/>
          <w:sz w:val="24"/>
          <w:szCs w:val="24"/>
        </w:rPr>
        <w:t>；明确联合体各方根据联合体分工向项目采购人承担各自应承担的责任， 联合体各方向项目采购人承担连带责任。</w:t>
      </w:r>
    </w:p>
    <w:p>
      <w:pPr>
        <w:pStyle w:val="9"/>
        <w:spacing w:line="240" w:lineRule="auto"/>
      </w:pPr>
      <w:bookmarkStart w:id="14" w:name="_Toc483572428"/>
      <w:r>
        <w:rPr>
          <w:rFonts w:hint="eastAsia"/>
        </w:rPr>
        <w:t>资格预审方法</w:t>
      </w:r>
      <w:bookmarkEnd w:id="14"/>
    </w:p>
    <w:p>
      <w:pPr>
        <w:ind w:firstLine="480" w:firstLineChars="200"/>
        <w:rPr>
          <w:rFonts w:ascii="宋体" w:hAnsi="宋体"/>
          <w:sz w:val="24"/>
          <w:szCs w:val="24"/>
        </w:rPr>
      </w:pPr>
      <w:r>
        <w:rPr>
          <w:rFonts w:hint="eastAsia" w:ascii="宋体" w:hAnsi="宋体"/>
          <w:sz w:val="24"/>
          <w:szCs w:val="24"/>
        </w:rPr>
        <w:t>本次资格预审采用合格制。经初步审查和详细审查，合格申请人应全部参与竞争。</w:t>
      </w:r>
    </w:p>
    <w:p>
      <w:pPr>
        <w:pStyle w:val="9"/>
        <w:spacing w:line="240" w:lineRule="auto"/>
      </w:pPr>
      <w:bookmarkStart w:id="15" w:name="_Toc483572429"/>
      <w:r>
        <w:rPr>
          <w:rFonts w:hint="eastAsia"/>
        </w:rPr>
        <w:t>资格预审文件的获取</w:t>
      </w:r>
      <w:bookmarkEnd w:id="15"/>
    </w:p>
    <w:p>
      <w:pPr>
        <w:pStyle w:val="10"/>
        <w:tabs>
          <w:tab w:val="left" w:pos="567"/>
          <w:tab w:val="clear" w:pos="426"/>
        </w:tabs>
        <w:spacing w:line="240" w:lineRule="auto"/>
        <w:outlineLvl w:val="2"/>
      </w:pPr>
      <w:bookmarkStart w:id="16" w:name="_Toc483572430"/>
      <w:r>
        <w:rPr>
          <w:rFonts w:hint="eastAsia"/>
          <w:color w:val="auto"/>
        </w:rPr>
        <w:t>本项目实行网上发售资格预审文件，</w:t>
      </w:r>
      <w:r>
        <w:rPr>
          <w:rFonts w:hint="eastAsia"/>
          <w:color w:val="auto"/>
          <w:lang w:eastAsia="zh-CN"/>
        </w:rPr>
        <w:t>申请人（包括联合体所有成员）必须已加入三亚市公共资源交易诚信库，详情请见http://ztb.sanya.gov.cn/sanyaztb/。并</w:t>
      </w:r>
      <w:r>
        <w:rPr>
          <w:rFonts w:hint="eastAsia"/>
          <w:color w:val="auto"/>
        </w:rPr>
        <w:t>于</w:t>
      </w:r>
      <w:r>
        <w:rPr>
          <w:rFonts w:hint="eastAsia"/>
          <w:color w:val="auto"/>
          <w:u w:val="single"/>
        </w:rPr>
        <w:t>2017年7月1</w:t>
      </w:r>
      <w:r>
        <w:rPr>
          <w:rFonts w:hint="eastAsia"/>
          <w:color w:val="auto"/>
          <w:u w:val="single"/>
          <w:lang w:val="en-US" w:eastAsia="zh-CN"/>
        </w:rPr>
        <w:t>2</w:t>
      </w:r>
      <w:r>
        <w:rPr>
          <w:rFonts w:hint="eastAsia"/>
          <w:color w:val="auto"/>
          <w:u w:val="single"/>
        </w:rPr>
        <w:t>日至</w:t>
      </w:r>
      <w:r>
        <w:rPr>
          <w:rFonts w:hint="eastAsia"/>
          <w:color w:val="auto"/>
          <w:u w:val="single"/>
          <w:lang w:val="en-US" w:eastAsia="zh-CN"/>
        </w:rPr>
        <w:t>7</w:t>
      </w:r>
      <w:r>
        <w:rPr>
          <w:rFonts w:hint="eastAsia"/>
          <w:color w:val="auto"/>
          <w:u w:val="single"/>
        </w:rPr>
        <w:t>月</w:t>
      </w:r>
      <w:r>
        <w:rPr>
          <w:rFonts w:hint="eastAsia"/>
          <w:color w:val="auto"/>
          <w:u w:val="single"/>
          <w:lang w:val="en-US" w:eastAsia="zh-CN"/>
        </w:rPr>
        <w:t>20</w:t>
      </w:r>
      <w:r>
        <w:rPr>
          <w:rFonts w:hint="eastAsia"/>
          <w:color w:val="auto"/>
          <w:u w:val="single"/>
        </w:rPr>
        <w:t>日</w:t>
      </w:r>
      <w:r>
        <w:rPr>
          <w:rFonts w:hint="eastAsia"/>
          <w:color w:val="auto"/>
        </w:rPr>
        <w:t>登陆三亚市政务中心公共资源交易网下载文件，详见：三亚市政务中心公共资源交易网→办事指南→政府采购项目下载采购文件操作指南。逾期不予受理。</w:t>
      </w:r>
    </w:p>
    <w:p>
      <w:pPr>
        <w:pStyle w:val="10"/>
        <w:tabs>
          <w:tab w:val="left" w:pos="567"/>
          <w:tab w:val="clear" w:pos="426"/>
        </w:tabs>
        <w:spacing w:line="240" w:lineRule="auto"/>
        <w:outlineLvl w:val="2"/>
        <w:rPr>
          <w:rFonts w:ascii="Times New Roman" w:hAnsi="Times New Roman" w:eastAsia="Times New Roman"/>
        </w:rPr>
      </w:pPr>
      <w:r>
        <w:rPr>
          <w:rFonts w:hint="eastAsia"/>
          <w:shd w:val="clear" w:color="auto" w:fill="FFFFFF"/>
        </w:rPr>
        <w:t>在获取资格预审文件截止时间前，按系统提示完成网上支付，即可下载资格预审文件及其他资料。</w:t>
      </w:r>
    </w:p>
    <w:p>
      <w:pPr>
        <w:pStyle w:val="10"/>
        <w:tabs>
          <w:tab w:val="left" w:pos="567"/>
          <w:tab w:val="clear" w:pos="426"/>
        </w:tabs>
        <w:spacing w:line="240" w:lineRule="auto"/>
        <w:outlineLvl w:val="2"/>
        <w:rPr>
          <w:rFonts w:ascii="Times New Roman" w:hAnsi="Times New Roman" w:eastAsia="Times New Roman"/>
          <w:kern w:val="0"/>
          <w:szCs w:val="24"/>
        </w:rPr>
      </w:pPr>
      <w:r>
        <w:rPr>
          <w:rFonts w:hint="eastAsia"/>
          <w:color w:val="000000"/>
          <w:kern w:val="0"/>
          <w:szCs w:val="24"/>
          <w:shd w:val="clear" w:color="auto" w:fill="FFFFFF"/>
        </w:rPr>
        <w:t>资格预审文件售价为：200元/份，售后不退。凡未购买资格预审文件的单位不得参加本次招标活动。</w:t>
      </w:r>
    </w:p>
    <w:p>
      <w:pPr>
        <w:pStyle w:val="10"/>
        <w:tabs>
          <w:tab w:val="left" w:pos="567"/>
          <w:tab w:val="clear" w:pos="426"/>
        </w:tabs>
        <w:spacing w:line="240" w:lineRule="auto"/>
        <w:outlineLvl w:val="2"/>
        <w:rPr>
          <w:rFonts w:ascii="Times New Roman" w:hAnsi="Times New Roman" w:eastAsia="Times New Roman"/>
        </w:rPr>
      </w:pPr>
      <w:r>
        <w:rPr>
          <w:rFonts w:hint="eastAsia"/>
          <w:shd w:val="clear" w:color="auto" w:fill="FFFFFF"/>
        </w:rPr>
        <w:t>资格预审文件内容如有澄清或修改，澄清或修改的内容在中国政府采购网、中国海南省政府采购网及三亚市政务中心公共资源交易网（ http://ztb.sanya.gov.cn/sanyaztb/）上发布，采购代理机构不再以书面形式通知所有资格预审文件收受人。</w:t>
      </w:r>
    </w:p>
    <w:bookmarkEnd w:id="16"/>
    <w:p>
      <w:pPr>
        <w:pStyle w:val="9"/>
        <w:spacing w:line="240" w:lineRule="auto"/>
      </w:pPr>
      <w:bookmarkStart w:id="17" w:name="_Toc483572435"/>
      <w:r>
        <w:rPr>
          <w:rFonts w:hint="eastAsia"/>
        </w:rPr>
        <w:t>资格预审申请文件的提交</w:t>
      </w:r>
      <w:bookmarkEnd w:id="17"/>
    </w:p>
    <w:p>
      <w:pPr>
        <w:pStyle w:val="10"/>
        <w:tabs>
          <w:tab w:val="left" w:pos="567"/>
          <w:tab w:val="clear" w:pos="426"/>
        </w:tabs>
        <w:spacing w:line="240" w:lineRule="auto"/>
        <w:outlineLvl w:val="2"/>
      </w:pPr>
      <w:bookmarkStart w:id="18" w:name="_Toc483572436"/>
      <w:r>
        <w:rPr>
          <w:rFonts w:hint="eastAsia"/>
        </w:rPr>
        <w:t>资格预审文件的组成和格式的要求详见第二章“申请人须知”。</w:t>
      </w:r>
      <w:bookmarkEnd w:id="18"/>
    </w:p>
    <w:p>
      <w:pPr>
        <w:pStyle w:val="10"/>
        <w:tabs>
          <w:tab w:val="left" w:pos="567"/>
          <w:tab w:val="clear" w:pos="426"/>
        </w:tabs>
        <w:spacing w:line="240" w:lineRule="auto"/>
        <w:outlineLvl w:val="2"/>
      </w:pPr>
      <w:bookmarkStart w:id="19" w:name="_Toc483572437"/>
      <w:r>
        <w:rPr>
          <w:rFonts w:hint="eastAsia"/>
        </w:rPr>
        <w:t>提交资格预审申请文件截止时间：</w:t>
      </w:r>
      <w:r>
        <w:rPr>
          <w:rFonts w:hint="eastAsia"/>
          <w:u w:val="single"/>
        </w:rPr>
        <w:t>2017年</w:t>
      </w:r>
      <w:r>
        <w:rPr>
          <w:rFonts w:hint="eastAsia"/>
          <w:u w:val="single"/>
          <w:lang w:val="en-US" w:eastAsia="zh-CN"/>
        </w:rPr>
        <w:t>8</w:t>
      </w:r>
      <w:r>
        <w:rPr>
          <w:rFonts w:hint="eastAsia"/>
          <w:u w:val="single"/>
        </w:rPr>
        <w:t>月</w:t>
      </w:r>
      <w:r>
        <w:rPr>
          <w:rFonts w:hint="eastAsia"/>
          <w:u w:val="single"/>
          <w:lang w:val="en-US" w:eastAsia="zh-CN"/>
        </w:rPr>
        <w:t>2</w:t>
      </w:r>
      <w:r>
        <w:rPr>
          <w:rFonts w:hint="eastAsia"/>
          <w:u w:val="single"/>
        </w:rPr>
        <w:t>日</w:t>
      </w:r>
      <w:r>
        <w:rPr>
          <w:rFonts w:hint="eastAsia"/>
          <w:u w:val="single"/>
          <w:lang w:val="en-US" w:eastAsia="zh-CN"/>
        </w:rPr>
        <w:t>15</w:t>
      </w:r>
      <w:r>
        <w:rPr>
          <w:rFonts w:hint="eastAsia"/>
          <w:u w:val="single"/>
        </w:rPr>
        <w:t>时30分（北京时间）</w:t>
      </w:r>
      <w:r>
        <w:rPr>
          <w:rFonts w:hint="eastAsia"/>
        </w:rPr>
        <w:t>。</w:t>
      </w:r>
      <w:bookmarkEnd w:id="19"/>
    </w:p>
    <w:p>
      <w:pPr>
        <w:pStyle w:val="10"/>
        <w:tabs>
          <w:tab w:val="left" w:pos="567"/>
        </w:tabs>
        <w:spacing w:line="240" w:lineRule="auto"/>
        <w:outlineLvl w:val="2"/>
        <w:rPr>
          <w:u w:val="single"/>
        </w:rPr>
      </w:pPr>
      <w:bookmarkStart w:id="20" w:name="_Toc483572438"/>
      <w:r>
        <w:rPr>
          <w:rFonts w:hint="eastAsia"/>
        </w:rPr>
        <w:t>提交资格预审申请文件地点：</w:t>
      </w:r>
      <w:r>
        <w:rPr>
          <w:rFonts w:hint="eastAsia"/>
          <w:u w:val="single"/>
          <w:lang w:eastAsia="zh-CN"/>
        </w:rPr>
        <w:t>三亚市人民政府政务服务中心三楼</w:t>
      </w:r>
      <w:r>
        <w:rPr>
          <w:rFonts w:hint="eastAsia"/>
          <w:u w:val="single"/>
          <w:lang w:val="en-US" w:eastAsia="zh-CN"/>
        </w:rPr>
        <w:t>1号开标室</w:t>
      </w:r>
      <w:r>
        <w:rPr>
          <w:rFonts w:hint="eastAsia"/>
          <w:u w:val="single"/>
        </w:rPr>
        <w:t>，如有变动另行通知。</w:t>
      </w:r>
      <w:bookmarkEnd w:id="20"/>
    </w:p>
    <w:p>
      <w:pPr>
        <w:pStyle w:val="10"/>
        <w:tabs>
          <w:tab w:val="left" w:pos="567"/>
          <w:tab w:val="clear" w:pos="426"/>
        </w:tabs>
        <w:spacing w:line="240" w:lineRule="auto"/>
        <w:outlineLvl w:val="2"/>
      </w:pPr>
      <w:bookmarkStart w:id="21" w:name="_Toc483572439"/>
      <w:r>
        <w:rPr>
          <w:rFonts w:hint="eastAsia"/>
        </w:rPr>
        <w:t>逾期提交或者未送达指定地点的资格预审申请文件不予接受。</w:t>
      </w:r>
      <w:bookmarkEnd w:id="21"/>
    </w:p>
    <w:p>
      <w:pPr>
        <w:pStyle w:val="9"/>
        <w:spacing w:line="240" w:lineRule="auto"/>
      </w:pPr>
      <w:bookmarkStart w:id="22" w:name="_Toc483572440"/>
      <w:r>
        <w:rPr>
          <w:rFonts w:hint="eastAsia"/>
        </w:rPr>
        <w:t>公告媒介</w:t>
      </w:r>
      <w:bookmarkEnd w:id="22"/>
    </w:p>
    <w:p>
      <w:pPr>
        <w:ind w:firstLine="480" w:firstLineChars="200"/>
        <w:rPr>
          <w:rFonts w:ascii="宋体" w:hAnsi="宋体"/>
          <w:sz w:val="24"/>
          <w:szCs w:val="24"/>
        </w:rPr>
      </w:pPr>
      <w:r>
        <w:rPr>
          <w:rFonts w:hint="eastAsia" w:ascii="宋体" w:hAnsi="宋体"/>
          <w:sz w:val="24"/>
          <w:szCs w:val="24"/>
        </w:rPr>
        <w:t>资格预审公告、澄清、更正、通知和资格预审结果等与本项目有关的信息均在中国政府采购网（http://www.ccgp.gov.cn）、中国海南政府采购网（http://www.ccgp-hainan.gov.cn），三亚市政务中心公共资源交易网（</w:t>
      </w:r>
      <w:r>
        <w:rPr>
          <w:rFonts w:ascii="宋体" w:hAnsi="宋体"/>
          <w:sz w:val="24"/>
          <w:szCs w:val="24"/>
        </w:rPr>
        <w:t>http://ztb.sanya.gov.cn</w:t>
      </w:r>
      <w:r>
        <w:rPr>
          <w:rFonts w:hint="eastAsia" w:ascii="宋体" w:hAnsi="宋体"/>
          <w:sz w:val="24"/>
          <w:szCs w:val="24"/>
        </w:rPr>
        <w:t>）媒体上发布。</w:t>
      </w:r>
    </w:p>
    <w:p>
      <w:pPr>
        <w:pStyle w:val="9"/>
        <w:spacing w:line="240" w:lineRule="auto"/>
      </w:pPr>
      <w:bookmarkStart w:id="23" w:name="_Toc483572441"/>
      <w:r>
        <w:rPr>
          <w:rFonts w:hint="eastAsia"/>
        </w:rPr>
        <w:t>其他说明</w:t>
      </w:r>
      <w:bookmarkEnd w:id="23"/>
    </w:p>
    <w:p>
      <w:pPr>
        <w:pStyle w:val="10"/>
        <w:tabs>
          <w:tab w:val="left" w:pos="567"/>
          <w:tab w:val="clear" w:pos="426"/>
        </w:tabs>
        <w:spacing w:line="240" w:lineRule="auto"/>
        <w:outlineLvl w:val="2"/>
      </w:pPr>
      <w:bookmarkStart w:id="24" w:name="_Toc483572442"/>
      <w:r>
        <w:t>采购人</w:t>
      </w:r>
      <w:r>
        <w:rPr>
          <w:rFonts w:hint="eastAsia"/>
        </w:rPr>
        <w:t>可能对本资格预审公告进行修改，若有修改，采购人将在上述公告媒介上发布更正公告。</w:t>
      </w:r>
      <w:bookmarkEnd w:id="24"/>
    </w:p>
    <w:p>
      <w:pPr>
        <w:pStyle w:val="10"/>
        <w:tabs>
          <w:tab w:val="left" w:pos="567"/>
          <w:tab w:val="clear" w:pos="426"/>
        </w:tabs>
        <w:spacing w:line="240" w:lineRule="auto"/>
        <w:outlineLvl w:val="2"/>
      </w:pPr>
      <w:bookmarkStart w:id="25" w:name="_Toc483572443"/>
      <w:r>
        <w:t>采购人</w:t>
      </w:r>
      <w:r>
        <w:rPr>
          <w:rFonts w:hint="eastAsia"/>
        </w:rPr>
        <w:t>将向所有经资格预审评审合格的申请人发出投标邀请函。未收到投标邀请函的申请人则未能入选成为本项目的竞标人，</w:t>
      </w:r>
      <w:r>
        <w:t>采购人</w:t>
      </w:r>
      <w:r>
        <w:rPr>
          <w:rFonts w:hint="eastAsia"/>
        </w:rPr>
        <w:t>和采购代理机构对此不承担解释的责任。</w:t>
      </w:r>
      <w:bookmarkEnd w:id="25"/>
    </w:p>
    <w:p>
      <w:pPr>
        <w:pStyle w:val="10"/>
        <w:tabs>
          <w:tab w:val="left" w:pos="567"/>
          <w:tab w:val="clear" w:pos="426"/>
        </w:tabs>
        <w:spacing w:line="240" w:lineRule="auto"/>
        <w:outlineLvl w:val="2"/>
      </w:pPr>
      <w:r>
        <w:rPr>
          <w:rFonts w:hint="eastAsia"/>
        </w:rPr>
        <w:t>资格预审文件中等值外币是指按照递交申请文件当日中国银行公布的外汇牌价中间价折算的外币金额。</w:t>
      </w:r>
    </w:p>
    <w:p>
      <w:pPr>
        <w:pStyle w:val="9"/>
        <w:spacing w:line="240" w:lineRule="auto"/>
        <w:rPr>
          <w:lang w:val="zh-CN"/>
        </w:rPr>
      </w:pPr>
      <w:bookmarkStart w:id="26" w:name="_Toc483572444"/>
      <w:r>
        <w:rPr>
          <w:rFonts w:hint="eastAsia"/>
          <w:lang w:val="zh-CN"/>
        </w:rPr>
        <w:t>联系方式</w:t>
      </w:r>
      <w:bookmarkEnd w:id="26"/>
    </w:p>
    <w:p>
      <w:pPr>
        <w:pStyle w:val="10"/>
        <w:spacing w:line="240" w:lineRule="auto"/>
      </w:pPr>
      <w:r>
        <w:rPr>
          <w:rFonts w:hint="eastAsia"/>
        </w:rPr>
        <w:t xml:space="preserve"> 采 购 人</w:t>
      </w:r>
      <w:r>
        <w:t>：</w:t>
      </w:r>
      <w:r>
        <w:rPr>
          <w:rFonts w:hint="eastAsia"/>
        </w:rPr>
        <w:t xml:space="preserve"> 三亚市水务局                       </w:t>
      </w:r>
    </w:p>
    <w:p>
      <w:pPr>
        <w:rPr>
          <w:rFonts w:ascii="宋体" w:hAnsi="宋体"/>
          <w:bCs/>
          <w:sz w:val="24"/>
          <w:szCs w:val="24"/>
        </w:rPr>
      </w:pPr>
      <w:r>
        <w:rPr>
          <w:rFonts w:hint="eastAsia" w:ascii="宋体" w:hAnsi="宋体"/>
          <w:bCs/>
          <w:sz w:val="24"/>
          <w:szCs w:val="24"/>
        </w:rPr>
        <w:t xml:space="preserve">     地    址： 三亚市新风街42号水利大厦                </w:t>
      </w:r>
    </w:p>
    <w:p>
      <w:pPr>
        <w:rPr>
          <w:rFonts w:ascii="宋体" w:hAnsi="宋体"/>
          <w:bCs/>
          <w:sz w:val="24"/>
          <w:szCs w:val="24"/>
        </w:rPr>
      </w:pPr>
      <w:r>
        <w:rPr>
          <w:rFonts w:hint="eastAsia" w:ascii="宋体" w:hAnsi="宋体"/>
          <w:bCs/>
          <w:sz w:val="24"/>
          <w:szCs w:val="24"/>
        </w:rPr>
        <w:t xml:space="preserve">     联 系 人： 黎经范                                  </w:t>
      </w:r>
    </w:p>
    <w:p>
      <w:pPr>
        <w:rPr>
          <w:rFonts w:ascii="宋体" w:hAnsi="宋体"/>
          <w:bCs/>
          <w:sz w:val="24"/>
          <w:szCs w:val="24"/>
        </w:rPr>
      </w:pPr>
      <w:r>
        <w:rPr>
          <w:rFonts w:hint="eastAsia" w:ascii="宋体" w:hAnsi="宋体"/>
          <w:bCs/>
          <w:sz w:val="24"/>
          <w:szCs w:val="24"/>
        </w:rPr>
        <w:t xml:space="preserve">     电    话：0898-88678517；</w:t>
      </w:r>
      <w:r>
        <w:rPr>
          <w:rFonts w:hint="eastAsia" w:ascii="宋体" w:hAnsi="宋体"/>
          <w:sz w:val="24"/>
          <w:szCs w:val="24"/>
        </w:rPr>
        <w:t xml:space="preserve">13136040317 </w:t>
      </w:r>
      <w:r>
        <w:rPr>
          <w:rFonts w:hint="eastAsia" w:ascii="宋体" w:hAnsi="宋体"/>
          <w:bCs/>
          <w:sz w:val="24"/>
          <w:szCs w:val="24"/>
        </w:rPr>
        <w:t xml:space="preserve">                                      </w:t>
      </w:r>
    </w:p>
    <w:p>
      <w:pPr>
        <w:pStyle w:val="10"/>
        <w:spacing w:line="240" w:lineRule="auto"/>
      </w:pPr>
      <w:r>
        <w:rPr>
          <w:rFonts w:hint="eastAsia"/>
        </w:rPr>
        <w:t xml:space="preserve"> 采购代理机构：深圳市万德公共咨询有限公司                     </w:t>
      </w:r>
    </w:p>
    <w:p>
      <w:pPr>
        <w:rPr>
          <w:rFonts w:ascii="宋体" w:hAnsi="宋体"/>
          <w:bCs/>
          <w:sz w:val="24"/>
          <w:szCs w:val="24"/>
        </w:rPr>
      </w:pPr>
      <w:r>
        <w:rPr>
          <w:rFonts w:hint="eastAsia" w:ascii="宋体" w:hAnsi="宋体"/>
          <w:bCs/>
          <w:sz w:val="24"/>
          <w:szCs w:val="24"/>
        </w:rPr>
        <w:t xml:space="preserve">     地    址： 深圳市福田区香梅路1061号中投国际商务中心A栋21楼</w:t>
      </w:r>
    </w:p>
    <w:p>
      <w:pPr>
        <w:rPr>
          <w:rFonts w:ascii="宋体" w:hAnsi="宋体"/>
          <w:bCs/>
          <w:sz w:val="24"/>
          <w:szCs w:val="24"/>
        </w:rPr>
      </w:pPr>
      <w:r>
        <w:rPr>
          <w:rFonts w:hint="eastAsia" w:ascii="宋体" w:hAnsi="宋体"/>
          <w:bCs/>
          <w:sz w:val="24"/>
          <w:szCs w:val="24"/>
        </w:rPr>
        <w:t xml:space="preserve">     电子信箱：ljp@wandezixun.cn                                      </w:t>
      </w:r>
    </w:p>
    <w:p>
      <w:pPr>
        <w:rPr>
          <w:rFonts w:ascii="宋体" w:hAnsi="宋体"/>
          <w:bCs/>
          <w:sz w:val="24"/>
          <w:szCs w:val="24"/>
        </w:rPr>
      </w:pPr>
      <w:r>
        <w:rPr>
          <w:rFonts w:hint="eastAsia" w:ascii="宋体" w:hAnsi="宋体"/>
          <w:bCs/>
          <w:sz w:val="24"/>
          <w:szCs w:val="24"/>
        </w:rPr>
        <w:t xml:space="preserve">     联 系 人：李锦鹏                                      </w:t>
      </w:r>
    </w:p>
    <w:p>
      <w:pPr>
        <w:ind w:firstLine="600"/>
        <w:rPr>
          <w:rFonts w:ascii="宋体" w:hAnsi="宋体"/>
          <w:bCs/>
          <w:sz w:val="24"/>
          <w:szCs w:val="24"/>
        </w:rPr>
      </w:pPr>
      <w:r>
        <w:rPr>
          <w:rFonts w:hint="eastAsia" w:ascii="宋体" w:hAnsi="宋体"/>
          <w:bCs/>
          <w:sz w:val="24"/>
          <w:szCs w:val="24"/>
        </w:rPr>
        <w:t xml:space="preserve">电    话：13876019268                                    </w:t>
      </w:r>
    </w:p>
    <w:p>
      <w:pPr>
        <w:ind w:firstLine="600"/>
        <w:jc w:val="right"/>
        <w:rPr>
          <w:rFonts w:ascii="宋体" w:hAnsi="宋体"/>
          <w:bCs/>
          <w:sz w:val="24"/>
          <w:szCs w:val="24"/>
        </w:rPr>
      </w:pPr>
      <w:r>
        <w:rPr>
          <w:rFonts w:hint="eastAsia" w:ascii="宋体" w:hAnsi="宋体"/>
          <w:bCs/>
          <w:sz w:val="24"/>
          <w:szCs w:val="24"/>
        </w:rPr>
        <w:t>三亚市水务局</w:t>
      </w:r>
    </w:p>
    <w:p>
      <w:pPr>
        <w:ind w:firstLine="600"/>
        <w:jc w:val="right"/>
        <w:rPr>
          <w:rFonts w:ascii="宋体" w:hAnsi="宋体"/>
          <w:bCs/>
          <w:sz w:val="24"/>
          <w:szCs w:val="24"/>
        </w:rPr>
      </w:pPr>
      <w:r>
        <w:rPr>
          <w:rFonts w:hint="eastAsia"/>
          <w:sz w:val="24"/>
          <w:szCs w:val="24"/>
        </w:rPr>
        <w:t>深圳市万德公共咨询有限公司</w:t>
      </w:r>
    </w:p>
    <w:p>
      <w:pPr>
        <w:wordWrap w:val="0"/>
        <w:jc w:val="right"/>
        <w:rPr>
          <w:rFonts w:ascii="宋体" w:hAnsi="宋体"/>
          <w:bCs/>
          <w:sz w:val="24"/>
          <w:szCs w:val="24"/>
        </w:rPr>
      </w:pPr>
      <w:r>
        <w:rPr>
          <w:rFonts w:hint="eastAsia" w:ascii="宋体" w:hAnsi="宋体"/>
          <w:bCs/>
          <w:sz w:val="24"/>
          <w:szCs w:val="24"/>
        </w:rPr>
        <w:t>发布时间：</w:t>
      </w:r>
      <w:r>
        <w:rPr>
          <w:rFonts w:hint="eastAsia" w:ascii="宋体" w:hAnsi="宋体"/>
          <w:sz w:val="24"/>
          <w:szCs w:val="24"/>
          <w:u w:val="single"/>
        </w:rPr>
        <w:t>2017</w:t>
      </w:r>
      <w:r>
        <w:rPr>
          <w:rFonts w:hint="eastAsia" w:ascii="宋体" w:hAnsi="宋体"/>
          <w:sz w:val="24"/>
          <w:szCs w:val="24"/>
        </w:rPr>
        <w:t>年</w:t>
      </w:r>
      <w:r>
        <w:rPr>
          <w:rFonts w:hint="eastAsia" w:ascii="宋体" w:hAnsi="宋体"/>
          <w:sz w:val="24"/>
          <w:szCs w:val="24"/>
          <w:u w:val="single"/>
        </w:rPr>
        <w:t xml:space="preserve"> 7 </w:t>
      </w:r>
      <w:r>
        <w:rPr>
          <w:rFonts w:hint="eastAsia" w:ascii="宋体" w:hAnsi="宋体"/>
          <w:sz w:val="24"/>
          <w:szCs w:val="24"/>
        </w:rPr>
        <w:t>月</w:t>
      </w:r>
      <w:r>
        <w:rPr>
          <w:rFonts w:hint="eastAsia" w:ascii="宋体" w:hAnsi="宋体"/>
          <w:sz w:val="24"/>
          <w:szCs w:val="24"/>
          <w:u w:val="single"/>
          <w:lang w:val="en-US" w:eastAsia="zh-CN"/>
        </w:rPr>
        <w:t>12</w:t>
      </w:r>
      <w:r>
        <w:rPr>
          <w:rFonts w:hint="eastAsia" w:ascii="宋体" w:hAnsi="宋体"/>
          <w:sz w:val="24"/>
          <w:szCs w:val="24"/>
        </w:rPr>
        <w:t>日</w:t>
      </w:r>
    </w:p>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DengXian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86"/>
    <w:family w:val="auto"/>
    <w:pitch w:val="default"/>
    <w:sig w:usb0="0000028F" w:usb1="00000000" w:usb2="00000000" w:usb3="00000000" w:csb0="2000009F" w:csb1="4701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95D25"/>
    <w:multiLevelType w:val="multilevel"/>
    <w:tmpl w:val="37295D25"/>
    <w:lvl w:ilvl="0" w:tentative="0">
      <w:start w:val="1"/>
      <w:numFmt w:val="decimal"/>
      <w:lvlText w:val="(%1)"/>
      <w:lvlJc w:val="left"/>
      <w:pPr>
        <w:ind w:left="960" w:hanging="480"/>
      </w:pPr>
      <w:rPr>
        <w:rFonts w:hint="eastAsia"/>
      </w:rPr>
    </w:lvl>
    <w:lvl w:ilvl="1" w:tentative="0">
      <w:start w:val="1"/>
      <w:numFmt w:val="decimal"/>
      <w:lvlText w:val="(%2)"/>
      <w:lvlJc w:val="left"/>
      <w:pPr>
        <w:ind w:left="960" w:hanging="480"/>
      </w:pPr>
      <w:rPr>
        <w:rFonts w:hint="eastAsia"/>
      </w:rPr>
    </w:lvl>
    <w:lvl w:ilvl="2" w:tentative="0">
      <w:start w:val="1"/>
      <w:numFmt w:val="decimal"/>
      <w:lvlText w:val="%3、"/>
      <w:lvlJc w:val="left"/>
      <w:pPr>
        <w:ind w:left="1380" w:hanging="420"/>
      </w:pPr>
      <w:rPr>
        <w:rFonts w:hint="eastAsia"/>
      </w:r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5F881FAC"/>
    <w:multiLevelType w:val="multilevel"/>
    <w:tmpl w:val="5F881FAC"/>
    <w:lvl w:ilvl="0" w:tentative="0">
      <w:start w:val="1"/>
      <w:numFmt w:val="bullet"/>
      <w:lvlText w:val=""/>
      <w:lvlJc w:val="left"/>
      <w:pPr>
        <w:ind w:left="1751" w:hanging="480"/>
      </w:pPr>
      <w:rPr>
        <w:rFonts w:hint="default" w:ascii="Symbol" w:hAnsi="Symbol"/>
        <w:color w:val="auto"/>
      </w:rPr>
    </w:lvl>
    <w:lvl w:ilvl="1" w:tentative="0">
      <w:start w:val="1"/>
      <w:numFmt w:val="bullet"/>
      <w:lvlText w:val=""/>
      <w:lvlJc w:val="left"/>
      <w:pPr>
        <w:ind w:left="2231" w:hanging="480"/>
      </w:pPr>
      <w:rPr>
        <w:rFonts w:hint="default" w:ascii="Wingdings" w:hAnsi="Wingdings"/>
      </w:rPr>
    </w:lvl>
    <w:lvl w:ilvl="2" w:tentative="0">
      <w:start w:val="1"/>
      <w:numFmt w:val="bullet"/>
      <w:lvlText w:val=""/>
      <w:lvlJc w:val="left"/>
      <w:pPr>
        <w:ind w:left="2711" w:hanging="480"/>
      </w:pPr>
      <w:rPr>
        <w:rFonts w:hint="default" w:ascii="Wingdings" w:hAnsi="Wingdings"/>
      </w:rPr>
    </w:lvl>
    <w:lvl w:ilvl="3" w:tentative="0">
      <w:start w:val="1"/>
      <w:numFmt w:val="bullet"/>
      <w:lvlText w:val=""/>
      <w:lvlJc w:val="left"/>
      <w:pPr>
        <w:ind w:left="3191" w:hanging="480"/>
      </w:pPr>
      <w:rPr>
        <w:rFonts w:hint="default" w:ascii="Wingdings" w:hAnsi="Wingdings"/>
      </w:rPr>
    </w:lvl>
    <w:lvl w:ilvl="4" w:tentative="0">
      <w:start w:val="1"/>
      <w:numFmt w:val="bullet"/>
      <w:lvlText w:val=""/>
      <w:lvlJc w:val="left"/>
      <w:pPr>
        <w:ind w:left="3671" w:hanging="480"/>
      </w:pPr>
      <w:rPr>
        <w:rFonts w:hint="default" w:ascii="Wingdings" w:hAnsi="Wingdings"/>
      </w:rPr>
    </w:lvl>
    <w:lvl w:ilvl="5" w:tentative="0">
      <w:start w:val="1"/>
      <w:numFmt w:val="bullet"/>
      <w:lvlText w:val=""/>
      <w:lvlJc w:val="left"/>
      <w:pPr>
        <w:ind w:left="4151" w:hanging="480"/>
      </w:pPr>
      <w:rPr>
        <w:rFonts w:hint="default" w:ascii="Wingdings" w:hAnsi="Wingdings"/>
      </w:rPr>
    </w:lvl>
    <w:lvl w:ilvl="6" w:tentative="0">
      <w:start w:val="1"/>
      <w:numFmt w:val="bullet"/>
      <w:lvlText w:val=""/>
      <w:lvlJc w:val="left"/>
      <w:pPr>
        <w:ind w:left="4631" w:hanging="480"/>
      </w:pPr>
      <w:rPr>
        <w:rFonts w:hint="default" w:ascii="Wingdings" w:hAnsi="Wingdings"/>
      </w:rPr>
    </w:lvl>
    <w:lvl w:ilvl="7" w:tentative="0">
      <w:start w:val="1"/>
      <w:numFmt w:val="bullet"/>
      <w:lvlText w:val=""/>
      <w:lvlJc w:val="left"/>
      <w:pPr>
        <w:ind w:left="5111" w:hanging="480"/>
      </w:pPr>
      <w:rPr>
        <w:rFonts w:hint="default" w:ascii="Wingdings" w:hAnsi="Wingdings"/>
      </w:rPr>
    </w:lvl>
    <w:lvl w:ilvl="8" w:tentative="0">
      <w:start w:val="1"/>
      <w:numFmt w:val="bullet"/>
      <w:lvlText w:val=""/>
      <w:lvlJc w:val="left"/>
      <w:pPr>
        <w:ind w:left="5591" w:hanging="480"/>
      </w:pPr>
      <w:rPr>
        <w:rFonts w:hint="default" w:ascii="Wingdings" w:hAnsi="Wingdings"/>
      </w:rPr>
    </w:lvl>
  </w:abstractNum>
  <w:abstractNum w:abstractNumId="2">
    <w:nsid w:val="61E83A8F"/>
    <w:multiLevelType w:val="multilevel"/>
    <w:tmpl w:val="61E83A8F"/>
    <w:lvl w:ilvl="0" w:tentative="0">
      <w:start w:val="1"/>
      <w:numFmt w:val="chineseCountingThousand"/>
      <w:pStyle w:val="8"/>
      <w:lvlText w:val="第%1章"/>
      <w:lvlJc w:val="left"/>
      <w:pPr>
        <w:ind w:left="1140" w:hanging="720"/>
      </w:pPr>
      <w:rPr>
        <w:rFonts w:hint="eastAsia" w:cs="Times New Roman"/>
        <w:b/>
        <w:bCs w:val="0"/>
        <w:i w:val="0"/>
        <w:iCs w:val="0"/>
        <w:caps w:val="0"/>
        <w:smallCaps w:val="0"/>
        <w:strike w:val="0"/>
        <w:dstrike w:val="0"/>
        <w:outline w:val="0"/>
        <w:shadow w:val="0"/>
        <w:emboss w:val="0"/>
        <w:imprint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pStyle w:val="9"/>
      <w:lvlText w:val="%2、"/>
      <w:lvlJc w:val="left"/>
      <w:pPr>
        <w:ind w:left="567" w:hanging="567"/>
      </w:pPr>
      <w:rPr>
        <w:rFonts w:hint="eastAsia" w:cs="Times New Roman"/>
        <w:b w:val="0"/>
        <w:bCs w:val="0"/>
        <w:i w:val="0"/>
        <w:iCs w:val="0"/>
        <w:caps w:val="0"/>
        <w:smallCaps w:val="0"/>
        <w:strike w:val="0"/>
        <w:dstrike w:val="0"/>
        <w:outline w:val="0"/>
        <w:shadow w:val="0"/>
        <w:emboss w:val="0"/>
        <w:imprint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pStyle w:val="10"/>
      <w:lvlText w:val="%2.%3"/>
      <w:lvlJc w:val="left"/>
      <w:pPr>
        <w:ind w:left="567" w:hanging="567"/>
      </w:pPr>
      <w:rPr>
        <w:rFonts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14"/>
      <w:lvlText w:val="%2.%3.%4"/>
      <w:lvlJc w:val="left"/>
      <w:pPr>
        <w:ind w:left="567" w:hanging="567"/>
      </w:pPr>
      <w:rPr>
        <w:rFonts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lowerLetter"/>
      <w:pStyle w:val="16"/>
      <w:lvlText w:val="%5)"/>
      <w:lvlJc w:val="left"/>
      <w:pPr>
        <w:ind w:left="2820" w:hanging="480"/>
      </w:pPr>
      <w:rPr>
        <w:rFonts w:hint="eastAsia"/>
      </w:rPr>
    </w:lvl>
    <w:lvl w:ilvl="5" w:tentative="0">
      <w:start w:val="1"/>
      <w:numFmt w:val="lowerRoman"/>
      <w:lvlText w:val="%6."/>
      <w:lvlJc w:val="right"/>
      <w:pPr>
        <w:ind w:left="3300" w:hanging="480"/>
      </w:pPr>
      <w:rPr>
        <w:rFonts w:hint="eastAsia"/>
      </w:rPr>
    </w:lvl>
    <w:lvl w:ilvl="6" w:tentative="0">
      <w:start w:val="1"/>
      <w:numFmt w:val="decimal"/>
      <w:lvlText w:val="%7."/>
      <w:lvlJc w:val="left"/>
      <w:pPr>
        <w:ind w:left="3780" w:hanging="480"/>
      </w:pPr>
      <w:rPr>
        <w:rFonts w:hint="eastAsia"/>
      </w:rPr>
    </w:lvl>
    <w:lvl w:ilvl="7" w:tentative="0">
      <w:start w:val="1"/>
      <w:numFmt w:val="lowerLetter"/>
      <w:lvlText w:val="%8)"/>
      <w:lvlJc w:val="left"/>
      <w:pPr>
        <w:ind w:left="4260" w:hanging="480"/>
      </w:pPr>
      <w:rPr>
        <w:rFonts w:hint="eastAsia"/>
      </w:rPr>
    </w:lvl>
    <w:lvl w:ilvl="8" w:tentative="0">
      <w:start w:val="1"/>
      <w:numFmt w:val="lowerRoman"/>
      <w:lvlText w:val="%9."/>
      <w:lvlJc w:val="right"/>
      <w:pPr>
        <w:ind w:left="4740" w:hanging="480"/>
      </w:pPr>
      <w:rPr>
        <w:rFonts w:hint="eastAsia"/>
      </w:rPr>
    </w:lvl>
  </w:abstractNum>
  <w:abstractNum w:abstractNumId="3">
    <w:nsid w:val="71E351D8"/>
    <w:multiLevelType w:val="multilevel"/>
    <w:tmpl w:val="71E351D8"/>
    <w:lvl w:ilvl="0" w:tentative="0">
      <w:start w:val="1"/>
      <w:numFmt w:val="lowerLetter"/>
      <w:lvlText w:val="%1)"/>
      <w:lvlJc w:val="left"/>
      <w:pPr>
        <w:ind w:left="1271" w:hanging="420"/>
      </w:p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47"/>
    <w:rsid w:val="00154E04"/>
    <w:rsid w:val="00233347"/>
    <w:rsid w:val="00295499"/>
    <w:rsid w:val="007A5D6C"/>
    <w:rsid w:val="009A4498"/>
    <w:rsid w:val="3D300C65"/>
    <w:rsid w:val="426C759D"/>
    <w:rsid w:val="4ED70581"/>
    <w:rsid w:val="5C281F87"/>
    <w:rsid w:val="65E941BF"/>
    <w:rsid w:val="6D9E1DB2"/>
  </w:rsids>
  <m:mathPr>
    <m:lMargin m:val="0"/>
    <m:mathFont m:val="Cambria Math"/>
    <m:rMargin m:val="0"/>
    <m:wrapIndent m:val="1440"/>
    <m:brkBin m:val="before"/>
    <m:brkBinSub m:val="--"/>
    <m:defJc m:val="centerGroup"/>
    <m:intLim m:val="subSup"/>
    <m:naryLim m:val="undOvr"/>
    <m:smallFrac m:val="0"/>
    <m:dispDef/>
  </m:mathPr>
  <w:themeFontLang w:val="en-US" w:eastAsia="zh-CN" w:bidi="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Document Map"/>
    <w:basedOn w:val="1"/>
    <w:link w:val="17"/>
    <w:unhideWhenUsed/>
    <w:uiPriority w:val="99"/>
    <w:rPr>
      <w:rFonts w:ascii="宋体"/>
      <w:sz w:val="24"/>
      <w:szCs w:val="24"/>
    </w:rPr>
  </w:style>
  <w:style w:type="paragraph" w:styleId="3">
    <w:name w:val="Body Text Indent"/>
    <w:basedOn w:val="1"/>
    <w:link w:val="6"/>
    <w:qFormat/>
    <w:uiPriority w:val="0"/>
    <w:pPr>
      <w:ind w:left="360" w:firstLine="56" w:firstLineChars="20"/>
    </w:pPr>
    <w:rPr>
      <w:rFonts w:eastAsia="仿宋_GB2312" w:asciiTheme="minorHAnsi" w:hAnsiTheme="minorHAnsi" w:cstheme="minorBidi"/>
      <w:sz w:val="32"/>
      <w:szCs w:val="24"/>
    </w:rPr>
  </w:style>
  <w:style w:type="character" w:customStyle="1" w:styleId="6">
    <w:name w:val="正文文本缩进字符"/>
    <w:link w:val="3"/>
    <w:qFormat/>
    <w:uiPriority w:val="0"/>
    <w:rPr>
      <w:rFonts w:eastAsia="仿宋_GB2312"/>
      <w:sz w:val="32"/>
    </w:rPr>
  </w:style>
  <w:style w:type="character" w:customStyle="1" w:styleId="7">
    <w:name w:val="正文文本缩进字符1"/>
    <w:basedOn w:val="4"/>
    <w:semiHidden/>
    <w:qFormat/>
    <w:uiPriority w:val="99"/>
    <w:rPr>
      <w:rFonts w:ascii="Calibri" w:hAnsi="Calibri" w:eastAsia="宋体" w:cs="Times New Roman"/>
      <w:sz w:val="21"/>
      <w:szCs w:val="22"/>
    </w:rPr>
  </w:style>
  <w:style w:type="paragraph" w:customStyle="1" w:styleId="8">
    <w:name w:val="1级编号"/>
    <w:basedOn w:val="1"/>
    <w:link w:val="11"/>
    <w:qFormat/>
    <w:uiPriority w:val="0"/>
    <w:pPr>
      <w:numPr>
        <w:ilvl w:val="0"/>
        <w:numId w:val="1"/>
      </w:numPr>
      <w:autoSpaceDE w:val="0"/>
      <w:autoSpaceDN w:val="0"/>
      <w:spacing w:before="312" w:beforeLines="100" w:after="312" w:afterLines="100" w:line="560" w:lineRule="exact"/>
      <w:jc w:val="center"/>
      <w:outlineLvl w:val="0"/>
    </w:pPr>
    <w:rPr>
      <w:b/>
      <w:sz w:val="32"/>
      <w:szCs w:val="32"/>
    </w:rPr>
  </w:style>
  <w:style w:type="paragraph" w:customStyle="1" w:styleId="9">
    <w:name w:val="2级编号"/>
    <w:basedOn w:val="1"/>
    <w:link w:val="12"/>
    <w:qFormat/>
    <w:uiPriority w:val="0"/>
    <w:pPr>
      <w:numPr>
        <w:ilvl w:val="1"/>
        <w:numId w:val="1"/>
      </w:numPr>
      <w:tabs>
        <w:tab w:val="left" w:pos="0"/>
        <w:tab w:val="left" w:pos="567"/>
      </w:tabs>
      <w:autoSpaceDE w:val="0"/>
      <w:autoSpaceDN w:val="0"/>
      <w:spacing w:before="120" w:line="360" w:lineRule="auto"/>
      <w:outlineLvl w:val="1"/>
    </w:pPr>
    <w:rPr>
      <w:rFonts w:ascii="宋体" w:hAnsi="宋体"/>
      <w:b/>
      <w:color w:val="000000"/>
      <w:kern w:val="0"/>
      <w:sz w:val="28"/>
      <w:szCs w:val="28"/>
    </w:rPr>
  </w:style>
  <w:style w:type="paragraph" w:customStyle="1" w:styleId="10">
    <w:name w:val="3级编号"/>
    <w:basedOn w:val="1"/>
    <w:link w:val="13"/>
    <w:qFormat/>
    <w:uiPriority w:val="0"/>
    <w:pPr>
      <w:numPr>
        <w:ilvl w:val="2"/>
        <w:numId w:val="1"/>
      </w:numPr>
      <w:tabs>
        <w:tab w:val="left" w:pos="426"/>
      </w:tabs>
      <w:autoSpaceDE w:val="0"/>
      <w:autoSpaceDN w:val="0"/>
      <w:spacing w:line="420" w:lineRule="exact"/>
    </w:pPr>
    <w:rPr>
      <w:rFonts w:ascii="宋体" w:hAnsi="宋体"/>
      <w:sz w:val="24"/>
    </w:rPr>
  </w:style>
  <w:style w:type="character" w:customStyle="1" w:styleId="11">
    <w:name w:val="1级编号 Char"/>
    <w:link w:val="8"/>
    <w:qFormat/>
    <w:locked/>
    <w:uiPriority w:val="0"/>
    <w:rPr>
      <w:rFonts w:ascii="Calibri" w:hAnsi="Calibri" w:eastAsia="宋体" w:cs="Times New Roman"/>
      <w:b/>
      <w:sz w:val="32"/>
      <w:szCs w:val="32"/>
    </w:rPr>
  </w:style>
  <w:style w:type="character" w:customStyle="1" w:styleId="12">
    <w:name w:val="2级编号 Char"/>
    <w:link w:val="9"/>
    <w:qFormat/>
    <w:locked/>
    <w:uiPriority w:val="0"/>
    <w:rPr>
      <w:rFonts w:ascii="宋体" w:hAnsi="宋体" w:eastAsia="宋体" w:cs="Times New Roman"/>
      <w:b/>
      <w:color w:val="000000"/>
      <w:kern w:val="0"/>
      <w:sz w:val="28"/>
      <w:szCs w:val="28"/>
    </w:rPr>
  </w:style>
  <w:style w:type="character" w:customStyle="1" w:styleId="13">
    <w:name w:val="3级编号 Char"/>
    <w:link w:val="10"/>
    <w:qFormat/>
    <w:locked/>
    <w:uiPriority w:val="0"/>
    <w:rPr>
      <w:rFonts w:ascii="宋体" w:hAnsi="宋体" w:eastAsia="宋体" w:cs="Times New Roman"/>
      <w:szCs w:val="22"/>
    </w:rPr>
  </w:style>
  <w:style w:type="paragraph" w:customStyle="1" w:styleId="14">
    <w:name w:val="4级编号"/>
    <w:basedOn w:val="10"/>
    <w:link w:val="15"/>
    <w:qFormat/>
    <w:uiPriority w:val="0"/>
    <w:pPr>
      <w:numPr>
        <w:ilvl w:val="3"/>
      </w:numPr>
      <w:tabs>
        <w:tab w:val="left" w:pos="851"/>
        <w:tab w:val="left" w:pos="1134"/>
      </w:tabs>
      <w:spacing w:before="156" w:after="93"/>
    </w:pPr>
  </w:style>
  <w:style w:type="character" w:customStyle="1" w:styleId="15">
    <w:name w:val="4级编号 Char"/>
    <w:link w:val="14"/>
    <w:qFormat/>
    <w:locked/>
    <w:uiPriority w:val="0"/>
    <w:rPr>
      <w:rFonts w:ascii="宋体" w:hAnsi="宋体" w:eastAsia="宋体" w:cs="Times New Roman"/>
      <w:szCs w:val="22"/>
    </w:rPr>
  </w:style>
  <w:style w:type="paragraph" w:customStyle="1" w:styleId="16">
    <w:name w:val="编号 5"/>
    <w:basedOn w:val="1"/>
    <w:qFormat/>
    <w:uiPriority w:val="0"/>
    <w:pPr>
      <w:numPr>
        <w:ilvl w:val="4"/>
        <w:numId w:val="1"/>
      </w:numPr>
    </w:pPr>
  </w:style>
  <w:style w:type="character" w:customStyle="1" w:styleId="17">
    <w:name w:val="文档结构图字符"/>
    <w:basedOn w:val="4"/>
    <w:link w:val="2"/>
    <w:semiHidden/>
    <w:qFormat/>
    <w:uiPriority w:val="99"/>
    <w:rPr>
      <w:rFonts w:ascii="宋体"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486</Words>
  <Characters>2774</Characters>
  <Lines>23</Lines>
  <Paragraphs>6</Paragraphs>
  <ScaleCrop>false</ScaleCrop>
  <LinksUpToDate>false</LinksUpToDate>
  <CharactersWithSpaces>3254</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2017-07-07T06:03:00Z</dcterms:created>
  <dc:creator>余韵</dc:creator>
  <cp:lastModifiedBy>Administrator</cp:lastModifiedBy>
  <dcterms:modified xsi:type="dcterms:W3CDTF">2017-07-11T11:16:39Z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