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CC" w:rsidRDefault="00762ACC" w:rsidP="00325D8E">
      <w:pPr>
        <w:jc w:val="center"/>
        <w:rPr>
          <w:rFonts w:ascii="黑体" w:eastAsia="黑体" w:hAnsi="黑体"/>
          <w:sz w:val="36"/>
          <w:szCs w:val="36"/>
        </w:rPr>
      </w:pPr>
      <w:r w:rsidRPr="00FA1A72">
        <w:rPr>
          <w:rFonts w:ascii="黑体" w:eastAsia="黑体" w:hAnsi="黑体" w:hint="eastAsia"/>
          <w:sz w:val="36"/>
          <w:szCs w:val="36"/>
        </w:rPr>
        <w:t>关于</w:t>
      </w:r>
      <w:r w:rsidR="00325D8E" w:rsidRPr="00FA1A72">
        <w:rPr>
          <w:rFonts w:ascii="黑体" w:eastAsia="黑体" w:hAnsi="黑体" w:hint="eastAsia"/>
          <w:sz w:val="36"/>
          <w:szCs w:val="36"/>
        </w:rPr>
        <w:t>申请人资格</w:t>
      </w:r>
      <w:r w:rsidR="008C532B" w:rsidRPr="00FA1A72">
        <w:rPr>
          <w:rFonts w:ascii="黑体" w:eastAsia="黑体" w:hAnsi="黑体" w:hint="eastAsia"/>
          <w:sz w:val="36"/>
          <w:szCs w:val="36"/>
        </w:rPr>
        <w:t>的补充</w:t>
      </w:r>
      <w:r w:rsidRPr="00FA1A72">
        <w:rPr>
          <w:rFonts w:ascii="黑体" w:eastAsia="黑体" w:hAnsi="黑体" w:hint="eastAsia"/>
          <w:sz w:val="36"/>
          <w:szCs w:val="36"/>
        </w:rPr>
        <w:t>澄清</w:t>
      </w:r>
    </w:p>
    <w:p w:rsidR="005B4215" w:rsidRPr="00127470" w:rsidRDefault="005B4215" w:rsidP="005B4215">
      <w:pPr>
        <w:pStyle w:val="1"/>
        <w:spacing w:line="440" w:lineRule="exact"/>
        <w:ind w:firstLine="480"/>
        <w:rPr>
          <w:rFonts w:ascii="仿宋" w:eastAsia="仿宋" w:hAnsi="仿宋"/>
          <w:sz w:val="24"/>
          <w:szCs w:val="24"/>
        </w:rPr>
      </w:pPr>
      <w:r w:rsidRPr="00127470">
        <w:rPr>
          <w:rFonts w:ascii="仿宋" w:eastAsia="仿宋" w:hAnsi="仿宋" w:hint="eastAsia"/>
          <w:sz w:val="24"/>
          <w:szCs w:val="24"/>
        </w:rPr>
        <w:t>一、原公告项目名称：</w:t>
      </w:r>
      <w:r w:rsidRPr="00127470">
        <w:rPr>
          <w:rFonts w:ascii="仿宋" w:eastAsia="仿宋" w:hAnsi="仿宋" w:hint="eastAsia"/>
          <w:color w:val="000000"/>
          <w:sz w:val="24"/>
          <w:szCs w:val="24"/>
        </w:rPr>
        <w:t>海口市地下综合管廊PPP项目</w:t>
      </w:r>
    </w:p>
    <w:p w:rsidR="005B4215" w:rsidRPr="00127470" w:rsidRDefault="005B4215" w:rsidP="005B4215">
      <w:pPr>
        <w:pStyle w:val="1"/>
        <w:spacing w:line="440" w:lineRule="exact"/>
        <w:ind w:firstLine="480"/>
        <w:rPr>
          <w:rFonts w:ascii="仿宋" w:eastAsia="仿宋" w:hAnsi="仿宋"/>
          <w:color w:val="000000"/>
          <w:sz w:val="24"/>
          <w:szCs w:val="24"/>
        </w:rPr>
      </w:pPr>
      <w:r w:rsidRPr="00127470">
        <w:rPr>
          <w:rFonts w:ascii="仿宋" w:eastAsia="仿宋" w:hAnsi="仿宋" w:hint="eastAsia"/>
          <w:sz w:val="24"/>
          <w:szCs w:val="24"/>
        </w:rPr>
        <w:t>二、原公告项目编号：HKZJ2016PPP-01</w:t>
      </w:r>
    </w:p>
    <w:p w:rsidR="005B4215" w:rsidRPr="00127470" w:rsidRDefault="005B4215" w:rsidP="005B4215">
      <w:pPr>
        <w:pStyle w:val="1"/>
        <w:spacing w:line="440" w:lineRule="exact"/>
        <w:ind w:firstLine="480"/>
        <w:rPr>
          <w:rFonts w:ascii="仿宋" w:eastAsia="仿宋" w:hAnsi="仿宋"/>
          <w:sz w:val="24"/>
          <w:szCs w:val="24"/>
        </w:rPr>
      </w:pPr>
      <w:r w:rsidRPr="00127470">
        <w:rPr>
          <w:rFonts w:ascii="仿宋" w:eastAsia="仿宋" w:hAnsi="仿宋" w:hint="eastAsia"/>
          <w:sz w:val="24"/>
          <w:szCs w:val="24"/>
        </w:rPr>
        <w:t>三、采购方式：竞争性磋商</w:t>
      </w:r>
    </w:p>
    <w:p w:rsidR="005B4215" w:rsidRPr="00127470" w:rsidRDefault="005B4215" w:rsidP="005B4215">
      <w:pPr>
        <w:pStyle w:val="1"/>
        <w:spacing w:line="440" w:lineRule="exact"/>
        <w:ind w:firstLine="480"/>
        <w:rPr>
          <w:rFonts w:ascii="仿宋" w:eastAsia="仿宋" w:hAnsi="仿宋"/>
          <w:sz w:val="24"/>
          <w:szCs w:val="24"/>
        </w:rPr>
      </w:pPr>
      <w:r w:rsidRPr="00127470">
        <w:rPr>
          <w:rFonts w:ascii="仿宋" w:eastAsia="仿宋" w:hAnsi="仿宋" w:hint="eastAsia"/>
          <w:sz w:val="24"/>
          <w:szCs w:val="24"/>
        </w:rPr>
        <w:t>四、首发公告日期：2016年</w:t>
      </w:r>
      <w:r w:rsidRPr="00127470">
        <w:rPr>
          <w:rFonts w:ascii="仿宋" w:eastAsia="仿宋" w:hAnsi="仿宋"/>
          <w:sz w:val="24"/>
          <w:szCs w:val="24"/>
        </w:rPr>
        <w:t>6</w:t>
      </w:r>
      <w:r w:rsidRPr="00127470">
        <w:rPr>
          <w:rFonts w:ascii="仿宋" w:eastAsia="仿宋" w:hAnsi="仿宋" w:hint="eastAsia"/>
          <w:sz w:val="24"/>
          <w:szCs w:val="24"/>
        </w:rPr>
        <w:t>月1</w:t>
      </w:r>
      <w:r w:rsidRPr="00127470">
        <w:rPr>
          <w:rFonts w:ascii="仿宋" w:eastAsia="仿宋" w:hAnsi="仿宋"/>
          <w:sz w:val="24"/>
          <w:szCs w:val="24"/>
        </w:rPr>
        <w:t>4</w:t>
      </w:r>
      <w:r w:rsidRPr="00127470">
        <w:rPr>
          <w:rFonts w:ascii="仿宋" w:eastAsia="仿宋" w:hAnsi="仿宋" w:hint="eastAsia"/>
          <w:sz w:val="24"/>
          <w:szCs w:val="24"/>
        </w:rPr>
        <w:t>日</w:t>
      </w:r>
    </w:p>
    <w:p w:rsidR="005B4215" w:rsidRPr="00127470" w:rsidRDefault="005B4215" w:rsidP="005B4215">
      <w:pPr>
        <w:pStyle w:val="1"/>
        <w:spacing w:line="440" w:lineRule="exact"/>
        <w:ind w:firstLine="480"/>
        <w:rPr>
          <w:rFonts w:ascii="仿宋" w:eastAsia="仿宋" w:hAnsi="仿宋"/>
          <w:sz w:val="24"/>
          <w:szCs w:val="24"/>
        </w:rPr>
      </w:pPr>
      <w:r w:rsidRPr="00127470">
        <w:rPr>
          <w:rFonts w:ascii="仿宋" w:eastAsia="仿宋" w:hAnsi="仿宋" w:hint="eastAsia"/>
          <w:sz w:val="24"/>
          <w:szCs w:val="24"/>
        </w:rPr>
        <w:t>五、相关内容澄清及答疑</w:t>
      </w:r>
    </w:p>
    <w:p w:rsidR="00325D8E" w:rsidRPr="005B4215" w:rsidRDefault="00325D8E" w:rsidP="005B4215">
      <w:pPr>
        <w:spacing w:line="360" w:lineRule="auto"/>
        <w:ind w:leftChars="354" w:left="991" w:firstLineChars="200" w:firstLine="480"/>
        <w:rPr>
          <w:rFonts w:ascii="仿宋" w:eastAsia="仿宋" w:hAnsi="仿宋"/>
          <w:color w:val="000000"/>
          <w:sz w:val="24"/>
          <w:szCs w:val="24"/>
        </w:rPr>
      </w:pPr>
      <w:r w:rsidRPr="005B4215">
        <w:rPr>
          <w:rFonts w:ascii="仿宋" w:eastAsia="仿宋" w:hAnsi="仿宋"/>
          <w:sz w:val="24"/>
          <w:szCs w:val="24"/>
        </w:rPr>
        <w:t>原竞争性磋商文件第一部分申请人须知中</w:t>
      </w:r>
      <w:r w:rsidRPr="005B4215">
        <w:rPr>
          <w:rFonts w:ascii="仿宋" w:eastAsia="仿宋" w:hAnsi="仿宋" w:hint="eastAsia"/>
          <w:sz w:val="24"/>
          <w:szCs w:val="24"/>
        </w:rPr>
        <w:t>“4.6其他要求</w:t>
      </w:r>
      <w:r w:rsidRPr="005B4215">
        <w:rPr>
          <w:rFonts w:ascii="仿宋" w:eastAsia="仿宋" w:hAnsi="仿宋" w:hint="eastAsia"/>
          <w:color w:val="000000"/>
          <w:sz w:val="24"/>
          <w:szCs w:val="24"/>
        </w:rPr>
        <w:t>（1）以联合体参加申请的，各成员不得再以自己的名义单独参与本项目的采购，也不得再组成新的联合体参与本项目的采购。若出现上述情况，则先成功递交响应文件者为有效申请人。（2）具有投资参股关系的关联企业（一方直接持有另一方股份超过30%），或具有直接管理和被管理关系的母子公司，或同一母公司的子公司（指同一母公司持有股份超过50%的子公司），或法定代表人为同一人的两个法人，无论是作为单一申请人还是组成联合体，均不能同时参加本项目磋商。若出现上述情况，则先成功递交响应文件者为有效申请人。申请人应提供申请人股东结构证明的工商登记备案材料或其他合法有效证明。”</w:t>
      </w:r>
    </w:p>
    <w:p w:rsidR="00762ACC" w:rsidRPr="007A0394" w:rsidRDefault="00325D8E" w:rsidP="007A0394">
      <w:pPr>
        <w:spacing w:line="360" w:lineRule="auto"/>
        <w:ind w:leftChars="354" w:left="991" w:firstLineChars="200" w:firstLine="480"/>
        <w:rPr>
          <w:rFonts w:ascii="仿宋" w:eastAsia="仿宋" w:hAnsi="仿宋"/>
          <w:sz w:val="24"/>
          <w:szCs w:val="24"/>
        </w:rPr>
      </w:pPr>
      <w:r w:rsidRPr="007A0394">
        <w:rPr>
          <w:rFonts w:ascii="仿宋" w:eastAsia="仿宋" w:hAnsi="仿宋" w:hint="eastAsia"/>
          <w:sz w:val="24"/>
          <w:szCs w:val="24"/>
        </w:rPr>
        <w:t>现澄清为</w:t>
      </w:r>
      <w:r w:rsidRPr="005B4215">
        <w:rPr>
          <w:rFonts w:ascii="仿宋" w:eastAsia="仿宋" w:hAnsi="仿宋" w:hint="eastAsia"/>
          <w:sz w:val="24"/>
          <w:szCs w:val="24"/>
        </w:rPr>
        <w:t>“4.6其他要求</w:t>
      </w:r>
      <w:r w:rsidRPr="007A0394">
        <w:rPr>
          <w:rFonts w:ascii="仿宋" w:eastAsia="仿宋" w:hAnsi="仿宋" w:hint="eastAsia"/>
          <w:sz w:val="24"/>
          <w:szCs w:val="24"/>
        </w:rPr>
        <w:t>（1）以联合体参加申请的，各成员不得再以自己的名义单独参与本项目的采购，也不得再组成新的联合体参与本项目的采购。若出现上述情况，则出现上述情况的</w:t>
      </w:r>
      <w:r w:rsidR="00F63BF0">
        <w:rPr>
          <w:rFonts w:ascii="仿宋" w:eastAsia="仿宋" w:hAnsi="仿宋" w:hint="eastAsia"/>
          <w:sz w:val="24"/>
          <w:szCs w:val="24"/>
        </w:rPr>
        <w:t>所有</w:t>
      </w:r>
      <w:r w:rsidRPr="007A0394">
        <w:rPr>
          <w:rFonts w:ascii="仿宋" w:eastAsia="仿宋" w:hAnsi="仿宋" w:hint="eastAsia"/>
          <w:sz w:val="24"/>
          <w:szCs w:val="24"/>
        </w:rPr>
        <w:t>申请人的响应文件均将被拒绝。</w:t>
      </w:r>
      <w:bookmarkStart w:id="0" w:name="_GoBack"/>
      <w:bookmarkEnd w:id="0"/>
      <w:r w:rsidRPr="007A0394">
        <w:rPr>
          <w:rFonts w:ascii="仿宋" w:eastAsia="仿宋" w:hAnsi="仿宋" w:hint="eastAsia"/>
          <w:sz w:val="24"/>
          <w:szCs w:val="24"/>
        </w:rPr>
        <w:t>（2）具有投资参股关系的关联企业（一方直接持有另一方股份超过30%），或具有直接管理和被管理关系的母子公司，或同一母公司的子公司（指同一母公司持有股份超过50%的子公司），或法定代表人为同一人的两个法人，</w:t>
      </w:r>
      <w:r w:rsidR="007A0394" w:rsidRPr="007A0394">
        <w:rPr>
          <w:rFonts w:ascii="仿宋" w:eastAsia="仿宋" w:hAnsi="仿宋"/>
          <w:sz w:val="24"/>
          <w:szCs w:val="24"/>
        </w:rPr>
        <w:t>无论是作为单一申请人还是联合体牵头方，均不能同时参加本项目磋商。若出现上述情况，</w:t>
      </w:r>
      <w:r w:rsidR="00F63BF0" w:rsidRPr="007A0394">
        <w:rPr>
          <w:rFonts w:ascii="仿宋" w:eastAsia="仿宋" w:hAnsi="仿宋" w:hint="eastAsia"/>
          <w:sz w:val="24"/>
          <w:szCs w:val="24"/>
        </w:rPr>
        <w:t>由申请人内部协商确定一家为有效申请人，否则出现上述情况的</w:t>
      </w:r>
      <w:r w:rsidR="00F63BF0">
        <w:rPr>
          <w:rFonts w:ascii="仿宋" w:eastAsia="仿宋" w:hAnsi="仿宋" w:hint="eastAsia"/>
          <w:sz w:val="24"/>
          <w:szCs w:val="24"/>
        </w:rPr>
        <w:t>所有</w:t>
      </w:r>
      <w:r w:rsidR="00F63BF0" w:rsidRPr="007A0394">
        <w:rPr>
          <w:rFonts w:ascii="仿宋" w:eastAsia="仿宋" w:hAnsi="仿宋" w:hint="eastAsia"/>
          <w:sz w:val="24"/>
          <w:szCs w:val="24"/>
        </w:rPr>
        <w:t>申请人的响应文件均将被拒绝。</w:t>
      </w:r>
      <w:r w:rsidRPr="005B4215">
        <w:rPr>
          <w:rFonts w:ascii="仿宋" w:eastAsia="仿宋" w:hAnsi="仿宋" w:hint="eastAsia"/>
          <w:color w:val="000000"/>
          <w:sz w:val="24"/>
          <w:szCs w:val="24"/>
        </w:rPr>
        <w:t>申请人应提供申请人股东结构证明的工商登记备案材料或其他合法有效证明。”</w:t>
      </w:r>
    </w:p>
    <w:p w:rsidR="00762ACC" w:rsidRDefault="00AB121D" w:rsidP="005B4215">
      <w:pPr>
        <w:spacing w:line="360" w:lineRule="auto"/>
        <w:ind w:leftChars="354" w:left="991" w:firstLineChars="200" w:firstLine="480"/>
        <w:rPr>
          <w:rFonts w:ascii="仿宋" w:eastAsia="仿宋" w:hAnsi="仿宋"/>
          <w:sz w:val="24"/>
          <w:szCs w:val="24"/>
        </w:rPr>
      </w:pPr>
      <w:r w:rsidRPr="005B4215">
        <w:rPr>
          <w:rFonts w:ascii="仿宋" w:eastAsia="仿宋" w:hAnsi="仿宋" w:hint="eastAsia"/>
          <w:sz w:val="24"/>
          <w:szCs w:val="24"/>
        </w:rPr>
        <w:t>本项目此前发布的公告、磋商文件及澄清中，凡涉及上述内容的均以此次澄清为准。</w:t>
      </w:r>
    </w:p>
    <w:p w:rsidR="005B4215" w:rsidRPr="00127470" w:rsidRDefault="005B4215" w:rsidP="005B4215">
      <w:pPr>
        <w:pStyle w:val="a5"/>
        <w:spacing w:line="320" w:lineRule="exact"/>
        <w:ind w:leftChars="300" w:left="840"/>
        <w:rPr>
          <w:rFonts w:ascii="仿宋" w:eastAsia="仿宋" w:hAnsi="仿宋"/>
        </w:rPr>
      </w:pPr>
      <w:r w:rsidRPr="00127470">
        <w:rPr>
          <w:rFonts w:ascii="仿宋" w:eastAsia="仿宋" w:hAnsi="仿宋" w:hint="eastAsia"/>
        </w:rPr>
        <w:lastRenderedPageBreak/>
        <w:t xml:space="preserve">六、采购人、采购代理机构联系方式 </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采购人名称：海口市住房和城乡建设局</w:t>
      </w:r>
    </w:p>
    <w:p w:rsidR="005B4215" w:rsidRPr="00127470" w:rsidRDefault="005B4215" w:rsidP="005B4215">
      <w:pPr>
        <w:pStyle w:val="a5"/>
        <w:spacing w:before="0" w:beforeAutospacing="0" w:after="0" w:afterAutospacing="0" w:line="400" w:lineRule="exact"/>
        <w:ind w:left="437" w:firstLine="561"/>
        <w:rPr>
          <w:rFonts w:ascii="仿宋" w:eastAsia="仿宋" w:hAnsi="仿宋"/>
          <w:color w:val="000000"/>
        </w:rPr>
      </w:pPr>
      <w:r w:rsidRPr="00127470">
        <w:rPr>
          <w:rFonts w:ascii="仿宋" w:eastAsia="仿宋" w:hAnsi="仿宋" w:hint="eastAsia"/>
          <w:kern w:val="2"/>
        </w:rPr>
        <w:t>地址：</w:t>
      </w:r>
      <w:r w:rsidRPr="00127470">
        <w:rPr>
          <w:rFonts w:ascii="仿宋" w:eastAsia="仿宋" w:hAnsi="仿宋"/>
          <w:color w:val="000000"/>
        </w:rPr>
        <w:t>海口市秀英区长滨路海口市</w:t>
      </w:r>
      <w:r w:rsidRPr="00127470">
        <w:rPr>
          <w:rFonts w:ascii="仿宋" w:eastAsia="仿宋" w:hAnsi="仿宋" w:hint="eastAsia"/>
          <w:color w:val="000000"/>
        </w:rPr>
        <w:t>人民</w:t>
      </w:r>
      <w:r w:rsidRPr="00127470">
        <w:rPr>
          <w:rFonts w:ascii="仿宋" w:eastAsia="仿宋" w:hAnsi="仿宋"/>
          <w:color w:val="000000"/>
        </w:rPr>
        <w:t>政府</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项目联系人：庄先生</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联系方式：0898-68705841</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采购代理机构名称：深圳市万德公共咨询有限公司</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地 址：深圳市福田区深南西路车公庙工业区天安数码时代大厦主楼2304</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邮政编码：518000</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采购文件咨询、质疑联系方式：</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联系人：张先生</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电话：18818910318</w:t>
      </w:r>
      <w:r w:rsidRPr="00127470">
        <w:rPr>
          <w:rFonts w:ascii="Calibri" w:eastAsia="仿宋" w:hAnsi="Calibri" w:cs="Calibri"/>
          <w:kern w:val="2"/>
        </w:rPr>
        <w:t> </w:t>
      </w: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p>
    <w:p w:rsidR="005B4215" w:rsidRPr="00127470" w:rsidRDefault="005B4215" w:rsidP="005B4215">
      <w:pPr>
        <w:pStyle w:val="a5"/>
        <w:spacing w:before="0" w:beforeAutospacing="0" w:after="0" w:afterAutospacing="0" w:line="400" w:lineRule="exact"/>
        <w:ind w:left="437" w:firstLine="561"/>
        <w:rPr>
          <w:rFonts w:ascii="仿宋" w:eastAsia="仿宋" w:hAnsi="仿宋"/>
          <w:kern w:val="2"/>
        </w:rPr>
      </w:pPr>
      <w:r w:rsidRPr="00127470">
        <w:rPr>
          <w:rFonts w:ascii="仿宋" w:eastAsia="仿宋" w:hAnsi="仿宋" w:hint="eastAsia"/>
          <w:kern w:val="2"/>
        </w:rPr>
        <w:t xml:space="preserve">   特此公告</w:t>
      </w:r>
    </w:p>
    <w:p w:rsidR="005B4215" w:rsidRPr="00127470" w:rsidRDefault="005B4215" w:rsidP="005B4215">
      <w:pPr>
        <w:ind w:right="560"/>
        <w:rPr>
          <w:rFonts w:ascii="仿宋" w:eastAsia="仿宋" w:hAnsi="仿宋"/>
          <w:sz w:val="24"/>
          <w:szCs w:val="24"/>
        </w:rPr>
      </w:pPr>
      <w:r w:rsidRPr="00127470">
        <w:rPr>
          <w:rFonts w:ascii="仿宋" w:eastAsia="仿宋" w:hAnsi="仿宋" w:hint="eastAsia"/>
          <w:sz w:val="24"/>
          <w:szCs w:val="24"/>
        </w:rPr>
        <w:t xml:space="preserve">                                 </w:t>
      </w:r>
    </w:p>
    <w:p w:rsidR="005B4215" w:rsidRPr="00127470" w:rsidRDefault="005B4215" w:rsidP="005B4215">
      <w:pPr>
        <w:ind w:right="560"/>
        <w:rPr>
          <w:rFonts w:ascii="仿宋" w:eastAsia="仿宋" w:hAnsi="仿宋"/>
          <w:sz w:val="24"/>
          <w:szCs w:val="24"/>
        </w:rPr>
      </w:pPr>
    </w:p>
    <w:p w:rsidR="005B4215" w:rsidRPr="00127470" w:rsidRDefault="005B4215" w:rsidP="005B4215">
      <w:pPr>
        <w:ind w:right="560"/>
        <w:jc w:val="right"/>
        <w:rPr>
          <w:rFonts w:ascii="仿宋" w:eastAsia="仿宋" w:hAnsi="仿宋"/>
          <w:sz w:val="24"/>
          <w:szCs w:val="24"/>
        </w:rPr>
      </w:pPr>
      <w:r w:rsidRPr="00127470">
        <w:rPr>
          <w:rFonts w:ascii="仿宋" w:eastAsia="仿宋" w:hAnsi="仿宋" w:hint="eastAsia"/>
          <w:sz w:val="24"/>
          <w:szCs w:val="24"/>
        </w:rPr>
        <w:t>海口市住房和城乡建设局</w:t>
      </w:r>
    </w:p>
    <w:p w:rsidR="005B4215" w:rsidRPr="00127470" w:rsidRDefault="005B4215" w:rsidP="005B4215">
      <w:pPr>
        <w:ind w:right="560"/>
        <w:jc w:val="right"/>
        <w:rPr>
          <w:rFonts w:ascii="仿宋" w:eastAsia="仿宋" w:hAnsi="仿宋"/>
          <w:sz w:val="24"/>
          <w:szCs w:val="24"/>
        </w:rPr>
      </w:pPr>
      <w:r w:rsidRPr="00127470">
        <w:rPr>
          <w:rFonts w:ascii="仿宋" w:eastAsia="仿宋" w:hAnsi="仿宋" w:hint="eastAsia"/>
          <w:sz w:val="24"/>
          <w:szCs w:val="24"/>
        </w:rPr>
        <w:t>2016年6月</w:t>
      </w:r>
      <w:r w:rsidRPr="00127470">
        <w:rPr>
          <w:rFonts w:ascii="仿宋" w:eastAsia="仿宋" w:hAnsi="仿宋"/>
          <w:sz w:val="24"/>
          <w:szCs w:val="24"/>
        </w:rPr>
        <w:t>2</w:t>
      </w:r>
      <w:r>
        <w:rPr>
          <w:rFonts w:ascii="仿宋" w:eastAsia="仿宋" w:hAnsi="仿宋"/>
          <w:sz w:val="24"/>
          <w:szCs w:val="24"/>
        </w:rPr>
        <w:t>2</w:t>
      </w:r>
      <w:r w:rsidRPr="00127470">
        <w:rPr>
          <w:rFonts w:ascii="仿宋" w:eastAsia="仿宋" w:hAnsi="仿宋" w:hint="eastAsia"/>
          <w:sz w:val="24"/>
          <w:szCs w:val="24"/>
        </w:rPr>
        <w:t>日</w:t>
      </w:r>
    </w:p>
    <w:p w:rsidR="005B4215" w:rsidRDefault="005B4215" w:rsidP="005B4215">
      <w:pPr>
        <w:spacing w:line="360" w:lineRule="auto"/>
        <w:ind w:leftChars="354" w:left="991" w:firstLineChars="200" w:firstLine="480"/>
        <w:rPr>
          <w:rFonts w:ascii="仿宋" w:eastAsia="仿宋" w:hAnsi="仿宋"/>
          <w:sz w:val="24"/>
          <w:szCs w:val="24"/>
        </w:rPr>
      </w:pPr>
    </w:p>
    <w:p w:rsidR="005B4215" w:rsidRPr="005B4215" w:rsidRDefault="005B4215" w:rsidP="005B4215">
      <w:pPr>
        <w:spacing w:line="360" w:lineRule="auto"/>
        <w:ind w:leftChars="354" w:left="991" w:firstLineChars="200" w:firstLine="480"/>
        <w:rPr>
          <w:rFonts w:ascii="仿宋" w:eastAsia="仿宋" w:hAnsi="仿宋"/>
          <w:sz w:val="24"/>
          <w:szCs w:val="24"/>
        </w:rPr>
      </w:pPr>
    </w:p>
    <w:sectPr w:rsidR="005B4215" w:rsidRPr="005B4215" w:rsidSect="007D3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4B" w:rsidRDefault="0002634B" w:rsidP="00325D8E">
      <w:r>
        <w:separator/>
      </w:r>
    </w:p>
  </w:endnote>
  <w:endnote w:type="continuationSeparator" w:id="0">
    <w:p w:rsidR="0002634B" w:rsidRDefault="0002634B" w:rsidP="003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4B" w:rsidRDefault="0002634B" w:rsidP="00325D8E">
      <w:r>
        <w:separator/>
      </w:r>
    </w:p>
  </w:footnote>
  <w:footnote w:type="continuationSeparator" w:id="0">
    <w:p w:rsidR="0002634B" w:rsidRDefault="0002634B" w:rsidP="00325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ACC"/>
    <w:rsid w:val="0002634B"/>
    <w:rsid w:val="00325D8E"/>
    <w:rsid w:val="00363369"/>
    <w:rsid w:val="003E4774"/>
    <w:rsid w:val="00420D3A"/>
    <w:rsid w:val="005B4215"/>
    <w:rsid w:val="006424D6"/>
    <w:rsid w:val="00692434"/>
    <w:rsid w:val="0072432C"/>
    <w:rsid w:val="00762ACC"/>
    <w:rsid w:val="007A0394"/>
    <w:rsid w:val="007D3F04"/>
    <w:rsid w:val="008C532B"/>
    <w:rsid w:val="00AB121D"/>
    <w:rsid w:val="00AD19EF"/>
    <w:rsid w:val="00B630A8"/>
    <w:rsid w:val="00D417E0"/>
    <w:rsid w:val="00DB0A7A"/>
    <w:rsid w:val="00EE11F1"/>
    <w:rsid w:val="00F63BF0"/>
    <w:rsid w:val="00FA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72A0D-2988-419F-A2B3-D4411D94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5D8E"/>
    <w:rPr>
      <w:sz w:val="18"/>
      <w:szCs w:val="18"/>
    </w:rPr>
  </w:style>
  <w:style w:type="paragraph" w:styleId="a4">
    <w:name w:val="footer"/>
    <w:basedOn w:val="a"/>
    <w:link w:val="Char0"/>
    <w:uiPriority w:val="99"/>
    <w:unhideWhenUsed/>
    <w:rsid w:val="00325D8E"/>
    <w:pPr>
      <w:tabs>
        <w:tab w:val="center" w:pos="4153"/>
        <w:tab w:val="right" w:pos="8306"/>
      </w:tabs>
      <w:snapToGrid w:val="0"/>
      <w:jc w:val="left"/>
    </w:pPr>
    <w:rPr>
      <w:sz w:val="18"/>
      <w:szCs w:val="18"/>
    </w:rPr>
  </w:style>
  <w:style w:type="character" w:customStyle="1" w:styleId="Char0">
    <w:name w:val="页脚 Char"/>
    <w:basedOn w:val="a0"/>
    <w:link w:val="a4"/>
    <w:uiPriority w:val="99"/>
    <w:rsid w:val="00325D8E"/>
    <w:rPr>
      <w:sz w:val="18"/>
      <w:szCs w:val="18"/>
    </w:rPr>
  </w:style>
  <w:style w:type="paragraph" w:customStyle="1" w:styleId="1">
    <w:name w:val="样式 宋体 四号1"/>
    <w:basedOn w:val="a"/>
    <w:rsid w:val="005B4215"/>
    <w:pPr>
      <w:spacing w:line="360" w:lineRule="auto"/>
      <w:ind w:firstLineChars="200" w:firstLine="200"/>
    </w:pPr>
    <w:rPr>
      <w:rFonts w:ascii="宋体" w:eastAsia="宋体" w:hAnsi="宋体" w:cs="宋体"/>
      <w:szCs w:val="20"/>
    </w:rPr>
  </w:style>
  <w:style w:type="paragraph" w:styleId="a5">
    <w:name w:val="Normal (Web)"/>
    <w:basedOn w:val="a"/>
    <w:rsid w:val="005B4215"/>
    <w:pPr>
      <w:widowControl/>
      <w:spacing w:before="100" w:beforeAutospacing="1" w:after="100" w:afterAutospacing="1" w:line="300" w:lineRule="auto"/>
      <w:ind w:left="1276"/>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7A0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A039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张尽函</cp:lastModifiedBy>
  <cp:revision>16</cp:revision>
  <dcterms:created xsi:type="dcterms:W3CDTF">2016-06-22T10:24:00Z</dcterms:created>
  <dcterms:modified xsi:type="dcterms:W3CDTF">2016-06-22T13:57:00Z</dcterms:modified>
</cp:coreProperties>
</file>