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bookmarkStart w:id="0" w:name="OLE_LINK1"/>
      <w:r>
        <w:rPr>
          <w:rFonts w:ascii="仿宋" w:hAnsi="仿宋" w:eastAsia="仿宋"/>
          <w:b/>
          <w:sz w:val="36"/>
          <w:szCs w:val="36"/>
        </w:rPr>
        <w:t>海口市地下综合管廊PPP项目竞争性磋商文件</w:t>
      </w:r>
    </w:p>
    <w:p>
      <w:pPr>
        <w:jc w:val="center"/>
        <w:rPr>
          <w:rFonts w:ascii="仿宋" w:hAnsi="仿宋" w:eastAsia="仿宋"/>
          <w:b/>
          <w:sz w:val="36"/>
          <w:szCs w:val="36"/>
        </w:rPr>
      </w:pPr>
      <w:r>
        <w:rPr>
          <w:rFonts w:hint="eastAsia" w:ascii="仿宋" w:hAnsi="仿宋" w:eastAsia="仿宋"/>
          <w:b/>
          <w:sz w:val="36"/>
          <w:szCs w:val="36"/>
        </w:rPr>
        <w:t xml:space="preserve">  </w:t>
      </w:r>
      <w:r>
        <w:rPr>
          <w:rFonts w:ascii="仿宋" w:hAnsi="仿宋" w:eastAsia="仿宋"/>
          <w:b/>
          <w:sz w:val="36"/>
          <w:szCs w:val="36"/>
        </w:rPr>
        <w:t>澄清公告</w:t>
      </w:r>
      <w:r>
        <w:rPr>
          <w:rFonts w:hint="eastAsia" w:ascii="仿宋" w:hAnsi="仿宋" w:eastAsia="仿宋"/>
          <w:b/>
          <w:sz w:val="36"/>
          <w:szCs w:val="36"/>
        </w:rPr>
        <w:t>及磋商谈判相关事项的通知</w:t>
      </w:r>
      <w:bookmarkEnd w:id="0"/>
    </w:p>
    <w:p>
      <w:pPr>
        <w:widowControl/>
        <w:shd w:val="clear" w:color="auto" w:fill="FFFFFF"/>
        <w:spacing w:line="450" w:lineRule="atLeast"/>
        <w:ind w:firstLine="566" w:firstLineChars="202"/>
        <w:jc w:val="left"/>
        <w:rPr>
          <w:rFonts w:ascii="仿宋" w:hAnsi="仿宋" w:eastAsia="仿宋"/>
          <w:sz w:val="28"/>
          <w:szCs w:val="28"/>
        </w:rPr>
      </w:pPr>
      <w:r>
        <w:rPr>
          <w:rFonts w:hint="eastAsia" w:ascii="仿宋" w:hAnsi="仿宋" w:eastAsia="仿宋"/>
          <w:sz w:val="28"/>
          <w:szCs w:val="28"/>
        </w:rPr>
        <w:t>海口市地下综合管廊PPP项目（项目编号：HKZJ2016PPP-01）</w:t>
      </w:r>
      <w:r>
        <w:rPr>
          <w:rFonts w:ascii="仿宋" w:hAnsi="仿宋" w:eastAsia="仿宋"/>
          <w:sz w:val="28"/>
          <w:szCs w:val="28"/>
        </w:rPr>
        <w:t>已于2016年6月14日在</w:t>
      </w:r>
      <w:r>
        <w:rPr>
          <w:rFonts w:hint="eastAsia" w:ascii="仿宋" w:hAnsi="仿宋" w:eastAsia="仿宋"/>
          <w:sz w:val="28"/>
          <w:szCs w:val="28"/>
        </w:rPr>
        <w:t>中国政府采购网、中国海南政府采购、海口市人民政府网、海口市公共资源交易网发布竞争性磋商公告，同时开始接受报名并发售竞争性磋商文件。经研究，现对竞争性磋商文件的部分内容进行澄清并就磋商谈判相关事项进行通知，内容如下：</w:t>
      </w:r>
    </w:p>
    <w:p>
      <w:pPr>
        <w:widowControl/>
        <w:shd w:val="clear" w:color="auto" w:fill="FFFFFF"/>
        <w:spacing w:line="450" w:lineRule="atLeast"/>
        <w:ind w:firstLine="560" w:firstLineChars="200"/>
        <w:jc w:val="left"/>
        <w:rPr>
          <w:rFonts w:ascii="仿宋" w:hAnsi="仿宋" w:eastAsia="仿宋" w:cs="宋体"/>
          <w:color w:val="000000"/>
          <w:kern w:val="0"/>
          <w:sz w:val="28"/>
          <w:szCs w:val="28"/>
        </w:rPr>
      </w:pPr>
      <w:r>
        <w:rPr>
          <w:rFonts w:hint="eastAsia" w:ascii="仿宋" w:hAnsi="仿宋" w:eastAsia="仿宋"/>
          <w:sz w:val="28"/>
          <w:szCs w:val="28"/>
        </w:rPr>
        <w:t>一、原</w:t>
      </w:r>
      <w:r>
        <w:rPr>
          <w:rFonts w:ascii="仿宋" w:hAnsi="仿宋" w:eastAsia="仿宋"/>
          <w:sz w:val="28"/>
          <w:szCs w:val="28"/>
        </w:rPr>
        <w:t>竞争性磋商文件第一部分申请人须知前附表中</w:t>
      </w:r>
      <w:r>
        <w:rPr>
          <w:rFonts w:hint="eastAsia" w:ascii="仿宋" w:hAnsi="仿宋" w:eastAsia="仿宋"/>
          <w:sz w:val="28"/>
          <w:szCs w:val="28"/>
        </w:rPr>
        <w:t>咨询机构地址“深圳市福田区华富路1006号航都大厦15楼”现澄清为：“</w:t>
      </w:r>
      <w:r>
        <w:rPr>
          <w:rFonts w:hint="eastAsia" w:ascii="仿宋" w:hAnsi="仿宋" w:eastAsia="仿宋" w:cs="宋体"/>
          <w:color w:val="000000"/>
          <w:kern w:val="0"/>
          <w:sz w:val="28"/>
          <w:szCs w:val="28"/>
        </w:rPr>
        <w:t>深圳市福田区深南西路车公庙工业区天安数码时代大厦主楼2304</w:t>
      </w:r>
      <w:r>
        <w:rPr>
          <w:rFonts w:hint="eastAsia" w:ascii="仿宋" w:hAnsi="仿宋" w:eastAsia="仿宋"/>
          <w:sz w:val="28"/>
          <w:szCs w:val="28"/>
        </w:rPr>
        <w:t>”。</w:t>
      </w:r>
    </w:p>
    <w:p>
      <w:pPr>
        <w:ind w:firstLine="566" w:firstLineChars="202"/>
        <w:jc w:val="left"/>
        <w:rPr>
          <w:rFonts w:ascii="仿宋" w:hAnsi="仿宋" w:eastAsia="仿宋"/>
          <w:sz w:val="28"/>
          <w:szCs w:val="28"/>
        </w:rPr>
      </w:pPr>
      <w:r>
        <w:rPr>
          <w:rFonts w:ascii="仿宋" w:hAnsi="仿宋" w:eastAsia="仿宋"/>
          <w:sz w:val="28"/>
          <w:szCs w:val="28"/>
        </w:rPr>
        <w:t>二</w:t>
      </w:r>
      <w:r>
        <w:rPr>
          <w:rFonts w:hint="eastAsia" w:ascii="仿宋" w:hAnsi="仿宋" w:eastAsia="仿宋"/>
          <w:sz w:val="28"/>
          <w:szCs w:val="28"/>
        </w:rPr>
        <w:t>、原</w:t>
      </w:r>
      <w:r>
        <w:rPr>
          <w:rFonts w:ascii="仿宋" w:hAnsi="仿宋" w:eastAsia="仿宋"/>
          <w:sz w:val="28"/>
          <w:szCs w:val="28"/>
        </w:rPr>
        <w:t>竞争性磋商文件第一部分申请人须知前附表中</w:t>
      </w:r>
      <w:r>
        <w:rPr>
          <w:rFonts w:hint="eastAsia" w:ascii="仿宋" w:hAnsi="仿宋" w:eastAsia="仿宋"/>
          <w:sz w:val="28"/>
          <w:szCs w:val="28"/>
        </w:rPr>
        <w:t>资格审查方式“资格预审”现澄清为：“资格预审，接受资格后审”。</w:t>
      </w:r>
    </w:p>
    <w:p>
      <w:pPr>
        <w:ind w:firstLine="566" w:firstLineChars="202"/>
        <w:jc w:val="left"/>
        <w:rPr>
          <w:rFonts w:ascii="仿宋" w:hAnsi="仿宋" w:eastAsia="仿宋"/>
          <w:color w:val="000000"/>
          <w:sz w:val="28"/>
          <w:szCs w:val="28"/>
        </w:rPr>
      </w:pPr>
      <w:r>
        <w:rPr>
          <w:rFonts w:hint="eastAsia" w:ascii="仿宋" w:hAnsi="仿宋" w:eastAsia="仿宋"/>
          <w:sz w:val="28"/>
          <w:szCs w:val="28"/>
        </w:rPr>
        <w:t>三、</w:t>
      </w:r>
      <w:r>
        <w:rPr>
          <w:rFonts w:ascii="仿宋" w:hAnsi="仿宋" w:eastAsia="仿宋"/>
          <w:sz w:val="28"/>
          <w:szCs w:val="28"/>
        </w:rPr>
        <w:t>原竞争性磋商文件第一部分申请人须知中</w:t>
      </w:r>
      <w:r>
        <w:rPr>
          <w:rFonts w:hint="eastAsia" w:ascii="仿宋" w:hAnsi="仿宋" w:eastAsia="仿宋"/>
          <w:sz w:val="28"/>
          <w:szCs w:val="28"/>
        </w:rPr>
        <w:t>“4.6其他要求</w:t>
      </w:r>
      <w:r>
        <w:rPr>
          <w:rFonts w:hint="eastAsia" w:ascii="仿宋" w:hAnsi="仿宋" w:eastAsia="仿宋"/>
          <w:color w:val="000000"/>
          <w:sz w:val="28"/>
          <w:szCs w:val="28"/>
        </w:rPr>
        <w:t>（1）以联合体参加申请的，各成员不得再以自己的名义单独参与本项目的采购，也不得再组成新的联合体参与本项目的采购。若出现上述情况，则先成功递交响应文件者为有效申请人。（2）具有投资参股关系的关联企业（一方直接持有另一方股份超过30%），或具有直接管理和被管理关系的母子公司，或同一母公司的子公司（指同一母公司持有股份超过50%的子公司），或法定代表人为同一人的两个法人，无论是作为单一申请人还是组成联合体，均不能同时参加本项目磋商。若出现上述情况，则先成功递交响应文件者为有效申请人。申请人应提供申请人股东结构证明的工商登记备案材料或其他合法有效证明。”现澄清为</w:t>
      </w:r>
      <w:r>
        <w:rPr>
          <w:rFonts w:hint="eastAsia" w:ascii="仿宋" w:hAnsi="仿宋" w:eastAsia="仿宋"/>
          <w:sz w:val="28"/>
          <w:szCs w:val="28"/>
        </w:rPr>
        <w:t>“4.6其他要求</w:t>
      </w:r>
      <w:r>
        <w:rPr>
          <w:rFonts w:hint="eastAsia" w:ascii="仿宋" w:hAnsi="仿宋" w:eastAsia="仿宋"/>
          <w:color w:val="000000"/>
          <w:sz w:val="28"/>
          <w:szCs w:val="28"/>
        </w:rPr>
        <w:t>（1）以联合体参加申请的，各成员不得再以自己的名义单独参与本项目的采购，也不得再组成新的联合体参与本项目的采购。若出现上述情况，由出现上述情况的申请人在规定时间内自行协调确定一家为有效申请人，若规定时间内不能协调出结果的，则确定申请人银行存款余额（竞争性磋商公告发布之日前</w:t>
      </w:r>
      <w:r>
        <w:rPr>
          <w:rFonts w:ascii="仿宋" w:hAnsi="仿宋" w:eastAsia="仿宋"/>
          <w:color w:val="000000"/>
          <w:sz w:val="28"/>
          <w:szCs w:val="28"/>
        </w:rPr>
        <w:t>7</w:t>
      </w:r>
      <w:r>
        <w:rPr>
          <w:rFonts w:hint="eastAsia" w:ascii="仿宋" w:hAnsi="仿宋" w:eastAsia="仿宋"/>
          <w:color w:val="000000"/>
          <w:sz w:val="28"/>
          <w:szCs w:val="28"/>
        </w:rPr>
        <w:t>日内任何一天的银行存款余额均可，若有多个账户则以同一天各账户存款余额之和计）</w:t>
      </w:r>
      <w:r>
        <w:rPr>
          <w:rFonts w:hint="eastAsia" w:ascii="仿宋" w:hAnsi="仿宋" w:eastAsia="仿宋"/>
          <w:color w:val="000000"/>
          <w:sz w:val="28"/>
          <w:szCs w:val="28"/>
          <w:lang w:eastAsia="zh-CN"/>
        </w:rPr>
        <w:t>最</w:t>
      </w:r>
      <w:r>
        <w:rPr>
          <w:rFonts w:hint="eastAsia" w:ascii="仿宋" w:hAnsi="仿宋" w:eastAsia="仿宋"/>
          <w:color w:val="000000"/>
          <w:sz w:val="28"/>
          <w:szCs w:val="28"/>
        </w:rPr>
        <w:t>高者为有效申请人。（2）具有投资参股关系的关联企业（一方直接持有另一方股份超过30%），或具有直接管理和被管理关系的母子公司，或同一母公司的子公司（指同一母公司持有股份超过50%的子公司），或法定代表人为同一人的两个法人，无论是作为单一申请人还是组成联合体，均不能同时参加本项目磋商。若出现上述情况，由出现上述情况的申请人在规定时间内自行协调确定一家为有效申请人，若规定时间内不能协调出结果的，则确定申请人银行存款余额（竞争性磋商公告发布之日前</w:t>
      </w:r>
      <w:r>
        <w:rPr>
          <w:rFonts w:ascii="仿宋" w:hAnsi="仿宋" w:eastAsia="仿宋"/>
          <w:color w:val="000000"/>
          <w:sz w:val="28"/>
          <w:szCs w:val="28"/>
        </w:rPr>
        <w:t>7</w:t>
      </w:r>
      <w:r>
        <w:rPr>
          <w:rFonts w:hint="eastAsia" w:ascii="仿宋" w:hAnsi="仿宋" w:eastAsia="仿宋"/>
          <w:color w:val="000000"/>
          <w:sz w:val="28"/>
          <w:szCs w:val="28"/>
        </w:rPr>
        <w:t>日内任何一天的银行存款余额均可，若有多个账户则以同一天各账户存款余额之和计）</w:t>
      </w:r>
      <w:r>
        <w:rPr>
          <w:rFonts w:hint="eastAsia" w:ascii="仿宋" w:hAnsi="仿宋" w:eastAsia="仿宋"/>
          <w:color w:val="000000"/>
          <w:sz w:val="28"/>
          <w:szCs w:val="28"/>
          <w:lang w:eastAsia="zh-CN"/>
        </w:rPr>
        <w:t>最</w:t>
      </w:r>
      <w:bookmarkStart w:id="1" w:name="_GoBack"/>
      <w:bookmarkEnd w:id="1"/>
      <w:r>
        <w:rPr>
          <w:rFonts w:hint="eastAsia" w:ascii="仿宋" w:hAnsi="仿宋" w:eastAsia="仿宋"/>
          <w:color w:val="000000"/>
          <w:sz w:val="28"/>
          <w:szCs w:val="28"/>
        </w:rPr>
        <w:t>高者为有效申请人。申请人应提供申请人股东结构证明的工商登记备案材料或其他合法有效证明。”</w:t>
      </w:r>
    </w:p>
    <w:p>
      <w:pPr>
        <w:ind w:firstLine="566" w:firstLineChars="202"/>
        <w:jc w:val="left"/>
        <w:rPr>
          <w:rFonts w:ascii="仿宋" w:hAnsi="仿宋" w:eastAsia="仿宋"/>
          <w:sz w:val="28"/>
          <w:szCs w:val="28"/>
        </w:rPr>
      </w:pPr>
      <w:r>
        <w:rPr>
          <w:rFonts w:hint="eastAsia" w:ascii="仿宋" w:hAnsi="仿宋" w:eastAsia="仿宋"/>
          <w:sz w:val="28"/>
          <w:szCs w:val="28"/>
        </w:rPr>
        <w:t>四、</w:t>
      </w:r>
      <w:r>
        <w:rPr>
          <w:rFonts w:ascii="仿宋" w:hAnsi="仿宋" w:eastAsia="仿宋"/>
          <w:sz w:val="28"/>
          <w:szCs w:val="28"/>
        </w:rPr>
        <w:t>原竞争性磋商文件第一部分申请人须知中</w:t>
      </w:r>
      <w:r>
        <w:rPr>
          <w:rFonts w:hint="eastAsia" w:ascii="仿宋" w:hAnsi="仿宋" w:eastAsia="仿宋"/>
          <w:sz w:val="28"/>
          <w:szCs w:val="28"/>
        </w:rPr>
        <w:t>“19.1.3</w:t>
      </w:r>
      <w:r>
        <w:rPr>
          <w:rFonts w:ascii="仿宋" w:hAnsi="仿宋" w:eastAsia="仿宋"/>
          <w:sz w:val="28"/>
          <w:szCs w:val="28"/>
        </w:rPr>
        <w:t>接受磋商保证金的账户信息是</w:t>
      </w:r>
      <w:r>
        <w:rPr>
          <w:rFonts w:hint="eastAsia" w:ascii="仿宋" w:hAnsi="仿宋" w:eastAsia="仿宋"/>
          <w:sz w:val="28"/>
          <w:szCs w:val="28"/>
        </w:rPr>
        <w:t>：账户名：海口市建设工程招标投标服务中心；开户行：光大银行海口美兰支行；账</w:t>
      </w:r>
      <w:r>
        <w:rPr>
          <w:rFonts w:ascii="Calibri" w:hAnsi="Calibri" w:eastAsia="仿宋" w:cs="Calibri"/>
          <w:sz w:val="28"/>
          <w:szCs w:val="28"/>
        </w:rPr>
        <w:t> </w:t>
      </w:r>
      <w:r>
        <w:rPr>
          <w:rFonts w:hint="eastAsia" w:ascii="仿宋" w:hAnsi="仿宋" w:eastAsia="仿宋"/>
          <w:sz w:val="28"/>
          <w:szCs w:val="28"/>
        </w:rPr>
        <w:t>号：3927 0188 0000 3558 0” 现澄清为“19.1.3</w:t>
      </w:r>
      <w:r>
        <w:rPr>
          <w:rFonts w:ascii="仿宋" w:hAnsi="仿宋" w:eastAsia="仿宋"/>
          <w:sz w:val="28"/>
          <w:szCs w:val="28"/>
        </w:rPr>
        <w:t>接受磋商保证金的账户信息是</w:t>
      </w:r>
      <w:r>
        <w:rPr>
          <w:rFonts w:hint="eastAsia" w:ascii="仿宋" w:hAnsi="仿宋" w:eastAsia="仿宋"/>
          <w:sz w:val="28"/>
          <w:szCs w:val="28"/>
        </w:rPr>
        <w:t>：账户名：海口市公共资源交易中心；开户行：平安银行海口分行营业部；账号：1101 6007 7370 03”。</w:t>
      </w:r>
    </w:p>
    <w:p>
      <w:pPr>
        <w:ind w:firstLine="566" w:firstLineChars="202"/>
        <w:jc w:val="left"/>
        <w:rPr>
          <w:rFonts w:ascii="仿宋" w:hAnsi="仿宋" w:eastAsia="仿宋"/>
          <w:sz w:val="28"/>
          <w:szCs w:val="28"/>
        </w:rPr>
      </w:pPr>
      <w:r>
        <w:rPr>
          <w:rFonts w:hint="eastAsia" w:ascii="仿宋" w:hAnsi="仿宋" w:eastAsia="仿宋"/>
          <w:sz w:val="28"/>
          <w:szCs w:val="28"/>
        </w:rPr>
        <w:t>五、原竞争性磋商文件中第二部分海口市地下综合管廊PPP项目协议草案中3.1.1“（b）项目建设内容包括43个子项目，共95.49公里，各子项目名称、长度及实施时间详见本协议附件（具体以本项目初步设计批复文件为准）；”现澄清为“（b）项目建设内容包括43个子项目，共9</w:t>
      </w:r>
      <w:r>
        <w:rPr>
          <w:rFonts w:ascii="仿宋" w:hAnsi="仿宋" w:eastAsia="仿宋"/>
          <w:sz w:val="28"/>
          <w:szCs w:val="28"/>
        </w:rPr>
        <w:t>6</w:t>
      </w:r>
      <w:r>
        <w:rPr>
          <w:rFonts w:hint="eastAsia" w:ascii="仿宋" w:hAnsi="仿宋" w:eastAsia="仿宋"/>
          <w:sz w:val="28"/>
          <w:szCs w:val="28"/>
        </w:rPr>
        <w:t>.4</w:t>
      </w:r>
      <w:r>
        <w:rPr>
          <w:rFonts w:ascii="仿宋" w:hAnsi="仿宋" w:eastAsia="仿宋"/>
          <w:sz w:val="28"/>
          <w:szCs w:val="28"/>
        </w:rPr>
        <w:t>7</w:t>
      </w:r>
      <w:r>
        <w:rPr>
          <w:rFonts w:hint="eastAsia" w:ascii="仿宋" w:hAnsi="仿宋" w:eastAsia="仿宋"/>
          <w:sz w:val="28"/>
          <w:szCs w:val="28"/>
        </w:rPr>
        <w:t>公里，各子项目名称、长度及实施时间详见本协议附件（具体以本项目初步设计批复文件为准）；”</w:t>
      </w:r>
    </w:p>
    <w:p>
      <w:pPr>
        <w:ind w:firstLine="566" w:firstLineChars="202"/>
        <w:jc w:val="left"/>
        <w:rPr>
          <w:rFonts w:ascii="仿宋" w:hAnsi="仿宋" w:eastAsia="仿宋"/>
          <w:sz w:val="28"/>
          <w:szCs w:val="28"/>
        </w:rPr>
      </w:pPr>
      <w:r>
        <w:rPr>
          <w:rFonts w:hint="eastAsia" w:ascii="仿宋" w:hAnsi="仿宋" w:eastAsia="仿宋"/>
          <w:sz w:val="28"/>
          <w:szCs w:val="28"/>
        </w:rPr>
        <w:t>六、原竞争性磋商文件中第二部分海口市地下综合管廊PPP项目协议草案3.1.1中“……本协议签订后，除本条款所约定的本项目6个子项目工程外的其他子项目工程，由乙方负责完成项目勘察、设计等前期工作。</w:t>
      </w:r>
      <w:r>
        <w:rPr>
          <w:rFonts w:ascii="仿宋" w:hAnsi="仿宋" w:eastAsia="仿宋"/>
          <w:sz w:val="28"/>
          <w:szCs w:val="28"/>
        </w:rPr>
        <w:t>”现澄清为</w:t>
      </w:r>
      <w:r>
        <w:rPr>
          <w:rFonts w:hint="eastAsia" w:ascii="仿宋" w:hAnsi="仿宋" w:eastAsia="仿宋"/>
          <w:sz w:val="28"/>
          <w:szCs w:val="28"/>
        </w:rPr>
        <w:t>“……本协议签订后，除本协议第4.2.2条及本条款所约定的本项目6个子项目工程外的其他子项目工程，由乙方负责完成项目勘察、设计等前期工作。”</w:t>
      </w:r>
    </w:p>
    <w:p>
      <w:pPr>
        <w:ind w:firstLine="566" w:firstLineChars="202"/>
        <w:jc w:val="left"/>
        <w:rPr>
          <w:rFonts w:ascii="仿宋" w:hAnsi="仿宋" w:eastAsia="仿宋"/>
          <w:sz w:val="28"/>
          <w:szCs w:val="28"/>
        </w:rPr>
      </w:pPr>
      <w:r>
        <w:rPr>
          <w:rFonts w:hint="eastAsia" w:ascii="仿宋" w:hAnsi="仿宋" w:eastAsia="仿宋"/>
          <w:sz w:val="28"/>
          <w:szCs w:val="28"/>
        </w:rPr>
        <w:t>七、原竞争性磋商文件中第二部分海口市地下综合管廊PPP项目协议草案中“5.2</w:t>
      </w:r>
      <w:r>
        <w:rPr>
          <w:rFonts w:ascii="仿宋" w:hAnsi="仿宋" w:eastAsia="仿宋"/>
          <w:sz w:val="28"/>
          <w:szCs w:val="28"/>
        </w:rPr>
        <w:t>.1</w:t>
      </w:r>
      <w:r>
        <w:rPr>
          <w:rFonts w:hint="eastAsia" w:ascii="仿宋" w:hAnsi="仿宋" w:eastAsia="仿宋"/>
          <w:sz w:val="28"/>
          <w:szCs w:val="28"/>
        </w:rPr>
        <w:t>本项目除中央财政补贴12亿元、海南省政府财政补贴12亿元及乙方注册资本金15亿元之外，项目投资所需的其余资金由乙方采取债权融资等方式解决。乙方承诺该中央财政补贴12亿元及海南省政府财政补贴12亿元的资金应当优先使用，乙方不得要求收取该部分资金的回报。</w:t>
      </w:r>
      <w:r>
        <w:rPr>
          <w:rFonts w:ascii="仿宋" w:hAnsi="仿宋" w:eastAsia="仿宋"/>
          <w:sz w:val="28"/>
          <w:szCs w:val="28"/>
        </w:rPr>
        <w:t>”现澄清为</w:t>
      </w:r>
      <w:r>
        <w:rPr>
          <w:rFonts w:hint="eastAsia" w:ascii="仿宋" w:hAnsi="仿宋" w:eastAsia="仿宋"/>
          <w:sz w:val="28"/>
          <w:szCs w:val="28"/>
        </w:rPr>
        <w:t>“5.2.1本项目除中央财政补贴12亿元，其中3亿元作为市管廊公司的出资，9亿元（含在建工程作价超过3亿元的部分）作为项目建设补贴；海南省政府财政补贴12亿元；乙方注册资本金15亿元；项目投资所需的其余资金由乙方采取债权融资等方式解决。项目公司自身融资能力不足的，由成交社会资本承担后续融资职责。”</w:t>
      </w:r>
    </w:p>
    <w:p>
      <w:pPr>
        <w:pStyle w:val="9"/>
        <w:widowControl/>
        <w:spacing w:before="0" w:beforeAutospacing="0" w:after="0" w:afterAutospacing="0" w:line="400" w:lineRule="exact"/>
        <w:ind w:left="437" w:firstLine="561"/>
        <w:rPr>
          <w:rFonts w:ascii="仿宋_GB2312" w:hAnsi="宋体" w:eastAsia="仿宋_GB2312"/>
          <w:kern w:val="2"/>
          <w:sz w:val="28"/>
          <w:szCs w:val="28"/>
        </w:rPr>
      </w:pPr>
    </w:p>
    <w:p>
      <w:pPr>
        <w:pStyle w:val="9"/>
        <w:widowControl/>
        <w:spacing w:before="0" w:beforeAutospacing="0" w:after="0" w:afterAutospacing="0" w:line="400" w:lineRule="exact"/>
        <w:ind w:left="437" w:firstLine="561"/>
        <w:rPr>
          <w:rFonts w:ascii="仿宋_GB2312" w:hAnsi="宋体" w:eastAsia="仿宋_GB2312"/>
          <w:kern w:val="2"/>
          <w:sz w:val="28"/>
          <w:szCs w:val="28"/>
        </w:rPr>
      </w:pPr>
      <w:r>
        <w:rPr>
          <w:rFonts w:hint="eastAsia" w:ascii="仿宋_GB2312" w:hAnsi="宋体" w:eastAsia="仿宋_GB2312"/>
          <w:kern w:val="2"/>
          <w:sz w:val="28"/>
          <w:szCs w:val="28"/>
        </w:rPr>
        <w:t xml:space="preserve">  特此公告</w:t>
      </w:r>
    </w:p>
    <w:p>
      <w:pPr>
        <w:pStyle w:val="9"/>
        <w:widowControl/>
        <w:spacing w:before="0" w:beforeAutospacing="0" w:after="0" w:afterAutospacing="0" w:line="400" w:lineRule="exact"/>
        <w:ind w:left="2127" w:firstLine="561"/>
        <w:rPr>
          <w:rFonts w:ascii="仿宋_GB2312" w:hAnsi="宋体" w:eastAsia="仿宋_GB2312"/>
          <w:kern w:val="2"/>
          <w:sz w:val="28"/>
          <w:szCs w:val="28"/>
        </w:rPr>
      </w:pPr>
    </w:p>
    <w:p>
      <w:pPr>
        <w:pStyle w:val="9"/>
        <w:widowControl/>
        <w:spacing w:before="0" w:beforeAutospacing="0" w:after="0" w:afterAutospacing="0" w:line="400" w:lineRule="exact"/>
        <w:ind w:left="2127" w:firstLine="561"/>
        <w:rPr>
          <w:rFonts w:ascii="仿宋_GB2312" w:hAnsi="宋体" w:eastAsia="仿宋_GB2312"/>
          <w:kern w:val="2"/>
          <w:sz w:val="28"/>
          <w:szCs w:val="28"/>
        </w:rPr>
      </w:pPr>
      <w:r>
        <w:rPr>
          <w:rFonts w:hint="eastAsia" w:ascii="仿宋_GB2312" w:hAnsi="宋体" w:eastAsia="仿宋_GB2312"/>
          <w:kern w:val="2"/>
          <w:sz w:val="28"/>
          <w:szCs w:val="28"/>
        </w:rPr>
        <w:t>采购人名称：海口市住房和城乡建设局</w:t>
      </w:r>
    </w:p>
    <w:p>
      <w:pPr>
        <w:pStyle w:val="9"/>
        <w:widowControl/>
        <w:spacing w:before="0" w:beforeAutospacing="0" w:after="0" w:afterAutospacing="0" w:line="400" w:lineRule="exact"/>
        <w:ind w:left="2127" w:firstLine="561"/>
        <w:rPr>
          <w:rFonts w:ascii="仿宋_GB2312" w:hAnsi="宋体" w:eastAsia="仿宋_GB2312"/>
          <w:kern w:val="2"/>
          <w:sz w:val="28"/>
          <w:szCs w:val="28"/>
        </w:rPr>
      </w:pPr>
    </w:p>
    <w:p>
      <w:pPr>
        <w:pStyle w:val="9"/>
        <w:widowControl/>
        <w:spacing w:before="0" w:beforeAutospacing="0" w:after="0" w:afterAutospacing="0" w:line="400" w:lineRule="exact"/>
        <w:ind w:left="2127"/>
        <w:rPr>
          <w:rFonts w:ascii="仿宋_GB2312" w:hAnsi="宋体" w:eastAsia="仿宋_GB2312"/>
          <w:kern w:val="2"/>
          <w:sz w:val="28"/>
          <w:szCs w:val="28"/>
        </w:rPr>
      </w:pPr>
      <w:r>
        <w:rPr>
          <w:rFonts w:hint="eastAsia" w:ascii="仿宋_GB2312" w:hAnsi="宋体" w:eastAsia="仿宋_GB2312"/>
          <w:kern w:val="2"/>
          <w:sz w:val="28"/>
          <w:szCs w:val="28"/>
        </w:rPr>
        <w:t>采购代理机构名称：深圳市万德公共咨询有限公司</w:t>
      </w:r>
    </w:p>
    <w:p>
      <w:pPr>
        <w:pStyle w:val="9"/>
        <w:widowControl/>
        <w:spacing w:before="0" w:beforeAutospacing="0" w:after="0" w:afterAutospacing="0" w:line="400" w:lineRule="exact"/>
        <w:ind w:left="437" w:firstLine="561"/>
        <w:rPr>
          <w:rFonts w:ascii="仿宋_GB2312" w:hAnsi="宋体" w:eastAsia="仿宋_GB2312"/>
          <w:kern w:val="2"/>
          <w:sz w:val="28"/>
          <w:szCs w:val="28"/>
        </w:rPr>
      </w:pPr>
    </w:p>
    <w:p>
      <w:pPr>
        <w:ind w:right="560"/>
        <w:rPr>
          <w:rFonts w:ascii="仿宋_GB2312" w:hAnsi="宋体" w:eastAsia="仿宋_GB2312"/>
          <w:sz w:val="28"/>
          <w:szCs w:val="28"/>
        </w:rPr>
      </w:pPr>
      <w:r>
        <w:rPr>
          <w:rFonts w:hint="eastAsia" w:ascii="仿宋_GB2312" w:hAnsi="宋体" w:eastAsia="仿宋_GB2312"/>
          <w:sz w:val="28"/>
          <w:szCs w:val="28"/>
        </w:rPr>
        <w:t xml:space="preserve">                                        2016年6月1</w:t>
      </w:r>
      <w:r>
        <w:rPr>
          <w:rFonts w:ascii="仿宋_GB2312" w:hAnsi="宋体" w:eastAsia="仿宋_GB2312"/>
          <w:sz w:val="28"/>
          <w:szCs w:val="28"/>
        </w:rPr>
        <w:t>7</w:t>
      </w:r>
      <w:r>
        <w:rPr>
          <w:rFonts w:hint="eastAsia" w:ascii="仿宋_GB2312" w:hAnsi="宋体" w:eastAsia="仿宋_GB2312"/>
          <w:sz w:val="28"/>
          <w:szCs w:val="28"/>
        </w:rPr>
        <w:t>日</w:t>
      </w:r>
    </w:p>
    <w:p>
      <w:pPr>
        <w:ind w:firstLine="566" w:firstLineChars="202"/>
        <w:jc w:val="lef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GulimChe">
    <w:panose1 w:val="020B0609000101010101"/>
    <w:charset w:val="81"/>
    <w:family w:val="moder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93"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A4C92"/>
    <w:multiLevelType w:val="multilevel"/>
    <w:tmpl w:val="280A4C92"/>
    <w:lvl w:ilvl="0" w:tentative="0">
      <w:start w:val="1"/>
      <w:numFmt w:val="decimal"/>
      <w:pStyle w:val="2"/>
      <w:lvlText w:val="%1 "/>
      <w:lvlJc w:val="center"/>
      <w:pPr>
        <w:tabs>
          <w:tab w:val="left" w:pos="502"/>
        </w:tabs>
        <w:ind w:left="23" w:firstLine="119"/>
      </w:pPr>
      <w:rPr>
        <w:rFonts w:hint="default" w:ascii="Times New Roman" w:hAnsi="Times New Roman" w:eastAsia="宋体"/>
        <w:b/>
        <w:i w:val="0"/>
        <w:sz w:val="28"/>
      </w:rPr>
    </w:lvl>
    <w:lvl w:ilvl="1" w:tentative="0">
      <w:start w:val="1"/>
      <w:numFmt w:val="decimal"/>
      <w:lvlText w:val="1.%2"/>
      <w:lvlJc w:val="left"/>
      <w:pPr>
        <w:tabs>
          <w:tab w:val="left" w:pos="624"/>
        </w:tabs>
        <w:ind w:left="624" w:hanging="624"/>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0"/>
        <w:u w:val="none"/>
        <w:vertAlign w:val="baseline"/>
        <w14:shadow w14:blurRad="0" w14:dist="0" w14:dir="0" w14:sx="0" w14:sy="0" w14:kx="0" w14:ky="0" w14:algn="none">
          <w14:srgbClr w14:val="000000"/>
        </w14:shadow>
      </w:rPr>
    </w:lvl>
    <w:lvl w:ilvl="2" w:tentative="0">
      <w:start w:val="1"/>
      <w:numFmt w:val="decimal"/>
      <w:pStyle w:val="3"/>
      <w:lvlText w:val="%1.%2.%3"/>
      <w:lvlJc w:val="left"/>
      <w:pPr>
        <w:tabs>
          <w:tab w:val="left" w:pos="1205"/>
        </w:tabs>
        <w:ind w:left="1205" w:hanging="680"/>
      </w:pPr>
      <w:rPr>
        <w:rFonts w:hint="default" w:ascii="Times New Roman" w:hAnsi="Times New Roman" w:eastAsia="宋体"/>
        <w:b w:val="0"/>
        <w:i w:val="0"/>
        <w:sz w:val="24"/>
        <w:szCs w:val="24"/>
      </w:rPr>
    </w:lvl>
    <w:lvl w:ilvl="3" w:tentative="0">
      <w:start w:val="1"/>
      <w:numFmt w:val="lowerLetter"/>
      <w:lvlText w:val="%4)"/>
      <w:lvlJc w:val="left"/>
      <w:pPr>
        <w:tabs>
          <w:tab w:val="left" w:pos="1560"/>
        </w:tabs>
        <w:ind w:left="1560" w:hanging="420"/>
      </w:pPr>
      <w:rPr>
        <w:rFonts w:hint="default" w:ascii="GulimChe" w:hAnsi="GulimChe" w:eastAsia="GulimChe"/>
        <w:b w:val="0"/>
        <w:i w:val="0"/>
        <w:sz w:val="28"/>
      </w:rPr>
    </w:lvl>
    <w:lvl w:ilvl="4" w:tentative="0">
      <w:start w:val="1"/>
      <w:numFmt w:val="lowerLetter"/>
      <w:lvlText w:val="（%5）"/>
      <w:lvlJc w:val="left"/>
      <w:pPr>
        <w:tabs>
          <w:tab w:val="left" w:pos="2868"/>
        </w:tabs>
        <w:ind w:left="2868" w:hanging="1008"/>
      </w:pPr>
      <w:rPr>
        <w:rFonts w:hint="eastAsia"/>
        <w:color w:val="auto"/>
      </w:rPr>
    </w:lvl>
    <w:lvl w:ilvl="5" w:tentative="0">
      <w:start w:val="1"/>
      <w:numFmt w:val="decimal"/>
      <w:lvlText w:val="%1.%2.%3.%4.%5.%6"/>
      <w:lvlJc w:val="left"/>
      <w:pPr>
        <w:tabs>
          <w:tab w:val="left" w:pos="1223"/>
        </w:tabs>
        <w:ind w:left="1223" w:hanging="1152"/>
      </w:pPr>
      <w:rPr>
        <w:rFonts w:hint="eastAsia"/>
      </w:rPr>
    </w:lvl>
    <w:lvl w:ilvl="6" w:tentative="0">
      <w:start w:val="1"/>
      <w:numFmt w:val="decimal"/>
      <w:lvlText w:val="%1.%2.%3.%4.%5.%6.%7"/>
      <w:lvlJc w:val="left"/>
      <w:pPr>
        <w:tabs>
          <w:tab w:val="left" w:pos="1367"/>
        </w:tabs>
        <w:ind w:left="1367" w:hanging="1296"/>
      </w:pPr>
      <w:rPr>
        <w:rFonts w:hint="eastAsia"/>
      </w:rPr>
    </w:lvl>
    <w:lvl w:ilvl="7" w:tentative="0">
      <w:start w:val="1"/>
      <w:numFmt w:val="decimal"/>
      <w:lvlText w:val="%1.%2.%3.%4.%5.%6.%7.%8"/>
      <w:lvlJc w:val="left"/>
      <w:pPr>
        <w:tabs>
          <w:tab w:val="left" w:pos="1511"/>
        </w:tabs>
        <w:ind w:left="1511" w:hanging="1440"/>
      </w:pPr>
      <w:rPr>
        <w:rFonts w:hint="eastAsia"/>
      </w:rPr>
    </w:lvl>
    <w:lvl w:ilvl="8" w:tentative="0">
      <w:start w:val="1"/>
      <w:numFmt w:val="decimal"/>
      <w:lvlText w:val="%1.%2.%3.%4.%5.%6.%7.%8.%9"/>
      <w:lvlJc w:val="left"/>
      <w:pPr>
        <w:tabs>
          <w:tab w:val="left" w:pos="1655"/>
        </w:tabs>
        <w:ind w:left="1655" w:hanging="1584"/>
      </w:pPr>
      <w:rPr>
        <w:rFonts w:hint="eastAsia"/>
      </w:rPr>
    </w:lvl>
  </w:abstractNum>
  <w:abstractNum w:abstractNumId="1">
    <w:nsid w:val="305B4994"/>
    <w:multiLevelType w:val="multilevel"/>
    <w:tmpl w:val="305B4994"/>
    <w:lvl w:ilvl="0" w:tentative="0">
      <w:start w:val="5"/>
      <w:numFmt w:val="decimal"/>
      <w:lvlText w:val="第%1章"/>
      <w:lvlJc w:val="left"/>
      <w:pPr>
        <w:tabs>
          <w:tab w:val="left" w:pos="1134"/>
        </w:tabs>
        <w:ind w:left="425" w:hanging="425"/>
      </w:pPr>
      <w:rPr>
        <w:rFonts w:hint="eastAsia"/>
        <w:b/>
      </w:rPr>
    </w:lvl>
    <w:lvl w:ilvl="1" w:tentative="0">
      <w:start w:val="5"/>
      <w:numFmt w:val="decimal"/>
      <w:lvlText w:val="8.%2"/>
      <w:lvlJc w:val="left"/>
      <w:pPr>
        <w:tabs>
          <w:tab w:val="left" w:pos="567"/>
        </w:tabs>
        <w:ind w:left="567" w:hanging="567"/>
      </w:pPr>
      <w:rPr>
        <w:rFonts w:hint="eastAsia"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tentative="0">
      <w:start w:val="1"/>
      <w:numFmt w:val="decimal"/>
      <w:pStyle w:val="19"/>
      <w:lvlText w:val="2.5.%3"/>
      <w:lvlJc w:val="left"/>
      <w:pPr>
        <w:tabs>
          <w:tab w:val="left" w:pos="851"/>
        </w:tabs>
        <w:ind w:left="851" w:hanging="851"/>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14:shadow w14:blurRad="0" w14:dist="0" w14:dir="0" w14:sx="0" w14:sy="0" w14:kx="0" w14:ky="0" w14:algn="none">
          <w14:srgbClr w14:val="000000"/>
        </w14:shadow>
      </w:rPr>
    </w:lvl>
    <w:lvl w:ilvl="3" w:tentative="0">
      <w:start w:val="1"/>
      <w:numFmt w:val="lowerLetter"/>
      <w:lvlText w:val="(%4)"/>
      <w:lvlJc w:val="left"/>
      <w:pPr>
        <w:tabs>
          <w:tab w:val="left" w:pos="1814"/>
        </w:tabs>
        <w:ind w:left="1814" w:hanging="396"/>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426B3493"/>
    <w:multiLevelType w:val="multilevel"/>
    <w:tmpl w:val="426B3493"/>
    <w:lvl w:ilvl="0" w:tentative="0">
      <w:start w:val="1"/>
      <w:numFmt w:val="decimal"/>
      <w:pStyle w:val="16"/>
      <w:lvlText w:val="第%1章"/>
      <w:lvlJc w:val="left"/>
      <w:pPr>
        <w:ind w:left="425" w:hanging="425"/>
      </w:pPr>
      <w:rPr>
        <w:rFonts w:hint="eastAsia"/>
      </w:rPr>
    </w:lvl>
    <w:lvl w:ilvl="1" w:tentative="0">
      <w:start w:val="1"/>
      <w:numFmt w:val="decimal"/>
      <w:lvlText w:val="%1.%2"/>
      <w:lvlJc w:val="left"/>
      <w:pPr>
        <w:tabs>
          <w:tab w:val="left" w:pos="567"/>
        </w:tabs>
        <w:ind w:left="567" w:hanging="567"/>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tentative="0">
      <w:start w:val="1"/>
      <w:numFmt w:val="decimal"/>
      <w:pStyle w:val="8"/>
      <w:lvlText w:val="%1.%2.%3"/>
      <w:lvlJc w:val="left"/>
      <w:pPr>
        <w:tabs>
          <w:tab w:val="left" w:pos="1418"/>
        </w:tabs>
        <w:ind w:left="1418" w:hanging="851"/>
      </w:pPr>
      <w:rPr>
        <w:rFonts w:ascii="仿宋" w:hAnsi="仿宋" w:eastAsia="仿宋"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tentative="0">
      <w:start w:val="1"/>
      <w:numFmt w:val="lowerLetter"/>
      <w:pStyle w:val="17"/>
      <w:lvlText w:val="(%4)"/>
      <w:lvlJc w:val="left"/>
      <w:pPr>
        <w:tabs>
          <w:tab w:val="left" w:pos="1814"/>
        </w:tabs>
        <w:ind w:left="1814" w:hanging="396"/>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88"/>
    <w:rsid w:val="00032223"/>
    <w:rsid w:val="000A64CD"/>
    <w:rsid w:val="000B2681"/>
    <w:rsid w:val="00141BC0"/>
    <w:rsid w:val="001C1CF4"/>
    <w:rsid w:val="00202031"/>
    <w:rsid w:val="002E0EF0"/>
    <w:rsid w:val="003E34D5"/>
    <w:rsid w:val="004149FC"/>
    <w:rsid w:val="005A5BDF"/>
    <w:rsid w:val="005F61DD"/>
    <w:rsid w:val="00657B2C"/>
    <w:rsid w:val="00704C2C"/>
    <w:rsid w:val="00786998"/>
    <w:rsid w:val="0083492C"/>
    <w:rsid w:val="008718D8"/>
    <w:rsid w:val="008932AC"/>
    <w:rsid w:val="008C55D7"/>
    <w:rsid w:val="009A635D"/>
    <w:rsid w:val="009E405E"/>
    <w:rsid w:val="00A43E35"/>
    <w:rsid w:val="00AF0F1B"/>
    <w:rsid w:val="00B05388"/>
    <w:rsid w:val="00B13F45"/>
    <w:rsid w:val="00B83866"/>
    <w:rsid w:val="00B94E1D"/>
    <w:rsid w:val="00BA61F3"/>
    <w:rsid w:val="00C44434"/>
    <w:rsid w:val="00CA4562"/>
    <w:rsid w:val="00D04E74"/>
    <w:rsid w:val="00D17861"/>
    <w:rsid w:val="00D76F8D"/>
    <w:rsid w:val="00DC6987"/>
    <w:rsid w:val="00E15D46"/>
    <w:rsid w:val="00E52FC7"/>
    <w:rsid w:val="00EB5C99"/>
    <w:rsid w:val="00F97D8B"/>
    <w:rsid w:val="00FA4D48"/>
    <w:rsid w:val="5CCD033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nhideWhenUsed="0" w:uiPriority="39" w:semiHidden="0" w:name="toc 9"/>
    <w:lsdException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widowControl/>
      <w:numPr>
        <w:ilvl w:val="0"/>
        <w:numId w:val="1"/>
      </w:numPr>
      <w:autoSpaceDE w:val="0"/>
      <w:autoSpaceDN w:val="0"/>
      <w:adjustRightInd w:val="0"/>
      <w:spacing w:beforeLines="100" w:afterLines="50" w:line="480" w:lineRule="exact"/>
      <w:jc w:val="left"/>
      <w:outlineLvl w:val="0"/>
    </w:pPr>
    <w:rPr>
      <w:rFonts w:ascii="宋体" w:hAnsi="CG Times" w:eastAsia="宋体" w:cs="Times New Roman"/>
      <w:b/>
      <w:kern w:val="0"/>
      <w:sz w:val="28"/>
      <w:szCs w:val="20"/>
    </w:rPr>
  </w:style>
  <w:style w:type="paragraph" w:styleId="3">
    <w:name w:val="heading 3"/>
    <w:basedOn w:val="1"/>
    <w:next w:val="1"/>
    <w:link w:val="15"/>
    <w:qFormat/>
    <w:uiPriority w:val="0"/>
    <w:pPr>
      <w:numPr>
        <w:ilvl w:val="2"/>
        <w:numId w:val="1"/>
      </w:numPr>
      <w:tabs>
        <w:tab w:val="left" w:pos="0"/>
        <w:tab w:val="left" w:pos="1316"/>
      </w:tabs>
      <w:autoSpaceDE w:val="0"/>
      <w:autoSpaceDN w:val="0"/>
      <w:adjustRightInd w:val="0"/>
      <w:spacing w:beforeLines="10" w:afterLines="10" w:line="480" w:lineRule="exact"/>
      <w:outlineLvl w:val="2"/>
    </w:pPr>
    <w:rPr>
      <w:rFonts w:ascii="Times New Roman" w:hAnsi="Times New Roman" w:eastAsia="宋体" w:cs="Times New Roman"/>
      <w:kern w:val="0"/>
      <w:sz w:val="24"/>
      <w:szCs w:val="20"/>
    </w:rPr>
  </w:style>
  <w:style w:type="character" w:default="1" w:styleId="10">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4">
    <w:name w:val="Normal Indent"/>
    <w:basedOn w:val="1"/>
    <w:link w:val="13"/>
    <w:uiPriority w:val="0"/>
    <w:pPr>
      <w:spacing w:beforeLines="10" w:afterLines="10" w:line="480" w:lineRule="exact"/>
      <w:ind w:firstLine="420" w:firstLineChars="200"/>
    </w:pPr>
    <w:rPr>
      <w:rFonts w:ascii="Times New Roman" w:hAnsi="Times New Roman" w:eastAsia="宋体" w:cs="Times New Roman"/>
      <w:sz w:val="24"/>
      <w:szCs w:val="24"/>
    </w:rPr>
  </w:style>
  <w:style w:type="paragraph" w:styleId="5">
    <w:name w:val="Date"/>
    <w:basedOn w:val="1"/>
    <w:next w:val="1"/>
    <w:link w:val="21"/>
    <w:unhideWhenUsed/>
    <w:uiPriority w:val="99"/>
    <w:pPr>
      <w:ind w:left="100" w:leftChars="2500"/>
    </w:pPr>
  </w:style>
  <w:style w:type="paragraph" w:styleId="6">
    <w:name w:val="footer"/>
    <w:basedOn w:val="1"/>
    <w:link w:val="23"/>
    <w:unhideWhenUsed/>
    <w:uiPriority w:val="99"/>
    <w:pPr>
      <w:tabs>
        <w:tab w:val="center" w:pos="4153"/>
        <w:tab w:val="right" w:pos="8306"/>
      </w:tabs>
      <w:snapToGrid w:val="0"/>
      <w:jc w:val="left"/>
    </w:pPr>
    <w:rPr>
      <w:sz w:val="18"/>
      <w:szCs w:val="18"/>
    </w:rPr>
  </w:style>
  <w:style w:type="paragraph" w:styleId="7">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9"/>
    <w:basedOn w:val="1"/>
    <w:next w:val="1"/>
    <w:uiPriority w:val="39"/>
    <w:pPr>
      <w:numPr>
        <w:ilvl w:val="2"/>
        <w:numId w:val="2"/>
      </w:numPr>
      <w:spacing w:beforeLines="10" w:afterLines="10" w:line="480" w:lineRule="exact"/>
      <w:ind w:left="1600" w:leftChars="1600"/>
    </w:pPr>
    <w:rPr>
      <w:rFonts w:ascii="Times New Roman" w:hAnsi="Times New Roman" w:eastAsia="宋体" w:cs="Times New Roman"/>
      <w:sz w:val="24"/>
      <w:szCs w:val="24"/>
    </w:rPr>
  </w:style>
  <w:style w:type="paragraph" w:styleId="9">
    <w:name w:val="Normal (Web)"/>
    <w:basedOn w:val="1"/>
    <w:uiPriority w:val="0"/>
    <w:pPr>
      <w:spacing w:before="100" w:beforeAutospacing="1" w:after="100" w:afterAutospacing="1"/>
      <w:jc w:val="left"/>
    </w:pPr>
    <w:rPr>
      <w:rFonts w:ascii="Times New Roman" w:hAnsi="Times New Roman" w:eastAsia="宋体" w:cs="Times New Roman"/>
      <w:kern w:val="0"/>
      <w:sz w:val="24"/>
      <w:szCs w:val="24"/>
    </w:rPr>
  </w:style>
  <w:style w:type="paragraph" w:customStyle="1" w:styleId="12">
    <w:name w:val="List Paragraph"/>
    <w:basedOn w:val="1"/>
    <w:qFormat/>
    <w:uiPriority w:val="34"/>
    <w:pPr>
      <w:ind w:firstLine="420" w:firstLineChars="200"/>
    </w:pPr>
  </w:style>
  <w:style w:type="character" w:customStyle="1" w:styleId="13">
    <w:name w:val="正文缩进 Char"/>
    <w:link w:val="4"/>
    <w:qFormat/>
    <w:uiPriority w:val="0"/>
    <w:rPr>
      <w:rFonts w:ascii="Times New Roman" w:hAnsi="Times New Roman" w:eastAsia="宋体" w:cs="Times New Roman"/>
      <w:sz w:val="24"/>
      <w:szCs w:val="24"/>
    </w:rPr>
  </w:style>
  <w:style w:type="character" w:customStyle="1" w:styleId="14">
    <w:name w:val="标题 1 Char"/>
    <w:basedOn w:val="10"/>
    <w:link w:val="2"/>
    <w:uiPriority w:val="0"/>
    <w:rPr>
      <w:rFonts w:ascii="宋体" w:hAnsi="CG Times" w:eastAsia="宋体" w:cs="Times New Roman"/>
      <w:b/>
      <w:kern w:val="0"/>
      <w:sz w:val="28"/>
      <w:szCs w:val="20"/>
    </w:rPr>
  </w:style>
  <w:style w:type="character" w:customStyle="1" w:styleId="15">
    <w:name w:val="标题 3 Char"/>
    <w:basedOn w:val="10"/>
    <w:link w:val="3"/>
    <w:uiPriority w:val="0"/>
    <w:rPr>
      <w:rFonts w:ascii="Times New Roman" w:hAnsi="Times New Roman" w:eastAsia="宋体" w:cs="Times New Roman"/>
      <w:kern w:val="0"/>
      <w:sz w:val="24"/>
      <w:szCs w:val="20"/>
    </w:rPr>
  </w:style>
  <w:style w:type="paragraph" w:customStyle="1" w:styleId="16">
    <w:name w:val="1级编号"/>
    <w:basedOn w:val="1"/>
    <w:qFormat/>
    <w:uiPriority w:val="0"/>
    <w:pPr>
      <w:numPr>
        <w:ilvl w:val="0"/>
        <w:numId w:val="2"/>
      </w:numPr>
      <w:spacing w:beforeLines="150" w:afterLines="50" w:line="288" w:lineRule="auto"/>
      <w:jc w:val="center"/>
      <w:outlineLvl w:val="0"/>
    </w:pPr>
    <w:rPr>
      <w:rFonts w:ascii="Times New Roman" w:hAnsi="Times New Roman" w:eastAsia="黑体" w:cs="Times New Roman"/>
      <w:sz w:val="28"/>
      <w:szCs w:val="24"/>
    </w:rPr>
  </w:style>
  <w:style w:type="paragraph" w:customStyle="1" w:styleId="17">
    <w:name w:val="4级编号"/>
    <w:basedOn w:val="1"/>
    <w:link w:val="18"/>
    <w:qFormat/>
    <w:uiPriority w:val="0"/>
    <w:pPr>
      <w:numPr>
        <w:ilvl w:val="3"/>
        <w:numId w:val="2"/>
      </w:numPr>
      <w:spacing w:afterLines="30" w:line="288" w:lineRule="auto"/>
    </w:pPr>
    <w:rPr>
      <w:rFonts w:ascii="Times New Roman" w:hAnsi="Times New Roman" w:eastAsia="仿宋_GB2312" w:cs="Times New Roman"/>
      <w:sz w:val="24"/>
      <w:szCs w:val="24"/>
    </w:rPr>
  </w:style>
  <w:style w:type="character" w:customStyle="1" w:styleId="18">
    <w:name w:val="4级编号 Char"/>
    <w:link w:val="17"/>
    <w:uiPriority w:val="0"/>
    <w:rPr>
      <w:rFonts w:ascii="Times New Roman" w:hAnsi="Times New Roman" w:eastAsia="仿宋_GB2312" w:cs="Times New Roman"/>
      <w:sz w:val="24"/>
      <w:szCs w:val="24"/>
    </w:rPr>
  </w:style>
  <w:style w:type="paragraph" w:customStyle="1" w:styleId="19">
    <w:name w:val="3级编号"/>
    <w:basedOn w:val="1"/>
    <w:link w:val="20"/>
    <w:qFormat/>
    <w:uiPriority w:val="0"/>
    <w:pPr>
      <w:numPr>
        <w:ilvl w:val="2"/>
        <w:numId w:val="3"/>
      </w:numPr>
      <w:spacing w:afterLines="30" w:line="288" w:lineRule="auto"/>
    </w:pPr>
    <w:rPr>
      <w:rFonts w:ascii="Times New Roman" w:hAnsi="Times New Roman" w:eastAsia="仿宋_GB2312" w:cs="Times New Roman"/>
      <w:sz w:val="24"/>
      <w:szCs w:val="24"/>
    </w:rPr>
  </w:style>
  <w:style w:type="character" w:customStyle="1" w:styleId="20">
    <w:name w:val="3级编号 Char"/>
    <w:link w:val="19"/>
    <w:uiPriority w:val="0"/>
    <w:rPr>
      <w:rFonts w:ascii="Times New Roman" w:hAnsi="Times New Roman" w:eastAsia="仿宋_GB2312" w:cs="Times New Roman"/>
      <w:sz w:val="24"/>
      <w:szCs w:val="24"/>
    </w:rPr>
  </w:style>
  <w:style w:type="character" w:customStyle="1" w:styleId="21">
    <w:name w:val="日期 Char"/>
    <w:basedOn w:val="10"/>
    <w:link w:val="5"/>
    <w:semiHidden/>
    <w:uiPriority w:val="99"/>
  </w:style>
  <w:style w:type="character" w:customStyle="1" w:styleId="22">
    <w:name w:val="页眉 Char"/>
    <w:basedOn w:val="10"/>
    <w:link w:val="7"/>
    <w:uiPriority w:val="99"/>
    <w:rPr>
      <w:sz w:val="18"/>
      <w:szCs w:val="18"/>
    </w:rPr>
  </w:style>
  <w:style w:type="character" w:customStyle="1" w:styleId="23">
    <w:name w:val="页脚 Char"/>
    <w:basedOn w:val="10"/>
    <w:link w:val="6"/>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314</Words>
  <Characters>1790</Characters>
  <Lines>14</Lines>
  <Paragraphs>4</Paragraphs>
  <TotalTime>0</TotalTime>
  <ScaleCrop>false</ScaleCrop>
  <LinksUpToDate>false</LinksUpToDate>
  <CharactersWithSpaces>2100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2016-06-17T07:49:00Z</dcterms:created>
  <dc:creator>张尽函</dc:creator>
  <cp:lastModifiedBy>lenovo</cp:lastModifiedBy>
  <cp:lastPrinted>2016-06-17T08:05:02Z</cp:lastPrinted>
  <dcterms:modified xsi:type="dcterms:W3CDTF">2016-06-17T08:13:49Z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