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文昌市林业局2025年森林火灾预防和火情早期处理能力提升项目(二次)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XHC2025-009-1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文昌市林业局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海南鑫海创工程咨询有限公司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文昌市林业局</w:t>
      </w:r>
      <w:r>
        <w:rPr>
          <w:rFonts w:ascii="仿宋_GB2312" w:hAnsi="仿宋_GB2312" w:cs="仿宋_GB2312" w:eastAsia="仿宋_GB2312"/>
        </w:rPr>
        <w:t xml:space="preserve"> 的委托， </w:t>
      </w:r>
      <w:r>
        <w:rPr>
          <w:rFonts w:ascii="仿宋_GB2312" w:hAnsi="仿宋_GB2312" w:cs="仿宋_GB2312" w:eastAsia="仿宋_GB2312"/>
        </w:rPr>
        <w:t>海南鑫海创工程咨询有限公司</w:t>
      </w:r>
      <w:r>
        <w:rPr>
          <w:rFonts w:ascii="仿宋_GB2312" w:hAnsi="仿宋_GB2312" w:cs="仿宋_GB2312" w:eastAsia="仿宋_GB2312"/>
        </w:rPr>
        <w:t xml:space="preserve"> 对 </w:t>
      </w:r>
      <w:r>
        <w:rPr>
          <w:rFonts w:ascii="仿宋_GB2312" w:hAnsi="仿宋_GB2312" w:cs="仿宋_GB2312" w:eastAsia="仿宋_GB2312"/>
        </w:rPr>
        <w:t>文昌市林业局2025年森林火灾预防和火情早期处理能力提升项目(二次)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XHC2025-009-1</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文昌市林业局2025年森林火灾预防和火情早期处理能力提升项目(二次)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2,230,000.00元</w:t>
      </w:r>
      <w:r>
        <w:rPr>
          <w:rFonts w:ascii="仿宋_GB2312" w:hAnsi="仿宋_GB2312" w:cs="仿宋_GB2312" w:eastAsia="仿宋_GB2312"/>
        </w:rPr>
        <w:t>贰佰贰拾叁万元整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自合同签订之日起30天内交付采购人使用</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1、无环保类行政处罚记录：供应商应提供在参加政府采购活动前三年中，无环保类行政处罚记录声明函</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ind w:firstLine="480"/>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指定发布媒体为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2、投标人须在海南政府采购网(https://www.ccgp-hainan.gov.cn/zhuzhan/)中的海南省政府采购电子化交易管理系统平台进行注册并完善信息，然后下载参与投标项目电子招标文件（文件集）及其他文件； 3、电子标:必须使用投标工具（下载专区下载）制作电子版的投标文件， 并使用数字证书（https://www.yuque.com/haonan123/bzzx /ugmn1f）进行签字和加密，投标截止时间前，必须登录系统上传加密的电子投标文件； 4、本项目为远程不见面开标，供应商无须到达开标现场，但开标前必须进入电子开标大厅在线签到（未签到视为无效投标），远程按时参加在线开标解密即可。 5、注意事项：电子标采用全程电子化操作，供应商应详细阅读海南政府采购网的通知《海南省财政厅关于进一步推进政府采购全流程电子化的通知》，供应商使用交易系统遇到问题请拨打以下热线电话： 热线一：4001691288。</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文昌市林业局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海南省文昌市文城镇文建街84号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571399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韩先生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0898-63222166</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海南鑫海创工程咨询有限公司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海南省海口市美兰区海府路81号华运大厦802房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0898-65361835</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采购包1：2,230,000.00元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从递交响应文件截止之日起90日历天。响应有效期短于此规定期限的响应，将被拒绝。</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代理服务费收费标准：1、收费标准及金额：收费标准参考《海南省物价局关于降低部分招标代理服务收费标准的通知》(琼价费管[2011]225 号)文件及代理合同约定。 2、支付时间:在领取中标(成交)通知书前，由中标人(成交供应商)一次性向代理机构支付。 3、采购代理服务费的交纳方式:银行转账、现金等。 户 名：海南鑫海创工程咨询有限公司 账户号码：46050100223600000262 开户银行：中国建设银行股份有限公司海口海府支行 备注： XHC2025-009采购代理服务费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16.1.1根据《政府采购促进中小企业发展管理办法》（财库〔2020〕46 号）第十一条规定，中小企业参加政府采购活动，应当出具本办法规定的《中小企业声明函》，否则不得享受相关中小企业扶持政策。投标人提供《中小企业声明函》内容不实的，属于“隐瞒真实情况，提供虚假资料的”情形，依照有关规定追究相应责任。 16.1.2专门面向中小企业采购的项目或者采购包，不再执行价格评审优惠的扶持政策。 16.1.3本项目所属行业:工业。 16.2 如投标人在非开标现场上传的电子标书的IP地址相同，则IP地址相同的投标按无效标处理。 16.3述标和/或产（样）品演（展）示：无 16.4是否接受进口产品投标：详见第一章。 16.5采购需求：采购标的物需按照国家相关标准、行业标准、地方标准或者其他标准、规范执行。 16.6委托代表人的资格条件：投标时须提供法定代表人授权委托书和被授权人身份证复印件。 16.7委托代表人的代理权限：委托代表人只能代表委托人处置投标活动中的一般事务。提出质疑、投诉等特殊事项，必须经法定代表人特别授权。 16.8是否允许选择性报价：不接受选择性报价 16.9本项目所属行业：根据《统计上大中小微型企业划分办法（2017）》，本项目所属行业为工业。 16.10投标文件的要求： 需按海南省政府采购智慧云平台相关要求上传相关文件，如中标后需提供一正二副的纸质版投标文件。 16.11不退还投标文件 16.12磋商小组的组建：16.12.1磋商小组由采购人代表和评审专家共3人组成，其中采购人代表1人，评审专家2人。16.12.2评审专家从：海南省公共资源交易综合评标评审专家库中随机抽取。 16.13充分、公平竞争保障措施： 提供相同品牌产品处理： 16.13.1采用最低评标价法的采购项目。 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 16.13.2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 非单一产品采购项目，采购人应当根据采购项目技术构成、产品价格比重等合理确定核心产品，并在招标文件中载明。多家投标人提供的核心产品品牌相同的，按前两款规定处理。因字数受限，请在第三章采购需求中的“四、其他事项”继续查看或下载附件中的须知前附表完整查看。16.14政府采购评审中出现下列情形之一的，磋商小组应当启动异常低价投标(响应)审查程序： 16.14.1投标(响应)报价低于全部通过符合性审查供应商投标(响应)报价平均值50%的，即投标(响应)报价&lt;全部通过符合性审查供应商投标(响应)报价平均值x50%； 16.14.2投标(响应)报价低于通过符合性审查且报价次低供应商投标(响应)报价50%的，即投标(响应)报价&lt;通过符合性审查且报价次低供应商投标(响应)报价x50%； 16.14.3投标(响应)报价低于采购项目最高限价45%的，即投标(响应)报价&lt;采购项目最高限价x45%； 16.14.4其他评审委员会认为供应商报价过低，有可能影响产品质量或者不能诚信履约的情形。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联系人：张工</w:t>
      </w:r>
    </w:p>
    <w:p>
      <w:pPr>
        <w:pStyle w:val="null3"/>
        <w:jc w:val="left"/>
      </w:pPr>
      <w:r>
        <w:rPr>
          <w:rFonts w:ascii="仿宋_GB2312" w:hAnsi="仿宋_GB2312" w:cs="仿宋_GB2312" w:eastAsia="仿宋_GB2312"/>
        </w:rPr>
        <w:t>联系电话：0898-65361835</w:t>
      </w:r>
    </w:p>
    <w:p>
      <w:pPr>
        <w:pStyle w:val="null3"/>
        <w:jc w:val="left"/>
      </w:pPr>
      <w:r>
        <w:rPr>
          <w:rFonts w:ascii="仿宋_GB2312" w:hAnsi="仿宋_GB2312" w:cs="仿宋_GB2312" w:eastAsia="仿宋_GB2312"/>
        </w:rPr>
        <w:t>地址：海南省海口市美兰区海府路81号华运大厦802房</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rPr>
        <w:t>1.项目名称：文昌市林业局2025年森林火灾预防和火情早期处理能力提升项目</w:t>
      </w:r>
    </w:p>
    <w:p>
      <w:pPr>
        <w:pStyle w:val="null3"/>
        <w:ind w:firstLine="480"/>
        <w:jc w:val="left"/>
      </w:pPr>
      <w:r>
        <w:rPr>
          <w:rFonts w:ascii="仿宋_GB2312" w:hAnsi="仿宋_GB2312" w:cs="仿宋_GB2312" w:eastAsia="仿宋_GB2312"/>
          <w:sz w:val="24"/>
        </w:rPr>
        <w:t>2.项目编号：XHC2025-009</w:t>
      </w:r>
    </w:p>
    <w:p>
      <w:pPr>
        <w:pStyle w:val="null3"/>
        <w:ind w:firstLine="480"/>
        <w:jc w:val="left"/>
      </w:pPr>
      <w:r>
        <w:rPr>
          <w:rFonts w:ascii="仿宋_GB2312" w:hAnsi="仿宋_GB2312" w:cs="仿宋_GB2312" w:eastAsia="仿宋_GB2312"/>
          <w:sz w:val="24"/>
        </w:rPr>
        <w:t>3.预算金额：¥2230000.00元</w:t>
      </w:r>
    </w:p>
    <w:p>
      <w:pPr>
        <w:pStyle w:val="null3"/>
        <w:ind w:firstLine="480"/>
        <w:jc w:val="left"/>
      </w:pPr>
      <w:r>
        <w:rPr>
          <w:rFonts w:ascii="仿宋_GB2312" w:hAnsi="仿宋_GB2312" w:cs="仿宋_GB2312" w:eastAsia="仿宋_GB2312"/>
          <w:sz w:val="24"/>
        </w:rPr>
        <w:t>4.最高限价：¥2230000.00元，（报价超过最高限价，按无效响应文件处理）。</w:t>
      </w:r>
    </w:p>
    <w:p>
      <w:pPr>
        <w:pStyle w:val="null3"/>
        <w:ind w:firstLine="480"/>
        <w:jc w:val="left"/>
      </w:pPr>
      <w:r>
        <w:rPr>
          <w:rFonts w:ascii="仿宋_GB2312" w:hAnsi="仿宋_GB2312" w:cs="仿宋_GB2312" w:eastAsia="仿宋_GB2312"/>
          <w:sz w:val="24"/>
        </w:rPr>
        <w:t>5.合同履行期限：自合同签订之日起30天内交付采购人使用</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2,230,000.00</w:t>
      </w:r>
    </w:p>
    <w:p>
      <w:pPr>
        <w:pStyle w:val="null3"/>
        <w:jc w:val="left"/>
      </w:pPr>
      <w:r>
        <w:rPr>
          <w:rFonts w:ascii="仿宋_GB2312" w:hAnsi="仿宋_GB2312" w:cs="仿宋_GB2312" w:eastAsia="仿宋_GB2312"/>
        </w:rPr>
        <w:t>采购包最高限价（元）: 2,230,000.00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A01029900-其他构筑物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2,230,000.00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A01029900-其他构筑物</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标的名称：A01029900-其他构筑物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51"/>
              <w:gridCol w:w="329"/>
              <w:gridCol w:w="1249"/>
              <w:gridCol w:w="224"/>
              <w:gridCol w:w="254"/>
              <w:gridCol w:w="242"/>
            </w:tblGrid>
            <w:tr>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序号</w:t>
                  </w: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产品名称</w:t>
                  </w:r>
                </w:p>
              </w:tc>
              <w:tc>
                <w:tcPr>
                  <w:tcW w:type="dxa" w:w="12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规格参数</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数量</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单位</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备注</w:t>
                  </w:r>
                </w:p>
              </w:tc>
            </w:tr>
            <w:tr>
              <w:tc>
                <w:tcPr>
                  <w:tcW w:type="dxa" w:w="25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w:t>
                  </w:r>
                </w:p>
              </w:tc>
              <w:tc>
                <w:tcPr>
                  <w:tcW w:type="dxa" w:w="32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高压抽水泵</w:t>
                  </w:r>
                </w:p>
              </w:tc>
              <w:tc>
                <w:tcPr>
                  <w:tcW w:type="dxa" w:w="124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一、主要技术参数要求：</w:t>
                  </w:r>
                  <w:r>
                    <w:br/>
                  </w:r>
                  <w:r>
                    <w:rPr>
                      <w:rFonts w:ascii="仿宋_GB2312" w:hAnsi="仿宋_GB2312" w:cs="仿宋_GB2312" w:eastAsia="仿宋_GB2312"/>
                      <w:sz w:val="21"/>
                      <w:color w:val="000000"/>
                    </w:rPr>
                    <w:t xml:space="preserve"> ▲1.泵组由二冲程发动机与四级离心泵组成。</w:t>
                  </w:r>
                  <w:r>
                    <w:br/>
                  </w:r>
                  <w:r>
                    <w:rPr>
                      <w:rFonts w:ascii="仿宋_GB2312" w:hAnsi="仿宋_GB2312" w:cs="仿宋_GB2312" w:eastAsia="仿宋_GB2312"/>
                      <w:sz w:val="21"/>
                      <w:color w:val="000000"/>
                    </w:rPr>
                    <w:t xml:space="preserve"> 2.单缸，二冲程，强制空气冷却</w:t>
                  </w:r>
                  <w:r>
                    <w:br/>
                  </w:r>
                  <w:r>
                    <w:rPr>
                      <w:rFonts w:ascii="仿宋_GB2312" w:hAnsi="仿宋_GB2312" w:cs="仿宋_GB2312" w:eastAsia="仿宋_GB2312"/>
                      <w:sz w:val="21"/>
                      <w:color w:val="000000"/>
                    </w:rPr>
                    <w:t xml:space="preserve"> 3.功率≥10马力</w:t>
                  </w:r>
                  <w:r>
                    <w:br/>
                  </w:r>
                  <w:r>
                    <w:rPr>
                      <w:rFonts w:ascii="仿宋_GB2312" w:hAnsi="仿宋_GB2312" w:cs="仿宋_GB2312" w:eastAsia="仿宋_GB2312"/>
                      <w:sz w:val="21"/>
                      <w:color w:val="000000"/>
                    </w:rPr>
                    <w:t xml:space="preserve"> ▲4.重量不大于34公斤。</w:t>
                  </w:r>
                  <w:r>
                    <w:br/>
                  </w:r>
                  <w:r>
                    <w:rPr>
                      <w:rFonts w:ascii="仿宋_GB2312" w:hAnsi="仿宋_GB2312" w:cs="仿宋_GB2312" w:eastAsia="仿宋_GB2312"/>
                      <w:sz w:val="21"/>
                      <w:color w:val="000000"/>
                    </w:rPr>
                    <w:t xml:space="preserve"> ▲5.启动性能：具备一键式电启动和手拉启动， 电启动装置启动电池为锂 电池，锂电池与泵组合应为一整体机构，发动机自带充电功能。</w:t>
                  </w:r>
                  <w:r>
                    <w:br/>
                  </w:r>
                  <w:r>
                    <w:rPr>
                      <w:rFonts w:ascii="仿宋_GB2312" w:hAnsi="仿宋_GB2312" w:cs="仿宋_GB2312" w:eastAsia="仿宋_GB2312"/>
                      <w:sz w:val="21"/>
                      <w:color w:val="000000"/>
                    </w:rPr>
                    <w:t xml:space="preserve"> ▲6. 发动机自带充电和防超速功能。</w:t>
                  </w:r>
                  <w:r>
                    <w:br/>
                  </w:r>
                  <w:r>
                    <w:rPr>
                      <w:rFonts w:ascii="仿宋_GB2312" w:hAnsi="仿宋_GB2312" w:cs="仿宋_GB2312" w:eastAsia="仿宋_GB2312"/>
                      <w:sz w:val="21"/>
                      <w:color w:val="000000"/>
                    </w:rPr>
                    <w:t xml:space="preserve"> ▲7. 最少可连续运转 24小时。</w:t>
                  </w:r>
                  <w:r>
                    <w:br/>
                  </w:r>
                  <w:r>
                    <w:rPr>
                      <w:rFonts w:ascii="仿宋_GB2312" w:hAnsi="仿宋_GB2312" w:cs="仿宋_GB2312" w:eastAsia="仿宋_GB2312"/>
                      <w:sz w:val="21"/>
                      <w:color w:val="000000"/>
                    </w:rPr>
                    <w:t xml:space="preserve"> ▲8. 可在倾斜 90°的情况下正常工作。</w:t>
                  </w:r>
                  <w:r>
                    <w:br/>
                  </w:r>
                  <w:r>
                    <w:rPr>
                      <w:rFonts w:ascii="仿宋_GB2312" w:hAnsi="仿宋_GB2312" w:cs="仿宋_GB2312" w:eastAsia="仿宋_GB2312"/>
                      <w:sz w:val="21"/>
                      <w:color w:val="000000"/>
                    </w:rPr>
                    <w:t xml:space="preserve"> ▲9. 工况</w:t>
                  </w:r>
                  <w:r>
                    <w:br/>
                  </w:r>
                  <w:r>
                    <w:rPr>
                      <w:rFonts w:ascii="仿宋_GB2312" w:hAnsi="仿宋_GB2312" w:cs="仿宋_GB2312" w:eastAsia="仿宋_GB2312"/>
                      <w:sz w:val="21"/>
                      <w:color w:val="000000"/>
                    </w:rPr>
                    <w:t xml:space="preserve"> ①在流量≥240升/分时，水泵压力≥1.2MPa;</w:t>
                  </w:r>
                  <w:r>
                    <w:br/>
                  </w:r>
                  <w:r>
                    <w:rPr>
                      <w:rFonts w:ascii="仿宋_GB2312" w:hAnsi="仿宋_GB2312" w:cs="仿宋_GB2312" w:eastAsia="仿宋_GB2312"/>
                      <w:sz w:val="21"/>
                      <w:color w:val="000000"/>
                    </w:rPr>
                    <w:t xml:space="preserve"> ②在流量≥120升/分时，水泵压力≥2MPa;</w:t>
                  </w:r>
                  <w:r>
                    <w:br/>
                  </w:r>
                  <w:r>
                    <w:rPr>
                      <w:rFonts w:ascii="仿宋_GB2312" w:hAnsi="仿宋_GB2312" w:cs="仿宋_GB2312" w:eastAsia="仿宋_GB2312"/>
                      <w:sz w:val="21"/>
                      <w:color w:val="000000"/>
                    </w:rPr>
                    <w:t xml:space="preserve"> ③在流量≥80升/分时，水泵压力≥2.3MPa。</w:t>
                  </w:r>
                  <w:r>
                    <w:br/>
                  </w:r>
                  <w:r>
                    <w:rPr>
                      <w:rFonts w:ascii="仿宋_GB2312" w:hAnsi="仿宋_GB2312" w:cs="仿宋_GB2312" w:eastAsia="仿宋_GB2312"/>
                      <w:sz w:val="21"/>
                      <w:color w:val="000000"/>
                    </w:rPr>
                    <w:t xml:space="preserve"> ▲10. 吸程≥9米。</w:t>
                  </w:r>
                  <w:r>
                    <w:br/>
                  </w:r>
                  <w:r>
                    <w:rPr>
                      <w:rFonts w:ascii="仿宋_GB2312" w:hAnsi="仿宋_GB2312" w:cs="仿宋_GB2312" w:eastAsia="仿宋_GB2312"/>
                      <w:sz w:val="21"/>
                      <w:color w:val="000000"/>
                    </w:rPr>
                    <w:t xml:space="preserve"> ▲11.具有12V电源输出设备，输出设备功率不低于35W 。具有照明装置和 充电接口。</w:t>
                  </w:r>
                  <w:r>
                    <w:br/>
                  </w:r>
                  <w:r>
                    <w:rPr>
                      <w:rFonts w:ascii="仿宋_GB2312" w:hAnsi="仿宋_GB2312" w:cs="仿宋_GB2312" w:eastAsia="仿宋_GB2312"/>
                      <w:sz w:val="21"/>
                      <w:color w:val="000000"/>
                    </w:rPr>
                    <w:t xml:space="preserve"> ▲12.最大流量≥375升/分。</w:t>
                  </w:r>
                  <w:r>
                    <w:br/>
                  </w:r>
                  <w:r>
                    <w:rPr>
                      <w:rFonts w:ascii="仿宋_GB2312" w:hAnsi="仿宋_GB2312" w:cs="仿宋_GB2312" w:eastAsia="仿宋_GB2312"/>
                      <w:sz w:val="21"/>
                      <w:color w:val="000000"/>
                    </w:rPr>
                    <w:t xml:space="preserve"> ▲13.水泵出口最大压力≥2.6MPa。</w:t>
                  </w:r>
                  <w:r>
                    <w:br/>
                  </w:r>
                  <w:r>
                    <w:rPr>
                      <w:rFonts w:ascii="仿宋_GB2312" w:hAnsi="仿宋_GB2312" w:cs="仿宋_GB2312" w:eastAsia="仿宋_GB2312"/>
                      <w:sz w:val="21"/>
                      <w:color w:val="000000"/>
                    </w:rPr>
                    <w:t xml:space="preserve"> ▲14.泵组之间可以串联架设、并联架设、并串联架设、并能正常工作。</w:t>
                  </w:r>
                  <w:r>
                    <w:br/>
                  </w:r>
                  <w:r>
                    <w:rPr>
                      <w:rFonts w:ascii="仿宋_GB2312" w:hAnsi="仿宋_GB2312" w:cs="仿宋_GB2312" w:eastAsia="仿宋_GB2312"/>
                      <w:sz w:val="21"/>
                      <w:color w:val="000000"/>
                    </w:rPr>
                    <w:t xml:space="preserve"> ▲15.泵组满足GB6245-2006 中 10.5和10.6的强度测试要求。</w:t>
                  </w:r>
                  <w:r>
                    <w:br/>
                  </w:r>
                  <w:r>
                    <w:rPr>
                      <w:rFonts w:ascii="仿宋_GB2312" w:hAnsi="仿宋_GB2312" w:cs="仿宋_GB2312" w:eastAsia="仿宋_GB2312"/>
                      <w:sz w:val="21"/>
                      <w:color w:val="000000"/>
                    </w:rPr>
                    <w:t xml:space="preserve"> 二、附件及相关要求：</w:t>
                  </w:r>
                  <w:r>
                    <w:br/>
                  </w:r>
                  <w:r>
                    <w:rPr>
                      <w:rFonts w:ascii="仿宋_GB2312" w:hAnsi="仿宋_GB2312" w:cs="仿宋_GB2312" w:eastAsia="仿宋_GB2312"/>
                      <w:sz w:val="21"/>
                      <w:color w:val="000000"/>
                    </w:rPr>
                    <w:t xml:space="preserve"> 1.油箱容量≥20L ，含油管，油箱背包，1套。</w:t>
                  </w:r>
                  <w:r>
                    <w:br/>
                  </w:r>
                  <w:r>
                    <w:rPr>
                      <w:rFonts w:ascii="仿宋_GB2312" w:hAnsi="仿宋_GB2312" w:cs="仿宋_GB2312" w:eastAsia="仿宋_GB2312"/>
                      <w:sz w:val="21"/>
                      <w:color w:val="000000"/>
                    </w:rPr>
                    <w:t xml:space="preserve"> 2.修理工具，1套。</w:t>
                  </w:r>
                  <w:r>
                    <w:br/>
                  </w:r>
                  <w:r>
                    <w:rPr>
                      <w:rFonts w:ascii="仿宋_GB2312" w:hAnsi="仿宋_GB2312" w:cs="仿宋_GB2312" w:eastAsia="仿宋_GB2312"/>
                      <w:sz w:val="21"/>
                      <w:color w:val="000000"/>
                    </w:rPr>
                    <w:t xml:space="preserve"> 3. 引水泵，1个。</w:t>
                  </w:r>
                  <w:r>
                    <w:br/>
                  </w:r>
                  <w:r>
                    <w:rPr>
                      <w:rFonts w:ascii="仿宋_GB2312" w:hAnsi="仿宋_GB2312" w:cs="仿宋_GB2312" w:eastAsia="仿宋_GB2312"/>
                      <w:sz w:val="21"/>
                      <w:color w:val="000000"/>
                    </w:rPr>
                    <w:t xml:space="preserve"> ▲4.吸水管1条，长3米。相关要求：</w:t>
                  </w:r>
                  <w:r>
                    <w:br/>
                  </w:r>
                  <w:r>
                    <w:rPr>
                      <w:rFonts w:ascii="仿宋_GB2312" w:hAnsi="仿宋_GB2312" w:cs="仿宋_GB2312" w:eastAsia="仿宋_GB2312"/>
                      <w:sz w:val="21"/>
                      <w:color w:val="000000"/>
                    </w:rPr>
                    <w:t xml:space="preserve"> （1）测试压力≥5.5MPa ，无渗漏、无损坏；</w:t>
                  </w:r>
                  <w:r>
                    <w:br/>
                  </w:r>
                  <w:r>
                    <w:rPr>
                      <w:rFonts w:ascii="仿宋_GB2312" w:hAnsi="仿宋_GB2312" w:cs="仿宋_GB2312" w:eastAsia="仿宋_GB2312"/>
                      <w:sz w:val="21"/>
                      <w:color w:val="000000"/>
                    </w:rPr>
                    <w:t xml:space="preserve"> （2）重量≤2.8公斤；</w:t>
                  </w:r>
                  <w:r>
                    <w:br/>
                  </w:r>
                  <w:r>
                    <w:rPr>
                      <w:rFonts w:ascii="仿宋_GB2312" w:hAnsi="仿宋_GB2312" w:cs="仿宋_GB2312" w:eastAsia="仿宋_GB2312"/>
                      <w:sz w:val="21"/>
                      <w:color w:val="000000"/>
                    </w:rPr>
                    <w:t xml:space="preserve"> （3）最小弯曲半径≤40厘米；</w:t>
                  </w:r>
                  <w:r>
                    <w:br/>
                  </w:r>
                  <w:r>
                    <w:rPr>
                      <w:rFonts w:ascii="仿宋_GB2312" w:hAnsi="仿宋_GB2312" w:cs="仿宋_GB2312" w:eastAsia="仿宋_GB2312"/>
                      <w:sz w:val="21"/>
                      <w:color w:val="000000"/>
                    </w:rPr>
                    <w:t xml:space="preserve"> （4）接头用扩张式铜环固定；</w:t>
                  </w:r>
                  <w:r>
                    <w:br/>
                  </w:r>
                  <w:r>
                    <w:rPr>
                      <w:rFonts w:ascii="仿宋_GB2312" w:hAnsi="仿宋_GB2312" w:cs="仿宋_GB2312" w:eastAsia="仿宋_GB2312"/>
                      <w:sz w:val="21"/>
                      <w:color w:val="000000"/>
                    </w:rPr>
                    <w:t xml:space="preserve"> （5）储存温度-50 ≤温度值≤60。</w:t>
                  </w:r>
                  <w:r>
                    <w:br/>
                  </w:r>
                  <w:r>
                    <w:rPr>
                      <w:rFonts w:ascii="仿宋_GB2312" w:hAnsi="仿宋_GB2312" w:cs="仿宋_GB2312" w:eastAsia="仿宋_GB2312"/>
                      <w:sz w:val="21"/>
                      <w:color w:val="000000"/>
                    </w:rPr>
                    <w:t xml:space="preserve"> 5.底阀，单向阀，G1.5” 内X快速接头，G1.5” 外X快速接头，G2” 内XG1.5” 内接头，止水钳，直流喷枪，水雾喷枪，三通阀各1个，水带扳手2个，水  带修补环2个。</w:t>
                  </w:r>
                  <w:r>
                    <w:br/>
                  </w:r>
                  <w:r>
                    <w:rPr>
                      <w:rFonts w:ascii="仿宋_GB2312" w:hAnsi="仿宋_GB2312" w:cs="仿宋_GB2312" w:eastAsia="仿宋_GB2312"/>
                      <w:sz w:val="21"/>
                      <w:color w:val="000000"/>
                    </w:rPr>
                    <w:t xml:space="preserve"> ▲6. 自保湿式PU衬里水带1条，长,20米。相关要求：</w:t>
                  </w:r>
                  <w:r>
                    <w:br/>
                  </w:r>
                  <w:r>
                    <w:rPr>
                      <w:rFonts w:ascii="仿宋_GB2312" w:hAnsi="仿宋_GB2312" w:cs="仿宋_GB2312" w:eastAsia="仿宋_GB2312"/>
                      <w:sz w:val="21"/>
                      <w:color w:val="000000"/>
                    </w:rPr>
                    <w:t xml:space="preserve"> （1）性能要求：测试压力≥4.0MPa ，无渗漏、无损坏</w:t>
                  </w:r>
                  <w:r>
                    <w:br/>
                  </w:r>
                  <w:r>
                    <w:rPr>
                      <w:rFonts w:ascii="仿宋_GB2312" w:hAnsi="仿宋_GB2312" w:cs="仿宋_GB2312" w:eastAsia="仿宋_GB2312"/>
                      <w:sz w:val="21"/>
                      <w:color w:val="000000"/>
                    </w:rPr>
                    <w:t xml:space="preserve"> （2）结构要求：水带为DN40，</w:t>
                  </w:r>
                  <w:r>
                    <w:br/>
                  </w:r>
                  <w:r>
                    <w:rPr>
                      <w:rFonts w:ascii="仿宋_GB2312" w:hAnsi="仿宋_GB2312" w:cs="仿宋_GB2312" w:eastAsia="仿宋_GB2312"/>
                      <w:sz w:val="21"/>
                      <w:color w:val="000000"/>
                    </w:rPr>
                    <w:t xml:space="preserve"> （3）耐火要求：水带在工作压力2.0MPa状态下，可在明火上保持5分钟以 上无损。</w:t>
                  </w:r>
                  <w:r>
                    <w:br/>
                  </w:r>
                  <w:r>
                    <w:rPr>
                      <w:rFonts w:ascii="仿宋_GB2312" w:hAnsi="仿宋_GB2312" w:cs="仿宋_GB2312" w:eastAsia="仿宋_GB2312"/>
                      <w:sz w:val="21"/>
                      <w:color w:val="000000"/>
                    </w:rPr>
                    <w:t xml:space="preserve"> （4）定位装置：在一端水带接头有定位装置。</w:t>
                  </w:r>
                  <w:r>
                    <w:br/>
                  </w:r>
                  <w:r>
                    <w:rPr>
                      <w:rFonts w:ascii="仿宋_GB2312" w:hAnsi="仿宋_GB2312" w:cs="仿宋_GB2312" w:eastAsia="仿宋_GB2312"/>
                      <w:sz w:val="21"/>
                      <w:b/>
                      <w:color w:val="000000"/>
                    </w:rPr>
                    <w:t>注：须提供有 CMA认证标志的第三方检测机构出具的满足以上“▲”号参数要求的检测报告证明，报告复印件须加盖供应商公章，否则视为不满足。</w:t>
                  </w:r>
                </w:p>
              </w:tc>
              <w:tc>
                <w:tcPr>
                  <w:tcW w:type="dxa" w:w="22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w:t>
                  </w:r>
                </w:p>
              </w:tc>
              <w:tc>
                <w:tcPr>
                  <w:tcW w:type="dxa" w:w="25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台</w:t>
                  </w:r>
                </w:p>
              </w:tc>
              <w:tc>
                <w:tcPr>
                  <w:tcW w:type="dxa" w:w="2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该项标的为核心产品</w:t>
                  </w:r>
                </w:p>
              </w:tc>
            </w:tr>
            <w:tr>
              <w:tc>
                <w:tcPr>
                  <w:tcW w:type="dxa" w:w="251"/>
                  <w:vMerge/>
                  <w:tcBorders>
                    <w:top w:val="single" w:color="000000" w:sz="4"/>
                    <w:left w:val="single" w:color="000000" w:sz="4"/>
                    <w:bottom w:val="single" w:color="000000" w:sz="4"/>
                    <w:right w:val="single" w:color="000000" w:sz="4"/>
                  </w:tcBorders>
                </w:tcPr>
                <w:p/>
              </w:tc>
              <w:tc>
                <w:tcPr>
                  <w:tcW w:type="dxa" w:w="329"/>
                  <w:vMerge/>
                  <w:tcBorders>
                    <w:top w:val="single" w:color="000000" w:sz="4"/>
                    <w:left w:val="single" w:color="000000" w:sz="4"/>
                    <w:bottom w:val="single" w:color="000000" w:sz="4"/>
                    <w:right w:val="single" w:color="000000" w:sz="4"/>
                  </w:tcBorders>
                </w:tcPr>
                <w:p/>
              </w:tc>
              <w:tc>
                <w:tcPr>
                  <w:tcW w:type="dxa" w:w="1249"/>
                  <w:vMerge/>
                  <w:tcBorders>
                    <w:top w:val="single" w:color="000000" w:sz="4"/>
                    <w:left w:val="single" w:color="000000" w:sz="4"/>
                    <w:bottom w:val="single" w:color="000000" w:sz="4"/>
                    <w:right w:val="single" w:color="000000" w:sz="4"/>
                  </w:tcBorders>
                </w:tcPr>
                <w:p/>
              </w:tc>
              <w:tc>
                <w:tcPr>
                  <w:tcW w:type="dxa" w:w="224"/>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r>
          </w:tbl>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tbl>
            <w:tblPr>
              <w:tblBorders>
                <w:top w:val="single"/>
                <w:left w:val="single"/>
                <w:bottom w:val="single"/>
                <w:right w:val="single"/>
                <w:insideH w:val="single"/>
                <w:insideV w:val="single"/>
              </w:tblBorders>
            </w:tblPr>
            <w:tblGrid>
              <w:gridCol w:w="251"/>
              <w:gridCol w:w="329"/>
              <w:gridCol w:w="1249"/>
              <w:gridCol w:w="224"/>
              <w:gridCol w:w="254"/>
              <w:gridCol w:w="242"/>
            </w:tblGrid>
            <w:tr>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序号</w:t>
                  </w: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产品名称</w:t>
                  </w:r>
                </w:p>
              </w:tc>
              <w:tc>
                <w:tcPr>
                  <w:tcW w:type="dxa" w:w="124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技术参数</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数量</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单位</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备注</w:t>
                  </w:r>
                </w:p>
              </w:tc>
            </w:tr>
            <w:tr>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w:t>
                  </w: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发电机</w:t>
                  </w:r>
                </w:p>
              </w:tc>
              <w:tc>
                <w:tcPr>
                  <w:tcW w:type="dxa" w:w="124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 、额定频率（ Hz )：50</w:t>
                  </w:r>
                  <w:r>
                    <w:br/>
                  </w:r>
                  <w:r>
                    <w:rPr>
                      <w:rFonts w:ascii="仿宋_GB2312" w:hAnsi="仿宋_GB2312" w:cs="仿宋_GB2312" w:eastAsia="仿宋_GB2312"/>
                      <w:sz w:val="21"/>
                      <w:color w:val="000000"/>
                    </w:rPr>
                    <w:t xml:space="preserve"> 2 、启动系统：手动/电动</w:t>
                  </w:r>
                  <w:r>
                    <w:br/>
                  </w:r>
                  <w:r>
                    <w:rPr>
                      <w:rFonts w:ascii="仿宋_GB2312" w:hAnsi="仿宋_GB2312" w:cs="仿宋_GB2312" w:eastAsia="仿宋_GB2312"/>
                      <w:sz w:val="21"/>
                      <w:color w:val="000000"/>
                    </w:rPr>
                    <w:t xml:space="preserve"> 3 、油箱容量（ L )：≥24</w:t>
                  </w:r>
                  <w:r>
                    <w:br/>
                  </w:r>
                  <w:r>
                    <w:rPr>
                      <w:rFonts w:ascii="仿宋_GB2312" w:hAnsi="仿宋_GB2312" w:cs="仿宋_GB2312" w:eastAsia="仿宋_GB2312"/>
                      <w:sz w:val="21"/>
                      <w:color w:val="000000"/>
                    </w:rPr>
                    <w:t xml:space="preserve"> 4 、额定电压（ V )：230</w:t>
                  </w:r>
                  <w:r>
                    <w:br/>
                  </w:r>
                  <w:r>
                    <w:rPr>
                      <w:rFonts w:ascii="仿宋_GB2312" w:hAnsi="仿宋_GB2312" w:cs="仿宋_GB2312" w:eastAsia="仿宋_GB2312"/>
                      <w:sz w:val="21"/>
                      <w:color w:val="000000"/>
                    </w:rPr>
                    <w:t xml:space="preserve"> 5 、连续工作时间（ hr )：≥8</w:t>
                  </w:r>
                  <w:r>
                    <w:br/>
                  </w:r>
                  <w:r>
                    <w:rPr>
                      <w:rFonts w:ascii="仿宋_GB2312" w:hAnsi="仿宋_GB2312" w:cs="仿宋_GB2312" w:eastAsia="仿宋_GB2312"/>
                      <w:sz w:val="21"/>
                      <w:color w:val="000000"/>
                    </w:rPr>
                    <w:t xml:space="preserve"> 6 、耗油量（ L / hr )：≤3</w:t>
                  </w:r>
                  <w:r>
                    <w:br/>
                  </w:r>
                  <w:r>
                    <w:rPr>
                      <w:rFonts w:ascii="仿宋_GB2312" w:hAnsi="仿宋_GB2312" w:cs="仿宋_GB2312" w:eastAsia="仿宋_GB2312"/>
                      <w:sz w:val="21"/>
                      <w:color w:val="000000"/>
                    </w:rPr>
                    <w:t xml:space="preserve"> 7 、额定功率（ KVA )：5.0</w:t>
                  </w:r>
                  <w:r>
                    <w:br/>
                  </w:r>
                  <w:r>
                    <w:rPr>
                      <w:rFonts w:ascii="仿宋_GB2312" w:hAnsi="仿宋_GB2312" w:cs="仿宋_GB2312" w:eastAsia="仿宋_GB2312"/>
                      <w:sz w:val="21"/>
                      <w:color w:val="000000"/>
                    </w:rPr>
                    <w:t xml:space="preserve"> 8 、噪音（ dB ( A ))(7米处）：≤74</w:t>
                  </w:r>
                  <w:r>
                    <w:br/>
                  </w:r>
                  <w:r>
                    <w:rPr>
                      <w:rFonts w:ascii="仿宋_GB2312" w:hAnsi="仿宋_GB2312" w:cs="仿宋_GB2312" w:eastAsia="仿宋_GB2312"/>
                      <w:sz w:val="21"/>
                      <w:color w:val="000000"/>
                    </w:rPr>
                    <w:t xml:space="preserve"> 9 、排气量（cm3)：≥389</w:t>
                  </w:r>
                  <w:r>
                    <w:br/>
                  </w:r>
                  <w:r>
                    <w:rPr>
                      <w:rFonts w:ascii="仿宋_GB2312" w:hAnsi="仿宋_GB2312" w:cs="仿宋_GB2312" w:eastAsia="仿宋_GB2312"/>
                      <w:sz w:val="21"/>
                      <w:color w:val="000000"/>
                    </w:rPr>
                    <w:t xml:space="preserve"> 10 、净重：≤89.0kg</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把</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tbl>
            <w:tblPr>
              <w:tblBorders>
                <w:top w:val="single"/>
                <w:left w:val="single"/>
                <w:bottom w:val="single"/>
                <w:right w:val="single"/>
                <w:insideH w:val="single"/>
                <w:insideV w:val="single"/>
              </w:tblBorders>
            </w:tblPr>
            <w:tblGrid>
              <w:gridCol w:w="251"/>
              <w:gridCol w:w="329"/>
              <w:gridCol w:w="1249"/>
              <w:gridCol w:w="224"/>
              <w:gridCol w:w="254"/>
              <w:gridCol w:w="242"/>
            </w:tblGrid>
            <w:tr>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序号</w:t>
                  </w: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产品名称</w:t>
                  </w:r>
                </w:p>
              </w:tc>
              <w:tc>
                <w:tcPr>
                  <w:tcW w:type="dxa" w:w="124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技术参数</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数量</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单位</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备注</w:t>
                  </w:r>
                </w:p>
              </w:tc>
            </w:tr>
            <w:tr>
              <w:tc>
                <w:tcPr>
                  <w:tcW w:type="dxa" w:w="25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w:t>
                  </w:r>
                </w:p>
              </w:tc>
              <w:tc>
                <w:tcPr>
                  <w:tcW w:type="dxa" w:w="32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扑火装备（含阻燃服、鞋、背包、手套、头盔等5件套）</w:t>
                  </w:r>
                </w:p>
              </w:tc>
              <w:tc>
                <w:tcPr>
                  <w:tcW w:type="dxa" w:w="1249"/>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一、阻燃服（防火服）</w:t>
                  </w:r>
                  <w:r>
                    <w:br/>
                  </w:r>
                  <w:r>
                    <w:rPr>
                      <w:rFonts w:ascii="仿宋_GB2312" w:hAnsi="仿宋_GB2312" w:cs="仿宋_GB2312" w:eastAsia="仿宋_GB2312"/>
                      <w:sz w:val="21"/>
                      <w:color w:val="000000"/>
                    </w:rPr>
                    <w:t xml:space="preserve"> 1 、服装检测依据：GB/T 33536-2017《防护服装森林防火服》</w:t>
                  </w:r>
                  <w:r>
                    <w:br/>
                  </w:r>
                  <w:r>
                    <w:rPr>
                      <w:rFonts w:ascii="仿宋_GB2312" w:hAnsi="仿宋_GB2312" w:cs="仿宋_GB2312" w:eastAsia="仿宋_GB2312"/>
                      <w:sz w:val="21"/>
                      <w:color w:val="000000"/>
                    </w:rPr>
                    <w:t xml:space="preserve"> 2 、符合 MA\ilac.MRA\CNAS 认证</w:t>
                  </w:r>
                  <w:r>
                    <w:br/>
                  </w:r>
                  <w:r>
                    <w:rPr>
                      <w:rFonts w:ascii="仿宋_GB2312" w:hAnsi="仿宋_GB2312" w:cs="仿宋_GB2312" w:eastAsia="仿宋_GB2312"/>
                      <w:sz w:val="21"/>
                      <w:color w:val="000000"/>
                    </w:rPr>
                    <w:t xml:space="preserve"> 3 、面料阻燃性能</w:t>
                  </w:r>
                  <w:r>
                    <w:br/>
                  </w:r>
                  <w:r>
                    <w:rPr>
                      <w:rFonts w:ascii="仿宋_GB2312" w:hAnsi="仿宋_GB2312" w:cs="仿宋_GB2312" w:eastAsia="仿宋_GB2312"/>
                      <w:sz w:val="21"/>
                      <w:color w:val="000000"/>
                    </w:rPr>
                    <w:t xml:space="preserve"> 续燃时间（s） :经向≤0 纬向≤0</w:t>
                  </w:r>
                  <w:r>
                    <w:br/>
                  </w:r>
                  <w:r>
                    <w:rPr>
                      <w:rFonts w:ascii="仿宋_GB2312" w:hAnsi="仿宋_GB2312" w:cs="仿宋_GB2312" w:eastAsia="仿宋_GB2312"/>
                      <w:sz w:val="21"/>
                      <w:color w:val="000000"/>
                    </w:rPr>
                    <w:t xml:space="preserve"> 阴燃时间（s） :经向≤0.8 纬向≤0.8 损毁长度（mm ） :经向≤9 纬向≤10</w:t>
                  </w:r>
                  <w:r>
                    <w:br/>
                  </w:r>
                  <w:r>
                    <w:rPr>
                      <w:rFonts w:ascii="仿宋_GB2312" w:hAnsi="仿宋_GB2312" w:cs="仿宋_GB2312" w:eastAsia="仿宋_GB2312"/>
                      <w:sz w:val="21"/>
                      <w:color w:val="000000"/>
                    </w:rPr>
                    <w:t xml:space="preserve"> 4 、洗涤 50 次后断裂强力：经向≥2300N 纬向≥1800N；洗涤</w:t>
                  </w:r>
                  <w:r>
                    <w:br/>
                  </w:r>
                  <w:r>
                    <w:rPr>
                      <w:rFonts w:ascii="仿宋_GB2312" w:hAnsi="仿宋_GB2312" w:cs="仿宋_GB2312" w:eastAsia="仿宋_GB2312"/>
                      <w:sz w:val="21"/>
                      <w:color w:val="000000"/>
                    </w:rPr>
                    <w:t xml:space="preserve"> 50 次后撕破强力：经向≥750N 纬向≥600N</w:t>
                  </w:r>
                  <w:r>
                    <w:br/>
                  </w:r>
                  <w:r>
                    <w:rPr>
                      <w:rFonts w:ascii="仿宋_GB2312" w:hAnsi="仿宋_GB2312" w:cs="仿宋_GB2312" w:eastAsia="仿宋_GB2312"/>
                      <w:sz w:val="21"/>
                      <w:color w:val="000000"/>
                    </w:rPr>
                    <w:t xml:space="preserve"> 5 、单位面积质量（ g/m2） ≤202</w:t>
                  </w:r>
                  <w:r>
                    <w:br/>
                  </w:r>
                  <w:r>
                    <w:rPr>
                      <w:rFonts w:ascii="仿宋_GB2312" w:hAnsi="仿宋_GB2312" w:cs="仿宋_GB2312" w:eastAsia="仿宋_GB2312"/>
                      <w:sz w:val="21"/>
                      <w:color w:val="000000"/>
                    </w:rPr>
                    <w:t xml:space="preserve"> 6 、水洗尺寸变化率：经向≤-0.3% 纬向≤-0.3%</w:t>
                  </w:r>
                  <w:r>
                    <w:br/>
                  </w:r>
                  <w:r>
                    <w:rPr>
                      <w:rFonts w:ascii="仿宋_GB2312" w:hAnsi="仿宋_GB2312" w:cs="仿宋_GB2312" w:eastAsia="仿宋_GB2312"/>
                      <w:sz w:val="21"/>
                      <w:color w:val="000000"/>
                    </w:rPr>
                    <w:t xml:space="preserve"> 7 、热稳定性（260℃±5℃) 尺寸变化率：经向≤1% 纬向≤1%</w:t>
                  </w:r>
                  <w:r>
                    <w:br/>
                  </w:r>
                  <w:r>
                    <w:rPr>
                      <w:rFonts w:ascii="仿宋_GB2312" w:hAnsi="仿宋_GB2312" w:cs="仿宋_GB2312" w:eastAsia="仿宋_GB2312"/>
                      <w:sz w:val="21"/>
                      <w:color w:val="000000"/>
                    </w:rPr>
                    <w:t xml:space="preserve"> 8 、 甲醛含量： ≤20mg/kg</w:t>
                  </w:r>
                  <w:r>
                    <w:br/>
                  </w:r>
                  <w:r>
                    <w:rPr>
                      <w:rFonts w:ascii="仿宋_GB2312" w:hAnsi="仿宋_GB2312" w:cs="仿宋_GB2312" w:eastAsia="仿宋_GB2312"/>
                      <w:sz w:val="21"/>
                      <w:color w:val="000000"/>
                    </w:rPr>
                    <w:t xml:space="preserve"> 9 、PH 值：4.0~8.5</w:t>
                  </w:r>
                  <w:r>
                    <w:br/>
                  </w:r>
                  <w:r>
                    <w:rPr>
                      <w:rFonts w:ascii="仿宋_GB2312" w:hAnsi="仿宋_GB2312" w:cs="仿宋_GB2312" w:eastAsia="仿宋_GB2312"/>
                      <w:sz w:val="21"/>
                      <w:color w:val="000000"/>
                    </w:rPr>
                    <w:t xml:space="preserve"> 10 、缝纫线强力： ≥18N</w:t>
                  </w:r>
                  <w:r>
                    <w:br/>
                  </w:r>
                  <w:r>
                    <w:rPr>
                      <w:rFonts w:ascii="仿宋_GB2312" w:hAnsi="仿宋_GB2312" w:cs="仿宋_GB2312" w:eastAsia="仿宋_GB2312"/>
                      <w:sz w:val="21"/>
                      <w:color w:val="000000"/>
                    </w:rPr>
                    <w:t xml:space="preserve"> 11 、耐光色牢度：符合（蓝标 4 级）</w:t>
                  </w:r>
                  <w:r>
                    <w:br/>
                  </w:r>
                  <w:r>
                    <w:rPr>
                      <w:rFonts w:ascii="仿宋_GB2312" w:hAnsi="仿宋_GB2312" w:cs="仿宋_GB2312" w:eastAsia="仿宋_GB2312"/>
                      <w:sz w:val="21"/>
                      <w:color w:val="000000"/>
                    </w:rPr>
                    <w:t xml:space="preserve"> 12 、缝纫线热稳定性：缝纫线在 260℃高温中，经 5min 热稳定试验后，无 熔融和烧焦现象。</w:t>
                  </w:r>
                  <w:r>
                    <w:br/>
                  </w:r>
                  <w:r>
                    <w:rPr>
                      <w:rFonts w:ascii="仿宋_GB2312" w:hAnsi="仿宋_GB2312" w:cs="仿宋_GB2312" w:eastAsia="仿宋_GB2312"/>
                      <w:sz w:val="21"/>
                      <w:color w:val="000000"/>
                    </w:rPr>
                    <w:t xml:space="preserve"> 13 、色牢度（耐洗、耐水、耐污渍）：原样变色≥4-5 涤布沾 色≥4-5 棉布沾 色≥4-5</w:t>
                  </w:r>
                  <w:r>
                    <w:br/>
                  </w:r>
                  <w:r>
                    <w:rPr>
                      <w:rFonts w:ascii="仿宋_GB2312" w:hAnsi="仿宋_GB2312" w:cs="仿宋_GB2312" w:eastAsia="仿宋_GB2312"/>
                      <w:sz w:val="21"/>
                      <w:color w:val="000000"/>
                    </w:rPr>
                    <w:t xml:space="preserve"> 14 、反光带阻燃性能 续燃时间（s） : ≤0.1 阴燃时间（s） : ≤0.8 熔融、滴 落：无</w:t>
                  </w:r>
                  <w:r>
                    <w:br/>
                  </w:r>
                  <w:r>
                    <w:rPr>
                      <w:rFonts w:ascii="仿宋_GB2312" w:hAnsi="仿宋_GB2312" w:cs="仿宋_GB2312" w:eastAsia="仿宋_GB2312"/>
                      <w:sz w:val="21"/>
                      <w:color w:val="000000"/>
                    </w:rPr>
                    <w:t xml:space="preserve"> 15 、反光带热稳定性：反光带在 260℃高温中，经 5min 热稳定试验后，表 面无碳化、脱落现象。</w:t>
                  </w:r>
                  <w:r>
                    <w:br/>
                  </w:r>
                  <w:r>
                    <w:rPr>
                      <w:rFonts w:ascii="仿宋_GB2312" w:hAnsi="仿宋_GB2312" w:cs="仿宋_GB2312" w:eastAsia="仿宋_GB2312"/>
                      <w:sz w:val="21"/>
                      <w:color w:val="000000"/>
                    </w:rPr>
                    <w:t xml:space="preserve"> 16 、微型安全报警器：每 10 套防火服配备 1 个，要求开机设备进入正常工 作状态的时间≤3min</w:t>
                  </w:r>
                  <w:r>
                    <w:br/>
                  </w:r>
                  <w:r>
                    <w:rPr>
                      <w:rFonts w:ascii="仿宋_GB2312" w:hAnsi="仿宋_GB2312" w:cs="仿宋_GB2312" w:eastAsia="仿宋_GB2312"/>
                      <w:sz w:val="21"/>
                      <w:color w:val="000000"/>
                    </w:rPr>
                    <w:t xml:space="preserve"> ▲17 、报警功能要求：</w:t>
                  </w:r>
                  <w:r>
                    <w:br/>
                  </w:r>
                  <w:r>
                    <w:rPr>
                      <w:rFonts w:ascii="仿宋_GB2312" w:hAnsi="仿宋_GB2312" w:cs="仿宋_GB2312" w:eastAsia="仿宋_GB2312"/>
                      <w:sz w:val="21"/>
                      <w:color w:val="000000"/>
                    </w:rPr>
                    <w:t xml:space="preserve"> 当 CO 浓度高于 400PPM（百万分之 400）和 O2 浓度低于 19.5% 时，会触 发一级报警，要求有醒目绿色灯光闪烁；</w:t>
                  </w:r>
                  <w:r>
                    <w:br/>
                  </w:r>
                  <w:r>
                    <w:rPr>
                      <w:rFonts w:ascii="仿宋_GB2312" w:hAnsi="仿宋_GB2312" w:cs="仿宋_GB2312" w:eastAsia="仿宋_GB2312"/>
                      <w:sz w:val="21"/>
                      <w:color w:val="000000"/>
                    </w:rPr>
                    <w:t xml:space="preserve"> 当 CO 浓度高于 800PPM（百万分之 800）和 O2 浓度低于 18%时，会触发 二级报警，要求具有醒目绿色与红色灯光均闪，并发出蜂鸣声；</w:t>
                  </w:r>
                  <w:r>
                    <w:br/>
                  </w:r>
                  <w:r>
                    <w:rPr>
                      <w:rFonts w:ascii="仿宋_GB2312" w:hAnsi="仿宋_GB2312" w:cs="仿宋_GB2312" w:eastAsia="仿宋_GB2312"/>
                      <w:sz w:val="21"/>
                      <w:color w:val="000000"/>
                    </w:rPr>
                    <w:t xml:space="preserve"> 18 、设备持续工作时间≥8h(一次性充满电使用时间)</w:t>
                  </w:r>
                  <w:r>
                    <w:br/>
                  </w:r>
                  <w:r>
                    <w:rPr>
                      <w:rFonts w:ascii="仿宋_GB2312" w:hAnsi="仿宋_GB2312" w:cs="仿宋_GB2312" w:eastAsia="仿宋_GB2312"/>
                      <w:sz w:val="21"/>
                      <w:color w:val="000000"/>
                    </w:rPr>
                    <w:t xml:space="preserve"> 19 、充电方式：可以使用充电宝充电；</w:t>
                  </w:r>
                  <w:r>
                    <w:br/>
                  </w:r>
                  <w:r>
                    <w:rPr>
                      <w:rFonts w:ascii="仿宋_GB2312" w:hAnsi="仿宋_GB2312" w:cs="仿宋_GB2312" w:eastAsia="仿宋_GB2312"/>
                      <w:sz w:val="21"/>
                      <w:color w:val="000000"/>
                    </w:rPr>
                    <w:t xml:space="preserve"> ▲20 、可使用手机专用软件，对设备工作数据进行监测。</w:t>
                  </w:r>
                  <w:r>
                    <w:br/>
                  </w:r>
                  <w:r>
                    <w:rPr>
                      <w:rFonts w:ascii="仿宋_GB2312" w:hAnsi="仿宋_GB2312" w:cs="仿宋_GB2312" w:eastAsia="仿宋_GB2312"/>
                      <w:sz w:val="21"/>
                      <w:color w:val="000000"/>
                    </w:rPr>
                    <w:t xml:space="preserve"> 21 、设备尺寸≤75(长)×45(宽)×25(高)mm</w:t>
                  </w:r>
                  <w:r>
                    <w:br/>
                  </w:r>
                  <w:r>
                    <w:rPr>
                      <w:rFonts w:ascii="仿宋_GB2312" w:hAnsi="仿宋_GB2312" w:cs="仿宋_GB2312" w:eastAsia="仿宋_GB2312"/>
                      <w:sz w:val="21"/>
                      <w:color w:val="000000"/>
                    </w:rPr>
                    <w:t xml:space="preserve"> 22 、设备净重≤85g</w:t>
                  </w:r>
                  <w:r>
                    <w:br/>
                  </w:r>
                  <w:r>
                    <w:rPr>
                      <w:rFonts w:ascii="仿宋_GB2312" w:hAnsi="仿宋_GB2312" w:cs="仿宋_GB2312" w:eastAsia="仿宋_GB2312"/>
                      <w:sz w:val="21"/>
                      <w:color w:val="000000"/>
                    </w:rPr>
                    <w:t xml:space="preserve"> 23 、佩戴方式：肩夹式</w:t>
                  </w:r>
                  <w:r>
                    <w:br/>
                  </w:r>
                  <w:r>
                    <w:rPr>
                      <w:rFonts w:ascii="仿宋_GB2312" w:hAnsi="仿宋_GB2312" w:cs="仿宋_GB2312" w:eastAsia="仿宋_GB2312"/>
                      <w:sz w:val="21"/>
                      <w:b/>
                      <w:color w:val="000000"/>
                    </w:rPr>
                    <w:t>注：提供省级及以上特种安全防护产品质量监督检验中心报告复印件并加盖供应商公章，原件备查。“▲”标注项需在检验报告中体现，否则视为负偏离。</w:t>
                  </w:r>
                  <w:r>
                    <w:br/>
                  </w:r>
                  <w:r>
                    <w:rPr>
                      <w:rFonts w:ascii="仿宋_GB2312" w:hAnsi="仿宋_GB2312" w:cs="仿宋_GB2312" w:eastAsia="仿宋_GB2312"/>
                      <w:sz w:val="21"/>
                      <w:color w:val="000000"/>
                    </w:rPr>
                    <w:t xml:space="preserve"> 二、防火头盔</w:t>
                  </w:r>
                  <w:r>
                    <w:br/>
                  </w:r>
                  <w:r>
                    <w:rPr>
                      <w:rFonts w:ascii="仿宋_GB2312" w:hAnsi="仿宋_GB2312" w:cs="仿宋_GB2312" w:eastAsia="仿宋_GB2312"/>
                      <w:sz w:val="21"/>
                      <w:color w:val="000000"/>
                    </w:rPr>
                    <w:t xml:space="preserve"> 1 、头盔由盔体、缓冲层、下颏带、衬垫模块、墨鱼干、导轨、通风配件、 护目镜支架组成。</w:t>
                  </w:r>
                  <w:r>
                    <w:br/>
                  </w:r>
                  <w:r>
                    <w:rPr>
                      <w:rFonts w:ascii="仿宋_GB2312" w:hAnsi="仿宋_GB2312" w:cs="仿宋_GB2312" w:eastAsia="仿宋_GB2312"/>
                      <w:sz w:val="21"/>
                      <w:color w:val="000000"/>
                    </w:rPr>
                    <w:t xml:space="preserve"> 2 、头盔盔体采用高强度轻型材质，复合碳纤、芳纶，高分子聚乙烯、防刺 尼龙纤维制成，具有高抗冲击，穿刺性能。</w:t>
                  </w:r>
                  <w:r>
                    <w:br/>
                  </w:r>
                  <w:r>
                    <w:rPr>
                      <w:rFonts w:ascii="仿宋_GB2312" w:hAnsi="仿宋_GB2312" w:cs="仿宋_GB2312" w:eastAsia="仿宋_GB2312"/>
                      <w:sz w:val="21"/>
                      <w:color w:val="000000"/>
                    </w:rPr>
                    <w:t xml:space="preserve"> 3 、头盔悬挂后设有头围可调节装置，头盔后面设有护目镜固定夹。</w:t>
                  </w:r>
                  <w:r>
                    <w:br/>
                  </w:r>
                  <w:r>
                    <w:rPr>
                      <w:rFonts w:ascii="仿宋_GB2312" w:hAnsi="仿宋_GB2312" w:cs="仿宋_GB2312" w:eastAsia="仿宋_GB2312"/>
                      <w:sz w:val="21"/>
                      <w:color w:val="000000"/>
                    </w:rPr>
                    <w:t xml:space="preserve"> 4 、冲击吸收性能：按照 XF633-2006 中 7.18 中规定的方法测试， 头模所受 冲击力的最大值不应大于 3780N。</w:t>
                  </w:r>
                  <w:r>
                    <w:br/>
                  </w:r>
                  <w:r>
                    <w:rPr>
                      <w:rFonts w:ascii="仿宋_GB2312" w:hAnsi="仿宋_GB2312" w:cs="仿宋_GB2312" w:eastAsia="仿宋_GB2312"/>
                      <w:sz w:val="21"/>
                      <w:color w:val="000000"/>
                    </w:rPr>
                    <w:t xml:space="preserve"> 5 、耐穿刺性能：按照 XF633-2006 中 7.19 中规定的方法测试，钢锥不应与 头模建立电接触。</w:t>
                  </w:r>
                  <w:r>
                    <w:br/>
                  </w:r>
                  <w:r>
                    <w:rPr>
                      <w:rFonts w:ascii="仿宋_GB2312" w:hAnsi="仿宋_GB2312" w:cs="仿宋_GB2312" w:eastAsia="仿宋_GB2312"/>
                      <w:sz w:val="21"/>
                      <w:color w:val="000000"/>
                    </w:rPr>
                    <w:t xml:space="preserve"> 6 、 电绝缘性能：按照 XF633-2006 中 7.20 中规定泄露电流应不大于 0.5mA。</w:t>
                  </w:r>
                  <w:r>
                    <w:br/>
                  </w:r>
                  <w:r>
                    <w:rPr>
                      <w:rFonts w:ascii="仿宋_GB2312" w:hAnsi="仿宋_GB2312" w:cs="仿宋_GB2312" w:eastAsia="仿宋_GB2312"/>
                      <w:sz w:val="21"/>
                      <w:color w:val="000000"/>
                    </w:rPr>
                    <w:t xml:space="preserve"> 7 、侧向刚性：按照 XF633-2006 中 7.21 中规定的方法测试，最大变形应不 大于40mm ，残余变形应不大于 15mm ，盔体不得有碎片脱落。</w:t>
                  </w:r>
                  <w:r>
                    <w:br/>
                  </w:r>
                  <w:r>
                    <w:rPr>
                      <w:rFonts w:ascii="仿宋_GB2312" w:hAnsi="仿宋_GB2312" w:cs="仿宋_GB2312" w:eastAsia="仿宋_GB2312"/>
                      <w:sz w:val="21"/>
                      <w:color w:val="000000"/>
                    </w:rPr>
                    <w:t xml:space="preserve"> 8 、阻燃性能：按照 XF633-2006 中 7.1.2 中规定的方法测试，火源离开帽壳 后，帽壳火焰应在 5 s内自熄。</w:t>
                  </w:r>
                  <w:r>
                    <w:br/>
                  </w:r>
                  <w:r>
                    <w:rPr>
                      <w:rFonts w:ascii="仿宋_GB2312" w:hAnsi="仿宋_GB2312" w:cs="仿宋_GB2312" w:eastAsia="仿宋_GB2312"/>
                      <w:sz w:val="21"/>
                      <w:color w:val="000000"/>
                    </w:rPr>
                    <w:t xml:space="preserve"> 9 、下颏带抗拉强度：按照 XF633-2006 中 7.22 中规定的方法测 试，下颏带 不应发生断裂、滑脱，其延伸长度不应大于15mm</w:t>
                  </w:r>
                  <w:r>
                    <w:br/>
                  </w:r>
                  <w:r>
                    <w:rPr>
                      <w:rFonts w:ascii="仿宋_GB2312" w:hAnsi="仿宋_GB2312" w:cs="仿宋_GB2312" w:eastAsia="仿宋_GB2312"/>
                      <w:sz w:val="21"/>
                      <w:color w:val="000000"/>
                    </w:rPr>
                    <w:t xml:space="preserve"> 10 、热稳定性能：按照 XF 633-2006 中 7.6.2.2.5 规定的方法测试，在温度  为（180±5） ℃条件下，经 5min 后，救援头盔边 沿应无明显变形；硬质附 件须保持功能完好；反光材料表面无碳化、脱落现象。</w:t>
                  </w:r>
                  <w:r>
                    <w:br/>
                  </w:r>
                  <w:r>
                    <w:rPr>
                      <w:rFonts w:ascii="仿宋_GB2312" w:hAnsi="仿宋_GB2312" w:cs="仿宋_GB2312" w:eastAsia="仿宋_GB2312"/>
                      <w:sz w:val="21"/>
                      <w:color w:val="000000"/>
                    </w:rPr>
                    <w:t xml:space="preserve"> 11 、佩戴稳定性:按 XF 44-2015 中 5.3. 10 条规定的方法测试，头盔不应从头 模上脱落。</w:t>
                  </w:r>
                  <w:r>
                    <w:br/>
                  </w:r>
                  <w:r>
                    <w:rPr>
                      <w:rFonts w:ascii="仿宋_GB2312" w:hAnsi="仿宋_GB2312" w:cs="仿宋_GB2312" w:eastAsia="仿宋_GB2312"/>
                      <w:sz w:val="21"/>
                      <w:color w:val="000000"/>
                    </w:rPr>
                    <w:t xml:space="preserve"> 三、防火手套</w:t>
                  </w:r>
                  <w:r>
                    <w:br/>
                  </w:r>
                  <w:r>
                    <w:rPr>
                      <w:rFonts w:ascii="仿宋_GB2312" w:hAnsi="仿宋_GB2312" w:cs="仿宋_GB2312" w:eastAsia="仿宋_GB2312"/>
                      <w:sz w:val="21"/>
                      <w:color w:val="000000"/>
                    </w:rPr>
                    <w:t xml:space="preserve"> 1 、符合应急管理部公告 2020 年第 5 号，消防救援行业标准 XF633-2006《 消防员抢险救援防护服装》；</w:t>
                  </w:r>
                  <w:r>
                    <w:br/>
                  </w:r>
                  <w:r>
                    <w:rPr>
                      <w:rFonts w:ascii="仿宋_GB2312" w:hAnsi="仿宋_GB2312" w:cs="仿宋_GB2312" w:eastAsia="仿宋_GB2312"/>
                      <w:sz w:val="21"/>
                      <w:color w:val="000000"/>
                    </w:rPr>
                    <w:t xml:space="preserve"> 2 、阻燃性能：续燃时间经向 0s 、纬向 0s ，损毁长度≤50mm ， 无熔融和滴 落现象；</w:t>
                  </w:r>
                  <w:r>
                    <w:br/>
                  </w:r>
                  <w:r>
                    <w:rPr>
                      <w:rFonts w:ascii="仿宋_GB2312" w:hAnsi="仿宋_GB2312" w:cs="仿宋_GB2312" w:eastAsia="仿宋_GB2312"/>
                      <w:sz w:val="21"/>
                      <w:color w:val="000000"/>
                    </w:rPr>
                    <w:t xml:space="preserve"> 3 、热稳定性能：收缩率≤1. 1% ，手套在 180℃温度下保持 5min ， 表面无变 化，且无熔融、熔滴和剥离现象。</w:t>
                  </w:r>
                  <w:r>
                    <w:br/>
                  </w:r>
                  <w:r>
                    <w:rPr>
                      <w:rFonts w:ascii="仿宋_GB2312" w:hAnsi="仿宋_GB2312" w:cs="仿宋_GB2312" w:eastAsia="仿宋_GB2312"/>
                      <w:sz w:val="21"/>
                      <w:color w:val="000000"/>
                    </w:rPr>
                    <w:t xml:space="preserve"> 4 、耐磨性能：在 9kPa 的压力下，经 8000 次循环摩擦后不磨穿。</w:t>
                  </w:r>
                  <w:r>
                    <w:br/>
                  </w:r>
                  <w:r>
                    <w:rPr>
                      <w:rFonts w:ascii="仿宋_GB2312" w:hAnsi="仿宋_GB2312" w:cs="仿宋_GB2312" w:eastAsia="仿宋_GB2312"/>
                      <w:sz w:val="21"/>
                      <w:color w:val="000000"/>
                    </w:rPr>
                    <w:t xml:space="preserve"> 5 、耐撕破性能背面外层(洗涤 50 次后）： ≥690N</w:t>
                  </w:r>
                  <w:r>
                    <w:br/>
                  </w:r>
                  <w:r>
                    <w:rPr>
                      <w:rFonts w:ascii="仿宋_GB2312" w:hAnsi="仿宋_GB2312" w:cs="仿宋_GB2312" w:eastAsia="仿宋_GB2312"/>
                      <w:sz w:val="21"/>
                      <w:color w:val="000000"/>
                    </w:rPr>
                    <w:t xml:space="preserve"> 6 、面料甲醛含量： ≤75mg/kg</w:t>
                  </w:r>
                  <w:r>
                    <w:br/>
                  </w:r>
                  <w:r>
                    <w:rPr>
                      <w:rFonts w:ascii="仿宋_GB2312" w:hAnsi="仿宋_GB2312" w:cs="仿宋_GB2312" w:eastAsia="仿宋_GB2312"/>
                      <w:sz w:val="21"/>
                      <w:color w:val="000000"/>
                    </w:rPr>
                    <w:t xml:space="preserve"> 7 、抗机械刺穿性能手掌补强面≥120N</w:t>
                  </w:r>
                  <w:r>
                    <w:br/>
                  </w:r>
                  <w:r>
                    <w:rPr>
                      <w:rFonts w:ascii="仿宋_GB2312" w:hAnsi="仿宋_GB2312" w:cs="仿宋_GB2312" w:eastAsia="仿宋_GB2312"/>
                      <w:sz w:val="21"/>
                      <w:color w:val="000000"/>
                    </w:rPr>
                    <w:t xml:space="preserve"> 四、扑火鞋</w:t>
                  </w:r>
                  <w:r>
                    <w:br/>
                  </w:r>
                  <w:r>
                    <w:rPr>
                      <w:rFonts w:ascii="仿宋_GB2312" w:hAnsi="仿宋_GB2312" w:cs="仿宋_GB2312" w:eastAsia="仿宋_GB2312"/>
                      <w:sz w:val="21"/>
                      <w:color w:val="000000"/>
                    </w:rPr>
                    <w:t xml:space="preserve"> 1 、符合应急管理部公告 2020 年第 5 号，消防救援行业标准 XF633-2006《 消防员抢险救援防护服装》；</w:t>
                  </w:r>
                  <w:r>
                    <w:br/>
                  </w:r>
                  <w:r>
                    <w:rPr>
                      <w:rFonts w:ascii="仿宋_GB2312" w:hAnsi="仿宋_GB2312" w:cs="仿宋_GB2312" w:eastAsia="仿宋_GB2312"/>
                      <w:sz w:val="21"/>
                      <w:color w:val="000000"/>
                    </w:rPr>
                    <w:t xml:space="preserve"> 2 、靴头性能：耐压力试验左≥20.5mm 右≥20.5mm 、冲击试验 左≥20.5mm 右≥20.5mm</w:t>
                  </w:r>
                  <w:r>
                    <w:br/>
                  </w:r>
                  <w:r>
                    <w:rPr>
                      <w:rFonts w:ascii="仿宋_GB2312" w:hAnsi="仿宋_GB2312" w:cs="仿宋_GB2312" w:eastAsia="仿宋_GB2312"/>
                      <w:sz w:val="21"/>
                      <w:color w:val="000000"/>
                    </w:rPr>
                    <w:t xml:space="preserve"> 3 、靴帮抗刺穿性能≥121N</w:t>
                  </w:r>
                  <w:r>
                    <w:br/>
                  </w:r>
                  <w:r>
                    <w:rPr>
                      <w:rFonts w:ascii="仿宋_GB2312" w:hAnsi="仿宋_GB2312" w:cs="仿宋_GB2312" w:eastAsia="仿宋_GB2312"/>
                      <w:sz w:val="21"/>
                      <w:color w:val="000000"/>
                    </w:rPr>
                    <w:t xml:space="preserve"> 4 、隔热性能≤8.5℃</w:t>
                  </w:r>
                  <w:r>
                    <w:br/>
                  </w:r>
                  <w:r>
                    <w:rPr>
                      <w:rFonts w:ascii="仿宋_GB2312" w:hAnsi="仿宋_GB2312" w:cs="仿宋_GB2312" w:eastAsia="仿宋_GB2312"/>
                      <w:sz w:val="21"/>
                      <w:color w:val="000000"/>
                    </w:rPr>
                    <w:t xml:space="preserve"> 5 、靴帮耐弯折性能：靴帮材料在经过反复弯折 20000 次后，无裂纹、松面 、掉浆等现象；</w:t>
                  </w:r>
                  <w:r>
                    <w:br/>
                  </w:r>
                  <w:r>
                    <w:rPr>
                      <w:rFonts w:ascii="仿宋_GB2312" w:hAnsi="仿宋_GB2312" w:cs="仿宋_GB2312" w:eastAsia="仿宋_GB2312"/>
                      <w:sz w:val="21"/>
                      <w:color w:val="000000"/>
                    </w:rPr>
                    <w:t xml:space="preserve"> 6 、靴帮耐磨性能：靴帮材料在经过 20000 次循环摩擦后无磨穿现象；</w:t>
                  </w:r>
                  <w:r>
                    <w:br/>
                  </w:r>
                  <w:r>
                    <w:rPr>
                      <w:rFonts w:ascii="仿宋_GB2312" w:hAnsi="仿宋_GB2312" w:cs="仿宋_GB2312" w:eastAsia="仿宋_GB2312"/>
                      <w:sz w:val="21"/>
                      <w:color w:val="000000"/>
                    </w:rPr>
                    <w:t xml:space="preserve"> 7 、靴帮抗切割性能：靴帮材料经抗切割试验，无割穿；</w:t>
                  </w:r>
                  <w:r>
                    <w:br/>
                  </w:r>
                  <w:r>
                    <w:rPr>
                      <w:rFonts w:ascii="仿宋_GB2312" w:hAnsi="仿宋_GB2312" w:cs="仿宋_GB2312" w:eastAsia="仿宋_GB2312"/>
                      <w:sz w:val="21"/>
                      <w:color w:val="000000"/>
                    </w:rPr>
                    <w:t xml:space="preserve"> 8 、防滑性能：右 1≥22.5 °右 2≥22.5 °右 3≥22.5 °</w:t>
                  </w:r>
                  <w:r>
                    <w:br/>
                  </w:r>
                  <w:r>
                    <w:rPr>
                      <w:rFonts w:ascii="仿宋_GB2312" w:hAnsi="仿宋_GB2312" w:cs="仿宋_GB2312" w:eastAsia="仿宋_GB2312"/>
                      <w:sz w:val="21"/>
                      <w:color w:val="000000"/>
                    </w:rPr>
                    <w:t xml:space="preserve"> 9 、靴底抗刺穿性能：左≥964 右≥983</w:t>
                  </w:r>
                  <w:r>
                    <w:br/>
                  </w:r>
                  <w:r>
                    <w:rPr>
                      <w:rFonts w:ascii="仿宋_GB2312" w:hAnsi="仿宋_GB2312" w:cs="仿宋_GB2312" w:eastAsia="仿宋_GB2312"/>
                      <w:sz w:val="21"/>
                      <w:color w:val="000000"/>
                    </w:rPr>
                    <w:t xml:space="preserve"> 10 、阻燃性能：续燃时间经向 0s 、纬向 0s ，损毁长度≤10mm，</w:t>
                  </w:r>
                  <w:r>
                    <w:br/>
                  </w:r>
                  <w:r>
                    <w:rPr>
                      <w:rFonts w:ascii="仿宋_GB2312" w:hAnsi="仿宋_GB2312" w:cs="仿宋_GB2312" w:eastAsia="仿宋_GB2312"/>
                      <w:sz w:val="21"/>
                      <w:color w:val="000000"/>
                    </w:rPr>
                    <w:t xml:space="preserve"> 五、背包</w:t>
                  </w:r>
                  <w:r>
                    <w:br/>
                  </w:r>
                  <w:r>
                    <w:rPr>
                      <w:rFonts w:ascii="仿宋_GB2312" w:hAnsi="仿宋_GB2312" w:cs="仿宋_GB2312" w:eastAsia="仿宋_GB2312"/>
                      <w:sz w:val="21"/>
                      <w:color w:val="000000"/>
                    </w:rPr>
                    <w:t xml:space="preserve"> 1 、材质:牛津防水耐磨抗撕裂面料尺寸:≥50*35*26cm（可定制）；</w:t>
                  </w:r>
                  <w:r>
                    <w:br/>
                  </w:r>
                  <w:r>
                    <w:rPr>
                      <w:rFonts w:ascii="仿宋_GB2312" w:hAnsi="仿宋_GB2312" w:cs="仿宋_GB2312" w:eastAsia="仿宋_GB2312"/>
                      <w:sz w:val="21"/>
                      <w:color w:val="000000"/>
                    </w:rPr>
                    <w:t xml:space="preserve"> 2 、构造:主仓大容量，双背带，加强棉织带正面有反光条，袋口向上、可 伸展、有松紧装置，两侧中间配有存放紧急或工作时的紧急侧袋、袋口须 有紧袋口防止用品溜失、袋口可伸展，背带宽松、增强扑火人员的感，腰 部设有防晃装置、便于爬山动作；</w:t>
                  </w:r>
                  <w:r>
                    <w:br/>
                  </w:r>
                  <w:r>
                    <w:rPr>
                      <w:rFonts w:ascii="仿宋_GB2312" w:hAnsi="仿宋_GB2312" w:cs="仿宋_GB2312" w:eastAsia="仿宋_GB2312"/>
                      <w:sz w:val="21"/>
                      <w:color w:val="000000"/>
                    </w:rPr>
                    <w:t xml:space="preserve"> 3 、功能:具有防水防雨功能，可装水壶、毛巾、小型工具等携带方便，结 实耐用，分隔合理；</w:t>
                  </w:r>
                  <w:r>
                    <w:br/>
                  </w:r>
                  <w:r>
                    <w:rPr>
                      <w:rFonts w:ascii="仿宋_GB2312" w:hAnsi="仿宋_GB2312" w:cs="仿宋_GB2312" w:eastAsia="仿宋_GB2312"/>
                      <w:sz w:val="21"/>
                      <w:color w:val="000000"/>
                    </w:rPr>
                    <w:t xml:space="preserve"> 4 、适用:森林消防，人防应急；</w:t>
                  </w:r>
                  <w:r>
                    <w:br/>
                  </w:r>
                  <w:r>
                    <w:rPr>
                      <w:rFonts w:ascii="仿宋_GB2312" w:hAnsi="仿宋_GB2312" w:cs="仿宋_GB2312" w:eastAsia="仿宋_GB2312"/>
                      <w:sz w:val="21"/>
                      <w:color w:val="000000"/>
                    </w:rPr>
                    <w:t xml:space="preserve"> 5 、防汛应急等特点:防水，耐磨；</w:t>
                  </w:r>
                  <w:r>
                    <w:br/>
                  </w:r>
                  <w:r>
                    <w:rPr>
                      <w:rFonts w:ascii="仿宋_GB2312" w:hAnsi="仿宋_GB2312" w:cs="仿宋_GB2312" w:eastAsia="仿宋_GB2312"/>
                      <w:sz w:val="21"/>
                      <w:color w:val="000000"/>
                    </w:rPr>
                    <w:t xml:space="preserve"> 6 、便携标准:符合背提包国家标准颜色。</w:t>
                  </w:r>
                </w:p>
              </w:tc>
              <w:tc>
                <w:tcPr>
                  <w:tcW w:type="dxa" w:w="22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80</w:t>
                  </w:r>
                </w:p>
              </w:tc>
              <w:tc>
                <w:tcPr>
                  <w:tcW w:type="dxa" w:w="25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2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1"/>
                  <w:vMerge/>
                  <w:tcBorders>
                    <w:top w:val="single" w:color="000000" w:sz="4"/>
                    <w:left w:val="single" w:color="000000" w:sz="4"/>
                    <w:bottom w:val="single" w:color="000000" w:sz="4"/>
                    <w:right w:val="single" w:color="000000" w:sz="4"/>
                  </w:tcBorders>
                </w:tcPr>
                <w:p/>
              </w:tc>
              <w:tc>
                <w:tcPr>
                  <w:tcW w:type="dxa" w:w="329"/>
                  <w:vMerge/>
                  <w:tcBorders>
                    <w:top w:val="single" w:color="000000" w:sz="4"/>
                    <w:left w:val="single" w:color="000000" w:sz="4"/>
                    <w:bottom w:val="single" w:color="000000" w:sz="4"/>
                    <w:right w:val="single" w:color="000000" w:sz="4"/>
                  </w:tcBorders>
                </w:tcPr>
                <w:p/>
              </w:tc>
              <w:tc>
                <w:tcPr>
                  <w:tcW w:type="dxa" w:w="1249"/>
                  <w:vMerge/>
                  <w:tcBorders>
                    <w:top w:val="single" w:color="000000" w:sz="4"/>
                    <w:left w:val="single" w:color="000000" w:sz="4"/>
                    <w:bottom w:val="none" w:color="000000" w:sz="4"/>
                    <w:right w:val="single" w:color="000000" w:sz="4"/>
                  </w:tcBorders>
                </w:tcPr>
                <w:p/>
              </w:tc>
              <w:tc>
                <w:tcPr>
                  <w:tcW w:type="dxa" w:w="224"/>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r>
            <w:tr>
              <w:tc>
                <w:tcPr>
                  <w:tcW w:type="dxa" w:w="251"/>
                  <w:vMerge/>
                  <w:tcBorders>
                    <w:top w:val="single" w:color="000000" w:sz="4"/>
                    <w:left w:val="single" w:color="000000" w:sz="4"/>
                    <w:bottom w:val="single" w:color="000000" w:sz="4"/>
                    <w:right w:val="single" w:color="000000" w:sz="4"/>
                  </w:tcBorders>
                </w:tcPr>
                <w:p/>
              </w:tc>
              <w:tc>
                <w:tcPr>
                  <w:tcW w:type="dxa" w:w="329"/>
                  <w:vMerge/>
                  <w:tcBorders>
                    <w:top w:val="single" w:color="000000" w:sz="4"/>
                    <w:left w:val="single" w:color="000000" w:sz="4"/>
                    <w:bottom w:val="single" w:color="000000" w:sz="4"/>
                    <w:right w:val="single" w:color="000000" w:sz="4"/>
                  </w:tcBorders>
                </w:tcPr>
                <w:p/>
              </w:tc>
              <w:tc>
                <w:tcPr>
                  <w:tcW w:type="dxa" w:w="1249"/>
                  <w:vMerge/>
                  <w:tcBorders>
                    <w:top w:val="single" w:color="000000" w:sz="4"/>
                    <w:left w:val="single" w:color="000000" w:sz="4"/>
                    <w:bottom w:val="none" w:color="000000" w:sz="4"/>
                    <w:right w:val="single" w:color="000000" w:sz="4"/>
                  </w:tcBorders>
                </w:tcPr>
                <w:p/>
              </w:tc>
              <w:tc>
                <w:tcPr>
                  <w:tcW w:type="dxa" w:w="224"/>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r>
            <w:tr>
              <w:tc>
                <w:tcPr>
                  <w:tcW w:type="dxa" w:w="251"/>
                  <w:vMerge/>
                  <w:tcBorders>
                    <w:top w:val="single" w:color="000000" w:sz="4"/>
                    <w:left w:val="single" w:color="000000" w:sz="4"/>
                    <w:bottom w:val="single" w:color="000000" w:sz="4"/>
                    <w:right w:val="single" w:color="000000" w:sz="4"/>
                  </w:tcBorders>
                </w:tcPr>
                <w:p/>
              </w:tc>
              <w:tc>
                <w:tcPr>
                  <w:tcW w:type="dxa" w:w="329"/>
                  <w:vMerge/>
                  <w:tcBorders>
                    <w:top w:val="single" w:color="000000" w:sz="4"/>
                    <w:left w:val="single" w:color="000000" w:sz="4"/>
                    <w:bottom w:val="single" w:color="000000" w:sz="4"/>
                    <w:right w:val="single" w:color="000000" w:sz="4"/>
                  </w:tcBorders>
                </w:tcPr>
                <w:p/>
              </w:tc>
              <w:tc>
                <w:tcPr>
                  <w:tcW w:type="dxa" w:w="1249"/>
                  <w:vMerge/>
                  <w:tcBorders>
                    <w:top w:val="single" w:color="000000" w:sz="4"/>
                    <w:left w:val="single" w:color="000000" w:sz="4"/>
                    <w:bottom w:val="none" w:color="000000" w:sz="4"/>
                    <w:right w:val="single" w:color="000000" w:sz="4"/>
                  </w:tcBorders>
                </w:tcPr>
                <w:p/>
              </w:tc>
              <w:tc>
                <w:tcPr>
                  <w:tcW w:type="dxa" w:w="224"/>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r>
          </w:tbl>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tbl>
            <w:tblPr>
              <w:tblBorders>
                <w:top w:val="single"/>
                <w:left w:val="single"/>
                <w:bottom w:val="single"/>
                <w:right w:val="single"/>
                <w:insideH w:val="single"/>
                <w:insideV w:val="single"/>
              </w:tblBorders>
            </w:tblPr>
            <w:tblGrid>
              <w:gridCol w:w="251"/>
              <w:gridCol w:w="329"/>
              <w:gridCol w:w="1249"/>
              <w:gridCol w:w="224"/>
              <w:gridCol w:w="254"/>
              <w:gridCol w:w="242"/>
            </w:tblGrid>
            <w:tr>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序号</w:t>
                  </w: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产品名称</w:t>
                  </w:r>
                </w:p>
              </w:tc>
              <w:tc>
                <w:tcPr>
                  <w:tcW w:type="dxa" w:w="124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技术参数</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数量</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单位</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备注</w:t>
                  </w:r>
                </w:p>
              </w:tc>
            </w:tr>
            <w:tr>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w:t>
                  </w: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训练装备（含作训鞋、作训服装等2件套）</w:t>
                  </w:r>
                </w:p>
              </w:tc>
              <w:tc>
                <w:tcPr>
                  <w:tcW w:type="dxa" w:w="124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 、体能训练服：双面针织蜂巢布统称聚酯纤维，色牢度4级以上，PH中性</w:t>
                  </w:r>
                  <w:r>
                    <w:br/>
                  </w:r>
                  <w:r>
                    <w:rPr>
                      <w:rFonts w:ascii="仿宋_GB2312" w:hAnsi="仿宋_GB2312" w:cs="仿宋_GB2312" w:eastAsia="仿宋_GB2312"/>
                      <w:sz w:val="21"/>
                      <w:color w:val="000000"/>
                    </w:rPr>
                    <w:t xml:space="preserve"> 。左胸左胸标有中国森林防火图案；右臂标有“中国森林防火”字样；</w:t>
                  </w:r>
                  <w:r>
                    <w:br/>
                  </w:r>
                  <w:r>
                    <w:rPr>
                      <w:rFonts w:ascii="仿宋_GB2312" w:hAnsi="仿宋_GB2312" w:cs="仿宋_GB2312" w:eastAsia="仿宋_GB2312"/>
                      <w:sz w:val="21"/>
                      <w:color w:val="000000"/>
                    </w:rPr>
                    <w:t xml:space="preserve"> 2 、作训胶鞋面料:黑色，涤纶复合帆布、高密度纤维合成革和立体网眼经 遍布，鞋里为三层复合布;鞋腰:中低腰;鞋面:由涤纶复合帆布、高密度纤维 合成革和立体网眼经编布组合而成;鞋里:为三层复合布;鞋垫:为涤长丝纬编 布与抗菌性聚氨酯高密度发泡层热压复合而成;鞋底:为EVA橡胶双密度复合 结构，中底、外底和鞋帮的结合均采用胶粘工艺。</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20</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tbl>
            <w:tblPr>
              <w:tblBorders>
                <w:top w:val="single"/>
                <w:left w:val="single"/>
                <w:bottom w:val="single"/>
                <w:right w:val="single"/>
                <w:insideH w:val="single"/>
                <w:insideV w:val="single"/>
              </w:tblBorders>
            </w:tblPr>
            <w:tblGrid>
              <w:gridCol w:w="251"/>
              <w:gridCol w:w="329"/>
              <w:gridCol w:w="1249"/>
              <w:gridCol w:w="224"/>
              <w:gridCol w:w="254"/>
              <w:gridCol w:w="242"/>
            </w:tblGrid>
            <w:tr>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序号</w:t>
                  </w: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产品名称</w:t>
                  </w:r>
                </w:p>
              </w:tc>
              <w:tc>
                <w:tcPr>
                  <w:tcW w:type="dxa" w:w="124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技术参数</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数量</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单位</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备注</w:t>
                  </w:r>
                </w:p>
              </w:tc>
            </w:tr>
            <w:tr>
              <w:tc>
                <w:tcPr>
                  <w:tcW w:type="dxa" w:w="25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w:t>
                  </w:r>
                </w:p>
              </w:tc>
              <w:tc>
                <w:tcPr>
                  <w:tcW w:type="dxa" w:w="32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GPS测量机</w:t>
                  </w:r>
                </w:p>
              </w:tc>
              <w:tc>
                <w:tcPr>
                  <w:tcW w:type="dxa" w:w="1249"/>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 、操作系统：Android10.0以上</w:t>
                  </w:r>
                  <w:r>
                    <w:br/>
                  </w:r>
                  <w:r>
                    <w:rPr>
                      <w:rFonts w:ascii="仿宋_GB2312" w:hAnsi="仿宋_GB2312" w:cs="仿宋_GB2312" w:eastAsia="仿宋_GB2312"/>
                      <w:sz w:val="21"/>
                      <w:color w:val="000000"/>
                    </w:rPr>
                    <w:t xml:space="preserve"> 2 、处理器：8核 2.0 GHz</w:t>
                  </w:r>
                  <w:r>
                    <w:br/>
                  </w:r>
                  <w:r>
                    <w:rPr>
                      <w:rFonts w:ascii="仿宋_GB2312" w:hAnsi="仿宋_GB2312" w:cs="仿宋_GB2312" w:eastAsia="仿宋_GB2312"/>
                      <w:sz w:val="21"/>
                      <w:color w:val="000000"/>
                    </w:rPr>
                    <w:t xml:space="preserve"> 3 、GNSS性能：卫星：GPS/GLONASS/BDS/ Galileo</w:t>
                  </w:r>
                  <w:r>
                    <w:br/>
                  </w:r>
                  <w:r>
                    <w:rPr>
                      <w:rFonts w:ascii="仿宋_GB2312" w:hAnsi="仿宋_GB2312" w:cs="仿宋_GB2312" w:eastAsia="仿宋_GB2312"/>
                      <w:sz w:val="21"/>
                      <w:color w:val="000000"/>
                    </w:rPr>
                    <w:t xml:space="preserve"> 4 、数据更新频率：1Hz</w:t>
                  </w:r>
                  <w:r>
                    <w:br/>
                  </w:r>
                  <w:r>
                    <w:rPr>
                      <w:rFonts w:ascii="仿宋_GB2312" w:hAnsi="仿宋_GB2312" w:cs="仿宋_GB2312" w:eastAsia="仿宋_GB2312"/>
                      <w:sz w:val="21"/>
                      <w:color w:val="000000"/>
                    </w:rPr>
                    <w:t xml:space="preserve"> 5 、定位精度：单点≤5米</w:t>
                  </w:r>
                  <w:r>
                    <w:br/>
                  </w:r>
                  <w:r>
                    <w:rPr>
                      <w:rFonts w:ascii="仿宋_GB2312" w:hAnsi="仿宋_GB2312" w:cs="仿宋_GB2312" w:eastAsia="仿宋_GB2312"/>
                      <w:sz w:val="21"/>
                      <w:color w:val="000000"/>
                    </w:rPr>
                    <w:t xml:space="preserve"> 6 、运行内存：≥8G RAM</w:t>
                  </w:r>
                  <w:r>
                    <w:br/>
                  </w:r>
                  <w:r>
                    <w:rPr>
                      <w:rFonts w:ascii="仿宋_GB2312" w:hAnsi="仿宋_GB2312" w:cs="仿宋_GB2312" w:eastAsia="仿宋_GB2312"/>
                      <w:sz w:val="21"/>
                      <w:color w:val="000000"/>
                    </w:rPr>
                    <w:t xml:space="preserve"> 7 、扩展支持：机器存储≥128G ROM ，TF卡扩展支持≥256G</w:t>
                  </w:r>
                  <w:r>
                    <w:br/>
                  </w:r>
                  <w:r>
                    <w:rPr>
                      <w:rFonts w:ascii="仿宋_GB2312" w:hAnsi="仿宋_GB2312" w:cs="仿宋_GB2312" w:eastAsia="仿宋_GB2312"/>
                      <w:sz w:val="21"/>
                      <w:color w:val="000000"/>
                    </w:rPr>
                    <w:t xml:space="preserve"> 8 、显示屏：≥8.0英寸IPS电容式触摸屏、分辨率1280*800</w:t>
                  </w:r>
                  <w:r>
                    <w:br/>
                  </w:r>
                  <w:r>
                    <w:rPr>
                      <w:rFonts w:ascii="仿宋_GB2312" w:hAnsi="仿宋_GB2312" w:cs="仿宋_GB2312" w:eastAsia="仿宋_GB2312"/>
                      <w:sz w:val="21"/>
                      <w:color w:val="000000"/>
                    </w:rPr>
                    <w:t xml:space="preserve"> 9 、摄像头：双高清摄像头，前置摄像头≥8.0MP ，后置≥20.0MP自动对焦后 置摄像头和闪光灯</w:t>
                  </w:r>
                  <w:r>
                    <w:br/>
                  </w:r>
                  <w:r>
                    <w:rPr>
                      <w:rFonts w:ascii="仿宋_GB2312" w:hAnsi="仿宋_GB2312" w:cs="仿宋_GB2312" w:eastAsia="仿宋_GB2312"/>
                      <w:sz w:val="21"/>
                      <w:color w:val="000000"/>
                    </w:rPr>
                    <w:t xml:space="preserve"> 10 、5G模块：全网通5G模块，兼容移动/联通/电信4/3/2G ，支持双卡双待</w:t>
                  </w:r>
                  <w:r>
                    <w:br/>
                  </w:r>
                  <w:r>
                    <w:rPr>
                      <w:rFonts w:ascii="仿宋_GB2312" w:hAnsi="仿宋_GB2312" w:cs="仿宋_GB2312" w:eastAsia="仿宋_GB2312"/>
                      <w:sz w:val="21"/>
                      <w:color w:val="000000"/>
                    </w:rPr>
                    <w:t xml:space="preserve"> 11 、重力感应器、加速度感应器、线性加速传感器、陀螺仪感应器、磁场 传感器、旋转矢量传感器、 电子罗盘、指纹识别</w:t>
                  </w:r>
                  <w:r>
                    <w:br/>
                  </w:r>
                  <w:r>
                    <w:rPr>
                      <w:rFonts w:ascii="仿宋_GB2312" w:hAnsi="仿宋_GB2312" w:cs="仿宋_GB2312" w:eastAsia="仿宋_GB2312"/>
                      <w:sz w:val="21"/>
                      <w:color w:val="000000"/>
                    </w:rPr>
                    <w:t xml:space="preserve"> 12 、重量：≤0.753KG</w:t>
                  </w:r>
                  <w:r>
                    <w:br/>
                  </w:r>
                  <w:r>
                    <w:rPr>
                      <w:rFonts w:ascii="仿宋_GB2312" w:hAnsi="仿宋_GB2312" w:cs="仿宋_GB2312" w:eastAsia="仿宋_GB2312"/>
                      <w:sz w:val="21"/>
                      <w:color w:val="000000"/>
                    </w:rPr>
                    <w:t xml:space="preserve"> 13 、 电池：≥10500mHA 大容量电池，超长待机</w:t>
                  </w:r>
                  <w:r>
                    <w:br/>
                  </w:r>
                  <w:r>
                    <w:rPr>
                      <w:rFonts w:ascii="仿宋_GB2312" w:hAnsi="仿宋_GB2312" w:cs="仿宋_GB2312" w:eastAsia="仿宋_GB2312"/>
                      <w:sz w:val="21"/>
                      <w:color w:val="000000"/>
                    </w:rPr>
                    <w:t xml:space="preserve"> 14 、充电接口：Type C ，支持USB OTG功能</w:t>
                  </w:r>
                  <w:r>
                    <w:br/>
                  </w:r>
                  <w:r>
                    <w:rPr>
                      <w:rFonts w:ascii="仿宋_GB2312" w:hAnsi="仿宋_GB2312" w:cs="仿宋_GB2312" w:eastAsia="仿宋_GB2312"/>
                      <w:sz w:val="21"/>
                      <w:color w:val="000000"/>
                    </w:rPr>
                    <w:t xml:space="preserve"> 15 、工作时长：≥16个小时，连续播放视频时长12-14小时</w:t>
                  </w:r>
                  <w:r>
                    <w:br/>
                  </w:r>
                  <w:r>
                    <w:rPr>
                      <w:rFonts w:ascii="仿宋_GB2312" w:hAnsi="仿宋_GB2312" w:cs="仿宋_GB2312" w:eastAsia="仿宋_GB2312"/>
                      <w:sz w:val="21"/>
                      <w:color w:val="000000"/>
                    </w:rPr>
                    <w:t xml:space="preserve"> 16 、待机时间：黑屏待机≥912小时</w:t>
                  </w:r>
                  <w:r>
                    <w:br/>
                  </w:r>
                  <w:r>
                    <w:rPr>
                      <w:rFonts w:ascii="仿宋_GB2312" w:hAnsi="仿宋_GB2312" w:cs="仿宋_GB2312" w:eastAsia="仿宋_GB2312"/>
                      <w:sz w:val="21"/>
                      <w:color w:val="000000"/>
                    </w:rPr>
                    <w:t xml:space="preserve"> 17 、三防等级：支持IP68防水、防尘，专业防摔、防震</w:t>
                  </w:r>
                  <w:r>
                    <w:br/>
                  </w:r>
                  <w:r>
                    <w:rPr>
                      <w:rFonts w:ascii="仿宋_GB2312" w:hAnsi="仿宋_GB2312" w:cs="仿宋_GB2312" w:eastAsia="仿宋_GB2312"/>
                      <w:sz w:val="21"/>
                      <w:color w:val="000000"/>
                    </w:rPr>
                    <w:t xml:space="preserve"> 18 、防摔：1.5米抗跌落</w:t>
                  </w:r>
                  <w:r>
                    <w:br/>
                  </w:r>
                  <w:r>
                    <w:rPr>
                      <w:rFonts w:ascii="仿宋_GB2312" w:hAnsi="仿宋_GB2312" w:cs="仿宋_GB2312" w:eastAsia="仿宋_GB2312"/>
                      <w:sz w:val="21"/>
                      <w:color w:val="000000"/>
                    </w:rPr>
                    <w:t xml:space="preserve"> 19 、工作温度：-20℃~66℃</w:t>
                  </w:r>
                  <w:r>
                    <w:br/>
                  </w:r>
                  <w:r>
                    <w:rPr>
                      <w:rFonts w:ascii="仿宋_GB2312" w:hAnsi="仿宋_GB2312" w:cs="仿宋_GB2312" w:eastAsia="仿宋_GB2312"/>
                      <w:sz w:val="21"/>
                      <w:color w:val="000000"/>
                    </w:rPr>
                    <w:t xml:space="preserve"> 20 、存储温度：-40℃~75℃</w:t>
                  </w:r>
                  <w:r>
                    <w:br/>
                  </w:r>
                  <w:r>
                    <w:rPr>
                      <w:rFonts w:ascii="仿宋_GB2312" w:hAnsi="仿宋_GB2312" w:cs="仿宋_GB2312" w:eastAsia="仿宋_GB2312"/>
                      <w:sz w:val="21"/>
                      <w:color w:val="000000"/>
                    </w:rPr>
                    <w:t xml:space="preserve"> 内置软件功能：21 、提供全国天地图等各比例尺的影像图， 以及用户通过  设置图层名称、类型和地址进行自定义的WMS 、WFS等地图服务。对于无 信号的工作环境，可提前对对作业区域的在线底图进行下载。</w:t>
                  </w:r>
                  <w:r>
                    <w:br/>
                  </w:r>
                  <w:r>
                    <w:rPr>
                      <w:rFonts w:ascii="仿宋_GB2312" w:hAnsi="仿宋_GB2312" w:cs="仿宋_GB2312" w:eastAsia="仿宋_GB2312"/>
                      <w:sz w:val="21"/>
                      <w:color w:val="000000"/>
                    </w:rPr>
                    <w:t xml:space="preserve"> 22 、栅格离线地图：添加用户自定义的离线影像图，支持加载"卫星影像" 、“无人机正射影像“等，将tif，img格式的文件转换为mbt格式。将文件压 缩为zip文件，提供三种导入方式——内部存储、QQ文件、微信文件。</w:t>
                  </w:r>
                  <w:r>
                    <w:br/>
                  </w:r>
                  <w:r>
                    <w:rPr>
                      <w:rFonts w:ascii="仿宋_GB2312" w:hAnsi="仿宋_GB2312" w:cs="仿宋_GB2312" w:eastAsia="仿宋_GB2312"/>
                      <w:sz w:val="21"/>
                      <w:color w:val="000000"/>
                    </w:rPr>
                    <w:t xml:space="preserve"> 23 、AI植物识别：利用移动端相册或通过拍照对植物进行扫描，采集物种 图片,结合AI智能识别算法，可自动识别图片物种信息，并提供与物种相关 的词条信息，供用户参考。</w:t>
                  </w:r>
                  <w:r>
                    <w:br/>
                  </w:r>
                  <w:r>
                    <w:rPr>
                      <w:rFonts w:ascii="仿宋_GB2312" w:hAnsi="仿宋_GB2312" w:cs="仿宋_GB2312" w:eastAsia="仿宋_GB2312"/>
                      <w:sz w:val="21"/>
                      <w:color w:val="000000"/>
                    </w:rPr>
                    <w:t xml:space="preserve"> 坐标定位：在坐标定位工具中输入经度和纬度，点击定位，即可跳转到地 图显示页面，并显示定位的位置。经纬度支持度分秒格式，也支持度的格 式。</w:t>
                  </w:r>
                  <w:r>
                    <w:br/>
                  </w:r>
                  <w:r>
                    <w:rPr>
                      <w:rFonts w:ascii="仿宋_GB2312" w:hAnsi="仿宋_GB2312" w:cs="仿宋_GB2312" w:eastAsia="仿宋_GB2312"/>
                      <w:sz w:val="21"/>
                      <w:color w:val="000000"/>
                    </w:rPr>
                    <w:t xml:space="preserve"> 24 、工程图片：采集人员在采集数据时，可在属性中添加图片。该模块以 图表化的形式统一管理图片数据，点击每一张图片，可查看其拍摄时间、 地点等属性。</w:t>
                  </w:r>
                  <w:r>
                    <w:br/>
                  </w:r>
                  <w:r>
                    <w:rPr>
                      <w:rFonts w:ascii="仿宋_GB2312" w:hAnsi="仿宋_GB2312" w:cs="仿宋_GB2312" w:eastAsia="仿宋_GB2312"/>
                      <w:sz w:val="21"/>
                      <w:color w:val="000000"/>
                    </w:rPr>
                    <w:t xml:space="preserve"> 25 、团队空间：将编辑好的图层，利用每个终端的账号，备份到云服务</w:t>
                  </w:r>
                  <w:r>
                    <w:br/>
                  </w:r>
                  <w:r>
                    <w:rPr>
                      <w:rFonts w:ascii="仿宋_GB2312" w:hAnsi="仿宋_GB2312" w:cs="仿宋_GB2312" w:eastAsia="仿宋_GB2312"/>
                      <w:sz w:val="21"/>
                      <w:color w:val="000000"/>
                    </w:rPr>
                    <w:t xml:space="preserve"> 器，供团队成员共同查看； 同时，可以将云空间图层下载到本地,分享给他 人，或删除。                       26 、图层浏览： 以树型结构分组展 示图层信息，支持对地图底图和采集数据等图层进行控制（显示/隐藏）， 可快捷访问图层资源。</w:t>
                  </w:r>
                  <w:r>
                    <w:br/>
                  </w:r>
                  <w:r>
                    <w:rPr>
                      <w:rFonts w:ascii="仿宋_GB2312" w:hAnsi="仿宋_GB2312" w:cs="仿宋_GB2312" w:eastAsia="仿宋_GB2312"/>
                      <w:sz w:val="21"/>
                      <w:color w:val="000000"/>
                    </w:rPr>
                    <w:t xml:space="preserve"> 27 、数据分发：编辑好数据的名称、类型(矢量/栅格)等信息，分发到移动 端，供团队成员共同查看，可以将分发数据下载到本地,分享给他人。</w:t>
                  </w:r>
                  <w:r>
                    <w:br/>
                  </w:r>
                  <w:r>
                    <w:rPr>
                      <w:rFonts w:ascii="仿宋_GB2312" w:hAnsi="仿宋_GB2312" w:cs="仿宋_GB2312" w:eastAsia="仿宋_GB2312"/>
                      <w:sz w:val="21"/>
                      <w:color w:val="000000"/>
                    </w:rPr>
                    <w:t xml:space="preserve"> 28 、须提供软件截图。</w:t>
                  </w:r>
                </w:p>
              </w:tc>
              <w:tc>
                <w:tcPr>
                  <w:tcW w:type="dxa" w:w="22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50</w:t>
                  </w:r>
                </w:p>
              </w:tc>
              <w:tc>
                <w:tcPr>
                  <w:tcW w:type="dxa" w:w="25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台</w:t>
                  </w:r>
                </w:p>
              </w:tc>
              <w:tc>
                <w:tcPr>
                  <w:tcW w:type="dxa" w:w="2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1"/>
                  <w:vMerge/>
                  <w:tcBorders>
                    <w:top w:val="single" w:color="000000" w:sz="4"/>
                    <w:left w:val="single" w:color="000000" w:sz="4"/>
                    <w:bottom w:val="single" w:color="000000" w:sz="4"/>
                    <w:right w:val="single" w:color="000000" w:sz="4"/>
                  </w:tcBorders>
                </w:tcPr>
                <w:p/>
              </w:tc>
              <w:tc>
                <w:tcPr>
                  <w:tcW w:type="dxa" w:w="329"/>
                  <w:vMerge/>
                  <w:tcBorders>
                    <w:top w:val="single" w:color="000000" w:sz="4"/>
                    <w:left w:val="single" w:color="000000" w:sz="4"/>
                    <w:bottom w:val="single" w:color="000000" w:sz="4"/>
                    <w:right w:val="single" w:color="000000" w:sz="4"/>
                  </w:tcBorders>
                </w:tcPr>
                <w:p/>
              </w:tc>
              <w:tc>
                <w:tcPr>
                  <w:tcW w:type="dxa" w:w="1249"/>
                  <w:vMerge/>
                  <w:tcBorders>
                    <w:top w:val="single" w:color="000000" w:sz="4"/>
                    <w:left w:val="single" w:color="000000" w:sz="4"/>
                    <w:bottom w:val="none" w:color="000000" w:sz="4"/>
                    <w:right w:val="single" w:color="000000" w:sz="4"/>
                  </w:tcBorders>
                </w:tcPr>
                <w:p/>
              </w:tc>
              <w:tc>
                <w:tcPr>
                  <w:tcW w:type="dxa" w:w="224"/>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r>
          </w:tbl>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tbl>
            <w:tblPr>
              <w:tblBorders>
                <w:top w:val="single"/>
                <w:left w:val="single"/>
                <w:bottom w:val="single"/>
                <w:right w:val="single"/>
                <w:insideH w:val="single"/>
                <w:insideV w:val="single"/>
              </w:tblBorders>
            </w:tblPr>
            <w:tblGrid>
              <w:gridCol w:w="251"/>
              <w:gridCol w:w="329"/>
              <w:gridCol w:w="1249"/>
              <w:gridCol w:w="224"/>
              <w:gridCol w:w="254"/>
              <w:gridCol w:w="242"/>
            </w:tblGrid>
            <w:tr>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序号</w:t>
                  </w: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产品名称</w:t>
                  </w:r>
                </w:p>
              </w:tc>
              <w:tc>
                <w:tcPr>
                  <w:tcW w:type="dxa" w:w="124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技术参数</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数量</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单位</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备注</w:t>
                  </w:r>
                </w:p>
              </w:tc>
            </w:tr>
            <w:tr>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w:t>
                  </w: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高枝锯</w:t>
                  </w:r>
                </w:p>
              </w:tc>
              <w:tc>
                <w:tcPr>
                  <w:tcW w:type="dxa" w:w="124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 、传动轴规格：7±1mmX1530±10mmX7±1T</w:t>
                  </w:r>
                  <w:r>
                    <w:br/>
                  </w:r>
                  <w:r>
                    <w:rPr>
                      <w:rFonts w:ascii="仿宋_GB2312" w:hAnsi="仿宋_GB2312" w:cs="仿宋_GB2312" w:eastAsia="仿宋_GB2312"/>
                      <w:sz w:val="21"/>
                      <w:color w:val="000000"/>
                    </w:rPr>
                    <w:t xml:space="preserve"> 2 、主铝管规格：26±2mmX2±0.5mmX1480±10mm</w:t>
                  </w:r>
                  <w:r>
                    <w:br/>
                  </w:r>
                  <w:r>
                    <w:rPr>
                      <w:rFonts w:ascii="仿宋_GB2312" w:hAnsi="仿宋_GB2312" w:cs="仿宋_GB2312" w:eastAsia="仿宋_GB2312"/>
                      <w:sz w:val="21"/>
                      <w:color w:val="000000"/>
                    </w:rPr>
                    <w:t xml:space="preserve"> 3 、加长传动轴规格：7±1mmX762±5mmX7±1T</w:t>
                  </w:r>
                  <w:r>
                    <w:br/>
                  </w:r>
                  <w:r>
                    <w:rPr>
                      <w:rFonts w:ascii="仿宋_GB2312" w:hAnsi="仿宋_GB2312" w:cs="仿宋_GB2312" w:eastAsia="仿宋_GB2312"/>
                      <w:sz w:val="21"/>
                      <w:color w:val="000000"/>
                    </w:rPr>
                    <w:t xml:space="preserve"> 4 、加长铝管规格：26±2mmX2±0.5MMX750±5mm</w:t>
                  </w:r>
                  <w:r>
                    <w:br/>
                  </w:r>
                  <w:r>
                    <w:rPr>
                      <w:rFonts w:ascii="仿宋_GB2312" w:hAnsi="仿宋_GB2312" w:cs="仿宋_GB2312" w:eastAsia="仿宋_GB2312"/>
                      <w:sz w:val="21"/>
                      <w:color w:val="000000"/>
                    </w:rPr>
                    <w:t xml:space="preserve"> 5 、总长≥2800mm</w:t>
                  </w:r>
                  <w:r>
                    <w:br/>
                  </w:r>
                  <w:r>
                    <w:rPr>
                      <w:rFonts w:ascii="仿宋_GB2312" w:hAnsi="仿宋_GB2312" w:cs="仿宋_GB2312" w:eastAsia="仿宋_GB2312"/>
                      <w:sz w:val="21"/>
                      <w:color w:val="000000"/>
                    </w:rPr>
                    <w:t xml:space="preserve"> 6 、锯链规格91VG057X(12寸导板）</w:t>
                  </w:r>
                  <w:r>
                    <w:br/>
                  </w:r>
                  <w:r>
                    <w:rPr>
                      <w:rFonts w:ascii="仿宋_GB2312" w:hAnsi="仿宋_GB2312" w:cs="仿宋_GB2312" w:eastAsia="仿宋_GB2312"/>
                      <w:sz w:val="21"/>
                      <w:color w:val="000000"/>
                    </w:rPr>
                    <w:t xml:space="preserve"> 7 、允许最大切割直径≥300mm</w:t>
                  </w:r>
                  <w:r>
                    <w:br/>
                  </w:r>
                  <w:r>
                    <w:rPr>
                      <w:rFonts w:ascii="仿宋_GB2312" w:hAnsi="仿宋_GB2312" w:cs="仿宋_GB2312" w:eastAsia="仿宋_GB2312"/>
                      <w:sz w:val="21"/>
                      <w:color w:val="000000"/>
                    </w:rPr>
                    <w:t xml:space="preserve"> 8 、油箱容积0.5L</w:t>
                  </w:r>
                  <w:r>
                    <w:br/>
                  </w:r>
                  <w:r>
                    <w:rPr>
                      <w:rFonts w:ascii="仿宋_GB2312" w:hAnsi="仿宋_GB2312" w:cs="仿宋_GB2312" w:eastAsia="仿宋_GB2312"/>
                      <w:sz w:val="21"/>
                      <w:color w:val="000000"/>
                    </w:rPr>
                    <w:t xml:space="preserve"> 9 、整备质量≤7.5kg</w:t>
                  </w:r>
                  <w:r>
                    <w:br/>
                  </w:r>
                  <w:r>
                    <w:rPr>
                      <w:rFonts w:ascii="仿宋_GB2312" w:hAnsi="仿宋_GB2312" w:cs="仿宋_GB2312" w:eastAsia="仿宋_GB2312"/>
                      <w:sz w:val="21"/>
                      <w:color w:val="000000"/>
                    </w:rPr>
                    <w:t xml:space="preserve"> 10 、耳旁噪声≤97dbs</w:t>
                  </w:r>
                  <w:r>
                    <w:br/>
                  </w:r>
                  <w:r>
                    <w:rPr>
                      <w:rFonts w:ascii="仿宋_GB2312" w:hAnsi="仿宋_GB2312" w:cs="仿宋_GB2312" w:eastAsia="仿宋_GB2312"/>
                      <w:sz w:val="21"/>
                      <w:color w:val="000000"/>
                    </w:rPr>
                    <w:t xml:space="preserve"> 11 、手把振动≤3.3m/s2</w:t>
                  </w:r>
                  <w:r>
                    <w:br/>
                  </w:r>
                  <w:r>
                    <w:rPr>
                      <w:rFonts w:ascii="仿宋_GB2312" w:hAnsi="仿宋_GB2312" w:cs="仿宋_GB2312" w:eastAsia="仿宋_GB2312"/>
                      <w:sz w:val="21"/>
                      <w:color w:val="000000"/>
                    </w:rPr>
                    <w:t xml:space="preserve"> 12 、发动机型式单缸两冲程</w:t>
                  </w:r>
                  <w:r>
                    <w:br/>
                  </w:r>
                  <w:r>
                    <w:rPr>
                      <w:rFonts w:ascii="仿宋_GB2312" w:hAnsi="仿宋_GB2312" w:cs="仿宋_GB2312" w:eastAsia="仿宋_GB2312"/>
                      <w:sz w:val="21"/>
                      <w:color w:val="000000"/>
                    </w:rPr>
                    <w:t xml:space="preserve"> 13 、排气量≥25.5ml</w:t>
                  </w:r>
                  <w:r>
                    <w:br/>
                  </w:r>
                  <w:r>
                    <w:rPr>
                      <w:rFonts w:ascii="仿宋_GB2312" w:hAnsi="仿宋_GB2312" w:cs="仿宋_GB2312" w:eastAsia="仿宋_GB2312"/>
                      <w:sz w:val="21"/>
                      <w:color w:val="000000"/>
                    </w:rPr>
                    <w:t xml:space="preserve"> 14 、标定功率/转速kW/r/min≥0.58KW/8000r/min</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30</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台</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tbl>
            <w:tblPr>
              <w:tblBorders>
                <w:top w:val="single"/>
                <w:left w:val="single"/>
                <w:bottom w:val="single"/>
                <w:right w:val="single"/>
                <w:insideH w:val="single"/>
                <w:insideV w:val="single"/>
              </w:tblBorders>
            </w:tblPr>
            <w:tblGrid>
              <w:gridCol w:w="251"/>
              <w:gridCol w:w="329"/>
              <w:gridCol w:w="1249"/>
              <w:gridCol w:w="224"/>
              <w:gridCol w:w="254"/>
              <w:gridCol w:w="242"/>
            </w:tblGrid>
            <w:tr>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序号</w:t>
                  </w: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产品名称</w:t>
                  </w:r>
                </w:p>
              </w:tc>
              <w:tc>
                <w:tcPr>
                  <w:tcW w:type="dxa" w:w="124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技术参数</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数量</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单位</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备注</w:t>
                  </w:r>
                </w:p>
              </w:tc>
            </w:tr>
            <w:tr>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7</w:t>
                  </w: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定位仪</w:t>
                  </w:r>
                </w:p>
              </w:tc>
              <w:tc>
                <w:tcPr>
                  <w:tcW w:type="dxa" w:w="124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 、卫星接收 北斗B1 、GPSL1 、 GLONASS L1支持 SBAS 北斗／ GPS ／北斗＋ GPS /</w:t>
                  </w:r>
                  <w:r>
                    <w:br/>
                  </w:r>
                  <w:r>
                    <w:rPr>
                      <w:rFonts w:ascii="仿宋_GB2312" w:hAnsi="仿宋_GB2312" w:cs="仿宋_GB2312" w:eastAsia="仿宋_GB2312"/>
                      <w:sz w:val="21"/>
                      <w:color w:val="000000"/>
                    </w:rPr>
                    <w:t xml:space="preserve"> 2 、定位类型：GPS + GLONASS</w:t>
                  </w:r>
                  <w:r>
                    <w:br/>
                  </w:r>
                  <w:r>
                    <w:rPr>
                      <w:rFonts w:ascii="仿宋_GB2312" w:hAnsi="仿宋_GB2312" w:cs="仿宋_GB2312" w:eastAsia="仿宋_GB2312"/>
                      <w:sz w:val="21"/>
                      <w:color w:val="000000"/>
                    </w:rPr>
                    <w:t xml:space="preserve"> 3 、供电类型： AA 电池／锂电池／ USB</w:t>
                  </w:r>
                  <w:r>
                    <w:br/>
                  </w:r>
                  <w:r>
                    <w:rPr>
                      <w:rFonts w:ascii="仿宋_GB2312" w:hAnsi="仿宋_GB2312" w:cs="仿宋_GB2312" w:eastAsia="仿宋_GB2312"/>
                      <w:sz w:val="21"/>
                      <w:color w:val="000000"/>
                    </w:rPr>
                    <w:t xml:space="preserve"> 4 、续航时间2AA 电池：8小时 锂电池：12小时</w:t>
                  </w:r>
                  <w:r>
                    <w:br/>
                  </w:r>
                  <w:r>
                    <w:rPr>
                      <w:rFonts w:ascii="仿宋_GB2312" w:hAnsi="仿宋_GB2312" w:cs="仿宋_GB2312" w:eastAsia="仿宋_GB2312"/>
                      <w:sz w:val="21"/>
                      <w:color w:val="000000"/>
                    </w:rPr>
                    <w:t xml:space="preserve"> 5 、 RAM + ROM 128MB+4GB</w:t>
                  </w:r>
                  <w:r>
                    <w:br/>
                  </w:r>
                  <w:r>
                    <w:rPr>
                      <w:rFonts w:ascii="仿宋_GB2312" w:hAnsi="仿宋_GB2312" w:cs="仿宋_GB2312" w:eastAsia="仿宋_GB2312"/>
                      <w:sz w:val="21"/>
                      <w:color w:val="000000"/>
                    </w:rPr>
                    <w:t xml:space="preserve"> 扩展存储支持 Micro SD 卡扩展，最大支持32G</w:t>
                  </w:r>
                  <w:r>
                    <w:br/>
                  </w:r>
                  <w:r>
                    <w:rPr>
                      <w:rFonts w:ascii="仿宋_GB2312" w:hAnsi="仿宋_GB2312" w:cs="仿宋_GB2312" w:eastAsia="仿宋_GB2312"/>
                      <w:sz w:val="21"/>
                      <w:color w:val="000000"/>
                    </w:rPr>
                    <w:t xml:space="preserve"> 6 、屏幕尺寸2.4英寸+37mm</w:t>
                  </w:r>
                  <w:r>
                    <w:br/>
                  </w:r>
                  <w:r>
                    <w:rPr>
                      <w:rFonts w:ascii="仿宋_GB2312" w:hAnsi="仿宋_GB2312" w:cs="仿宋_GB2312" w:eastAsia="仿宋_GB2312"/>
                      <w:sz w:val="21"/>
                      <w:color w:val="000000"/>
                    </w:rPr>
                    <w:t xml:space="preserve"> 7 、分辨率及类型240x320, TFT 强光下清晰可见</w:t>
                  </w:r>
                  <w:r>
                    <w:br/>
                  </w:r>
                  <w:r>
                    <w:rPr>
                      <w:rFonts w:ascii="仿宋_GB2312" w:hAnsi="仿宋_GB2312" w:cs="仿宋_GB2312" w:eastAsia="仿宋_GB2312"/>
                      <w:sz w:val="21"/>
                      <w:color w:val="000000"/>
                    </w:rPr>
                    <w:t xml:space="preserve"> 8 、防水防尘IP67</w:t>
                  </w:r>
                  <w:r>
                    <w:br/>
                  </w:r>
                  <w:r>
                    <w:rPr>
                      <w:rFonts w:ascii="仿宋_GB2312" w:hAnsi="仿宋_GB2312" w:cs="仿宋_GB2312" w:eastAsia="仿宋_GB2312"/>
                      <w:sz w:val="21"/>
                      <w:color w:val="000000"/>
                    </w:rPr>
                    <w:t xml:space="preserve"> 9 、抗跌落抵抗1.5米跌落至硬质地面</w:t>
                  </w:r>
                  <w:r>
                    <w:br/>
                  </w:r>
                  <w:r>
                    <w:rPr>
                      <w:rFonts w:ascii="仿宋_GB2312" w:hAnsi="仿宋_GB2312" w:cs="仿宋_GB2312" w:eastAsia="仿宋_GB2312"/>
                      <w:sz w:val="21"/>
                      <w:color w:val="000000"/>
                    </w:rPr>
                    <w:t xml:space="preserve"> 10 、工作温度： -20°℃~+60' C</w:t>
                  </w:r>
                  <w:r>
                    <w:br/>
                  </w:r>
                  <w:r>
                    <w:rPr>
                      <w:rFonts w:ascii="仿宋_GB2312" w:hAnsi="仿宋_GB2312" w:cs="仿宋_GB2312" w:eastAsia="仿宋_GB2312"/>
                      <w:sz w:val="21"/>
                      <w:color w:val="000000"/>
                    </w:rPr>
                    <w:t xml:space="preserve"> 11 、存储温度：-30'℃~+70' C</w:t>
                  </w:r>
                  <w:r>
                    <w:br/>
                  </w:r>
                  <w:r>
                    <w:rPr>
                      <w:rFonts w:ascii="仿宋_GB2312" w:hAnsi="仿宋_GB2312" w:cs="仿宋_GB2312" w:eastAsia="仿宋_GB2312"/>
                      <w:sz w:val="21"/>
                      <w:color w:val="000000"/>
                    </w:rPr>
                    <w:t xml:space="preserve"> 12 、条数不限（取决于存储容量），每条最多10000点</w:t>
                  </w:r>
                  <w:r>
                    <w:br/>
                  </w:r>
                  <w:r>
                    <w:rPr>
                      <w:rFonts w:ascii="仿宋_GB2312" w:hAnsi="仿宋_GB2312" w:cs="仿宋_GB2312" w:eastAsia="仿宋_GB2312"/>
                      <w:sz w:val="21"/>
                      <w:color w:val="000000"/>
                    </w:rPr>
                    <w:t xml:space="preserve"> 13 、航迹存储</w:t>
                  </w:r>
                  <w:r>
                    <w:br/>
                  </w:r>
                  <w:r>
                    <w:rPr>
                      <w:rFonts w:ascii="仿宋_GB2312" w:hAnsi="仿宋_GB2312" w:cs="仿宋_GB2312" w:eastAsia="仿宋_GB2312"/>
                      <w:sz w:val="21"/>
                      <w:color w:val="000000"/>
                    </w:rPr>
                    <w:t xml:space="preserve"> 14 、面积测量</w:t>
                  </w:r>
                  <w:r>
                    <w:br/>
                  </w:r>
                  <w:r>
                    <w:rPr>
                      <w:rFonts w:ascii="仿宋_GB2312" w:hAnsi="仿宋_GB2312" w:cs="仿宋_GB2312" w:eastAsia="仿宋_GB2312"/>
                      <w:sz w:val="21"/>
                      <w:color w:val="000000"/>
                    </w:rPr>
                    <w:t xml:space="preserve"> 15 、航线＋航迹＋专业工具</w:t>
                  </w:r>
                  <w:r>
                    <w:br/>
                  </w:r>
                  <w:r>
                    <w:rPr>
                      <w:rFonts w:ascii="仿宋_GB2312" w:hAnsi="仿宋_GB2312" w:cs="仿宋_GB2312" w:eastAsia="仿宋_GB2312"/>
                      <w:sz w:val="21"/>
                      <w:color w:val="000000"/>
                    </w:rPr>
                    <w:t xml:space="preserve"> 16 、导航直线导航＋沿路导航</w:t>
                  </w:r>
                  <w:r>
                    <w:br/>
                  </w:r>
                  <w:r>
                    <w:rPr>
                      <w:rFonts w:ascii="仿宋_GB2312" w:hAnsi="仿宋_GB2312" w:cs="仿宋_GB2312" w:eastAsia="仿宋_GB2312"/>
                      <w:sz w:val="21"/>
                      <w:color w:val="000000"/>
                    </w:rPr>
                    <w:t xml:space="preserve"> 17 、地图全国导航电子地图，支持等高线地图加载</w:t>
                  </w:r>
                  <w:r>
                    <w:br/>
                  </w:r>
                  <w:r>
                    <w:rPr>
                      <w:rFonts w:ascii="仿宋_GB2312" w:hAnsi="仿宋_GB2312" w:cs="仿宋_GB2312" w:eastAsia="仿宋_GB2312"/>
                      <w:sz w:val="21"/>
                      <w:color w:val="000000"/>
                    </w:rPr>
                    <w:t xml:space="preserve"> 18 、 电子罗盘</w:t>
                  </w:r>
                  <w:r>
                    <w:br/>
                  </w:r>
                  <w:r>
                    <w:rPr>
                      <w:rFonts w:ascii="仿宋_GB2312" w:hAnsi="仿宋_GB2312" w:cs="仿宋_GB2312" w:eastAsia="仿宋_GB2312"/>
                      <w:sz w:val="21"/>
                      <w:color w:val="000000"/>
                    </w:rPr>
                    <w:t xml:space="preserve"> 19 、尺寸：112mmx68mmx37mm</w:t>
                  </w:r>
                  <w:r>
                    <w:br/>
                  </w:r>
                  <w:r>
                    <w:rPr>
                      <w:rFonts w:ascii="仿宋_GB2312" w:hAnsi="仿宋_GB2312" w:cs="仿宋_GB2312" w:eastAsia="仿宋_GB2312"/>
                      <w:sz w:val="21"/>
                      <w:color w:val="000000"/>
                    </w:rPr>
                    <w:t xml:space="preserve"> 20 、标准配置：主机x1；数据线x1；存储卡x1</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30</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台</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tbl>
            <w:tblPr>
              <w:tblBorders>
                <w:top w:val="single"/>
                <w:left w:val="single"/>
                <w:bottom w:val="single"/>
                <w:right w:val="single"/>
                <w:insideH w:val="single"/>
                <w:insideV w:val="single"/>
              </w:tblBorders>
            </w:tblPr>
            <w:tblGrid>
              <w:gridCol w:w="251"/>
              <w:gridCol w:w="329"/>
              <w:gridCol w:w="1249"/>
              <w:gridCol w:w="224"/>
              <w:gridCol w:w="254"/>
              <w:gridCol w:w="242"/>
            </w:tblGrid>
            <w:tr>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序号</w:t>
                  </w: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产品名称</w:t>
                  </w:r>
                </w:p>
              </w:tc>
              <w:tc>
                <w:tcPr>
                  <w:tcW w:type="dxa" w:w="124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技术参数</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数量</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单位</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备注</w:t>
                  </w:r>
                </w:p>
              </w:tc>
            </w:tr>
            <w:tr>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8</w:t>
                  </w: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对讲机</w:t>
                  </w:r>
                </w:p>
              </w:tc>
              <w:tc>
                <w:tcPr>
                  <w:tcW w:type="dxa" w:w="124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 、频率范围 UHF&amp;VHF， 2 、信道数量30</w:t>
                  </w:r>
                  <w:r>
                    <w:br/>
                  </w:r>
                  <w:r>
                    <w:rPr>
                      <w:rFonts w:ascii="仿宋_GB2312" w:hAnsi="仿宋_GB2312" w:cs="仿宋_GB2312" w:eastAsia="仿宋_GB2312"/>
                      <w:sz w:val="21"/>
                      <w:color w:val="000000"/>
                    </w:rPr>
                    <w:t xml:space="preserve"> 3 、区域X32</w:t>
                  </w:r>
                  <w:r>
                    <w:br/>
                  </w:r>
                  <w:r>
                    <w:rPr>
                      <w:rFonts w:ascii="仿宋_GB2312" w:hAnsi="仿宋_GB2312" w:cs="仿宋_GB2312" w:eastAsia="仿宋_GB2312"/>
                      <w:sz w:val="21"/>
                      <w:color w:val="000000"/>
                    </w:rPr>
                    <w:t xml:space="preserve"> 4 、信道间隔 25KHz</w:t>
                  </w:r>
                  <w:r>
                    <w:br/>
                  </w:r>
                  <w:r>
                    <w:rPr>
                      <w:rFonts w:ascii="仿宋_GB2312" w:hAnsi="仿宋_GB2312" w:cs="仿宋_GB2312" w:eastAsia="仿宋_GB2312"/>
                      <w:sz w:val="21"/>
                      <w:color w:val="000000"/>
                    </w:rPr>
                    <w:t xml:space="preserve"> 5 、（宽带）12.5KHz（窄带）频率稳定度±2.5ppm</w:t>
                  </w:r>
                  <w:r>
                    <w:br/>
                  </w:r>
                  <w:r>
                    <w:rPr>
                      <w:rFonts w:ascii="仿宋_GB2312" w:hAnsi="仿宋_GB2312" w:cs="仿宋_GB2312" w:eastAsia="仿宋_GB2312"/>
                      <w:sz w:val="21"/>
                      <w:color w:val="000000"/>
                    </w:rPr>
                    <w:t xml:space="preserve"> 6 、工作电压7.4VDC ±20%</w:t>
                  </w:r>
                  <w:r>
                    <w:br/>
                  </w:r>
                  <w:r>
                    <w:rPr>
                      <w:rFonts w:ascii="仿宋_GB2312" w:hAnsi="仿宋_GB2312" w:cs="仿宋_GB2312" w:eastAsia="仿宋_GB2312"/>
                      <w:sz w:val="21"/>
                      <w:color w:val="000000"/>
                    </w:rPr>
                    <w:t xml:space="preserve"> 7 、工作温度-20°C~+60°C</w:t>
                  </w:r>
                  <w:r>
                    <w:br/>
                  </w:r>
                  <w:r>
                    <w:rPr>
                      <w:rFonts w:ascii="仿宋_GB2312" w:hAnsi="仿宋_GB2312" w:cs="仿宋_GB2312" w:eastAsia="仿宋_GB2312"/>
                      <w:sz w:val="21"/>
                      <w:color w:val="000000"/>
                    </w:rPr>
                    <w:t xml:space="preserve"> 8 、天线阻抗 509专网发射部分发射功率 5W调制方式 宽带：16K¢F3E；窄 带：8K¢F3E邻道功率 宽带：≥65dB；窄带：≥60dB</w:t>
                  </w:r>
                  <w:r>
                    <w:br/>
                  </w:r>
                  <w:r>
                    <w:rPr>
                      <w:rFonts w:ascii="仿宋_GB2312" w:hAnsi="仿宋_GB2312" w:cs="仿宋_GB2312" w:eastAsia="仿宋_GB2312"/>
                      <w:sz w:val="21"/>
                      <w:color w:val="000000"/>
                    </w:rPr>
                    <w:t xml:space="preserve"> 9 、信噪比 ≤-40dB寄生和谐波 宽带：≤65dB；窄带：≥60dB杂散发射9KHz- 1GHz≤-60dBc</w:t>
                  </w:r>
                  <w:r>
                    <w:br/>
                  </w:r>
                  <w:r>
                    <w:rPr>
                      <w:rFonts w:ascii="仿宋_GB2312" w:hAnsi="仿宋_GB2312" w:cs="仿宋_GB2312" w:eastAsia="仿宋_GB2312"/>
                      <w:sz w:val="21"/>
                      <w:color w:val="000000"/>
                    </w:rPr>
                    <w:t xml:space="preserve"> 10 、音频响应 300Hz-3KHz：≤2%音频失真 ≤5%</w:t>
                  </w:r>
                  <w:r>
                    <w:br/>
                  </w:r>
                  <w:r>
                    <w:rPr>
                      <w:rFonts w:ascii="仿宋_GB2312" w:hAnsi="仿宋_GB2312" w:cs="仿宋_GB2312" w:eastAsia="仿宋_GB2312"/>
                      <w:sz w:val="21"/>
                      <w:color w:val="000000"/>
                    </w:rPr>
                    <w:t xml:space="preserve"> 11 、专网接收部分 敏度-120dBm（20db SINAD）互调 宽带：≥60dB；窄 带：≥55dB邻信道选择性宽带：≥60dB；窄带：≥55dB假信号响应 宽带：≥ 60dB：窄带：≥55dB音频响应 300Hz-3KHz：+1~-3db信噪比 宽带：≥45dB：窄带：≥40dB音频失真≤5%</w:t>
                  </w:r>
                  <w:r>
                    <w:br/>
                  </w:r>
                  <w:r>
                    <w:rPr>
                      <w:rFonts w:ascii="仿宋_GB2312" w:hAnsi="仿宋_GB2312" w:cs="仿宋_GB2312" w:eastAsia="仿宋_GB2312"/>
                      <w:sz w:val="21"/>
                      <w:color w:val="000000"/>
                    </w:rPr>
                    <w:t xml:space="preserve"> 12 、音频输出功率 1W</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30</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台</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tbl>
            <w:tblPr>
              <w:tblBorders>
                <w:top w:val="single"/>
                <w:left w:val="single"/>
                <w:bottom w:val="single"/>
                <w:right w:val="single"/>
                <w:insideH w:val="single"/>
                <w:insideV w:val="single"/>
              </w:tblBorders>
            </w:tblPr>
            <w:tblGrid>
              <w:gridCol w:w="251"/>
              <w:gridCol w:w="329"/>
              <w:gridCol w:w="1249"/>
              <w:gridCol w:w="224"/>
              <w:gridCol w:w="254"/>
              <w:gridCol w:w="242"/>
            </w:tblGrid>
            <w:tr>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序号</w:t>
                  </w: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产品名称</w:t>
                  </w:r>
                </w:p>
              </w:tc>
              <w:tc>
                <w:tcPr>
                  <w:tcW w:type="dxa" w:w="124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技术参数</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数量</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单位</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备注</w:t>
                  </w:r>
                </w:p>
              </w:tc>
            </w:tr>
            <w:tr>
              <w:tc>
                <w:tcPr>
                  <w:tcW w:type="dxa" w:w="25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9</w:t>
                  </w:r>
                </w:p>
              </w:tc>
              <w:tc>
                <w:tcPr>
                  <w:tcW w:type="dxa" w:w="32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采购及安装太阳能电子森林防火宣传语音杆</w:t>
                  </w:r>
                </w:p>
              </w:tc>
              <w:tc>
                <w:tcPr>
                  <w:tcW w:type="dxa" w:w="1249"/>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 、太阳能板：多晶硅≥18V  30W</w:t>
                  </w:r>
                  <w:r>
                    <w:br/>
                  </w:r>
                  <w:r>
                    <w:rPr>
                      <w:rFonts w:ascii="仿宋_GB2312" w:hAnsi="仿宋_GB2312" w:cs="仿宋_GB2312" w:eastAsia="仿宋_GB2312"/>
                      <w:sz w:val="21"/>
                      <w:color w:val="000000"/>
                    </w:rPr>
                    <w:t xml:space="preserve"> 2 、 电池：铅酸胶体≥12V  12AH</w:t>
                  </w:r>
                  <w:r>
                    <w:br/>
                  </w:r>
                  <w:r>
                    <w:rPr>
                      <w:rFonts w:ascii="仿宋_GB2312" w:hAnsi="仿宋_GB2312" w:cs="仿宋_GB2312" w:eastAsia="仿宋_GB2312"/>
                      <w:sz w:val="21"/>
                      <w:color w:val="000000"/>
                    </w:rPr>
                    <w:t xml:space="preserve"> ▲3 、待机天数：≥7天</w:t>
                  </w:r>
                  <w:r>
                    <w:br/>
                  </w:r>
                  <w:r>
                    <w:rPr>
                      <w:rFonts w:ascii="仿宋_GB2312" w:hAnsi="仿宋_GB2312" w:cs="仿宋_GB2312" w:eastAsia="仿宋_GB2312"/>
                      <w:sz w:val="21"/>
                      <w:color w:val="000000"/>
                    </w:rPr>
                    <w:t xml:space="preserve"> ▲4 、防水等级：≥IP65</w:t>
                  </w:r>
                  <w:r>
                    <w:br/>
                  </w:r>
                  <w:r>
                    <w:rPr>
                      <w:rFonts w:ascii="仿宋_GB2312" w:hAnsi="仿宋_GB2312" w:cs="仿宋_GB2312" w:eastAsia="仿宋_GB2312"/>
                      <w:sz w:val="21"/>
                      <w:color w:val="000000"/>
                    </w:rPr>
                    <w:t xml:space="preserve"> ▲5 、感应探头距离≥12米，角度≥120度，3级灵敏度可调</w:t>
                  </w:r>
                  <w:r>
                    <w:br/>
                  </w:r>
                  <w:r>
                    <w:rPr>
                      <w:rFonts w:ascii="仿宋_GB2312" w:hAnsi="仿宋_GB2312" w:cs="仿宋_GB2312" w:eastAsia="仿宋_GB2312"/>
                      <w:sz w:val="21"/>
                      <w:color w:val="000000"/>
                    </w:rPr>
                    <w:t xml:space="preserve"> 6 、喇叭：≥8欧 10W</w:t>
                  </w:r>
                  <w:r>
                    <w:br/>
                  </w:r>
                  <w:r>
                    <w:rPr>
                      <w:rFonts w:ascii="仿宋_GB2312" w:hAnsi="仿宋_GB2312" w:cs="仿宋_GB2312" w:eastAsia="仿宋_GB2312"/>
                      <w:sz w:val="21"/>
                      <w:color w:val="000000"/>
                    </w:rPr>
                    <w:t xml:space="preserve"> 7 、闪灯：大红圆柱形闪灯，高亮LED灯，功率≥1W</w:t>
                  </w:r>
                  <w:r>
                    <w:br/>
                  </w:r>
                  <w:r>
                    <w:rPr>
                      <w:rFonts w:ascii="仿宋_GB2312" w:hAnsi="仿宋_GB2312" w:cs="仿宋_GB2312" w:eastAsia="仿宋_GB2312"/>
                      <w:sz w:val="21"/>
                      <w:color w:val="000000"/>
                    </w:rPr>
                    <w:t xml:space="preserve"> 8 、广告牌子：尺寸≥30*70cm ，数量2块，单面印刷内容。</w:t>
                  </w:r>
                  <w:r>
                    <w:br/>
                  </w:r>
                  <w:r>
                    <w:rPr>
                      <w:rFonts w:ascii="仿宋_GB2312" w:hAnsi="仿宋_GB2312" w:cs="仿宋_GB2312" w:eastAsia="仿宋_GB2312"/>
                      <w:sz w:val="21"/>
                      <w:color w:val="000000"/>
                    </w:rPr>
                    <w:t xml:space="preserve"> 9 、控制核心主板：</w:t>
                  </w:r>
                  <w:r>
                    <w:br/>
                  </w:r>
                  <w:r>
                    <w:rPr>
                      <w:rFonts w:ascii="仿宋_GB2312" w:hAnsi="仿宋_GB2312" w:cs="仿宋_GB2312" w:eastAsia="仿宋_GB2312"/>
                      <w:sz w:val="21"/>
                      <w:color w:val="000000"/>
                    </w:rPr>
                    <w:t xml:space="preserve"> 上网方式：4G无线或有线宽带；</w:t>
                  </w:r>
                  <w:r>
                    <w:br/>
                  </w:r>
                  <w:r>
                    <w:rPr>
                      <w:rFonts w:ascii="仿宋_GB2312" w:hAnsi="仿宋_GB2312" w:cs="仿宋_GB2312" w:eastAsia="仿宋_GB2312"/>
                      <w:sz w:val="21"/>
                      <w:color w:val="000000"/>
                    </w:rPr>
                    <w:t xml:space="preserve"> 支持最大300W太阳能板接入，充电电流最高可达15A；</w:t>
                  </w:r>
                  <w:r>
                    <w:br/>
                  </w:r>
                  <w:r>
                    <w:rPr>
                      <w:rFonts w:ascii="仿宋_GB2312" w:hAnsi="仿宋_GB2312" w:cs="仿宋_GB2312" w:eastAsia="仿宋_GB2312"/>
                      <w:sz w:val="21"/>
                      <w:color w:val="000000"/>
                    </w:rPr>
                    <w:t xml:space="preserve"> 集成电池保护机制，低于11V过放保护，高于13.8V过充保护；</w:t>
                  </w:r>
                  <w:r>
                    <w:br/>
                  </w:r>
                  <w:r>
                    <w:rPr>
                      <w:rFonts w:ascii="仿宋_GB2312" w:hAnsi="仿宋_GB2312" w:cs="仿宋_GB2312" w:eastAsia="仿宋_GB2312"/>
                      <w:sz w:val="21"/>
                      <w:color w:val="000000"/>
                    </w:rPr>
                    <w:t xml:space="preserve"> 输出一组DC12V 2A电源，可设置重启时间；</w:t>
                  </w:r>
                  <w:r>
                    <w:br/>
                  </w:r>
                  <w:r>
                    <w:rPr>
                      <w:rFonts w:ascii="仿宋_GB2312" w:hAnsi="仿宋_GB2312" w:cs="仿宋_GB2312" w:eastAsia="仿宋_GB2312"/>
                      <w:sz w:val="21"/>
                      <w:color w:val="000000"/>
                    </w:rPr>
                    <w:t xml:space="preserve"> 支持外接一路红外热释电感应探头；</w:t>
                  </w:r>
                  <w:r>
                    <w:br/>
                  </w:r>
                  <w:r>
                    <w:rPr>
                      <w:rFonts w:ascii="仿宋_GB2312" w:hAnsi="仿宋_GB2312" w:cs="仿宋_GB2312" w:eastAsia="仿宋_GB2312"/>
                      <w:sz w:val="21"/>
                      <w:color w:val="000000"/>
                    </w:rPr>
                    <w:t xml:space="preserve"> 语音播放声音功率≥10W ；</w:t>
                  </w:r>
                  <w:r>
                    <w:br/>
                  </w:r>
                  <w:r>
                    <w:rPr>
                      <w:rFonts w:ascii="仿宋_GB2312" w:hAnsi="仿宋_GB2312" w:cs="仿宋_GB2312" w:eastAsia="仿宋_GB2312"/>
                      <w:sz w:val="21"/>
                      <w:color w:val="000000"/>
                    </w:rPr>
                    <w:t xml:space="preserve"> 支持MP3文件播放功能；</w:t>
                  </w:r>
                  <w:r>
                    <w:br/>
                  </w:r>
                  <w:r>
                    <w:rPr>
                      <w:rFonts w:ascii="仿宋_GB2312" w:hAnsi="仿宋_GB2312" w:cs="仿宋_GB2312" w:eastAsia="仿宋_GB2312"/>
                      <w:sz w:val="21"/>
                      <w:color w:val="000000"/>
                    </w:rPr>
                    <w:t xml:space="preserve"> 内置≥16MB存储器，可以存储≥99首语音文件； 支持TF卡拷贝Mp3格式文件到主板的内存上；  内置4G模块，包含GPS/北斗定位功能；</w:t>
                  </w:r>
                  <w:r>
                    <w:br/>
                  </w:r>
                  <w:r>
                    <w:rPr>
                      <w:rFonts w:ascii="仿宋_GB2312" w:hAnsi="仿宋_GB2312" w:cs="仿宋_GB2312" w:eastAsia="仿宋_GB2312"/>
                      <w:sz w:val="21"/>
                      <w:color w:val="000000"/>
                    </w:rPr>
                    <w:t xml:space="preserve"> 3个按键是初始化、音量加、音量减；</w:t>
                  </w:r>
                  <w:r>
                    <w:br/>
                  </w:r>
                  <w:r>
                    <w:rPr>
                      <w:rFonts w:ascii="仿宋_GB2312" w:hAnsi="仿宋_GB2312" w:cs="仿宋_GB2312" w:eastAsia="仿宋_GB2312"/>
                      <w:sz w:val="21"/>
                      <w:color w:val="000000"/>
                    </w:rPr>
                    <w:t xml:space="preserve"> 具备程序远程升级功能；</w:t>
                  </w:r>
                  <w:r>
                    <w:br/>
                  </w:r>
                  <w:r>
                    <w:rPr>
                      <w:rFonts w:ascii="仿宋_GB2312" w:hAnsi="仿宋_GB2312" w:cs="仿宋_GB2312" w:eastAsia="仿宋_GB2312"/>
                      <w:sz w:val="21"/>
                      <w:color w:val="000000"/>
                    </w:rPr>
                    <w:t xml:space="preserve"> 10 、五金部分：</w:t>
                  </w:r>
                  <w:r>
                    <w:br/>
                  </w:r>
                  <w:r>
                    <w:rPr>
                      <w:rFonts w:ascii="仿宋_GB2312" w:hAnsi="仿宋_GB2312" w:cs="仿宋_GB2312" w:eastAsia="仿宋_GB2312"/>
                      <w:sz w:val="21"/>
                      <w:color w:val="000000"/>
                    </w:rPr>
                    <w:t xml:space="preserve"> 总体高≥3.5米；立杆直径≥89mm ，厚≥2mm； 机箱尺寸：≥450 * 200 * 110 mm</w:t>
                  </w:r>
                  <w:r>
                    <w:br/>
                  </w:r>
                  <w:r>
                    <w:rPr>
                      <w:rFonts w:ascii="仿宋_GB2312" w:hAnsi="仿宋_GB2312" w:cs="仿宋_GB2312" w:eastAsia="仿宋_GB2312"/>
                      <w:sz w:val="21"/>
                      <w:color w:val="000000"/>
                    </w:rPr>
                    <w:t xml:space="preserve"> 法兰尺寸：≥300*300*10mm</w:t>
                  </w:r>
                  <w:r>
                    <w:br/>
                  </w:r>
                  <w:r>
                    <w:rPr>
                      <w:rFonts w:ascii="仿宋_GB2312" w:hAnsi="仿宋_GB2312" w:cs="仿宋_GB2312" w:eastAsia="仿宋_GB2312"/>
                      <w:sz w:val="21"/>
                      <w:color w:val="000000"/>
                    </w:rPr>
                    <w:t xml:space="preserve"> 地笼：长宽高≥170*170*480mm ，直径≥M16*4</w:t>
                  </w:r>
                  <w:r>
                    <w:br/>
                  </w:r>
                  <w:r>
                    <w:rPr>
                      <w:rFonts w:ascii="仿宋_GB2312" w:hAnsi="仿宋_GB2312" w:cs="仿宋_GB2312" w:eastAsia="仿宋_GB2312"/>
                      <w:sz w:val="21"/>
                      <w:color w:val="000000"/>
                    </w:rPr>
                    <w:t xml:space="preserve"> 11 、软件系统及手机APP功能参数：</w:t>
                  </w:r>
                  <w:r>
                    <w:br/>
                  </w:r>
                  <w:r>
                    <w:rPr>
                      <w:rFonts w:ascii="仿宋_GB2312" w:hAnsi="仿宋_GB2312" w:cs="仿宋_GB2312" w:eastAsia="仿宋_GB2312"/>
                      <w:sz w:val="21"/>
                      <w:color w:val="000000"/>
                    </w:rPr>
                    <w:t xml:space="preserve"> 显示终端设备已经占用的容量，剩余容量值；</w:t>
                  </w:r>
                  <w:r>
                    <w:br/>
                  </w:r>
                  <w:r>
                    <w:rPr>
                      <w:rFonts w:ascii="仿宋_GB2312" w:hAnsi="仿宋_GB2312" w:cs="仿宋_GB2312" w:eastAsia="仿宋_GB2312"/>
                      <w:sz w:val="21"/>
                      <w:color w:val="000000"/>
                    </w:rPr>
                    <w:t xml:space="preserve"> 显示电池当前电压，剩余电量百分比，充电电压、充电电流，并以列表形 式展现最近30天的数据；</w:t>
                  </w:r>
                  <w:r>
                    <w:br/>
                  </w:r>
                  <w:r>
                    <w:rPr>
                      <w:rFonts w:ascii="仿宋_GB2312" w:hAnsi="仿宋_GB2312" w:cs="仿宋_GB2312" w:eastAsia="仿宋_GB2312"/>
                      <w:sz w:val="21"/>
                      <w:color w:val="000000"/>
                    </w:rPr>
                    <w:t xml:space="preserve"> 显示软件版本号，，终端设备的流量卡号，最近在线时间戳，4G信号强度 值，最近1个月的累计播放次数；</w:t>
                  </w:r>
                  <w:r>
                    <w:br/>
                  </w:r>
                  <w:r>
                    <w:rPr>
                      <w:rFonts w:ascii="仿宋_GB2312" w:hAnsi="仿宋_GB2312" w:cs="仿宋_GB2312" w:eastAsia="仿宋_GB2312"/>
                      <w:sz w:val="21"/>
                      <w:color w:val="000000"/>
                    </w:rPr>
                    <w:t xml:space="preserve"> 调节当前任务的音量值，音量0-10级可调；</w:t>
                  </w:r>
                  <w:r>
                    <w:br/>
                  </w:r>
                  <w:r>
                    <w:rPr>
                      <w:rFonts w:ascii="仿宋_GB2312" w:hAnsi="仿宋_GB2312" w:cs="仿宋_GB2312" w:eastAsia="仿宋_GB2312"/>
                      <w:sz w:val="21"/>
                      <w:color w:val="000000"/>
                    </w:rPr>
                    <w:t xml:space="preserve"> 可修改前端设备名称；</w:t>
                  </w:r>
                  <w:r>
                    <w:br/>
                  </w:r>
                  <w:r>
                    <w:rPr>
                      <w:rFonts w:ascii="仿宋_GB2312" w:hAnsi="仿宋_GB2312" w:cs="仿宋_GB2312" w:eastAsia="仿宋_GB2312"/>
                      <w:sz w:val="21"/>
                      <w:color w:val="000000"/>
                    </w:rPr>
                    <w:t xml:space="preserve"> 远程对前端设备的语音文件进行添加/删除；</w:t>
                  </w:r>
                  <w:r>
                    <w:br/>
                  </w:r>
                  <w:r>
                    <w:rPr>
                      <w:rFonts w:ascii="仿宋_GB2312" w:hAnsi="仿宋_GB2312" w:cs="仿宋_GB2312" w:eastAsia="仿宋_GB2312"/>
                      <w:sz w:val="21"/>
                      <w:color w:val="000000"/>
                    </w:rPr>
                    <w:t xml:space="preserve"> 远程上传下发MP3语音文件到终端设备，最大容量可达8MB/首，单次发送 数量最多可达10首/次操作；</w:t>
                  </w:r>
                  <w:r>
                    <w:br/>
                  </w:r>
                  <w:r>
                    <w:rPr>
                      <w:rFonts w:ascii="仿宋_GB2312" w:hAnsi="仿宋_GB2312" w:cs="仿宋_GB2312" w:eastAsia="仿宋_GB2312"/>
                      <w:sz w:val="21"/>
                      <w:color w:val="000000"/>
                    </w:rPr>
                    <w:t xml:space="preserve"> 远程输入文字并转换成语音下发到前端设备，可对语音文件进行命名，选 择男声或女声，语速选择，输入字数最高可达3000字；</w:t>
                  </w:r>
                  <w:r>
                    <w:br/>
                  </w:r>
                  <w:r>
                    <w:rPr>
                      <w:rFonts w:ascii="仿宋_GB2312" w:hAnsi="仿宋_GB2312" w:cs="仿宋_GB2312" w:eastAsia="仿宋_GB2312"/>
                      <w:sz w:val="21"/>
                      <w:color w:val="000000"/>
                    </w:rPr>
                    <w:t xml:space="preserve"> 远程设置播放任务，任务数量最高可达10个；</w:t>
                  </w:r>
                  <w:r>
                    <w:br/>
                  </w:r>
                  <w:r>
                    <w:rPr>
                      <w:rFonts w:ascii="仿宋_GB2312" w:hAnsi="仿宋_GB2312" w:cs="仿宋_GB2312" w:eastAsia="仿宋_GB2312"/>
                      <w:sz w:val="21"/>
                      <w:color w:val="000000"/>
                    </w:rPr>
                    <w:t xml:space="preserve"> 每个任务里面均可设置工作时间段，选择播放模式【感应】或【广播】， 播放间隔最大3600秒，定向选择语音文件库中的任意数量文件；</w:t>
                  </w:r>
                  <w:r>
                    <w:br/>
                  </w:r>
                  <w:r>
                    <w:rPr>
                      <w:rFonts w:ascii="仿宋_GB2312" w:hAnsi="仿宋_GB2312" w:cs="仿宋_GB2312" w:eastAsia="仿宋_GB2312"/>
                      <w:sz w:val="21"/>
                      <w:color w:val="000000"/>
                    </w:rPr>
                    <w:t xml:space="preserve"> 远程修改设备名称；；</w:t>
                  </w:r>
                  <w:r>
                    <w:br/>
                  </w:r>
                  <w:r>
                    <w:rPr>
                      <w:rFonts w:ascii="仿宋_GB2312" w:hAnsi="仿宋_GB2312" w:cs="仿宋_GB2312" w:eastAsia="仿宋_GB2312"/>
                      <w:sz w:val="21"/>
                      <w:color w:val="000000"/>
                    </w:rPr>
                    <w:t xml:space="preserve"> 远程操作终端设备重启；</w:t>
                  </w:r>
                  <w:r>
                    <w:br/>
                  </w:r>
                  <w:r>
                    <w:rPr>
                      <w:rFonts w:ascii="仿宋_GB2312" w:hAnsi="仿宋_GB2312" w:cs="仿宋_GB2312" w:eastAsia="仿宋_GB2312"/>
                      <w:sz w:val="21"/>
                      <w:color w:val="000000"/>
                    </w:rPr>
                    <w:t xml:space="preserve"> 远程操作恢复出厂设置；</w:t>
                  </w:r>
                  <w:r>
                    <w:br/>
                  </w:r>
                  <w:r>
                    <w:rPr>
                      <w:rFonts w:ascii="仿宋_GB2312" w:hAnsi="仿宋_GB2312" w:cs="仿宋_GB2312" w:eastAsia="仿宋_GB2312"/>
                      <w:sz w:val="21"/>
                      <w:color w:val="000000"/>
                    </w:rPr>
                    <w:t xml:space="preserve"> 前端设备每一天的播放次数， 以报表形式统计展示最近30天的数据；</w:t>
                  </w:r>
                  <w:r>
                    <w:br/>
                  </w:r>
                  <w:r>
                    <w:rPr>
                      <w:rFonts w:ascii="仿宋_GB2312" w:hAnsi="仿宋_GB2312" w:cs="仿宋_GB2312" w:eastAsia="仿宋_GB2312"/>
                      <w:sz w:val="21"/>
                      <w:color w:val="000000"/>
                    </w:rPr>
                    <w:t xml:space="preserve"> 在地图上标记设备安装位置，显示安装位置的经纬度坐标，并可直接导航 去到该点位；</w:t>
                  </w:r>
                  <w:r>
                    <w:br/>
                  </w:r>
                  <w:r>
                    <w:rPr>
                      <w:rFonts w:ascii="仿宋_GB2312" w:hAnsi="仿宋_GB2312" w:cs="仿宋_GB2312" w:eastAsia="仿宋_GB2312"/>
                      <w:sz w:val="21"/>
                      <w:color w:val="000000"/>
                    </w:rPr>
                    <w:t xml:space="preserve"> 批量操作：每次可对100套前端设备进行同时操作，包括新增播放任务，文 件上传、文本转语音、设备重启、恢复出厂设置；</w:t>
                  </w:r>
                  <w:r>
                    <w:br/>
                  </w:r>
                  <w:r>
                    <w:rPr>
                      <w:rFonts w:ascii="仿宋_GB2312" w:hAnsi="仿宋_GB2312" w:cs="仿宋_GB2312" w:eastAsia="仿宋_GB2312"/>
                      <w:sz w:val="21"/>
                      <w:b/>
                      <w:color w:val="000000"/>
                    </w:rPr>
                    <w:t>注：须提供有 CMA认证标志的第三方检测机构出具的满足以上“▲”号参数要求的检测报告证明，报告复印件须加盖供应商公章，否则视为不满足。</w:t>
                  </w:r>
                </w:p>
              </w:tc>
              <w:tc>
                <w:tcPr>
                  <w:tcW w:type="dxa" w:w="22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80</w:t>
                  </w:r>
                </w:p>
              </w:tc>
              <w:tc>
                <w:tcPr>
                  <w:tcW w:type="dxa" w:w="25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2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1"/>
                  <w:vMerge/>
                  <w:tcBorders>
                    <w:top w:val="single" w:color="000000" w:sz="4"/>
                    <w:left w:val="single" w:color="000000" w:sz="4"/>
                    <w:bottom w:val="single" w:color="000000" w:sz="4"/>
                    <w:right w:val="single" w:color="000000" w:sz="4"/>
                  </w:tcBorders>
                </w:tcPr>
                <w:p/>
              </w:tc>
              <w:tc>
                <w:tcPr>
                  <w:tcW w:type="dxa" w:w="329"/>
                  <w:vMerge/>
                  <w:tcBorders>
                    <w:top w:val="single" w:color="000000" w:sz="4"/>
                    <w:left w:val="single" w:color="000000" w:sz="4"/>
                    <w:bottom w:val="single" w:color="000000" w:sz="4"/>
                    <w:right w:val="single" w:color="000000" w:sz="4"/>
                  </w:tcBorders>
                </w:tcPr>
                <w:p/>
              </w:tc>
              <w:tc>
                <w:tcPr>
                  <w:tcW w:type="dxa" w:w="1249"/>
                  <w:vMerge/>
                  <w:tcBorders>
                    <w:top w:val="single" w:color="000000" w:sz="4"/>
                    <w:left w:val="single" w:color="000000" w:sz="4"/>
                    <w:bottom w:val="none" w:color="000000" w:sz="4"/>
                    <w:right w:val="single" w:color="000000" w:sz="4"/>
                  </w:tcBorders>
                </w:tcPr>
                <w:p/>
              </w:tc>
              <w:tc>
                <w:tcPr>
                  <w:tcW w:type="dxa" w:w="224"/>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r>
          </w:tbl>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tbl>
            <w:tblPr>
              <w:tblBorders>
                <w:top w:val="single"/>
                <w:left w:val="single"/>
                <w:bottom w:val="single"/>
                <w:right w:val="single"/>
                <w:insideH w:val="single"/>
                <w:insideV w:val="single"/>
              </w:tblBorders>
            </w:tblPr>
            <w:tblGrid>
              <w:gridCol w:w="251"/>
              <w:gridCol w:w="329"/>
              <w:gridCol w:w="1249"/>
              <w:gridCol w:w="224"/>
              <w:gridCol w:w="254"/>
              <w:gridCol w:w="242"/>
            </w:tblGrid>
            <w:tr>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序号</w:t>
                  </w: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产品名称</w:t>
                  </w:r>
                </w:p>
              </w:tc>
              <w:tc>
                <w:tcPr>
                  <w:tcW w:type="dxa" w:w="12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技术参数</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数量</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单位</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rPr>
                    <w:t>备注</w:t>
                  </w:r>
                </w:p>
              </w:tc>
            </w:tr>
            <w:tr>
              <w:tc>
                <w:tcPr>
                  <w:tcW w:type="dxa" w:w="2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10</w:t>
                  </w:r>
                </w:p>
              </w:tc>
              <w:tc>
                <w:tcPr>
                  <w:tcW w:type="dxa" w:w="3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宣传牌</w:t>
                  </w:r>
                </w:p>
              </w:tc>
              <w:tc>
                <w:tcPr>
                  <w:tcW w:type="dxa" w:w="12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 、5X5凹槽SUS304一级不锈钢管；</w:t>
                  </w:r>
                  <w:r>
                    <w:br/>
                  </w:r>
                  <w:r>
                    <w:rPr>
                      <w:rFonts w:ascii="仿宋_GB2312" w:hAnsi="仿宋_GB2312" w:cs="仿宋_GB2312" w:eastAsia="仿宋_GB2312"/>
                      <w:sz w:val="21"/>
                      <w:color w:val="000000"/>
                    </w:rPr>
                    <w:t xml:space="preserve"> 2 、1.0不锈钢砂板压板；</w:t>
                  </w:r>
                  <w:r>
                    <w:br/>
                  </w:r>
                  <w:r>
                    <w:rPr>
                      <w:rFonts w:ascii="仿宋_GB2312" w:hAnsi="仿宋_GB2312" w:cs="仿宋_GB2312" w:eastAsia="仿宋_GB2312"/>
                      <w:sz w:val="21"/>
                      <w:color w:val="000000"/>
                    </w:rPr>
                    <w:t xml:space="preserve"> 3 、10厘PVC UV字过光油；</w:t>
                  </w:r>
                  <w:r>
                    <w:br/>
                  </w:r>
                  <w:r>
                    <w:rPr>
                      <w:rFonts w:ascii="仿宋_GB2312" w:hAnsi="仿宋_GB2312" w:cs="仿宋_GB2312" w:eastAsia="仿宋_GB2312"/>
                      <w:sz w:val="21"/>
                      <w:color w:val="000000"/>
                    </w:rPr>
                    <w:t xml:space="preserve"> 4 、10厘PVC UV字过光油；</w:t>
                  </w:r>
                  <w:r>
                    <w:br/>
                  </w:r>
                  <w:r>
                    <w:rPr>
                      <w:rFonts w:ascii="仿宋_GB2312" w:hAnsi="仿宋_GB2312" w:cs="仿宋_GB2312" w:eastAsia="仿宋_GB2312"/>
                      <w:sz w:val="21"/>
                      <w:color w:val="000000"/>
                    </w:rPr>
                    <w:t xml:space="preserve"> 5 、10厘PVC UV过光油（双面）；</w:t>
                  </w:r>
                  <w:r>
                    <w:br/>
                  </w:r>
                  <w:r>
                    <w:rPr>
                      <w:rFonts w:ascii="仿宋_GB2312" w:hAnsi="仿宋_GB2312" w:cs="仿宋_GB2312" w:eastAsia="仿宋_GB2312"/>
                      <w:sz w:val="21"/>
                      <w:color w:val="000000"/>
                    </w:rPr>
                    <w:t xml:space="preserve"> 6 、汽车环氧底漆、烤漆（两层）。</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100</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b/>
              </w:rPr>
              <w:t>（一）质量保证：</w:t>
            </w:r>
          </w:p>
          <w:p>
            <w:pPr>
              <w:pStyle w:val="null3"/>
              <w:ind w:firstLine="440"/>
              <w:jc w:val="left"/>
            </w:pPr>
            <w:r>
              <w:rPr>
                <w:rFonts w:ascii="仿宋_GB2312" w:hAnsi="仿宋_GB2312" w:cs="仿宋_GB2312" w:eastAsia="仿宋_GB2312"/>
                <w:sz w:val="24"/>
                <w:color w:val="000000"/>
              </w:rPr>
              <w:t>1、供应商提供的全部产品须符合国家相关产品技术规范和标准，且都属于厂家原装正品产品，并为合法渠道对本项目进货的全新产品。若供应商提供的证明材料与招标、投标文件不一致或经查实有虚假材料的，采购人将解除合同，向财政部门反馈并按国家相关要求处理。</w:t>
            </w:r>
          </w:p>
          <w:p>
            <w:pPr>
              <w:pStyle w:val="null3"/>
              <w:ind w:firstLine="440"/>
              <w:jc w:val="left"/>
            </w:pPr>
            <w:r>
              <w:rPr>
                <w:rFonts w:ascii="仿宋_GB2312" w:hAnsi="仿宋_GB2312" w:cs="仿宋_GB2312" w:eastAsia="仿宋_GB2312"/>
                <w:sz w:val="24"/>
                <w:color w:val="000000"/>
              </w:rPr>
              <w:t>2、所投的产品外观清洁，标记编号以及显示等字体清晰、明确。</w:t>
            </w:r>
          </w:p>
          <w:p>
            <w:pPr>
              <w:pStyle w:val="null3"/>
              <w:ind w:firstLine="440"/>
              <w:jc w:val="left"/>
            </w:pPr>
            <w:r>
              <w:rPr>
                <w:rFonts w:ascii="仿宋_GB2312" w:hAnsi="仿宋_GB2312" w:cs="仿宋_GB2312" w:eastAsia="仿宋_GB2312"/>
                <w:sz w:val="24"/>
              </w:rPr>
              <w:t>3、因货物的质量问题而发生争议，由采购人委托国家相关检测中心或具备相关资质的第三方检测机构进行质量鉴定。货物符合质量标准的，鉴定费用由采购人承担；货物不符合质量标准的,鉴定费用由供应商承担,由此对采购人造成的损失，供应商应予赔偿。</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4、产品整体质保期1年，质保期自安装调试验收合格之日起计，产品交付使用后，保修期内免费上门保修。保修期过后，厂家提供上门售后服务，且只收取零配件成本价及合理的人工费用。</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sz w:val="24"/>
                <w:b/>
              </w:rPr>
              <w:t>（二）售后服务：</w:t>
            </w:r>
          </w:p>
          <w:p>
            <w:pPr>
              <w:pStyle w:val="null3"/>
              <w:ind w:firstLine="440"/>
              <w:jc w:val="left"/>
            </w:pPr>
            <w:r>
              <w:rPr>
                <w:rFonts w:ascii="仿宋_GB2312" w:hAnsi="仿宋_GB2312" w:cs="仿宋_GB2312" w:eastAsia="仿宋_GB2312"/>
                <w:sz w:val="24"/>
              </w:rPr>
              <w:t>1、</w:t>
            </w:r>
            <w:r>
              <w:rPr>
                <w:rFonts w:ascii="仿宋_GB2312" w:hAnsi="仿宋_GB2312" w:cs="仿宋_GB2312" w:eastAsia="仿宋_GB2312"/>
                <w:sz w:val="24"/>
                <w:color w:val="000000"/>
              </w:rPr>
              <w:t>供应商应设有售后服务网点，供应商须开通</w:t>
            </w:r>
            <w:r>
              <w:rPr>
                <w:rFonts w:ascii="仿宋_GB2312" w:hAnsi="仿宋_GB2312" w:cs="仿宋_GB2312" w:eastAsia="仿宋_GB2312"/>
                <w:sz w:val="24"/>
                <w:color w:val="000000"/>
              </w:rPr>
              <w:t>24 小时服务热线，提供 7*24 小时技术服务。在质保期内，一般故障通过在线技术支持1小时内远程解决，如故障不能解决或者排除的，应在24小时内提供现场服务，待设备运行正常后撤离现场。同一产品、同一质量问题，连续两次维修仍无法正常使用，供应商必须予以更换同品牌、同型号全新产品或性能更优的替代产品，采购人不再支付额外任何费用。</w:t>
            </w:r>
          </w:p>
          <w:p>
            <w:pPr>
              <w:pStyle w:val="null3"/>
              <w:ind w:firstLine="440"/>
              <w:jc w:val="left"/>
            </w:pPr>
            <w:r>
              <w:rPr>
                <w:rFonts w:ascii="仿宋_GB2312" w:hAnsi="仿宋_GB2312" w:cs="仿宋_GB2312" w:eastAsia="仿宋_GB2312"/>
                <w:sz w:val="24"/>
                <w:color w:val="000000"/>
              </w:rPr>
              <w:t>2、质保期内，供应商负责对其提供的系统及全部产品进行维修和软件维护、升级，不再向采购人收</w:t>
            </w:r>
            <w:r>
              <w:rPr>
                <w:rFonts w:ascii="仿宋_GB2312" w:hAnsi="仿宋_GB2312" w:cs="仿宋_GB2312" w:eastAsia="仿宋_GB2312"/>
                <w:sz w:val="24"/>
              </w:rPr>
              <w:t>取费用，但人为因素、自然因素（如火灾、雷击等）造成的故障除外。</w:t>
            </w:r>
          </w:p>
          <w:p>
            <w:pPr>
              <w:pStyle w:val="null3"/>
              <w:ind w:firstLine="440"/>
              <w:jc w:val="left"/>
            </w:pPr>
            <w:r>
              <w:rPr>
                <w:rFonts w:ascii="仿宋_GB2312" w:hAnsi="仿宋_GB2312" w:cs="仿宋_GB2312" w:eastAsia="仿宋_GB2312"/>
                <w:sz w:val="24"/>
              </w:rPr>
              <w:t>3、所有产品和软件质保服务方式均为供应商上门保修，即由供应商派技术人员到采购人设备使用现场维修，由此产生的一切费用均由供应商承担。供应商未在采购人要求的时限内有效解决问题的，采购人有权委托第三方维修或更换配件的，由此产生的费用由供应商承担。</w:t>
            </w:r>
          </w:p>
          <w:p>
            <w:pPr>
              <w:pStyle w:val="null3"/>
              <w:jc w:val="both"/>
            </w:pPr>
            <w:r>
              <w:rPr>
                <w:rFonts w:ascii="仿宋_GB2312" w:hAnsi="仿宋_GB2312" w:cs="仿宋_GB2312" w:eastAsia="仿宋_GB2312"/>
                <w:sz w:val="24"/>
              </w:rPr>
              <w:t>4、供应商在质保期内定期回访，免费提供技术培训，并提供采购人要求的所有培训资料，培训主要内容为产品的基本结构、性能、主要部件的构造及原理，日常使用操作、保养与管理，常见故障的排除，紧急情况的处理等，培训地点由采购人确定。</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sz w:val="24"/>
                <w:b/>
              </w:rPr>
              <w:t>（三）安装调试：</w:t>
            </w:r>
          </w:p>
          <w:p>
            <w:pPr>
              <w:pStyle w:val="null3"/>
              <w:ind w:firstLine="440"/>
              <w:jc w:val="left"/>
            </w:pPr>
            <w:r>
              <w:rPr>
                <w:rFonts w:ascii="仿宋_GB2312" w:hAnsi="仿宋_GB2312" w:cs="仿宋_GB2312" w:eastAsia="仿宋_GB2312"/>
                <w:sz w:val="24"/>
              </w:rPr>
              <w:t>1、所有产品应按出厂标准及国家相关要求进行包装及运输。由供应商免费送货至采购人指定地点并安装调试，安装调试应以需求书要求的技术参数指标为标准。</w:t>
            </w:r>
          </w:p>
          <w:p>
            <w:pPr>
              <w:pStyle w:val="null3"/>
              <w:ind w:firstLine="440"/>
              <w:jc w:val="left"/>
            </w:pPr>
            <w:r>
              <w:rPr>
                <w:rFonts w:ascii="仿宋_GB2312" w:hAnsi="仿宋_GB2312" w:cs="仿宋_GB2312" w:eastAsia="仿宋_GB2312"/>
                <w:sz w:val="24"/>
              </w:rPr>
              <w:t>2、供应商应承诺提供：</w:t>
            </w:r>
          </w:p>
          <w:p>
            <w:pPr>
              <w:pStyle w:val="null3"/>
              <w:ind w:firstLine="440"/>
              <w:jc w:val="left"/>
            </w:pPr>
            <w:r>
              <w:rPr>
                <w:rFonts w:ascii="仿宋_GB2312" w:hAnsi="仿宋_GB2312" w:cs="仿宋_GB2312" w:eastAsia="仿宋_GB2312"/>
                <w:sz w:val="24"/>
              </w:rPr>
              <w:t>（</w:t>
            </w:r>
            <w:r>
              <w:rPr>
                <w:rFonts w:ascii="仿宋_GB2312" w:hAnsi="仿宋_GB2312" w:cs="仿宋_GB2312" w:eastAsia="仿宋_GB2312"/>
                <w:sz w:val="24"/>
              </w:rPr>
              <w:t>1）技术资料：每套货物提供 1 套中文版纸质说明书，随装备一同供应。</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2）装备标签：每套装备交付时须永久性或牢固标签，标签内容含但不限于执行标准、生产厂家、生产日期、规格型号、售后电话（供货商）等内容。</w:t>
            </w:r>
          </w:p>
        </w:tc>
      </w:tr>
      <w:tr>
        <w:tc>
          <w:tcPr>
            <w:tcW w:type="dxa" w:w="2769"/>
          </w:tcPr>
          <w:p/>
        </w:tc>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sz w:val="24"/>
                <w:b/>
              </w:rPr>
              <w:t>（四）交付期：</w:t>
            </w:r>
          </w:p>
          <w:p>
            <w:pPr>
              <w:pStyle w:val="null3"/>
              <w:jc w:val="both"/>
            </w:pPr>
            <w:r>
              <w:rPr>
                <w:rFonts w:ascii="仿宋_GB2312" w:hAnsi="仿宋_GB2312" w:cs="仿宋_GB2312" w:eastAsia="仿宋_GB2312"/>
                <w:sz w:val="24"/>
              </w:rPr>
              <w:t>交付期：自合同签订之日起</w:t>
            </w:r>
            <w:r>
              <w:rPr>
                <w:rFonts w:ascii="仿宋_GB2312" w:hAnsi="仿宋_GB2312" w:cs="仿宋_GB2312" w:eastAsia="仿宋_GB2312"/>
                <w:sz w:val="24"/>
              </w:rPr>
              <w:t>30天内交付采购人使用。</w:t>
            </w:r>
            <w:r>
              <w:br/>
            </w:r>
            <w:r>
              <w:rPr>
                <w:rFonts w:ascii="仿宋_GB2312" w:hAnsi="仿宋_GB2312" w:cs="仿宋_GB2312" w:eastAsia="仿宋_GB2312"/>
                <w:sz w:val="24"/>
              </w:rPr>
              <w:t xml:space="preserve"> 交付地点：采购人指定地点</w:t>
            </w:r>
          </w:p>
        </w:tc>
      </w:tr>
      <w:tr>
        <w:tc>
          <w:tcPr>
            <w:tcW w:type="dxa" w:w="2769"/>
          </w:tcPr>
          <w:p/>
        </w:tc>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sz w:val="24"/>
                <w:b/>
              </w:rPr>
              <w:t>（五）付款方式：</w:t>
            </w:r>
          </w:p>
          <w:p>
            <w:pPr>
              <w:pStyle w:val="null3"/>
              <w:jc w:val="both"/>
            </w:pPr>
            <w:r>
              <w:rPr>
                <w:rFonts w:ascii="仿宋_GB2312" w:hAnsi="仿宋_GB2312" w:cs="仿宋_GB2312" w:eastAsia="仿宋_GB2312"/>
                <w:sz w:val="24"/>
              </w:rPr>
              <w:t>本项目采取预付款方式，合同签订后，采购人预付合同总金额</w:t>
            </w:r>
            <w:r>
              <w:rPr>
                <w:rFonts w:ascii="仿宋_GB2312" w:hAnsi="仿宋_GB2312" w:cs="仿宋_GB2312" w:eastAsia="仿宋_GB2312"/>
                <w:sz w:val="24"/>
              </w:rPr>
              <w:t>30%的款项作为预付款，设备到货后支付至80%货款，通过采购人验收合格后支付全部余款。</w:t>
            </w:r>
          </w:p>
        </w:tc>
      </w:tr>
      <w:tr>
        <w:tc>
          <w:tcPr>
            <w:tcW w:type="dxa" w:w="2769"/>
          </w:tcPr>
          <w:p/>
        </w:tc>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sz w:val="24"/>
                <w:b/>
              </w:rPr>
              <w:t>（六）验收：</w:t>
            </w:r>
          </w:p>
          <w:p>
            <w:pPr>
              <w:pStyle w:val="null3"/>
              <w:ind w:firstLine="440"/>
              <w:jc w:val="left"/>
            </w:pPr>
            <w:r>
              <w:rPr>
                <w:rFonts w:ascii="仿宋_GB2312" w:hAnsi="仿宋_GB2312" w:cs="仿宋_GB2312" w:eastAsia="仿宋_GB2312"/>
                <w:sz w:val="24"/>
              </w:rPr>
              <w:t>1、验收由采购人组织，同批次同包次验收原则上不超过两次。供应商应确保提供的货物：</w:t>
            </w:r>
          </w:p>
          <w:p>
            <w:pPr>
              <w:pStyle w:val="null3"/>
              <w:ind w:firstLine="440"/>
              <w:jc w:val="left"/>
            </w:pPr>
            <w:r>
              <w:rPr>
                <w:rFonts w:ascii="仿宋_GB2312" w:hAnsi="仿宋_GB2312" w:cs="仿宋_GB2312" w:eastAsia="仿宋_GB2312"/>
                <w:sz w:val="24"/>
              </w:rPr>
              <w:t>（</w:t>
            </w:r>
            <w:r>
              <w:rPr>
                <w:rFonts w:ascii="仿宋_GB2312" w:hAnsi="仿宋_GB2312" w:cs="仿宋_GB2312" w:eastAsia="仿宋_GB2312"/>
                <w:sz w:val="24"/>
              </w:rPr>
              <w:t>1）满足合同规定的相关要求。</w:t>
            </w:r>
          </w:p>
          <w:p>
            <w:pPr>
              <w:pStyle w:val="null3"/>
              <w:ind w:firstLine="440"/>
              <w:jc w:val="left"/>
            </w:pPr>
            <w:r>
              <w:rPr>
                <w:rFonts w:ascii="仿宋_GB2312" w:hAnsi="仿宋_GB2312" w:cs="仿宋_GB2312" w:eastAsia="仿宋_GB2312"/>
                <w:sz w:val="24"/>
              </w:rPr>
              <w:t>（</w:t>
            </w:r>
            <w:r>
              <w:rPr>
                <w:rFonts w:ascii="仿宋_GB2312" w:hAnsi="仿宋_GB2312" w:cs="仿宋_GB2312" w:eastAsia="仿宋_GB2312"/>
                <w:sz w:val="24"/>
              </w:rPr>
              <w:t>2）达到了投标文件承诺的要求。</w:t>
            </w:r>
          </w:p>
          <w:p>
            <w:pPr>
              <w:pStyle w:val="null3"/>
              <w:ind w:firstLine="440"/>
              <w:jc w:val="left"/>
            </w:pPr>
            <w:r>
              <w:rPr>
                <w:rFonts w:ascii="仿宋_GB2312" w:hAnsi="仿宋_GB2312" w:cs="仿宋_GB2312" w:eastAsia="仿宋_GB2312"/>
                <w:sz w:val="24"/>
              </w:rPr>
              <w:t>（</w:t>
            </w:r>
            <w:r>
              <w:rPr>
                <w:rFonts w:ascii="仿宋_GB2312" w:hAnsi="仿宋_GB2312" w:cs="仿宋_GB2312" w:eastAsia="仿宋_GB2312"/>
                <w:sz w:val="24"/>
              </w:rPr>
              <w:t>3）满足国家、海南省、行业相关规范和标准的要求。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采购人按政府采购合同规定的技术、服务、安全标准组织对供应商履约情况进行验收，验收应当包括每一项技术、服务、安全标准履约情况。每次验收后，采购人向供应商反馈验收意见，经双方协商达成一致意见后签字确认；未达成一致意见的由双方协商解决，但不包括以下情形：不论何种原因导致供应商货物不符合投标文件响应且供应商拒不在验收意见上签字的，采购人可直接判定供应商所供货物为不合格，且有权解除合同，供应商应向采购人返还采购人所有已付款项，采购人有权要求供应商赔偿由此产生的所有费用。</w:t>
            </w:r>
          </w:p>
        </w:tc>
      </w:tr>
      <w:tr>
        <w:tc>
          <w:tcPr>
            <w:tcW w:type="dxa" w:w="2769"/>
          </w:tcPr>
          <w:p/>
        </w:tc>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sz w:val="24"/>
                <w:b/>
              </w:rPr>
              <w:t>（七）报价内容：</w:t>
            </w:r>
          </w:p>
          <w:p>
            <w:pPr>
              <w:pStyle w:val="null3"/>
              <w:jc w:val="both"/>
            </w:pPr>
            <w:r>
              <w:rPr>
                <w:rFonts w:ascii="仿宋_GB2312" w:hAnsi="仿宋_GB2312" w:cs="仿宋_GB2312" w:eastAsia="仿宋_GB2312"/>
                <w:sz w:val="24"/>
              </w:rPr>
              <w:t>报价应包含但不限于购置费、包装费、运输费、人工费、保险费、各种税费、验收费、售后服务费及合同实施过程中的应预见和不可预见费用等完成合同规定责任和义务、达到合同目的的一切费用。</w:t>
            </w:r>
          </w:p>
        </w:tc>
      </w:tr>
      <w:tr>
        <w:tc>
          <w:tcPr>
            <w:tcW w:type="dxa" w:w="2769"/>
          </w:tcPr>
          <w:p/>
        </w:tc>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sz w:val="24"/>
                <w:b/>
              </w:rPr>
              <w:t>（八）知识产权：</w:t>
            </w:r>
          </w:p>
          <w:p>
            <w:pPr>
              <w:pStyle w:val="null3"/>
              <w:jc w:val="both"/>
            </w:pPr>
            <w:r>
              <w:rPr>
                <w:rFonts w:ascii="仿宋_GB2312" w:hAnsi="仿宋_GB2312" w:cs="仿宋_GB2312" w:eastAsia="仿宋_GB2312"/>
                <w:sz w:val="24"/>
                <w:color w:val="000000"/>
              </w:rPr>
              <w:t>投标人必须保证，采购人在中华人民共和国境内使用投标货物、资料、技术、服务或其任何一部分时，享有不受限制的无偿使用权，如有第三方向采购人提出侵犯其专利权、商标权或其它知识产权的主张，该责任应由投标人承担。投标报价应包含所有应向所有权人支付的专利权、商标权或其它知识产权的一切相关费用；涉及相关专有技术的，应当遵守《中华人民共和国专利法》的相关要求。</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 2、其他 1、投标人需对响应的“技术参数、规格、功能及其他要求”内容真实性负责，如虚假响应谋取中标资格，经核实发现，取消中标资格。 2、招标文件所有的技术参数及其性能(配置) 或如有涉及到品牌仅起参考作用， 目的是为了满足用户工作的基本要求，投标产品满足(实质相当于)或优于招标文件的采购需求均可。 3、本项目标注“★”项代表实质性要求，必须相应，否则投标无效；标注“▲”项为重要参数，不响应将会被着重扣分。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商业信誉、财务会计制度、缴纳税收和社保的承诺函 封面 具有独立承担民事责任的能力证明文件 供应商承诺函 其他材料 残疾人福利性单位声明函 符合法律、行政法规规定的其他条件声明函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其他材料 残疾人福利性单位声明函 符合法律、行政法规规定的其他条件声明函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其他材料 残疾人福利性单位声明函 符合法律、行政法规规定的其他条件声明函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供应商应提供在参加政府采购活动前三年中，无环保类行政处罚记录声明函</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商业信誉、财务会计制度、缴纳税收和社保的承诺函 封面 具有独立承担民事责任的能力证明文件 供应商承诺函 其他材料 投标（响应）报价明细表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供应商承诺函 其他材料 投标（响应）报价明细表 残疾人福利性单位声明函 符合法律、行政法规规定的其他条件声明函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商业信誉、财务会计制度、缴纳税收和社保的承诺函 封面 具有独立承担民事责任的能力证明文件 供应商承诺函 其他材料 投标（响应）报价明细表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供应商承诺函 其他材料 投标（响应）报价明细表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供应商承诺函 其他材料 投标（响应）报价明细表 残疾人福利性单位声明函 符合法律、行政法规规定的其他条件声明函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技术部分37.00分</w:t>
            </w:r>
          </w:p>
          <w:p>
            <w:pPr>
              <w:pStyle w:val="null3"/>
              <w:jc w:val="left"/>
            </w:pPr>
            <w:r>
              <w:rPr>
                <w:rFonts w:ascii="仿宋_GB2312" w:hAnsi="仿宋_GB2312" w:cs="仿宋_GB2312" w:eastAsia="仿宋_GB2312"/>
              </w:rPr>
              <w:t>商务部分33.00分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▲指标技术参数</w:t>
            </w:r>
          </w:p>
        </w:tc>
        <w:tc>
          <w:tcPr>
            <w:tcW w:type="dxa" w:w="2492"/>
          </w:tcPr>
          <w:p>
            <w:pPr>
              <w:pStyle w:val="null3"/>
              <w:jc w:val="left"/>
            </w:pPr>
            <w:r>
              <w:rPr>
                <w:rFonts w:ascii="仿宋_GB2312" w:hAnsi="仿宋_GB2312" w:cs="仿宋_GB2312" w:eastAsia="仿宋_GB2312"/>
              </w:rPr>
              <w:t>根据磋商文件《用户需求书》要求，对响应供应商所投产品各项指标进行评价：（技术参数、性能要求、供货明细、配套件等）完全满足要求的得21分；每不满足1项▲指标（每个产品每个小写序号项要求的指标）扣1分，共21条指标。 注：由评审小组根据技术偏离表进行评分，对响应文件主要技术要求与竞争性磋商文件技术要求逐条进行比较，需要提供佐证证明材料的，逐项按要求提供佐证材料证明，未提供证明材料或证明材料不满足要求的视为参数不响应，不满足。因供应商应提供的材料技术参数不符合或含糊导致评标委员会不能准确认定是否满足招标要求的，评委有权视为不满足。（同一品牌、同一规格型号的产品不重复计分）</w:t>
            </w:r>
          </w:p>
        </w:tc>
        <w:tc>
          <w:tcPr>
            <w:tcW w:type="dxa" w:w="831"/>
          </w:tcPr>
          <w:p>
            <w:pPr>
              <w:pStyle w:val="null3"/>
              <w:jc w:val="right"/>
            </w:pPr>
            <w:r>
              <w:rPr>
                <w:rFonts w:ascii="仿宋_GB2312" w:hAnsi="仿宋_GB2312" w:cs="仿宋_GB2312" w:eastAsia="仿宋_GB2312"/>
              </w:rPr>
              <w:t>21.00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封面</w:t>
            </w:r>
          </w:p>
          <w:p>
            <w:pPr>
              <w:pStyle w:val="null3"/>
              <w:jc w:val="left"/>
            </w:pPr>
            <w:r>
              <w:rPr>
                <w:rFonts w:ascii="仿宋_GB2312" w:hAnsi="仿宋_GB2312" w:cs="仿宋_GB2312" w:eastAsia="仿宋_GB2312"/>
              </w:rPr>
              <w:t>具有独立承担民事责任的能力证明文件</w:t>
            </w:r>
          </w:p>
          <w:p>
            <w:pPr>
              <w:pStyle w:val="null3"/>
              <w:jc w:val="left"/>
            </w:pPr>
            <w:r>
              <w:rPr>
                <w:rFonts w:ascii="仿宋_GB2312" w:hAnsi="仿宋_GB2312" w:cs="仿宋_GB2312" w:eastAsia="仿宋_GB2312"/>
              </w:rPr>
              <w:t>具备履行合同所必需设备和专业技术能力的声明函</w:t>
            </w:r>
          </w:p>
          <w:p>
            <w:pPr>
              <w:pStyle w:val="null3"/>
              <w:jc w:val="left"/>
            </w:pPr>
            <w:r>
              <w:rPr>
                <w:rFonts w:ascii="仿宋_GB2312" w:hAnsi="仿宋_GB2312" w:cs="仿宋_GB2312" w:eastAsia="仿宋_GB2312"/>
              </w:rPr>
              <w:t>商业信誉、财务会计制度、缴纳税收和社保的承诺函</w:t>
            </w:r>
          </w:p>
          <w:p>
            <w:pPr>
              <w:pStyle w:val="null3"/>
              <w:jc w:val="left"/>
            </w:pPr>
            <w:r>
              <w:rPr>
                <w:rFonts w:ascii="仿宋_GB2312" w:hAnsi="仿宋_GB2312" w:cs="仿宋_GB2312" w:eastAsia="仿宋_GB2312"/>
              </w:rPr>
              <w:t>无重大违法记录声明函</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符合法律、行政法规规定的其他条件声明函</w:t>
            </w:r>
          </w:p>
          <w:p>
            <w:pPr>
              <w:pStyle w:val="null3"/>
              <w:jc w:val="left"/>
            </w:pPr>
            <w:r>
              <w:rPr>
                <w:rFonts w:ascii="仿宋_GB2312" w:hAnsi="仿宋_GB2312" w:cs="仿宋_GB2312" w:eastAsia="仿宋_GB2312"/>
              </w:rPr>
              <w:t>无环保类行政处罚记录声明函</w:t>
            </w:r>
          </w:p>
          <w:p>
            <w:pPr>
              <w:pStyle w:val="null3"/>
              <w:jc w:val="left"/>
            </w:pPr>
            <w:r>
              <w:rPr>
                <w:rFonts w:ascii="仿宋_GB2312" w:hAnsi="仿宋_GB2312" w:cs="仿宋_GB2312" w:eastAsia="仿宋_GB2312"/>
              </w:rPr>
              <w:t>自觉抵制政府采购领域商业贿赂行为承诺书</w:t>
            </w:r>
          </w:p>
          <w:p>
            <w:pPr>
              <w:pStyle w:val="null3"/>
              <w:jc w:val="left"/>
            </w:pPr>
            <w:r>
              <w:rPr>
                <w:rFonts w:ascii="仿宋_GB2312" w:hAnsi="仿宋_GB2312" w:cs="仿宋_GB2312" w:eastAsia="仿宋_GB2312"/>
              </w:rPr>
              <w:t>供应商承诺函</w:t>
            </w:r>
          </w:p>
          <w:p>
            <w:pPr>
              <w:pStyle w:val="null3"/>
              <w:jc w:val="left"/>
            </w:pPr>
            <w:r>
              <w:rPr>
                <w:rFonts w:ascii="仿宋_GB2312" w:hAnsi="仿宋_GB2312" w:cs="仿宋_GB2312" w:eastAsia="仿宋_GB2312"/>
              </w:rPr>
              <w:t>法定代表人资格证明书或法定代表人授权委托书</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r>
        <w:tc>
          <w:tcPr>
            <w:tcW w:type="dxa" w:w="831"/>
            <w:vMerge/>
          </w:tcPr>
          <w:p/>
        </w:tc>
        <w:tc>
          <w:tcPr>
            <w:tcW w:type="dxa" w:w="1661"/>
          </w:tcPr>
          <w:p>
            <w:pPr>
              <w:pStyle w:val="null3"/>
              <w:jc w:val="left"/>
            </w:pPr>
            <w:r>
              <w:rPr>
                <w:rFonts w:ascii="仿宋_GB2312" w:hAnsi="仿宋_GB2312" w:cs="仿宋_GB2312" w:eastAsia="仿宋_GB2312"/>
              </w:rPr>
              <w:t>非▲指标技术参数</w:t>
            </w:r>
          </w:p>
        </w:tc>
        <w:tc>
          <w:tcPr>
            <w:tcW w:type="dxa" w:w="2492"/>
          </w:tcPr>
          <w:p>
            <w:pPr>
              <w:pStyle w:val="null3"/>
              <w:jc w:val="left"/>
            </w:pPr>
            <w:r>
              <w:rPr>
                <w:rFonts w:ascii="仿宋_GB2312" w:hAnsi="仿宋_GB2312" w:cs="仿宋_GB2312" w:eastAsia="仿宋_GB2312"/>
              </w:rPr>
              <w:t>根据磋商文件《用户需求书》要求，对响应供应商所投产品各项指标进行评价：（技术参数、性能要求、供货明细、配套件等）完全满足要求的得16分；每不满足1项非▲指标（每个产品每个小写序号项要求的指标）扣0.1分，共160条指标。 注：由评审小组根据技术偏离表进行评分，对响应文件主要技术要求与竞争性磋商文件技术要求逐条进行比较，需要提供佐证证明材料的，逐项按要求提供佐证材料证明，未提供证明材料或证明材料不满足要求的视为参数不响应，不满足。因供应商应提供的材料技术参数不符合或含糊导致评标委员会不能准确认定是否满足招标要求的，评委有权视为不满足。（同一品牌、同一规格型号的产品不重复计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封面</w:t>
            </w:r>
          </w:p>
          <w:p>
            <w:pPr>
              <w:pStyle w:val="null3"/>
              <w:jc w:val="left"/>
            </w:pPr>
            <w:r>
              <w:rPr>
                <w:rFonts w:ascii="仿宋_GB2312" w:hAnsi="仿宋_GB2312" w:cs="仿宋_GB2312" w:eastAsia="仿宋_GB2312"/>
              </w:rPr>
              <w:t>具有独立承担民事责任的能力证明文件</w:t>
            </w:r>
          </w:p>
          <w:p>
            <w:pPr>
              <w:pStyle w:val="null3"/>
              <w:jc w:val="left"/>
            </w:pPr>
            <w:r>
              <w:rPr>
                <w:rFonts w:ascii="仿宋_GB2312" w:hAnsi="仿宋_GB2312" w:cs="仿宋_GB2312" w:eastAsia="仿宋_GB2312"/>
              </w:rPr>
              <w:t>具备履行合同所必需设备和专业技术能力的声明函</w:t>
            </w:r>
          </w:p>
          <w:p>
            <w:pPr>
              <w:pStyle w:val="null3"/>
              <w:jc w:val="left"/>
            </w:pPr>
            <w:r>
              <w:rPr>
                <w:rFonts w:ascii="仿宋_GB2312" w:hAnsi="仿宋_GB2312" w:cs="仿宋_GB2312" w:eastAsia="仿宋_GB2312"/>
              </w:rPr>
              <w:t>商业信誉、财务会计制度、缴纳税收和社保的承诺函</w:t>
            </w:r>
          </w:p>
          <w:p>
            <w:pPr>
              <w:pStyle w:val="null3"/>
              <w:jc w:val="left"/>
            </w:pPr>
            <w:r>
              <w:rPr>
                <w:rFonts w:ascii="仿宋_GB2312" w:hAnsi="仿宋_GB2312" w:cs="仿宋_GB2312" w:eastAsia="仿宋_GB2312"/>
              </w:rPr>
              <w:t>无重大违法记录声明函</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符合法律、行政法规规定的其他条件声明函</w:t>
            </w:r>
          </w:p>
          <w:p>
            <w:pPr>
              <w:pStyle w:val="null3"/>
              <w:jc w:val="left"/>
            </w:pPr>
            <w:r>
              <w:rPr>
                <w:rFonts w:ascii="仿宋_GB2312" w:hAnsi="仿宋_GB2312" w:cs="仿宋_GB2312" w:eastAsia="仿宋_GB2312"/>
              </w:rPr>
              <w:t>无环保类行政处罚记录声明函</w:t>
            </w:r>
          </w:p>
          <w:p>
            <w:pPr>
              <w:pStyle w:val="null3"/>
              <w:jc w:val="left"/>
            </w:pPr>
            <w:r>
              <w:rPr>
                <w:rFonts w:ascii="仿宋_GB2312" w:hAnsi="仿宋_GB2312" w:cs="仿宋_GB2312" w:eastAsia="仿宋_GB2312"/>
              </w:rPr>
              <w:t>自觉抵制政府采购领域商业贿赂行为承诺书</w:t>
            </w:r>
          </w:p>
          <w:p>
            <w:pPr>
              <w:pStyle w:val="null3"/>
              <w:jc w:val="left"/>
            </w:pPr>
            <w:r>
              <w:rPr>
                <w:rFonts w:ascii="仿宋_GB2312" w:hAnsi="仿宋_GB2312" w:cs="仿宋_GB2312" w:eastAsia="仿宋_GB2312"/>
              </w:rPr>
              <w:t>供应商承诺函</w:t>
            </w:r>
          </w:p>
          <w:p>
            <w:pPr>
              <w:pStyle w:val="null3"/>
              <w:jc w:val="left"/>
            </w:pPr>
            <w:r>
              <w:rPr>
                <w:rFonts w:ascii="仿宋_GB2312" w:hAnsi="仿宋_GB2312" w:cs="仿宋_GB2312" w:eastAsia="仿宋_GB2312"/>
              </w:rPr>
              <w:t>法定代表人资格证明书或法定代表人授权委托书</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实施方案</w:t>
            </w:r>
          </w:p>
        </w:tc>
        <w:tc>
          <w:tcPr>
            <w:tcW w:type="dxa" w:w="2492"/>
          </w:tcPr>
          <w:p>
            <w:pPr>
              <w:pStyle w:val="null3"/>
              <w:jc w:val="left"/>
            </w:pPr>
            <w:r>
              <w:rPr>
                <w:rFonts w:ascii="仿宋_GB2312" w:hAnsi="仿宋_GB2312" w:cs="仿宋_GB2312" w:eastAsia="仿宋_GB2312"/>
              </w:rPr>
              <w:t>评标委员会根据各投标人的实施方案（包括但不限于项目管理及承诺等方面）的详细程度、专业程度、完善程度、丰富性进行综合评审： 1、投标人针对本项目的实施方案及措施、承诺全面、完善具体，各阶段服务计划非常详尽的得 8分； 2、投标人针对本项目的实施方案及措施较为可行，符合专业要求，比较完善，能基本满足采购人的需求的，得 5分； 3、投标人针对本项目的整体实施方案及措施、承诺、各阶段服务计划简单的得 2分； 4、无提供方案不得分。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封面</w:t>
            </w:r>
          </w:p>
          <w:p>
            <w:pPr>
              <w:pStyle w:val="null3"/>
              <w:jc w:val="left"/>
            </w:pPr>
            <w:r>
              <w:rPr>
                <w:rFonts w:ascii="仿宋_GB2312" w:hAnsi="仿宋_GB2312" w:cs="仿宋_GB2312" w:eastAsia="仿宋_GB2312"/>
              </w:rPr>
              <w:t>具备履行合同所必需设备和专业技术能力的声明函</w:t>
            </w:r>
          </w:p>
          <w:p>
            <w:pPr>
              <w:pStyle w:val="null3"/>
              <w:jc w:val="left"/>
            </w:pPr>
            <w:r>
              <w:rPr>
                <w:rFonts w:ascii="仿宋_GB2312" w:hAnsi="仿宋_GB2312" w:cs="仿宋_GB2312" w:eastAsia="仿宋_GB2312"/>
              </w:rPr>
              <w:t>商业信誉、财务会计制度、缴纳税收和社保的承诺函</w:t>
            </w:r>
          </w:p>
          <w:p>
            <w:pPr>
              <w:pStyle w:val="null3"/>
              <w:jc w:val="left"/>
            </w:pPr>
            <w:r>
              <w:rPr>
                <w:rFonts w:ascii="仿宋_GB2312" w:hAnsi="仿宋_GB2312" w:cs="仿宋_GB2312" w:eastAsia="仿宋_GB2312"/>
              </w:rPr>
              <w:t>无重大违法记录声明函</w:t>
            </w:r>
          </w:p>
          <w:p>
            <w:pPr>
              <w:pStyle w:val="null3"/>
              <w:jc w:val="left"/>
            </w:pPr>
            <w:r>
              <w:rPr>
                <w:rFonts w:ascii="仿宋_GB2312" w:hAnsi="仿宋_GB2312" w:cs="仿宋_GB2312" w:eastAsia="仿宋_GB2312"/>
              </w:rPr>
              <w:t>自觉抵制政府采购领域商业贿赂行为承诺书</w:t>
            </w:r>
          </w:p>
          <w:p>
            <w:pPr>
              <w:pStyle w:val="null3"/>
              <w:jc w:val="left"/>
            </w:pPr>
            <w:r>
              <w:rPr>
                <w:rFonts w:ascii="仿宋_GB2312" w:hAnsi="仿宋_GB2312" w:cs="仿宋_GB2312" w:eastAsia="仿宋_GB2312"/>
              </w:rPr>
              <w:t>供应商承诺函</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具有独立承担民事责任的能力证明文件</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符合法律、行政法规规定的其他条件声明函</w:t>
            </w:r>
          </w:p>
          <w:p>
            <w:pPr>
              <w:pStyle w:val="null3"/>
              <w:jc w:val="left"/>
            </w:pPr>
            <w:r>
              <w:rPr>
                <w:rFonts w:ascii="仿宋_GB2312" w:hAnsi="仿宋_GB2312" w:cs="仿宋_GB2312" w:eastAsia="仿宋_GB2312"/>
              </w:rPr>
              <w:t>无环保类行政处罚记录声明函</w:t>
            </w:r>
          </w:p>
          <w:p>
            <w:pPr>
              <w:pStyle w:val="null3"/>
              <w:jc w:val="left"/>
            </w:pPr>
            <w:r>
              <w:rPr>
                <w:rFonts w:ascii="仿宋_GB2312" w:hAnsi="仿宋_GB2312" w:cs="仿宋_GB2312" w:eastAsia="仿宋_GB2312"/>
              </w:rPr>
              <w:t>法定代表人资格证明书或法定代表人授权委托书</w:t>
            </w:r>
          </w:p>
        </w:tc>
      </w:tr>
      <w:tr>
        <w:tc>
          <w:tcPr>
            <w:tcW w:type="dxa" w:w="831"/>
            <w:vMerge/>
          </w:tcPr>
          <w:p/>
        </w:tc>
        <w:tc>
          <w:tcPr>
            <w:tcW w:type="dxa" w:w="1661"/>
          </w:tcPr>
          <w:p>
            <w:pPr>
              <w:pStyle w:val="null3"/>
              <w:jc w:val="left"/>
            </w:pPr>
            <w:r>
              <w:rPr>
                <w:rFonts w:ascii="仿宋_GB2312" w:hAnsi="仿宋_GB2312" w:cs="仿宋_GB2312" w:eastAsia="仿宋_GB2312"/>
              </w:rPr>
              <w:t>售后服务承诺及方案</w:t>
            </w:r>
          </w:p>
        </w:tc>
        <w:tc>
          <w:tcPr>
            <w:tcW w:type="dxa" w:w="2492"/>
          </w:tcPr>
          <w:p>
            <w:pPr>
              <w:pStyle w:val="null3"/>
              <w:jc w:val="left"/>
            </w:pPr>
            <w:r>
              <w:rPr>
                <w:rFonts w:ascii="仿宋_GB2312" w:hAnsi="仿宋_GB2312" w:cs="仿宋_GB2312" w:eastAsia="仿宋_GB2312"/>
              </w:rPr>
              <w:t>评标委员会根据投标人对售后服务方案（包括但不限于保修期及服务承诺、售后服务内容、售后服务流程及机构设置、维修方案应急保障及响应时间等方面）的详细程度、专业程度、完善程度、丰富性进行综合评审： 1、投标人针对本项目的售后服务承诺及方案全面、完善具体，各阶段服务计划非常详尽的得 8分； 2、投标人针对本项目的售后服务承诺及方案较为可行，符合专业要求，比较完善，能基本满足采购人的需求的，得 5分； 3、投标人针对本项目的售后服务承诺及方案、各阶段服务计划简单的得 2分； 4、无提供方案不得分。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封面</w:t>
            </w:r>
          </w:p>
          <w:p>
            <w:pPr>
              <w:pStyle w:val="null3"/>
              <w:jc w:val="left"/>
            </w:pPr>
            <w:r>
              <w:rPr>
                <w:rFonts w:ascii="仿宋_GB2312" w:hAnsi="仿宋_GB2312" w:cs="仿宋_GB2312" w:eastAsia="仿宋_GB2312"/>
              </w:rPr>
              <w:t>具备履行合同所必需设备和专业技术能力的声明函</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符合法律、行政法规规定的其他条件声明函</w:t>
            </w:r>
          </w:p>
          <w:p>
            <w:pPr>
              <w:pStyle w:val="null3"/>
              <w:jc w:val="left"/>
            </w:pPr>
            <w:r>
              <w:rPr>
                <w:rFonts w:ascii="仿宋_GB2312" w:hAnsi="仿宋_GB2312" w:cs="仿宋_GB2312" w:eastAsia="仿宋_GB2312"/>
              </w:rPr>
              <w:t>无环保类行政处罚记录声明函</w:t>
            </w:r>
          </w:p>
          <w:p>
            <w:pPr>
              <w:pStyle w:val="null3"/>
              <w:jc w:val="left"/>
            </w:pPr>
            <w:r>
              <w:rPr>
                <w:rFonts w:ascii="仿宋_GB2312" w:hAnsi="仿宋_GB2312" w:cs="仿宋_GB2312" w:eastAsia="仿宋_GB2312"/>
              </w:rPr>
              <w:t>法定代表人资格证明书或法定代表人授权委托书</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具有独立承担民事责任的能力证明文件</w:t>
            </w:r>
          </w:p>
          <w:p>
            <w:pPr>
              <w:pStyle w:val="null3"/>
              <w:jc w:val="left"/>
            </w:pPr>
            <w:r>
              <w:rPr>
                <w:rFonts w:ascii="仿宋_GB2312" w:hAnsi="仿宋_GB2312" w:cs="仿宋_GB2312" w:eastAsia="仿宋_GB2312"/>
              </w:rPr>
              <w:t>商业信誉、财务会计制度、缴纳税收和社保的承诺函</w:t>
            </w:r>
          </w:p>
          <w:p>
            <w:pPr>
              <w:pStyle w:val="null3"/>
              <w:jc w:val="left"/>
            </w:pPr>
            <w:r>
              <w:rPr>
                <w:rFonts w:ascii="仿宋_GB2312" w:hAnsi="仿宋_GB2312" w:cs="仿宋_GB2312" w:eastAsia="仿宋_GB2312"/>
              </w:rPr>
              <w:t>无重大违法记录声明函</w:t>
            </w:r>
          </w:p>
          <w:p>
            <w:pPr>
              <w:pStyle w:val="null3"/>
              <w:jc w:val="left"/>
            </w:pPr>
            <w:r>
              <w:rPr>
                <w:rFonts w:ascii="仿宋_GB2312" w:hAnsi="仿宋_GB2312" w:cs="仿宋_GB2312" w:eastAsia="仿宋_GB2312"/>
              </w:rPr>
              <w:t>自觉抵制政府采购领域商业贿赂行为承诺书</w:t>
            </w:r>
          </w:p>
          <w:p>
            <w:pPr>
              <w:pStyle w:val="null3"/>
              <w:jc w:val="left"/>
            </w:pPr>
            <w:r>
              <w:rPr>
                <w:rFonts w:ascii="仿宋_GB2312" w:hAnsi="仿宋_GB2312" w:cs="仿宋_GB2312" w:eastAsia="仿宋_GB2312"/>
              </w:rPr>
              <w:t>供应商承诺函</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应急措施方案</w:t>
            </w:r>
          </w:p>
        </w:tc>
        <w:tc>
          <w:tcPr>
            <w:tcW w:type="dxa" w:w="2492"/>
          </w:tcPr>
          <w:p>
            <w:pPr>
              <w:pStyle w:val="null3"/>
              <w:jc w:val="left"/>
            </w:pPr>
            <w:r>
              <w:rPr>
                <w:rFonts w:ascii="仿宋_GB2312" w:hAnsi="仿宋_GB2312" w:cs="仿宋_GB2312" w:eastAsia="仿宋_GB2312"/>
              </w:rPr>
              <w:t>评标委员会根据投标人对突发事件应急处置方案措施（包括但不限于应急措施、防控措施、应急服务承诺及应急服务响应能力、应急预案等方面）的详细程度、专业程度、完善程度、丰富性进行综合评审： 1、投标人针对本项目的应急方案及措施、承诺全面、完善具体，各阶段服务计划非常详尽的得 7分； 2、投标人针对本项目的应急方案及措施较为可行，符合专业要求，比较完善，能基本满足采购人的需求的，得4 分； 3、投标人针对本项目的突发事件应急处置方案及措施、承诺、各阶段服务计划简单的得 1 分； 4、未提供方案不得分。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具备履行合同所必需设备和专业技术能力的声明函</w:t>
            </w:r>
          </w:p>
          <w:p>
            <w:pPr>
              <w:pStyle w:val="null3"/>
              <w:jc w:val="left"/>
            </w:pPr>
            <w:r>
              <w:rPr>
                <w:rFonts w:ascii="仿宋_GB2312" w:hAnsi="仿宋_GB2312" w:cs="仿宋_GB2312" w:eastAsia="仿宋_GB2312"/>
              </w:rPr>
              <w:t>商业信誉、财务会计制度、缴纳税收和社保的承诺函</w:t>
            </w:r>
          </w:p>
          <w:p>
            <w:pPr>
              <w:pStyle w:val="null3"/>
              <w:jc w:val="left"/>
            </w:pPr>
            <w:r>
              <w:rPr>
                <w:rFonts w:ascii="仿宋_GB2312" w:hAnsi="仿宋_GB2312" w:cs="仿宋_GB2312" w:eastAsia="仿宋_GB2312"/>
              </w:rPr>
              <w:t>自觉抵制政府采购领域商业贿赂行为承诺书</w:t>
            </w:r>
          </w:p>
          <w:p>
            <w:pPr>
              <w:pStyle w:val="null3"/>
              <w:jc w:val="left"/>
            </w:pPr>
            <w:r>
              <w:rPr>
                <w:rFonts w:ascii="仿宋_GB2312" w:hAnsi="仿宋_GB2312" w:cs="仿宋_GB2312" w:eastAsia="仿宋_GB2312"/>
              </w:rPr>
              <w:t>供应商承诺函</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封面</w:t>
            </w:r>
          </w:p>
          <w:p>
            <w:pPr>
              <w:pStyle w:val="null3"/>
              <w:jc w:val="left"/>
            </w:pPr>
            <w:r>
              <w:rPr>
                <w:rFonts w:ascii="仿宋_GB2312" w:hAnsi="仿宋_GB2312" w:cs="仿宋_GB2312" w:eastAsia="仿宋_GB2312"/>
              </w:rPr>
              <w:t>具有独立承担民事责任的能力证明文件</w:t>
            </w:r>
          </w:p>
          <w:p>
            <w:pPr>
              <w:pStyle w:val="null3"/>
              <w:jc w:val="left"/>
            </w:pPr>
            <w:r>
              <w:rPr>
                <w:rFonts w:ascii="仿宋_GB2312" w:hAnsi="仿宋_GB2312" w:cs="仿宋_GB2312" w:eastAsia="仿宋_GB2312"/>
              </w:rPr>
              <w:t>无重大违法记录声明函</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符合法律、行政法规规定的其他条件声明函</w:t>
            </w:r>
          </w:p>
          <w:p>
            <w:pPr>
              <w:pStyle w:val="null3"/>
              <w:jc w:val="left"/>
            </w:pPr>
            <w:r>
              <w:rPr>
                <w:rFonts w:ascii="仿宋_GB2312" w:hAnsi="仿宋_GB2312" w:cs="仿宋_GB2312" w:eastAsia="仿宋_GB2312"/>
              </w:rPr>
              <w:t>无环保类行政处罚记录声明函</w:t>
            </w:r>
          </w:p>
          <w:p>
            <w:pPr>
              <w:pStyle w:val="null3"/>
              <w:jc w:val="left"/>
            </w:pPr>
            <w:r>
              <w:rPr>
                <w:rFonts w:ascii="仿宋_GB2312" w:hAnsi="仿宋_GB2312" w:cs="仿宋_GB2312" w:eastAsia="仿宋_GB2312"/>
              </w:rPr>
              <w:t>法定代表人资格证明书或法定代表人授权委托书</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r>
        <w:tc>
          <w:tcPr>
            <w:tcW w:type="dxa" w:w="831"/>
            <w:vMerge/>
          </w:tcPr>
          <w:p/>
        </w:tc>
        <w:tc>
          <w:tcPr>
            <w:tcW w:type="dxa" w:w="1661"/>
          </w:tcPr>
          <w:p>
            <w:pPr>
              <w:pStyle w:val="null3"/>
              <w:jc w:val="left"/>
            </w:pPr>
            <w:r>
              <w:rPr>
                <w:rFonts w:ascii="仿宋_GB2312" w:hAnsi="仿宋_GB2312" w:cs="仿宋_GB2312" w:eastAsia="仿宋_GB2312"/>
              </w:rPr>
              <w:t>质量保证措施方案</w:t>
            </w:r>
          </w:p>
        </w:tc>
        <w:tc>
          <w:tcPr>
            <w:tcW w:type="dxa" w:w="2492"/>
          </w:tcPr>
          <w:p>
            <w:pPr>
              <w:pStyle w:val="null3"/>
              <w:jc w:val="left"/>
            </w:pPr>
            <w:r>
              <w:rPr>
                <w:rFonts w:ascii="仿宋_GB2312" w:hAnsi="仿宋_GB2312" w:cs="仿宋_GB2312" w:eastAsia="仿宋_GB2312"/>
              </w:rPr>
              <w:t>评标委员会根据各投标人提供的质量保证方案（包括但不限于：质保期内的承诺、质量管理环节等方面）的详细程度、专业程度、完善程度、丰富性进行综合评审： 1、投标人针对本项目的质量保证方案及措施、承诺全面、完善具体，各阶段服务计划非常详尽的得 7分； 2、投标人针对本项目的质量保证方案及措施较为可行，符合专业要求，比较完善，能基本满足采购人的需求的，得4分； 3、投标人针对本项目的质量保证方案及措施、承诺、各阶段服务计划简单的得1分； 4、无提供方案不得分。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符合法律、行政法规规定的其他条件声明函</w:t>
            </w:r>
          </w:p>
          <w:p>
            <w:pPr>
              <w:pStyle w:val="null3"/>
              <w:jc w:val="left"/>
            </w:pPr>
            <w:r>
              <w:rPr>
                <w:rFonts w:ascii="仿宋_GB2312" w:hAnsi="仿宋_GB2312" w:cs="仿宋_GB2312" w:eastAsia="仿宋_GB2312"/>
              </w:rPr>
              <w:t>自觉抵制政府采购领域商业贿赂行为承诺书</w:t>
            </w:r>
          </w:p>
          <w:p>
            <w:pPr>
              <w:pStyle w:val="null3"/>
              <w:jc w:val="left"/>
            </w:pPr>
            <w:r>
              <w:rPr>
                <w:rFonts w:ascii="仿宋_GB2312" w:hAnsi="仿宋_GB2312" w:cs="仿宋_GB2312" w:eastAsia="仿宋_GB2312"/>
              </w:rPr>
              <w:t>供应商承诺函</w:t>
            </w:r>
          </w:p>
          <w:p>
            <w:pPr>
              <w:pStyle w:val="null3"/>
              <w:jc w:val="left"/>
            </w:pPr>
            <w:r>
              <w:rPr>
                <w:rFonts w:ascii="仿宋_GB2312" w:hAnsi="仿宋_GB2312" w:cs="仿宋_GB2312" w:eastAsia="仿宋_GB2312"/>
              </w:rPr>
              <w:t>法定代表人资格证明书或法定代表人授权委托书</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封面</w:t>
            </w:r>
          </w:p>
          <w:p>
            <w:pPr>
              <w:pStyle w:val="null3"/>
              <w:jc w:val="left"/>
            </w:pPr>
            <w:r>
              <w:rPr>
                <w:rFonts w:ascii="仿宋_GB2312" w:hAnsi="仿宋_GB2312" w:cs="仿宋_GB2312" w:eastAsia="仿宋_GB2312"/>
              </w:rPr>
              <w:t>具有独立承担民事责任的能力证明文件</w:t>
            </w:r>
          </w:p>
          <w:p>
            <w:pPr>
              <w:pStyle w:val="null3"/>
              <w:jc w:val="left"/>
            </w:pPr>
            <w:r>
              <w:rPr>
                <w:rFonts w:ascii="仿宋_GB2312" w:hAnsi="仿宋_GB2312" w:cs="仿宋_GB2312" w:eastAsia="仿宋_GB2312"/>
              </w:rPr>
              <w:t>具备履行合同所必需设备和专业技术能力的声明函</w:t>
            </w:r>
          </w:p>
          <w:p>
            <w:pPr>
              <w:pStyle w:val="null3"/>
              <w:jc w:val="left"/>
            </w:pPr>
            <w:r>
              <w:rPr>
                <w:rFonts w:ascii="仿宋_GB2312" w:hAnsi="仿宋_GB2312" w:cs="仿宋_GB2312" w:eastAsia="仿宋_GB2312"/>
              </w:rPr>
              <w:t>商业信誉、财务会计制度、缴纳税收和社保的承诺函</w:t>
            </w:r>
          </w:p>
          <w:p>
            <w:pPr>
              <w:pStyle w:val="null3"/>
              <w:jc w:val="left"/>
            </w:pPr>
            <w:r>
              <w:rPr>
                <w:rFonts w:ascii="仿宋_GB2312" w:hAnsi="仿宋_GB2312" w:cs="仿宋_GB2312" w:eastAsia="仿宋_GB2312"/>
              </w:rPr>
              <w:t>无重大违法记录声明函</w:t>
            </w:r>
          </w:p>
          <w:p>
            <w:pPr>
              <w:pStyle w:val="null3"/>
              <w:jc w:val="left"/>
            </w:pPr>
            <w:r>
              <w:rPr>
                <w:rFonts w:ascii="仿宋_GB2312" w:hAnsi="仿宋_GB2312" w:cs="仿宋_GB2312" w:eastAsia="仿宋_GB2312"/>
              </w:rPr>
              <w:t>无环保类行政处罚记录声明函</w:t>
            </w:r>
          </w:p>
          <w:p>
            <w:pPr>
              <w:pStyle w:val="null3"/>
              <w:jc w:val="left"/>
            </w:pPr>
            <w:r>
              <w:rPr>
                <w:rFonts w:ascii="仿宋_GB2312" w:hAnsi="仿宋_GB2312" w:cs="仿宋_GB2312" w:eastAsia="仿宋_GB2312"/>
              </w:rPr>
              <w:t>监狱企业的证明文件</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2022 年至今，具有类似业绩项目合同，每有 1 个得 1.5分，最高得3分。证明材料：须提交合同关键页扫描件，关键页包括合同名称、合同金额、服务内容及签字盖章页等。</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封面</w:t>
            </w:r>
          </w:p>
          <w:p>
            <w:pPr>
              <w:pStyle w:val="null3"/>
              <w:jc w:val="left"/>
            </w:pPr>
            <w:r>
              <w:rPr>
                <w:rFonts w:ascii="仿宋_GB2312" w:hAnsi="仿宋_GB2312" w:cs="仿宋_GB2312" w:eastAsia="仿宋_GB2312"/>
              </w:rPr>
              <w:t>具有独立承担民事责任的能力证明文件</w:t>
            </w:r>
          </w:p>
          <w:p>
            <w:pPr>
              <w:pStyle w:val="null3"/>
              <w:jc w:val="left"/>
            </w:pPr>
            <w:r>
              <w:rPr>
                <w:rFonts w:ascii="仿宋_GB2312" w:hAnsi="仿宋_GB2312" w:cs="仿宋_GB2312" w:eastAsia="仿宋_GB2312"/>
              </w:rPr>
              <w:t>具备履行合同所必需设备和专业技术能力的声明函</w:t>
            </w:r>
          </w:p>
          <w:p>
            <w:pPr>
              <w:pStyle w:val="null3"/>
              <w:jc w:val="left"/>
            </w:pPr>
            <w:r>
              <w:rPr>
                <w:rFonts w:ascii="仿宋_GB2312" w:hAnsi="仿宋_GB2312" w:cs="仿宋_GB2312" w:eastAsia="仿宋_GB2312"/>
              </w:rPr>
              <w:t>商业信誉、财务会计制度、缴纳税收和社保的承诺函</w:t>
            </w:r>
          </w:p>
          <w:p>
            <w:pPr>
              <w:pStyle w:val="null3"/>
              <w:jc w:val="left"/>
            </w:pPr>
            <w:r>
              <w:rPr>
                <w:rFonts w:ascii="仿宋_GB2312" w:hAnsi="仿宋_GB2312" w:cs="仿宋_GB2312" w:eastAsia="仿宋_GB2312"/>
              </w:rPr>
              <w:t>无重大违法记录声明函</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符合法律、行政法规规定的其他条件声明函</w:t>
            </w:r>
          </w:p>
          <w:p>
            <w:pPr>
              <w:pStyle w:val="null3"/>
              <w:jc w:val="left"/>
            </w:pPr>
            <w:r>
              <w:rPr>
                <w:rFonts w:ascii="仿宋_GB2312" w:hAnsi="仿宋_GB2312" w:cs="仿宋_GB2312" w:eastAsia="仿宋_GB2312"/>
              </w:rPr>
              <w:t>自觉抵制政府采购领域商业贿赂行为承诺书</w:t>
            </w:r>
          </w:p>
          <w:p>
            <w:pPr>
              <w:pStyle w:val="null3"/>
              <w:jc w:val="left"/>
            </w:pPr>
            <w:r>
              <w:rPr>
                <w:rFonts w:ascii="仿宋_GB2312" w:hAnsi="仿宋_GB2312" w:cs="仿宋_GB2312" w:eastAsia="仿宋_GB2312"/>
              </w:rPr>
              <w:t>供应商承诺函</w:t>
            </w:r>
          </w:p>
          <w:p>
            <w:pPr>
              <w:pStyle w:val="null3"/>
              <w:jc w:val="left"/>
            </w:pPr>
            <w:r>
              <w:rPr>
                <w:rFonts w:ascii="仿宋_GB2312" w:hAnsi="仿宋_GB2312" w:cs="仿宋_GB2312" w:eastAsia="仿宋_GB2312"/>
              </w:rPr>
              <w:t>法定代表人资格证明书或法定代表人授权委托书</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XHC2025-009-1</w:t>
      </w:r>
    </w:p>
    <w:p>
      <w:pPr>
        <w:pStyle w:val="null3"/>
        <w:jc w:val="left"/>
      </w:pPr>
      <w:r>
        <w:rPr>
          <w:rFonts w:ascii="仿宋_GB2312" w:hAnsi="仿宋_GB2312" w:cs="仿宋_GB2312" w:eastAsia="仿宋_GB2312"/>
        </w:rPr>
        <w:t>项目名称：</w:t>
      </w:r>
      <w:r>
        <w:rPr>
          <w:rFonts w:ascii="仿宋_GB2312" w:hAnsi="仿宋_GB2312" w:cs="仿宋_GB2312" w:eastAsia="仿宋_GB2312"/>
        </w:rPr>
        <w:t>文昌市林业局2025年森林火灾预防和火情早期处理能力提升项目(二次)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文昌市林业局2025年森林火灾预防和火情早期处理能力提升项目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A01029900-其他构筑物</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2230000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详见附件：符合法律、行政法规规定的其他条件声明函</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