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耕地“非粮化”“非农化”、国土卫片图斑等专项整治项目(二次)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[HNRH]20250200002[GK]-1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三亚市综合行政执法局天涯分局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海南戎辉建设工程管理有限公司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三亚市综合行政执法局天涯分局</w:t>
      </w:r>
      <w:r>
        <w:rPr>
          <w:rFonts w:ascii="仿宋_GB2312" w:hAnsi="仿宋_GB2312" w:cs="仿宋_GB2312" w:eastAsia="仿宋_GB2312"/>
        </w:rPr>
        <w:t xml:space="preserve"> 委托， </w:t>
      </w:r>
      <w:r>
        <w:rPr>
          <w:rFonts w:ascii="仿宋_GB2312" w:hAnsi="仿宋_GB2312" w:cs="仿宋_GB2312" w:eastAsia="仿宋_GB2312"/>
        </w:rPr>
        <w:t>海南戎辉建设工程管理有限公司</w:t>
      </w:r>
      <w:r>
        <w:rPr>
          <w:rFonts w:ascii="仿宋_GB2312" w:hAnsi="仿宋_GB2312" w:cs="仿宋_GB2312" w:eastAsia="仿宋_GB2312"/>
        </w:rPr>
        <w:t xml:space="preserve"> 对 </w:t>
      </w:r>
      <w:r>
        <w:rPr>
          <w:rFonts w:ascii="仿宋_GB2312" w:hAnsi="仿宋_GB2312" w:cs="仿宋_GB2312" w:eastAsia="仿宋_GB2312"/>
        </w:rPr>
        <w:t>耕地“非粮化”“非农化”、国土卫片图斑等专项整治项目(二次)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[HNRH]20250200002[GK]-1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耕地“非粮化”“非农化”、国土卫片图斑等专项整治项目(二次)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4,500,000.00元</w:t>
      </w:r>
      <w:r>
        <w:rPr>
          <w:rFonts w:ascii="仿宋_GB2312" w:hAnsi="仿宋_GB2312" w:cs="仿宋_GB2312" w:eastAsia="仿宋_GB2312"/>
        </w:rPr>
        <w:t>肆佰伍拾万元整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中标后签定合同日期至2025年12月31日止</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中标后签定合同日期至2025年12月31日止</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1、是否联合体：本项目不接受联合体</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1、是否联合体：本项目不接受联合体</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投标人应先在投标截止时间前按照海南省政府采购智慧云平台的操作流程将电子投标文件上传至海南省政府采购智慧云平台。</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三亚市综合行政执法局天涯分局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三亚市天涯区金鸡岭路碧海巷1号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陈秀雯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18889242294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海南戎辉建设工程管理有限公司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海南省三亚市吉阳区月川安置区2栋2504房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陈珂君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13307575954</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采购包1：2,250,000.00元</w:t>
            </w:r>
          </w:p>
          <w:p>
            <w:pPr>
              <w:pStyle w:val="null3"/>
              <w:jc w:val="left"/>
            </w:pPr>
            <w:r>
              <w:rPr>
                <w:rFonts w:ascii="仿宋_GB2312" w:hAnsi="仿宋_GB2312" w:cs="仿宋_GB2312" w:eastAsia="仿宋_GB2312"/>
              </w:rPr>
              <w:t>采购包2：2,250,000.00元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投标文件提交截止之日起计算的90天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海南省物价局关于降低部分招标代理服务收费标准的通知》（琼价费管〔2011〕225号）文件作为参考，按询价后价格收取代理费用（平均分配支付）。2、支付方式及时间：以人民币结算，由本项目的中标（成交）供应商在领取中标（成交）通知书时一次性全额支付给招标代理机构。</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1.本项目可兼投，但不能兼中。 2.本项目评标委员会总人数 5 人，其中采购人代表 1 人，系统随机抽取专家 4 人。3.投标单位保证在本项目投标过程中所提供资料真实有效，若发现有伪造编制，弄虚作假骗取中标，将取消中标资格，并上报行政主管部门。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联系电话：13307575954</w:t>
      </w:r>
    </w:p>
    <w:p>
      <w:pPr>
        <w:pStyle w:val="null3"/>
        <w:jc w:val="left"/>
      </w:pPr>
      <w:r>
        <w:rPr>
          <w:rFonts w:ascii="仿宋_GB2312" w:hAnsi="仿宋_GB2312" w:cs="仿宋_GB2312" w:eastAsia="仿宋_GB2312"/>
        </w:rPr>
        <w:t>地址：海南省三亚市吉阳区月川安置区2栋2504房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通过专项整改复耕工作，完成天涯区</w:t>
      </w:r>
      <w:r>
        <w:rPr>
          <w:rFonts w:ascii="仿宋_GB2312" w:hAnsi="仿宋_GB2312" w:cs="仿宋_GB2312" w:eastAsia="仿宋_GB2312"/>
          <w:sz w:val="32"/>
        </w:rPr>
        <w:t>耕地</w:t>
      </w:r>
      <w:r>
        <w:rPr>
          <w:rFonts w:ascii="仿宋_GB2312" w:hAnsi="仿宋_GB2312" w:cs="仿宋_GB2312" w:eastAsia="仿宋_GB2312"/>
          <w:sz w:val="32"/>
        </w:rPr>
        <w:t>“非粮化”“非农化”、国土卫片图斑等专项整治项目，</w:t>
      </w:r>
      <w:r>
        <w:rPr>
          <w:rFonts w:ascii="仿宋_GB2312" w:hAnsi="仿宋_GB2312" w:cs="仿宋_GB2312" w:eastAsia="仿宋_GB2312"/>
          <w:sz w:val="32"/>
        </w:rPr>
        <w:t>对土地上的建筑物（构筑物）、堆放物、果树、鱼塘（水塘）等进行拆除、清运及平整土地，恢复土地原状，达到复耕条件。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2,250,000.00</w:t>
      </w:r>
    </w:p>
    <w:p>
      <w:pPr>
        <w:pStyle w:val="null3"/>
        <w:jc w:val="left"/>
      </w:pPr>
      <w:r>
        <w:rPr>
          <w:rFonts w:ascii="仿宋_GB2312" w:hAnsi="仿宋_GB2312" w:cs="仿宋_GB2312" w:eastAsia="仿宋_GB2312"/>
        </w:rPr>
        <w:t>采购包最高限价（元）: 2,250,000.00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C13050100-清扫服务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2,250,000.00</w:t>
      </w:r>
    </w:p>
    <w:p>
      <w:pPr>
        <w:pStyle w:val="null3"/>
        <w:jc w:val="left"/>
      </w:pPr>
      <w:r>
        <w:rPr>
          <w:rFonts w:ascii="仿宋_GB2312" w:hAnsi="仿宋_GB2312" w:cs="仿宋_GB2312" w:eastAsia="仿宋_GB2312"/>
        </w:rPr>
        <w:t>采购包最高限价（元）: 2,250,000.00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C13050100-清扫服务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C13050100-清扫服务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tc>
        <w:tc>
          <w:tcPr>
            <w:tcW w:type="dxa" w:w="1384"/>
          </w:tcPr>
          <w:p>
            <w:pPr>
              <w:pStyle w:val="null3"/>
              <w:jc w:val="left"/>
            </w:pPr>
            <w:r>
              <w:rPr>
                <w:rFonts w:ascii="仿宋_GB2312" w:hAnsi="仿宋_GB2312" w:cs="仿宋_GB2312" w:eastAsia="仿宋_GB2312"/>
              </w:rPr>
              <w:t>百分比</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C13050100-清扫服务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tc>
        <w:tc>
          <w:tcPr>
            <w:tcW w:type="dxa" w:w="1384"/>
          </w:tcPr>
          <w:p>
            <w:pPr>
              <w:pStyle w:val="null3"/>
              <w:jc w:val="left"/>
            </w:pPr>
            <w:r>
              <w:rPr>
                <w:rFonts w:ascii="仿宋_GB2312" w:hAnsi="仿宋_GB2312" w:cs="仿宋_GB2312" w:eastAsia="仿宋_GB2312"/>
              </w:rPr>
              <w:t>百分比</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标的名称：C13050100-清扫服务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需要中标公司对土地上的建筑物（构筑物）、堆放物、果树、鱼塘（水塘）等进行拆除、清运及平整土地，恢复土地原状，达到复耕条件。</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标的名称：C13050100-清扫服务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需要中标公司对土地上的建筑物（构筑物）、堆放物、果树、鱼塘（水塘）等进行拆除、清运及平整土地，恢复土地原状，达到复耕条件。</w:t>
            </w:r>
          </w:p>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1、健全档案资料，须具备跟踪记录该项目实施过程，并留有图片及相关佐证材料，以备验收、检查。</w:t>
            </w:r>
          </w:p>
          <w:p>
            <w:pPr>
              <w:pStyle w:val="null3"/>
              <w:jc w:val="both"/>
            </w:pPr>
            <w:r>
              <w:rPr>
                <w:rFonts w:ascii="仿宋_GB2312" w:hAnsi="仿宋_GB2312" w:cs="仿宋_GB2312" w:eastAsia="仿宋_GB2312"/>
                <w:sz w:val="24"/>
              </w:rPr>
              <w:t>2、其他内容按招标文件要求和国家行业标准进行验收。</w:t>
            </w:r>
          </w:p>
          <w:p>
            <w:pPr>
              <w:pStyle w:val="null3"/>
              <w:jc w:val="both"/>
            </w:pPr>
            <w:r>
              <w:rPr>
                <w:rFonts w:ascii="仿宋_GB2312" w:hAnsi="仿宋_GB2312" w:cs="仿宋_GB2312" w:eastAsia="仿宋_GB2312"/>
                <w:sz w:val="24"/>
              </w:rPr>
              <w:t>3、本项目可兼投，但不可兼中。</w:t>
            </w:r>
          </w:p>
          <w:p>
            <w:pPr>
              <w:pStyle w:val="null3"/>
              <w:jc w:val="both"/>
            </w:pPr>
            <w:r>
              <w:rPr>
                <w:rFonts w:ascii="仿宋_GB2312" w:hAnsi="仿宋_GB2312" w:cs="仿宋_GB2312" w:eastAsia="仿宋_GB2312"/>
                <w:sz w:val="24"/>
              </w:rPr>
              <w:t>4、最高限制价：一包：2250000.00元；服务时间：中标后签定合同日期至</w:t>
            </w:r>
            <w:r>
              <w:rPr>
                <w:rFonts w:ascii="仿宋_GB2312" w:hAnsi="仿宋_GB2312" w:cs="仿宋_GB2312" w:eastAsia="仿宋_GB2312"/>
                <w:sz w:val="24"/>
                <w:u w:val="single"/>
              </w:rPr>
              <w:t>2025</w:t>
            </w:r>
            <w:r>
              <w:rPr>
                <w:rFonts w:ascii="仿宋_GB2312" w:hAnsi="仿宋_GB2312" w:cs="仿宋_GB2312" w:eastAsia="仿宋_GB2312"/>
                <w:sz w:val="24"/>
              </w:rPr>
              <w:t>年</w:t>
            </w:r>
            <w:r>
              <w:rPr>
                <w:rFonts w:ascii="仿宋_GB2312" w:hAnsi="仿宋_GB2312" w:cs="仿宋_GB2312" w:eastAsia="仿宋_GB2312"/>
                <w:sz w:val="24"/>
                <w:u w:val="single"/>
              </w:rPr>
              <w:t>12</w:t>
            </w:r>
            <w:r>
              <w:rPr>
                <w:rFonts w:ascii="仿宋_GB2312" w:hAnsi="仿宋_GB2312" w:cs="仿宋_GB2312" w:eastAsia="仿宋_GB2312"/>
                <w:sz w:val="24"/>
              </w:rPr>
              <w:t>月</w:t>
            </w:r>
            <w:r>
              <w:rPr>
                <w:rFonts w:ascii="仿宋_GB2312" w:hAnsi="仿宋_GB2312" w:cs="仿宋_GB2312" w:eastAsia="仿宋_GB2312"/>
                <w:sz w:val="24"/>
                <w:u w:val="single"/>
              </w:rPr>
              <w:t>31</w:t>
            </w:r>
            <w:r>
              <w:rPr>
                <w:rFonts w:ascii="仿宋_GB2312" w:hAnsi="仿宋_GB2312" w:cs="仿宋_GB2312" w:eastAsia="仿宋_GB2312"/>
                <w:sz w:val="24"/>
              </w:rPr>
              <w:t>日止；服务地点：采购人指定地点</w:t>
            </w:r>
          </w:p>
          <w:p>
            <w:pPr>
              <w:pStyle w:val="null3"/>
              <w:jc w:val="both"/>
            </w:pPr>
            <w:r>
              <w:rPr>
                <w:rFonts w:ascii="仿宋_GB2312" w:hAnsi="仿宋_GB2312" w:cs="仿宋_GB2312" w:eastAsia="仿宋_GB2312"/>
                <w:sz w:val="24"/>
              </w:rPr>
              <w:t>5、投标有效期：投标文件提交截止之日起计算90天</w:t>
            </w:r>
          </w:p>
          <w:p>
            <w:pPr>
              <w:pStyle w:val="null3"/>
              <w:jc w:val="both"/>
            </w:pPr>
            <w:r>
              <w:rPr>
                <w:rFonts w:ascii="仿宋_GB2312" w:hAnsi="仿宋_GB2312" w:cs="仿宋_GB2312" w:eastAsia="仿宋_GB2312"/>
                <w:sz w:val="24"/>
              </w:rPr>
              <w:t xml:space="preserve"> 6.</w:t>
            </w:r>
            <w:r>
              <w:rPr>
                <w:rFonts w:ascii="仿宋_GB2312" w:hAnsi="仿宋_GB2312" w:cs="仿宋_GB2312" w:eastAsia="仿宋_GB2312"/>
                <w:sz w:val="24"/>
                <w:color w:val="000000"/>
              </w:rPr>
              <w:t xml:space="preserve">由采购人下发任务派遣单后，组织实施，至成交人完成约 </w:t>
            </w:r>
            <w:r>
              <w:rPr>
                <w:rFonts w:ascii="仿宋_GB2312" w:hAnsi="仿宋_GB2312" w:cs="仿宋_GB2312" w:eastAsia="仿宋_GB2312"/>
                <w:sz w:val="24"/>
                <w:color w:val="000000"/>
              </w:rPr>
              <w:t xml:space="preserve">定义务后自动终止，履约过程中，如无法满足或不履行约定的成 </w:t>
            </w:r>
            <w:r>
              <w:rPr>
                <w:rFonts w:ascii="仿宋_GB2312" w:hAnsi="仿宋_GB2312" w:cs="仿宋_GB2312" w:eastAsia="仿宋_GB2312"/>
                <w:sz w:val="24"/>
                <w:color w:val="000000"/>
              </w:rPr>
              <w:t xml:space="preserve">交人，采购人可单方面终止合约，由采购人指定或依据相关规定， </w:t>
            </w:r>
            <w:r>
              <w:rPr>
                <w:rFonts w:ascii="仿宋_GB2312" w:hAnsi="仿宋_GB2312" w:cs="仿宋_GB2312" w:eastAsia="仿宋_GB2312"/>
                <w:sz w:val="24"/>
                <w:color w:val="000000"/>
              </w:rPr>
              <w:t>重新组织采购确定成交人</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1、健全档案资料，须具备跟踪记录该项目实施过程，并留有图片及相关佐证材料，以备验收、检查。</w:t>
            </w:r>
          </w:p>
          <w:p>
            <w:pPr>
              <w:pStyle w:val="null3"/>
              <w:jc w:val="both"/>
            </w:pPr>
            <w:r>
              <w:rPr>
                <w:rFonts w:ascii="仿宋_GB2312" w:hAnsi="仿宋_GB2312" w:cs="仿宋_GB2312" w:eastAsia="仿宋_GB2312"/>
                <w:sz w:val="24"/>
              </w:rPr>
              <w:t>2、其他内容按招标文件要求和国家行业标准进行验收。</w:t>
            </w:r>
          </w:p>
          <w:p>
            <w:pPr>
              <w:pStyle w:val="null3"/>
              <w:jc w:val="both"/>
            </w:pPr>
            <w:r>
              <w:rPr>
                <w:rFonts w:ascii="仿宋_GB2312" w:hAnsi="仿宋_GB2312" w:cs="仿宋_GB2312" w:eastAsia="仿宋_GB2312"/>
                <w:sz w:val="24"/>
              </w:rPr>
              <w:t>3、本项目可兼投，但不可兼中。</w:t>
            </w:r>
          </w:p>
          <w:p>
            <w:pPr>
              <w:pStyle w:val="null3"/>
              <w:jc w:val="both"/>
            </w:pPr>
            <w:r>
              <w:rPr>
                <w:rFonts w:ascii="仿宋_GB2312" w:hAnsi="仿宋_GB2312" w:cs="仿宋_GB2312" w:eastAsia="仿宋_GB2312"/>
                <w:sz w:val="24"/>
              </w:rPr>
              <w:t>4、最高限制价：二包：2250000.00元；服务时间：中标后签定合同日期至</w:t>
            </w:r>
            <w:r>
              <w:rPr>
                <w:rFonts w:ascii="仿宋_GB2312" w:hAnsi="仿宋_GB2312" w:cs="仿宋_GB2312" w:eastAsia="仿宋_GB2312"/>
                <w:sz w:val="24"/>
                <w:u w:val="single"/>
              </w:rPr>
              <w:t>2025</w:t>
            </w:r>
            <w:r>
              <w:rPr>
                <w:rFonts w:ascii="仿宋_GB2312" w:hAnsi="仿宋_GB2312" w:cs="仿宋_GB2312" w:eastAsia="仿宋_GB2312"/>
                <w:sz w:val="24"/>
              </w:rPr>
              <w:t>年</w:t>
            </w:r>
            <w:r>
              <w:rPr>
                <w:rFonts w:ascii="仿宋_GB2312" w:hAnsi="仿宋_GB2312" w:cs="仿宋_GB2312" w:eastAsia="仿宋_GB2312"/>
                <w:sz w:val="24"/>
                <w:u w:val="single"/>
              </w:rPr>
              <w:t>12</w:t>
            </w:r>
            <w:r>
              <w:rPr>
                <w:rFonts w:ascii="仿宋_GB2312" w:hAnsi="仿宋_GB2312" w:cs="仿宋_GB2312" w:eastAsia="仿宋_GB2312"/>
                <w:sz w:val="24"/>
              </w:rPr>
              <w:t>月</w:t>
            </w:r>
            <w:r>
              <w:rPr>
                <w:rFonts w:ascii="仿宋_GB2312" w:hAnsi="仿宋_GB2312" w:cs="仿宋_GB2312" w:eastAsia="仿宋_GB2312"/>
                <w:sz w:val="24"/>
                <w:u w:val="single"/>
              </w:rPr>
              <w:t>31</w:t>
            </w:r>
            <w:r>
              <w:rPr>
                <w:rFonts w:ascii="仿宋_GB2312" w:hAnsi="仿宋_GB2312" w:cs="仿宋_GB2312" w:eastAsia="仿宋_GB2312"/>
                <w:sz w:val="24"/>
              </w:rPr>
              <w:t>日止；服务地点：采购人指定地点</w:t>
            </w:r>
          </w:p>
          <w:p>
            <w:pPr>
              <w:pStyle w:val="null3"/>
              <w:jc w:val="both"/>
            </w:pPr>
            <w:r>
              <w:rPr>
                <w:rFonts w:ascii="仿宋_GB2312" w:hAnsi="仿宋_GB2312" w:cs="仿宋_GB2312" w:eastAsia="仿宋_GB2312"/>
                <w:sz w:val="24"/>
              </w:rPr>
              <w:t>5、投标有效期：投标文件提交截止之日起计算90天</w:t>
            </w:r>
          </w:p>
          <w:p>
            <w:pPr>
              <w:pStyle w:val="null3"/>
              <w:jc w:val="both"/>
            </w:pPr>
            <w:r>
              <w:rPr>
                <w:rFonts w:ascii="仿宋_GB2312" w:hAnsi="仿宋_GB2312" w:cs="仿宋_GB2312" w:eastAsia="仿宋_GB2312"/>
                <w:sz w:val="24"/>
              </w:rPr>
              <w:t xml:space="preserve"> 6.</w:t>
            </w:r>
            <w:r>
              <w:rPr>
                <w:rFonts w:ascii="仿宋_GB2312" w:hAnsi="仿宋_GB2312" w:cs="仿宋_GB2312" w:eastAsia="仿宋_GB2312"/>
                <w:sz w:val="24"/>
                <w:color w:val="000000"/>
              </w:rPr>
              <w:t xml:space="preserve">由采购人下发任务派遣单后，组织实施，至成交人完成约 </w:t>
            </w:r>
            <w:r>
              <w:rPr>
                <w:rFonts w:ascii="仿宋_GB2312" w:hAnsi="仿宋_GB2312" w:cs="仿宋_GB2312" w:eastAsia="仿宋_GB2312"/>
                <w:sz w:val="24"/>
                <w:color w:val="000000"/>
              </w:rPr>
              <w:t>定义务后自动终止，履约过程中，如无法满足或不履行约定的成</w:t>
            </w:r>
            <w:r>
              <w:rPr>
                <w:rFonts w:ascii="仿宋_GB2312" w:hAnsi="仿宋_GB2312" w:cs="仿宋_GB2312" w:eastAsia="仿宋_GB2312"/>
                <w:sz w:val="24"/>
                <w:color w:val="000000"/>
              </w:rPr>
              <w:t xml:space="preserve">交人，采购人可单方面终止合约，由采购人指定或依据相关规定， </w:t>
            </w:r>
            <w:r>
              <w:rPr>
                <w:rFonts w:ascii="仿宋_GB2312" w:hAnsi="仿宋_GB2312" w:cs="仿宋_GB2312" w:eastAsia="仿宋_GB2312"/>
                <w:sz w:val="24"/>
                <w:color w:val="000000"/>
              </w:rPr>
              <w:t>重新组织采购确定成交人</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本项目为下浮率报价</w:t>
      </w:r>
      <w:r>
        <w:rPr>
          <w:rFonts w:ascii="仿宋_GB2312" w:hAnsi="仿宋_GB2312" w:cs="仿宋_GB2312" w:eastAsia="仿宋_GB2312"/>
          <w:sz w:val="24"/>
        </w:rPr>
        <w:t>，</w:t>
      </w:r>
      <w:r>
        <w:rPr>
          <w:rFonts w:ascii="仿宋_GB2312" w:hAnsi="仿宋_GB2312" w:cs="仿宋_GB2312" w:eastAsia="仿宋_GB2312"/>
          <w:sz w:val="24"/>
        </w:rPr>
        <w:t>需要双方认可的第三方结算审核公司进行结算审核后，结合所报下浮率进行支付</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是否联合体</w:t>
            </w:r>
          </w:p>
        </w:tc>
        <w:tc>
          <w:tcPr>
            <w:tcW w:type="dxa" w:w="3322"/>
          </w:tcPr>
          <w:p>
            <w:pPr>
              <w:pStyle w:val="null3"/>
              <w:jc w:val="left"/>
            </w:pPr>
            <w:r>
              <w:rPr>
                <w:rFonts w:ascii="仿宋_GB2312" w:hAnsi="仿宋_GB2312" w:cs="仿宋_GB2312" w:eastAsia="仿宋_GB2312"/>
              </w:rPr>
              <w:t>本项目不接受联合体</w:t>
            </w:r>
          </w:p>
        </w:tc>
        <w:tc>
          <w:tcPr>
            <w:tcW w:type="dxa" w:w="1661"/>
          </w:tcPr>
          <w:p>
            <w:pPr>
              <w:pStyle w:val="null3"/>
              <w:jc w:val="left"/>
            </w:pPr>
            <w:r>
              <w:rPr>
                <w:rFonts w:ascii="仿宋_GB2312" w:hAnsi="仿宋_GB2312" w:cs="仿宋_GB2312" w:eastAsia="仿宋_GB2312"/>
              </w:rPr>
              <w:t>不允许联合体承诺</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是否联合体</w:t>
            </w:r>
          </w:p>
        </w:tc>
        <w:tc>
          <w:tcPr>
            <w:tcW w:type="dxa" w:w="3322"/>
          </w:tcPr>
          <w:p>
            <w:pPr>
              <w:pStyle w:val="null3"/>
              <w:jc w:val="left"/>
            </w:pPr>
            <w:r>
              <w:rPr>
                <w:rFonts w:ascii="仿宋_GB2312" w:hAnsi="仿宋_GB2312" w:cs="仿宋_GB2312" w:eastAsia="仿宋_GB2312"/>
              </w:rPr>
              <w:t>本项目不接受联合体</w:t>
            </w:r>
          </w:p>
        </w:tc>
        <w:tc>
          <w:tcPr>
            <w:tcW w:type="dxa" w:w="1661"/>
          </w:tcPr>
          <w:p>
            <w:pPr>
              <w:pStyle w:val="null3"/>
              <w:jc w:val="left"/>
            </w:pPr>
            <w:r>
              <w:rPr>
                <w:rFonts w:ascii="仿宋_GB2312" w:hAnsi="仿宋_GB2312" w:cs="仿宋_GB2312" w:eastAsia="仿宋_GB2312"/>
              </w:rPr>
              <w:t>不允许联合体承诺</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其他材料 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其他材料 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无环保类行政处罚记录声明函 投标函 政府采购供应商信用承诺书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无环保类行政处罚记录声明函 投标函 政府采购供应商信用承诺书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根据投标人编制方案的详细程度、完善程度、科学合理性、环境评价等方面进行综合评分。 编制方案说明详细、完善、必要性、科学合理，满足本项目需求及招标人服务要求，得10分； 编制方案说明较详细、较完善、必要性、科学合理，满足本项目需求及招标人服务要求，得6分； 编制方案说明一般详细、完善、必要性、合理，基本满足本项目需求及招标人服务要求，得2分；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针对现有人员制定的人员培训方案科学合理、切实可行的得10分； 针对现有人员制定的人员培训方案较科学合理、较切实可行的得6分， 针对现有人员制定的人员培训方案不科学合理、不切实可行的得2分；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应急措施及预案</w:t>
            </w:r>
          </w:p>
        </w:tc>
        <w:tc>
          <w:tcPr>
            <w:tcW w:type="dxa" w:w="2492"/>
          </w:tcPr>
          <w:p>
            <w:pPr>
              <w:pStyle w:val="null3"/>
              <w:jc w:val="both"/>
            </w:pPr>
            <w:r>
              <w:rPr>
                <w:rFonts w:ascii="仿宋_GB2312" w:hAnsi="仿宋_GB2312" w:cs="仿宋_GB2312" w:eastAsia="仿宋_GB2312"/>
              </w:rPr>
              <w:t>特殊情况（如暴雨、台风等灾害性保障，创城、迎检、重大活动等）保障措施，应对突发事件和采购人要求承担的临时接管任务的应急预案。科学合理、切实可行、能够保证任务圆满完成的得10分； 较科学合理、切实可行、能够保证任务较圆满完成的得6分； 不科学合理、切实可行、不能够保证任务圆满完成的得2分；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质量控制措施</w:t>
            </w:r>
          </w:p>
        </w:tc>
        <w:tc>
          <w:tcPr>
            <w:tcW w:type="dxa" w:w="2492"/>
          </w:tcPr>
          <w:p>
            <w:pPr>
              <w:pStyle w:val="null3"/>
              <w:jc w:val="both"/>
            </w:pPr>
            <w:r>
              <w:rPr>
                <w:rFonts w:ascii="仿宋_GB2312" w:hAnsi="仿宋_GB2312" w:cs="仿宋_GB2312" w:eastAsia="仿宋_GB2312"/>
              </w:rPr>
              <w:t>质量控制措施科学合理，质量目标明确、层级清晰、质量考核体系健全的得10分， 质量控制措施较科学合理，质量目标较明确、层级较清晰、质量考核体系较健全的得6分， 质量控制措施不科学合理，质量目标不明确、层级不清晰、质量考核体系不健全的得2分；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扬尘治理方案</w:t>
            </w:r>
          </w:p>
        </w:tc>
        <w:tc>
          <w:tcPr>
            <w:tcW w:type="dxa" w:w="2492"/>
          </w:tcPr>
          <w:p>
            <w:pPr>
              <w:pStyle w:val="null3"/>
              <w:jc w:val="both"/>
            </w:pPr>
            <w:r>
              <w:rPr>
                <w:rFonts w:ascii="仿宋_GB2312" w:hAnsi="仿宋_GB2312" w:cs="仿宋_GB2312" w:eastAsia="仿宋_GB2312"/>
              </w:rPr>
              <w:t>结合本项目特点、项目所在区域等因素，编制施工现场扬尘治理方案，包括扬尘防治工程目标、不同施工工艺专项扬尘防治技术措施、责任单位和责任人等，清晰详尽的得10分，较清晰详尽的得6分； 不清晰详尽的得2分；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安全文明措施</w:t>
            </w:r>
          </w:p>
        </w:tc>
        <w:tc>
          <w:tcPr>
            <w:tcW w:type="dxa" w:w="2492"/>
          </w:tcPr>
          <w:p>
            <w:pPr>
              <w:pStyle w:val="null3"/>
              <w:jc w:val="both"/>
            </w:pPr>
            <w:r>
              <w:rPr>
                <w:rFonts w:ascii="仿宋_GB2312" w:hAnsi="仿宋_GB2312" w:cs="仿宋_GB2312" w:eastAsia="仿宋_GB2312"/>
              </w:rPr>
              <w:t>安全文明措施周全可靠，制度完善、安全设施齐全的得10分， 安全文明措施较周全可靠，制度较完善、安全设施较齐全的得6分， 安全文明措施不周全可靠，制不度完善、安全设施不齐全的的得2分；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投标人承接过类似项目业绩，每提供一份得3分，本项满分12分。 证明材料：提供项目合同协议书或中标 （成交）通知书扫描件加盖公章，时间以签订合同或者中标通知书时间为准。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拟投入机械</w:t>
            </w:r>
          </w:p>
        </w:tc>
        <w:tc>
          <w:tcPr>
            <w:tcW w:type="dxa" w:w="2492"/>
          </w:tcPr>
          <w:p>
            <w:pPr>
              <w:pStyle w:val="null3"/>
              <w:jc w:val="both"/>
            </w:pPr>
            <w:r>
              <w:rPr>
                <w:rFonts w:ascii="仿宋_GB2312" w:hAnsi="仿宋_GB2312" w:cs="仿宋_GB2312" w:eastAsia="仿宋_GB2312"/>
              </w:rPr>
              <w:t>根据投标人自有或租赁机械，为本项目配置机械数量： 1.挖掘机（中大型）：每提供一台加1分，满分2分 2.重型自卸货车：每提供一台加1分，满分3分 3.推土机（履带或轮胎式）：每提供一台加1分，满分2分 （供应商自有机械的须提供佐证材料复印件加盖单位公章，如为租赁机械的，须提供机械照片、供租赁协议复印件加盖单位公章）如租赁车辆，需承诺租赁期包含服务期（提供承诺函）。</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管理团队</w:t>
            </w:r>
          </w:p>
        </w:tc>
        <w:tc>
          <w:tcPr>
            <w:tcW w:type="dxa" w:w="2492"/>
          </w:tcPr>
          <w:p>
            <w:pPr>
              <w:pStyle w:val="null3"/>
              <w:jc w:val="both"/>
            </w:pPr>
            <w:r>
              <w:rPr>
                <w:rFonts w:ascii="仿宋_GB2312" w:hAnsi="仿宋_GB2312" w:cs="仿宋_GB2312" w:eastAsia="仿宋_GB2312"/>
              </w:rPr>
              <w:t>1.项目负责人： 具备建筑工程类中级职称得1分；具备建筑工程类高级及以上职称得2分。 证明材料 ：提供职称证复印件 2.具有相关工作经验，三年（含）以上得2分，一年（含）至三年（不含）得1分，不满一年（不含）得0.5分。 证明材料 ：工作简历及证明、劳动合同、社保缴纳凭证等证明材料复印件加盖公章 ，未提供不得分 3.根据所投入机械情况，配置相应操作岗位人员（根据提供机械数量配置操作人员，可兼任，但需提供相应岗位技能证书），提供1人得1分，最高7分； 证明材料：工作简历、获得操作岗位技能证书、劳动合同、社保缴纳凭证等证明材料复印件加盖公章 ，未提供不得分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C13050100-清扫服务</w:t>
            </w:r>
          </w:p>
        </w:tc>
        <w:tc>
          <w:tcPr>
            <w:tcW w:type="dxa" w:w="2492"/>
          </w:tcPr>
          <w:p>
            <w:pPr>
              <w:pStyle w:val="null3"/>
              <w:jc w:val="both"/>
            </w:pPr>
            <w:r>
              <w:rPr>
                <w:rFonts w:ascii="仿宋_GB2312" w:hAnsi="仿宋_GB2312" w:cs="仿宋_GB2312" w:eastAsia="仿宋_GB2312"/>
              </w:rPr>
              <w:t>报价得分=（下浮率报价/评标基准价）*100*报价分值权重； 评标基准价等于有效投标单位中下浮率报价的最大值</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根据投标人编制方案的详细程度、完善程度、科学合理性、环境评价等方面进行综合评分。 编制方案说明详细、完善、必要性、科学合理，满足本项目需求及招标人服务要求，得10分； 编制方案说明较详细、较完善、必要性、科学合理，满足本项目需求及招标人服务要求，得6分； 编制方案说明一般详细、完善、必要性、合理，基本满足本项目需求及招标人服务要求，得2分；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针对现有人员制定的人员培训方案科学合理、切实可行的得10分； 针对现有人员制定的人员培训方案较科学合理、较切实可行的得6分， 针对现有人员制定的人员培训方案不科学合理、不切实可行的得2分；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应急措施及预案</w:t>
            </w:r>
          </w:p>
        </w:tc>
        <w:tc>
          <w:tcPr>
            <w:tcW w:type="dxa" w:w="2492"/>
          </w:tcPr>
          <w:p>
            <w:pPr>
              <w:pStyle w:val="null3"/>
              <w:jc w:val="both"/>
            </w:pPr>
            <w:r>
              <w:rPr>
                <w:rFonts w:ascii="仿宋_GB2312" w:hAnsi="仿宋_GB2312" w:cs="仿宋_GB2312" w:eastAsia="仿宋_GB2312"/>
              </w:rPr>
              <w:t>特殊情况（如暴雨、台风等灾害性保障，创城、迎检、重大活动等）保障措施，应对突发事件和采购人要求承担的临时接管任务的应急预案。科学合理、切实可行、能够保证任务圆满完成的得10分； 较科学合理、切实可行、能够保证任务较圆满完成的得6分； 不科学合理、切实可行、不能够保证任务圆满完成的得2分；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质量控制措施</w:t>
            </w:r>
          </w:p>
        </w:tc>
        <w:tc>
          <w:tcPr>
            <w:tcW w:type="dxa" w:w="2492"/>
          </w:tcPr>
          <w:p>
            <w:pPr>
              <w:pStyle w:val="null3"/>
              <w:jc w:val="both"/>
            </w:pPr>
            <w:r>
              <w:rPr>
                <w:rFonts w:ascii="仿宋_GB2312" w:hAnsi="仿宋_GB2312" w:cs="仿宋_GB2312" w:eastAsia="仿宋_GB2312"/>
              </w:rPr>
              <w:t>质量控制措施科学合理，质量目标明确、层级清晰、质量考核体系健全的得10分， 质量控制措施较科学合理，质量目标较明确、层级较清晰、质量考核体系较健全的得6分， 质量控制措施不科学合理，质量目标不明确、层级不清晰、质量考核体系不健全的得2分；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扬尘治理方案</w:t>
            </w:r>
          </w:p>
        </w:tc>
        <w:tc>
          <w:tcPr>
            <w:tcW w:type="dxa" w:w="2492"/>
          </w:tcPr>
          <w:p>
            <w:pPr>
              <w:pStyle w:val="null3"/>
              <w:jc w:val="both"/>
            </w:pPr>
            <w:r>
              <w:rPr>
                <w:rFonts w:ascii="仿宋_GB2312" w:hAnsi="仿宋_GB2312" w:cs="仿宋_GB2312" w:eastAsia="仿宋_GB2312"/>
              </w:rPr>
              <w:t>结合本项目特点、项目所在区域等因素，编制施工现场扬尘治理方案，包括扬尘防治工程目标、不同施工工艺专项扬尘防治技术措施、责任单位和责任人等，清晰详尽的得10分，较清晰详尽的得6分； 不清晰详尽的得2分；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安全文明措施</w:t>
            </w:r>
          </w:p>
        </w:tc>
        <w:tc>
          <w:tcPr>
            <w:tcW w:type="dxa" w:w="2492"/>
          </w:tcPr>
          <w:p>
            <w:pPr>
              <w:pStyle w:val="null3"/>
              <w:jc w:val="both"/>
            </w:pPr>
            <w:r>
              <w:rPr>
                <w:rFonts w:ascii="仿宋_GB2312" w:hAnsi="仿宋_GB2312" w:cs="仿宋_GB2312" w:eastAsia="仿宋_GB2312"/>
              </w:rPr>
              <w:t>安全文明措施周全可靠，制度完善、安全设施齐全的得10分， 安全文明措施较周全可靠，制度较完善、安全设施较齐全的得6分， 安全文明措施不周全可靠，制不度完善、安全设施不齐全的的得2分；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投标人承接过类似项目业绩，每提供一份得3分，本项满分12分。 证明材料：提供项目合同协议书或中标 （成交）通知书扫描件加盖公章，时间以签订合同或者中标通知书时间为准。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拟投入机械</w:t>
            </w:r>
          </w:p>
        </w:tc>
        <w:tc>
          <w:tcPr>
            <w:tcW w:type="dxa" w:w="2492"/>
          </w:tcPr>
          <w:p>
            <w:pPr>
              <w:pStyle w:val="null3"/>
              <w:jc w:val="both"/>
            </w:pPr>
            <w:r>
              <w:rPr>
                <w:rFonts w:ascii="仿宋_GB2312" w:hAnsi="仿宋_GB2312" w:cs="仿宋_GB2312" w:eastAsia="仿宋_GB2312"/>
              </w:rPr>
              <w:t>根据投标人自有或租赁机械，为本项目配置机械数量： 1.挖掘机（中大型）：每提供一台加1分，满分2分 2.重型自卸货车：每提供一台加1分，满分3分 3.推土机（履带或轮胎式）：每提供一台加1分，满分2分 （供应商自有机械的须提供佐证材料复印件加盖单位公章，如为租赁机械的，须提供机械照片、供租赁协议复印件加盖单位公章）如租赁车辆，需承诺租赁期包含服务期（提供承诺函）。</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管理团队</w:t>
            </w:r>
          </w:p>
        </w:tc>
        <w:tc>
          <w:tcPr>
            <w:tcW w:type="dxa" w:w="2492"/>
          </w:tcPr>
          <w:p>
            <w:pPr>
              <w:pStyle w:val="null3"/>
              <w:jc w:val="both"/>
            </w:pPr>
            <w:r>
              <w:rPr>
                <w:rFonts w:ascii="仿宋_GB2312" w:hAnsi="仿宋_GB2312" w:cs="仿宋_GB2312" w:eastAsia="仿宋_GB2312"/>
              </w:rPr>
              <w:t>1.项目负责人： 具备建筑工程类中级职称得1分；具备建筑工程类高级及以上职称得2分。 证明材料 ：提供职称证复印件 2.具有相关工作经验，三年（含）以上得2分，一年（含）至三年（不含）得1分，不满一年（不含）得0.5分。 证明材料 ：工作简历及证明、劳动合同、社保缴纳凭证等证明材料复印件加盖公章 ，未提供不得分 3.根据所投入机械情况，配置相应操作岗位人员（根据提供机械数量配置操作人员，可兼任，但需提供相应岗位技能证书），提供1人得1分，最高7分； 证明材料：工作简历、获得操作岗位技能证书、劳动合同、社保缴纳凭证等证明材料复印件加盖公章 ，未提供不得分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C13050100-清扫服务</w:t>
            </w:r>
          </w:p>
        </w:tc>
        <w:tc>
          <w:tcPr>
            <w:tcW w:type="dxa" w:w="2492"/>
          </w:tcPr>
          <w:p>
            <w:pPr>
              <w:pStyle w:val="null3"/>
              <w:jc w:val="both"/>
            </w:pPr>
            <w:r>
              <w:rPr>
                <w:rFonts w:ascii="仿宋_GB2312" w:hAnsi="仿宋_GB2312" w:cs="仿宋_GB2312" w:eastAsia="仿宋_GB2312"/>
              </w:rPr>
              <w:t>报价得分=（下浮率报价/评标基准价）*100*报价分值权重； 评标基准价等于有效投标单位中下浮率报价的最大值</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详见附件：合同（最终版）.docx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[HNRH]20250200002[GK]-1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耕地“非粮化”“非农化”、国土卫片图斑等专项整治项目(二次)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耕地“非粮化”“非农化”、国土卫片图斑等专项整治项目（二次）一包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报价类型</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C13050100-清扫服务</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百分比</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[HNRH]20250200002[GK]-1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耕地“非粮化”“非农化”、国土卫片图斑等专项整治项目(二次)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耕地“非粮化”“非农化”、国土卫片图斑等专项整治项目（二次）二包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报价类型</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C13050100-清扫服务</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百分比</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详见附件：不允许联合体承诺</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详见附件：不允许联合体承诺</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