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海南省海洋生态现状调查和预警监测(二次招标)</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HNZC2025-052-001（二）</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海南省海洋监测预报中心</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海南政采招投标有限公司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递交的投标文件撤回后，视为未成功递交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海南省海洋监测预报中心</w:t>
      </w:r>
      <w:r>
        <w:rPr>
          <w:rFonts w:ascii="仿宋_GB2312" w:hAnsi="仿宋_GB2312" w:cs="仿宋_GB2312" w:eastAsia="仿宋_GB2312"/>
        </w:rPr>
        <w:t xml:space="preserve"> 委托， </w:t>
      </w:r>
      <w:r>
        <w:rPr>
          <w:rFonts w:ascii="仿宋_GB2312" w:hAnsi="仿宋_GB2312" w:cs="仿宋_GB2312" w:eastAsia="仿宋_GB2312"/>
        </w:rPr>
        <w:t>海南政采招投标有限公司</w:t>
      </w:r>
      <w:r>
        <w:rPr>
          <w:rFonts w:ascii="仿宋_GB2312" w:hAnsi="仿宋_GB2312" w:cs="仿宋_GB2312" w:eastAsia="仿宋_GB2312"/>
        </w:rPr>
        <w:t xml:space="preserve"> 对 </w:t>
      </w:r>
      <w:r>
        <w:rPr>
          <w:rFonts w:ascii="仿宋_GB2312" w:hAnsi="仿宋_GB2312" w:cs="仿宋_GB2312" w:eastAsia="仿宋_GB2312"/>
        </w:rPr>
        <w:t>海南省海洋生态现状调查和预警监测(二次招标)</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HNZC2025-052-001（二）</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海南省海洋生态现状调查和预警监测(二次招标)</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2,363,500.00元</w:t>
      </w:r>
      <w:r>
        <w:rPr>
          <w:rFonts w:ascii="仿宋_GB2312" w:hAnsi="仿宋_GB2312" w:cs="仿宋_GB2312" w:eastAsia="仿宋_GB2312"/>
        </w:rPr>
        <w:t>贰佰叁拾陆万叁仟伍佰元整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合同签订生效之日起1年。</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合同签订生效之日起1年。</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合同签订生效之日起1年。</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合同签订生效之日起1年。</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jc w:val="left"/>
      </w:pPr>
      <w:r>
        <w:rPr>
          <w:rFonts w:ascii="仿宋_GB2312" w:hAnsi="仿宋_GB2312" w:cs="仿宋_GB2312" w:eastAsia="仿宋_GB2312"/>
        </w:rPr>
        <w:t>采购包2：不属于专门面向中小企业采购。</w:t>
      </w:r>
    </w:p>
    <w:p>
      <w:pPr>
        <w:pStyle w:val="null3"/>
        <w:jc w:val="left"/>
      </w:pPr>
      <w:r>
        <w:rPr>
          <w:rFonts w:ascii="仿宋_GB2312" w:hAnsi="仿宋_GB2312" w:cs="仿宋_GB2312" w:eastAsia="仿宋_GB2312"/>
        </w:rPr>
        <w:t>采购包3：不属于专门面向中小企业采购。</w:t>
      </w:r>
    </w:p>
    <w:p>
      <w:pPr>
        <w:pStyle w:val="null3"/>
        <w:jc w:val="left"/>
      </w:pPr>
      <w:r>
        <w:rPr>
          <w:rFonts w:ascii="仿宋_GB2312" w:hAnsi="仿宋_GB2312" w:cs="仿宋_GB2312" w:eastAsia="仿宋_GB2312"/>
        </w:rPr>
        <w:t>采购包4：不属于专门面向中小企业采购。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1、资质条件：具有中国国家认证认可监督管理委员会或省级质量技术监督局颁发的检验检测机构资质认定证书（CMA）（证明材料：提供相关资质证书加盖公章）</w:t>
      </w:r>
    </w:p>
    <w:p>
      <w:pPr>
        <w:pStyle w:val="null3"/>
        <w:jc w:val="left"/>
      </w:pPr>
      <w:r>
        <w:rPr>
          <w:rFonts w:ascii="仿宋_GB2312" w:hAnsi="仿宋_GB2312" w:cs="仿宋_GB2312" w:eastAsia="仿宋_GB2312"/>
        </w:rPr>
        <w:t>2、环保类行政声明函：参加政府采购活动前三年内，在经营活动中没有环保类行政处罚记录（提供声明函）</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1、资质条件：具有中国国家认证认可监督管理委员会或省级质量技术监督局颁发的检验检测机构资质认定证书（CMA）（证明材料：提供相关资质证书加盖公章）</w:t>
      </w:r>
    </w:p>
    <w:p>
      <w:pPr>
        <w:pStyle w:val="null3"/>
        <w:jc w:val="left"/>
      </w:pPr>
      <w:r>
        <w:rPr>
          <w:rFonts w:ascii="仿宋_GB2312" w:hAnsi="仿宋_GB2312" w:cs="仿宋_GB2312" w:eastAsia="仿宋_GB2312"/>
        </w:rPr>
        <w:t>2、环保类行政声明函：参加政府采购活动前三年内，在经营活动中没有环保类行政处罚记录（提供声明函）</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1、资质条件：具有中国国家认证认可监督管理委员会或省级质量技术监督局颁发的检验检测机构资质认定证书（CMA）（证明材料：提供相关资质证书加盖公章）</w:t>
      </w:r>
    </w:p>
    <w:p>
      <w:pPr>
        <w:pStyle w:val="null3"/>
        <w:jc w:val="left"/>
      </w:pPr>
      <w:r>
        <w:rPr>
          <w:rFonts w:ascii="仿宋_GB2312" w:hAnsi="仿宋_GB2312" w:cs="仿宋_GB2312" w:eastAsia="仿宋_GB2312"/>
        </w:rPr>
        <w:t>2、环保类行政声明函：参加政府采购活动前三年内，在经营活动中没有环保类行政处罚记录（提供声明函）</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1、环保类行政声明函：参加政府采购活动前三年内，在经营活动中没有环保类行政处罚记录（提供声明函）</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海南省海洋监测预报中心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海南省海口市龙华区友谊路21号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570125</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陈娴</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13698929069</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海南政采招投标有限公司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海南省海口市龙华区国贸大道49号中衡大厦13楼A座</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570106</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符章林</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13637571900</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（特别提示：本表与招标文件对应章节的内容若不一致，以本表为准。）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采购包1：500,000.00元</w:t>
            </w:r>
          </w:p>
          <w:p>
            <w:pPr>
              <w:pStyle w:val="null3"/>
              <w:jc w:val="left"/>
            </w:pPr>
            <w:r>
              <w:rPr>
                <w:rFonts w:ascii="仿宋_GB2312" w:hAnsi="仿宋_GB2312" w:cs="仿宋_GB2312" w:eastAsia="仿宋_GB2312"/>
              </w:rPr>
              <w:t>采购包2：400,000.00元</w:t>
            </w:r>
          </w:p>
          <w:p>
            <w:pPr>
              <w:pStyle w:val="null3"/>
              <w:jc w:val="left"/>
            </w:pPr>
            <w:r>
              <w:rPr>
                <w:rFonts w:ascii="仿宋_GB2312" w:hAnsi="仿宋_GB2312" w:cs="仿宋_GB2312" w:eastAsia="仿宋_GB2312"/>
              </w:rPr>
              <w:t>采购包3：1,100,050.00元</w:t>
            </w:r>
          </w:p>
          <w:p>
            <w:pPr>
              <w:pStyle w:val="null3"/>
              <w:jc w:val="left"/>
            </w:pPr>
            <w:r>
              <w:rPr>
                <w:rFonts w:ascii="仿宋_GB2312" w:hAnsi="仿宋_GB2312" w:cs="仿宋_GB2312" w:eastAsia="仿宋_GB2312"/>
              </w:rPr>
              <w:t>采购包4：363,450.00元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p>
          <w:p>
            <w:pPr>
              <w:pStyle w:val="null3"/>
              <w:jc w:val="left"/>
            </w:pPr>
            <w:r>
              <w:rPr>
                <w:rFonts w:ascii="仿宋_GB2312" w:hAnsi="仿宋_GB2312" w:cs="仿宋_GB2312" w:eastAsia="仿宋_GB2312"/>
              </w:rPr>
              <w:t>采购包3：综合评分法</w:t>
            </w:r>
          </w:p>
          <w:p>
            <w:pPr>
              <w:pStyle w:val="null3"/>
              <w:jc w:val="left"/>
            </w:pPr>
            <w:r>
              <w:rPr>
                <w:rFonts w:ascii="仿宋_GB2312" w:hAnsi="仿宋_GB2312" w:cs="仿宋_GB2312" w:eastAsia="仿宋_GB2312"/>
              </w:rPr>
              <w:t>采购包4：综合评分法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采购包2：不接受</w:t>
            </w:r>
          </w:p>
          <w:p>
            <w:pPr>
              <w:pStyle w:val="null3"/>
              <w:jc w:val="left"/>
            </w:pPr>
            <w:r>
              <w:rPr>
                <w:rFonts w:ascii="仿宋_GB2312" w:hAnsi="仿宋_GB2312" w:cs="仿宋_GB2312" w:eastAsia="仿宋_GB2312"/>
              </w:rPr>
              <w:t>采购包3：不接受</w:t>
            </w:r>
          </w:p>
          <w:p>
            <w:pPr>
              <w:pStyle w:val="null3"/>
              <w:jc w:val="left"/>
            </w:pPr>
            <w:r>
              <w:rPr>
                <w:rFonts w:ascii="仿宋_GB2312" w:hAnsi="仿宋_GB2312" w:cs="仿宋_GB2312" w:eastAsia="仿宋_GB2312"/>
              </w:rPr>
              <w:t>采购包4：不接受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p>
            <w:pPr>
              <w:pStyle w:val="null3"/>
              <w:jc w:val="left"/>
            </w:pPr>
            <w:r>
              <w:rPr>
                <w:rFonts w:ascii="仿宋_GB2312" w:hAnsi="仿宋_GB2312" w:cs="仿宋_GB2312" w:eastAsia="仿宋_GB2312"/>
              </w:rPr>
              <w:t>采购包2：不缴纳</w:t>
            </w:r>
          </w:p>
          <w:p>
            <w:pPr>
              <w:pStyle w:val="null3"/>
              <w:jc w:val="left"/>
            </w:pPr>
            <w:r>
              <w:rPr>
                <w:rFonts w:ascii="仿宋_GB2312" w:hAnsi="仿宋_GB2312" w:cs="仿宋_GB2312" w:eastAsia="仿宋_GB2312"/>
              </w:rPr>
              <w:t>采购包3：不缴纳</w:t>
            </w:r>
          </w:p>
          <w:p>
            <w:pPr>
              <w:pStyle w:val="null3"/>
              <w:jc w:val="left"/>
            </w:pPr>
            <w:r>
              <w:rPr>
                <w:rFonts w:ascii="仿宋_GB2312" w:hAnsi="仿宋_GB2312" w:cs="仿宋_GB2312" w:eastAsia="仿宋_GB2312"/>
              </w:rPr>
              <w:t>采购包4：不缴纳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代理服务费收费标准：国家发展计划委员会文件《招标代理服务收费管理暂行办法》(计价格【2002】1980号)中相关规定向中标人（不足6000 元，按6000 元计算，不向甲方收取任何费用）</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采购包1：分包比例8%，分包履行的内容：分包具体要求如下: 1、投标人根据招标文件的规定和采购项目的实际情况，拟在中标后将中标项目的非主体、非关键性工作分包的,应当在投标文件中载明分包承担主体分包承担主体应当具备相应资质条件(提供有效的合法机构颁发的检验检测机构资质认定证书(CMA))且不得再次分包。分包供应商履行的分包项目的品牌、规格型号及技术要求等，必须与中标的一致。 2、分包履行合同的部分应当为采购项目的非主体、非关键性工作，不属于中标人的主要合同义务。本项目可以分包履行的具体内容金额或者比例：允许中标人分包非主体、非关键性工作为《调查内容》的“环境要素”，分包金额不超过合同金额的 8%。</w:t>
            </w:r>
          </w:p>
          <w:p>
            <w:pPr>
              <w:pStyle w:val="null3"/>
              <w:jc w:val="left"/>
            </w:pPr>
            <w:r>
              <w:rPr>
                <w:rFonts w:ascii="仿宋_GB2312" w:hAnsi="仿宋_GB2312" w:cs="仿宋_GB2312" w:eastAsia="仿宋_GB2312"/>
              </w:rPr>
              <w:t>采购包2：分包比例8%，分包履行的内容：分包具体要求如下: 1、投标人根据招标文件的规定和采购项目的实际情况，拟在中标后将中标项目的非主体、非关键性工作分包的,应当在投标文件中载明分包承担主体分包承担主体应当具备相应资质条件(提供有效的合法机构颁发的检验检测机构资质认定证书(CMA))且不得再次分包。分包供应商履行的分包项目的品牌、规格型号及技术要求等，必须与中标的一致。 2、分包履行合同的部分应当为采购项目的非主体、非关键性工作，不属于中标人的主要合同义务。本项目可以分包履行的具体内容金额或者比例：允许中标人分包非主体、非关键性工作为《调查内容》的“环境要素”，分包金额不超过合同金额的 8%。</w:t>
            </w:r>
          </w:p>
          <w:p>
            <w:pPr>
              <w:pStyle w:val="null3"/>
              <w:jc w:val="left"/>
            </w:pPr>
            <w:r>
              <w:rPr>
                <w:rFonts w:ascii="仿宋_GB2312" w:hAnsi="仿宋_GB2312" w:cs="仿宋_GB2312" w:eastAsia="仿宋_GB2312"/>
              </w:rPr>
              <w:t>采购包3：分包比例8%，分包履行的内容：分包具体要求如下: 1、投标人根据招标文件的规定和采购项目的实际情况，拟在中标后将中标项目的非主体、非关键性工作分包的,应当在投标文件中载明分包承担主体分包承担主体应当具备相应资质条件(提供有效的合法机构颁发的检验检测机构资质认定证书(CMA))且不得再次分包。分包供应商履行的分包项目的品牌、规格型号及技术要求等，必须与中标的一致。 2、分包履行合同的部分应当为采购项目的非主体、非关键性工作，不属于中标人的主要合同义务。本项目可以分包履行的具体内容金额或者比例：允许中标人分包非主体、非关键性工作为《调查内容》的“环境要素”，分包金额不超过合同金额的 8%。</w:t>
            </w:r>
          </w:p>
          <w:p>
            <w:pPr>
              <w:pStyle w:val="null3"/>
              <w:jc w:val="left"/>
            </w:pPr>
            <w:r>
              <w:rPr>
                <w:rFonts w:ascii="仿宋_GB2312" w:hAnsi="仿宋_GB2312" w:cs="仿宋_GB2312" w:eastAsia="仿宋_GB2312"/>
              </w:rPr>
              <w:t>采购包4：不允许分包；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p>
            <w:pPr>
              <w:pStyle w:val="null3"/>
              <w:jc w:val="left"/>
            </w:pPr>
            <w:r>
              <w:rPr>
                <w:rFonts w:ascii="仿宋_GB2312" w:hAnsi="仿宋_GB2312" w:cs="仿宋_GB2312" w:eastAsia="仿宋_GB2312"/>
              </w:rPr>
              <w:t>采购包3：3名</w:t>
            </w:r>
          </w:p>
          <w:p>
            <w:pPr>
              <w:pStyle w:val="null3"/>
              <w:jc w:val="left"/>
            </w:pPr>
            <w:r>
              <w:rPr>
                <w:rFonts w:ascii="仿宋_GB2312" w:hAnsi="仿宋_GB2312" w:cs="仿宋_GB2312" w:eastAsia="仿宋_GB2312"/>
              </w:rPr>
              <w:t>采购包4：3名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p>
            <w:pPr>
              <w:pStyle w:val="null3"/>
              <w:jc w:val="left"/>
            </w:pPr>
            <w:r>
              <w:rPr>
                <w:rFonts w:ascii="仿宋_GB2312" w:hAnsi="仿宋_GB2312" w:cs="仿宋_GB2312" w:eastAsia="仿宋_GB2312"/>
              </w:rPr>
              <w:t>采购包3：1名</w:t>
            </w:r>
          </w:p>
          <w:p>
            <w:pPr>
              <w:pStyle w:val="null3"/>
              <w:jc w:val="left"/>
            </w:pPr>
            <w:r>
              <w:rPr>
                <w:rFonts w:ascii="仿宋_GB2312" w:hAnsi="仿宋_GB2312" w:cs="仿宋_GB2312" w:eastAsia="仿宋_GB2312"/>
              </w:rPr>
              <w:t>采购包4：1名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（6）将中标项目转包给他人，或者在投标文件中未说明，且未经采购代理机构和采购单位同意，将中标项目分包给他人的。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在规定期限内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4.6.2.1电子版投标文件，投标人应使用CA数字证书，对投标文件中须盖章的部位加盖电子印章。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（2）经检查CA数字证书中的证书无效的投标文件；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联系人：符章林</w:t>
      </w:r>
    </w:p>
    <w:p>
      <w:pPr>
        <w:pStyle w:val="null3"/>
        <w:jc w:val="left"/>
      </w:pPr>
      <w:r>
        <w:rPr>
          <w:rFonts w:ascii="仿宋_GB2312" w:hAnsi="仿宋_GB2312" w:cs="仿宋_GB2312" w:eastAsia="仿宋_GB2312"/>
        </w:rPr>
        <w:t>联系电话：0898-68501524</w:t>
      </w:r>
    </w:p>
    <w:p>
      <w:pPr>
        <w:pStyle w:val="null3"/>
        <w:jc w:val="left"/>
      </w:pPr>
      <w:r>
        <w:rPr>
          <w:rFonts w:ascii="仿宋_GB2312" w:hAnsi="仿宋_GB2312" w:cs="仿宋_GB2312" w:eastAsia="仿宋_GB2312"/>
        </w:rPr>
        <w:t>地址：海南省海口市龙华区国贸大道49号中衡大厦13楼A座</w:t>
      </w:r>
    </w:p>
    <w:p>
      <w:pPr>
        <w:pStyle w:val="null3"/>
        <w:jc w:val="left"/>
      </w:pPr>
      <w:r>
        <w:rPr>
          <w:rFonts w:ascii="仿宋_GB2312" w:hAnsi="仿宋_GB2312" w:cs="仿宋_GB2312" w:eastAsia="仿宋_GB2312"/>
        </w:rPr>
        <w:t>邮编：570106</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rPr>
        <w:t>A包:珊瑚礁生态系统预警监测。</w:t>
      </w:r>
      <w:r>
        <w:br/>
      </w:r>
      <w:r>
        <w:rPr>
          <w:rFonts w:ascii="仿宋_GB2312" w:hAnsi="仿宋_GB2312" w:cs="仿宋_GB2312" w:eastAsia="仿宋_GB2312"/>
        </w:rPr>
        <w:t xml:space="preserve">   开展三亚珊瑚礁生态系统预警监测，同步开展珊瑚群落、礁栖生物和环境要素监测及压力因素调查，并选关键物种、关键生境指标、关键压力因素，设立风险阈值，开展分级预警，制作预警产品。重点关注珊瑚白化、敌害生物暴发等生态问题对珊瑚礁生态系统的影响。</w:t>
      </w:r>
      <w:r>
        <w:br/>
      </w:r>
      <w:r>
        <w:rPr>
          <w:rFonts w:ascii="仿宋_GB2312" w:hAnsi="仿宋_GB2312" w:cs="仿宋_GB2312" w:eastAsia="仿宋_GB2312"/>
        </w:rPr>
        <w:t xml:space="preserve"> C包：红树林生态系统预警监测。</w:t>
      </w:r>
      <w:r>
        <w:br/>
      </w:r>
      <w:r>
        <w:rPr>
          <w:rFonts w:ascii="仿宋_GB2312" w:hAnsi="仿宋_GB2312" w:cs="仿宋_GB2312" w:eastAsia="仿宋_GB2312"/>
        </w:rPr>
        <w:t xml:space="preserve">   开展海南东寨港国家级自然保护区红树林生态系统预警监测，对红树林生态系统开展定点监测，跟踪掌握各生态系统中存在的红树林面积减少，生态功能退化、群落结构简单化以及生物多样性降低等生态问题，以及人类活动、生物入侵、病害敌害生物增加等压力因素对生态系统的影响。对红树林生态系统开展生态预警，遴选关键物种、关键生境指标、关键压力因素，设立风险阈值，开展分级预警，制作预警产品。</w:t>
      </w:r>
      <w:r>
        <w:br/>
      </w:r>
      <w:r>
        <w:rPr>
          <w:rFonts w:ascii="仿宋_GB2312" w:hAnsi="仿宋_GB2312" w:cs="仿宋_GB2312" w:eastAsia="仿宋_GB2312"/>
        </w:rPr>
        <w:t xml:space="preserve"> D包：河口、海湾、砂质海岸生态系统预警监测。</w:t>
      </w:r>
      <w:r>
        <w:br/>
      </w:r>
      <w:r>
        <w:rPr>
          <w:rFonts w:ascii="仿宋_GB2312" w:hAnsi="仿宋_GB2312" w:cs="仿宋_GB2312" w:eastAsia="仿宋_GB2312"/>
        </w:rPr>
        <w:t xml:space="preserve">   ①开展南渡江河口预警监测，动态掌握河口生态系统滨海湿地、生物群落、河口生境和生态压力等情况，及压力因素对生态系统的影响。遴选关键物种、关键生境指标、关键压力因素，设立风险阈值，开展分级预警，制作预警产品。</w:t>
      </w:r>
      <w:r>
        <w:br/>
      </w:r>
      <w:r>
        <w:rPr>
          <w:rFonts w:ascii="仿宋_GB2312" w:hAnsi="仿宋_GB2312" w:cs="仿宋_GB2312" w:eastAsia="仿宋_GB2312"/>
        </w:rPr>
        <w:t xml:space="preserve">   ②开展三亚湾海湾生态预警监测，同步开展海湾生境和海湾生物监测及威胁因素调查，跟踪掌握海湾生态系统中存在的鸟类栖息地丧失、水体环境恶化、渔业资源锐减以及生物多样性降低等生态问题，以及工程建设、陆源排污、捕捞养殖、互花米草入侵、海平面上升等压力因素对生态系统的影响，发现当地面临的主要生态问题后及时开展分级预警。</w:t>
      </w:r>
      <w:r>
        <w:br/>
      </w:r>
      <w:r>
        <w:rPr>
          <w:rFonts w:ascii="仿宋_GB2312" w:hAnsi="仿宋_GB2312" w:cs="仿宋_GB2312" w:eastAsia="仿宋_GB2312"/>
        </w:rPr>
        <w:t xml:space="preserve">   ③开展三亚亚龙湾砂质海岸生态预警监测，同步开展海滩特征、生物群落和环境要素监测及威胁因素调查，跟踪掌握砂质海岸生态系统中存在的岸线侵蚀、垃圾污染、景观破碎化等生态问题，以及工程建设、围海养殖、海平面上升等压力因素对生态系统的影响，发现当地面临的主要生态问题后及时开展分级预警。</w:t>
      </w:r>
      <w:r>
        <w:br/>
      </w:r>
      <w:r>
        <w:rPr>
          <w:rFonts w:ascii="仿宋_GB2312" w:hAnsi="仿宋_GB2312" w:cs="仿宋_GB2312" w:eastAsia="仿宋_GB2312"/>
        </w:rPr>
        <w:t xml:space="preserve"> E包：海南省海洋生态预警监测成果编制。                                            </w:t>
      </w:r>
      <w:r>
        <w:br/>
      </w:r>
      <w:r>
        <w:rPr>
          <w:rFonts w:ascii="仿宋_GB2312" w:hAnsi="仿宋_GB2312" w:cs="仿宋_GB2312" w:eastAsia="仿宋_GB2312"/>
        </w:rPr>
        <w:t xml:space="preserve">   根据A包-D包的成果产品，完成相关数据的矢量化，编制2025年海南省海洋生态预警监测状况报告及海南省（十四五）海洋生态预警监测状况报告、海南省近岸海域生态四级分区技术报告、海南省海洋生态类型清单和海南省海洋生态图技术报告、海南省海洋生态问题清单，更新完善2025年海南省海洋生态图集及海南省（“十四五”）海洋生态图集。</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500,000.00</w:t>
      </w:r>
    </w:p>
    <w:p>
      <w:pPr>
        <w:pStyle w:val="null3"/>
        <w:jc w:val="left"/>
      </w:pPr>
      <w:r>
        <w:rPr>
          <w:rFonts w:ascii="仿宋_GB2312" w:hAnsi="仿宋_GB2312" w:cs="仿宋_GB2312" w:eastAsia="仿宋_GB2312"/>
        </w:rPr>
        <w:t>采购包最高限价（元）: 500,000.00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A包珊瑚礁生态系统预警监测</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400,000.00</w:t>
      </w:r>
    </w:p>
    <w:p>
      <w:pPr>
        <w:pStyle w:val="null3"/>
        <w:jc w:val="left"/>
      </w:pPr>
      <w:r>
        <w:rPr>
          <w:rFonts w:ascii="仿宋_GB2312" w:hAnsi="仿宋_GB2312" w:cs="仿宋_GB2312" w:eastAsia="仿宋_GB2312"/>
        </w:rPr>
        <w:t>采购包最高限价（元）: 400,000.00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C包红树林生态系统预警监测</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采购包预算金额（元）: 1,100,050.00</w:t>
      </w:r>
    </w:p>
    <w:p>
      <w:pPr>
        <w:pStyle w:val="null3"/>
        <w:jc w:val="left"/>
      </w:pPr>
      <w:r>
        <w:rPr>
          <w:rFonts w:ascii="仿宋_GB2312" w:hAnsi="仿宋_GB2312" w:cs="仿宋_GB2312" w:eastAsia="仿宋_GB2312"/>
        </w:rPr>
        <w:t>采购包最高限价（元）: 1,100,050.00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D包河口、海湾、砂质海岸生态系统预警监测</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1,100,050.00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采购包预算金额（元）: 363,450.00</w:t>
      </w:r>
    </w:p>
    <w:p>
      <w:pPr>
        <w:pStyle w:val="null3"/>
        <w:jc w:val="left"/>
      </w:pPr>
      <w:r>
        <w:rPr>
          <w:rFonts w:ascii="仿宋_GB2312" w:hAnsi="仿宋_GB2312" w:cs="仿宋_GB2312" w:eastAsia="仿宋_GB2312"/>
        </w:rPr>
        <w:t>采购包最高限价（元）: 363,450.00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E包海南省海洋生态预警监测成果编制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363,450.00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A包珊瑚礁生态系统预警监测</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C包红树林生态系统预警监测</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D包河口、海湾、砂质海岸生态系统预警监测</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1,100,050.00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E包海南省海洋生态预警监测成果编制</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363,450.00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标的名称：A包珊瑚礁生态系统预警监测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1、服务内容和标准：</w:t>
            </w:r>
            <w:r>
              <w:br/>
            </w:r>
            <w:r>
              <w:rPr>
                <w:rFonts w:ascii="仿宋_GB2312" w:hAnsi="仿宋_GB2312" w:cs="仿宋_GB2312" w:eastAsia="仿宋_GB2312"/>
              </w:rPr>
              <w:t xml:space="preserve"> （1）监测范围</w:t>
            </w:r>
            <w:r>
              <w:br/>
            </w:r>
            <w:r>
              <w:rPr>
                <w:rFonts w:ascii="仿宋_GB2312" w:hAnsi="仿宋_GB2312" w:cs="仿宋_GB2312" w:eastAsia="仿宋_GB2312"/>
              </w:rPr>
              <w:t xml:space="preserve"> 三亚市珊瑚礁保护区。</w:t>
            </w:r>
            <w:r>
              <w:br/>
            </w:r>
            <w:r>
              <w:rPr>
                <w:rFonts w:ascii="仿宋_GB2312" w:hAnsi="仿宋_GB2312" w:cs="仿宋_GB2312" w:eastAsia="仿宋_GB2312"/>
              </w:rPr>
              <w:t xml:space="preserve"> （2）监测内容</w:t>
            </w:r>
            <w:r>
              <w:br/>
            </w:r>
            <w:r>
              <w:rPr>
                <w:rFonts w:ascii="仿宋_GB2312" w:hAnsi="仿宋_GB2312" w:cs="仿宋_GB2312" w:eastAsia="仿宋_GB2312"/>
              </w:rPr>
              <w:t xml:space="preserve"> 监测内容包括珊瑚群落、礁栖生物和环境要素监测及压力因素（调查内容见表1），预警内容包括珊瑚白化预警、敌害生物暴发预警、近岸多重环境压力下的生态系统预警。</w:t>
            </w:r>
            <w:r>
              <w:br/>
            </w:r>
            <w:r>
              <w:rPr>
                <w:rFonts w:ascii="仿宋_GB2312" w:hAnsi="仿宋_GB2312" w:cs="仿宋_GB2312" w:eastAsia="仿宋_GB2312"/>
              </w:rPr>
              <w:t xml:space="preserve">                                          </w:t>
            </w:r>
            <w:r>
              <w:rPr>
                <w:rFonts w:ascii="仿宋_GB2312" w:hAnsi="仿宋_GB2312" w:cs="仿宋_GB2312" w:eastAsia="仿宋_GB2312"/>
                <w:b/>
              </w:rPr>
              <w:t>表1 三亚海域珊瑚礁生态预警监测内容和监测要素（*为选测指标）</w:t>
            </w:r>
          </w:p>
          <w:tbl>
            <w:tblPr>
              <w:tblBorders>
                <w:top w:val="none" w:color="000000" w:sz="4"/>
                <w:left w:val="none" w:color="000000" w:sz="4"/>
                <w:bottom w:val="none" w:color="000000" w:sz="4"/>
                <w:right w:val="none" w:color="000000" w:sz="4"/>
                <w:insideH w:val="none"/>
                <w:insideV w:val="none"/>
              </w:tblBorders>
            </w:tblPr>
            <w:tblGrid>
              <w:gridCol w:w="388"/>
              <w:gridCol w:w="1814"/>
              <w:gridCol w:w="345"/>
            </w:tblGrid>
            <w:tr>
              <w:tc>
                <w:tcPr>
                  <w:tcW w:type="dxa" w:w="3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监测内容</w:t>
                  </w:r>
                </w:p>
              </w:tc>
              <w:tc>
                <w:tcPr>
                  <w:tcW w:type="dxa" w:w="18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2"/>
                    <w:jc w:val="center"/>
                  </w:pPr>
                  <w:r>
                    <w:rPr>
                      <w:rFonts w:ascii="仿宋_GB2312" w:hAnsi="仿宋_GB2312" w:cs="仿宋_GB2312" w:eastAsia="仿宋_GB2312"/>
                      <w:sz w:val="21"/>
                      <w:b/>
                    </w:rPr>
                    <w:t>监测要素</w:t>
                  </w:r>
                </w:p>
              </w:tc>
              <w:tc>
                <w:tcPr>
                  <w:tcW w:type="dxa" w:w="3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数量</w:t>
                  </w:r>
                </w:p>
              </w:tc>
            </w:tr>
            <w:tr>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珊瑚群落</w:t>
                  </w:r>
                </w:p>
              </w:tc>
              <w:tc>
                <w:tcPr>
                  <w:tcW w:type="dxa" w:w="18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造礁石珊瑚：种类、活珊瑚覆盖度、珊瑚死亡率、硬珊瑚补充量、珊瑚白化率、珊瑚形态组成</w:t>
                  </w:r>
                  <w:r>
                    <w:rPr>
                      <w:rFonts w:ascii="仿宋_GB2312" w:hAnsi="仿宋_GB2312" w:cs="仿宋_GB2312" w:eastAsia="仿宋_GB2312"/>
                      <w:sz w:val="21"/>
                    </w:rPr>
                    <w:t>*</w:t>
                  </w:r>
                  <w:r>
                    <w:rPr>
                      <w:rFonts w:ascii="仿宋_GB2312" w:hAnsi="仿宋_GB2312" w:cs="仿宋_GB2312" w:eastAsia="仿宋_GB2312"/>
                      <w:sz w:val="21"/>
                    </w:rPr>
                    <w:t>（团块状、叶状、板状、皮壳状、分枝状、柱状等）</w:t>
                  </w:r>
                </w:p>
              </w:tc>
              <w:tc>
                <w:tcPr>
                  <w:tcW w:type="dxa" w:w="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r>
            <w:tr>
              <w:tc>
                <w:tcPr>
                  <w:tcW w:type="dxa" w:w="38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礁栖生物</w:t>
                  </w:r>
                </w:p>
              </w:tc>
              <w:tc>
                <w:tcPr>
                  <w:tcW w:type="dxa" w:w="18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珊瑚礁鱼类：种类、丰度与体长范围</w:t>
                  </w:r>
                </w:p>
              </w:tc>
              <w:tc>
                <w:tcPr>
                  <w:tcW w:type="dxa" w:w="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r>
            <w:tr>
              <w:tc>
                <w:tcPr>
                  <w:tcW w:type="dxa" w:w="388"/>
                  <w:vMerge/>
                  <w:tcBorders>
                    <w:top w:val="none" w:color="000000" w:sz="4"/>
                    <w:left w:val="single" w:color="000000" w:sz="4"/>
                    <w:bottom w:val="single" w:color="000000" w:sz="4"/>
                    <w:right w:val="single" w:color="000000" w:sz="4"/>
                  </w:tcBorders>
                </w:tcPr>
                <w:p/>
              </w:tc>
              <w:tc>
                <w:tcPr>
                  <w:tcW w:type="dxa" w:w="18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大型底栖无脊椎动物：种类、密度</w:t>
                  </w:r>
                </w:p>
              </w:tc>
              <w:tc>
                <w:tcPr>
                  <w:tcW w:type="dxa" w:w="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388"/>
                  <w:vMerge/>
                  <w:tcBorders>
                    <w:top w:val="none" w:color="000000" w:sz="4"/>
                    <w:left w:val="single" w:color="000000" w:sz="4"/>
                    <w:bottom w:val="single" w:color="000000" w:sz="4"/>
                    <w:right w:val="single" w:color="000000" w:sz="4"/>
                  </w:tcBorders>
                </w:tcPr>
                <w:p/>
              </w:tc>
              <w:tc>
                <w:tcPr>
                  <w:tcW w:type="dxa" w:w="18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珊瑚敌害生物：长棘海星、核果螺的种类、密度</w:t>
                  </w:r>
                </w:p>
              </w:tc>
              <w:tc>
                <w:tcPr>
                  <w:tcW w:type="dxa" w:w="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r>
            <w:tr>
              <w:tc>
                <w:tcPr>
                  <w:tcW w:type="dxa" w:w="388"/>
                  <w:vMerge/>
                  <w:tcBorders>
                    <w:top w:val="none" w:color="000000" w:sz="4"/>
                    <w:left w:val="single" w:color="000000" w:sz="4"/>
                    <w:bottom w:val="single" w:color="000000" w:sz="4"/>
                    <w:right w:val="single" w:color="000000" w:sz="4"/>
                  </w:tcBorders>
                </w:tcPr>
                <w:p/>
              </w:tc>
              <w:tc>
                <w:tcPr>
                  <w:tcW w:type="dxa" w:w="18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大型底栖藻类：种类、覆盖度、高度</w:t>
                  </w:r>
                  <w:r>
                    <w:rPr>
                      <w:rFonts w:ascii="仿宋_GB2312" w:hAnsi="仿宋_GB2312" w:cs="仿宋_GB2312" w:eastAsia="仿宋_GB2312"/>
                      <w:sz w:val="21"/>
                    </w:rPr>
                    <w:t>*</w:t>
                  </w:r>
                </w:p>
              </w:tc>
              <w:tc>
                <w:tcPr>
                  <w:tcW w:type="dxa" w:w="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r>
            <w:tr>
              <w:tc>
                <w:tcPr>
                  <w:tcW w:type="dxa" w:w="38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环境要素</w:t>
                  </w:r>
                </w:p>
              </w:tc>
              <w:tc>
                <w:tcPr>
                  <w:tcW w:type="dxa" w:w="18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海水：盐度、</w:t>
                  </w:r>
                  <w:r>
                    <w:rPr>
                      <w:rFonts w:ascii="仿宋_GB2312" w:hAnsi="仿宋_GB2312" w:cs="仿宋_GB2312" w:eastAsia="仿宋_GB2312"/>
                      <w:sz w:val="21"/>
                    </w:rPr>
                    <w:t>pH</w:t>
                  </w:r>
                  <w:r>
                    <w:rPr>
                      <w:rFonts w:ascii="仿宋_GB2312" w:hAnsi="仿宋_GB2312" w:cs="仿宋_GB2312" w:eastAsia="仿宋_GB2312"/>
                      <w:sz w:val="21"/>
                    </w:rPr>
                    <w:t>、溶解氧</w:t>
                  </w:r>
                  <w:r>
                    <w:rPr>
                      <w:rFonts w:ascii="仿宋_GB2312" w:hAnsi="仿宋_GB2312" w:cs="仿宋_GB2312" w:eastAsia="仿宋_GB2312"/>
                      <w:sz w:val="21"/>
                    </w:rPr>
                    <w:t>*</w:t>
                  </w:r>
                  <w:r>
                    <w:rPr>
                      <w:rFonts w:ascii="仿宋_GB2312" w:hAnsi="仿宋_GB2312" w:cs="仿宋_GB2312" w:eastAsia="仿宋_GB2312"/>
                      <w:sz w:val="21"/>
                    </w:rPr>
                    <w:t>、浊度、硝酸盐、亚硝酸盐、氨氮、活性磷酸盐、总氮</w:t>
                  </w:r>
                  <w:r>
                    <w:rPr>
                      <w:rFonts w:ascii="仿宋_GB2312" w:hAnsi="仿宋_GB2312" w:cs="仿宋_GB2312" w:eastAsia="仿宋_GB2312"/>
                      <w:sz w:val="21"/>
                    </w:rPr>
                    <w:t>*</w:t>
                  </w:r>
                  <w:r>
                    <w:rPr>
                      <w:rFonts w:ascii="仿宋_GB2312" w:hAnsi="仿宋_GB2312" w:cs="仿宋_GB2312" w:eastAsia="仿宋_GB2312"/>
                      <w:sz w:val="21"/>
                    </w:rPr>
                    <w:t>、总磷</w:t>
                  </w:r>
                  <w:r>
                    <w:rPr>
                      <w:rFonts w:ascii="仿宋_GB2312" w:hAnsi="仿宋_GB2312" w:cs="仿宋_GB2312" w:eastAsia="仿宋_GB2312"/>
                      <w:sz w:val="21"/>
                    </w:rPr>
                    <w:t>*</w:t>
                  </w:r>
                  <w:r>
                    <w:rPr>
                      <w:rFonts w:ascii="仿宋_GB2312" w:hAnsi="仿宋_GB2312" w:cs="仿宋_GB2312" w:eastAsia="仿宋_GB2312"/>
                      <w:sz w:val="21"/>
                    </w:rPr>
                    <w:t>、叶绿素</w:t>
                  </w:r>
                  <w:r>
                    <w:rPr>
                      <w:rFonts w:ascii="仿宋_GB2312" w:hAnsi="仿宋_GB2312" w:cs="仿宋_GB2312" w:eastAsia="仿宋_GB2312"/>
                      <w:sz w:val="21"/>
                    </w:rPr>
                    <w:t>a</w:t>
                  </w:r>
                  <w:r>
                    <w:rPr>
                      <w:rFonts w:ascii="仿宋_GB2312" w:hAnsi="仿宋_GB2312" w:cs="仿宋_GB2312" w:eastAsia="仿宋_GB2312"/>
                      <w:sz w:val="21"/>
                    </w:rPr>
                    <w:t>、悬浮物、化学需氧量、油类</w:t>
                  </w:r>
                  <w:r>
                    <w:rPr>
                      <w:rFonts w:ascii="仿宋_GB2312" w:hAnsi="仿宋_GB2312" w:cs="仿宋_GB2312" w:eastAsia="仿宋_GB2312"/>
                      <w:sz w:val="21"/>
                    </w:rPr>
                    <w:t>*</w:t>
                  </w:r>
                </w:p>
              </w:tc>
              <w:tc>
                <w:tcPr>
                  <w:tcW w:type="dxa" w:w="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r>
            <w:tr>
              <w:tc>
                <w:tcPr>
                  <w:tcW w:type="dxa" w:w="388"/>
                  <w:vMerge/>
                  <w:tcBorders>
                    <w:top w:val="none" w:color="000000" w:sz="4"/>
                    <w:left w:val="single" w:color="000000" w:sz="4"/>
                    <w:bottom w:val="single" w:color="000000" w:sz="4"/>
                    <w:right w:val="single" w:color="000000" w:sz="4"/>
                  </w:tcBorders>
                </w:tcPr>
                <w:p/>
              </w:tc>
              <w:tc>
                <w:tcPr>
                  <w:tcW w:type="dxa" w:w="18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水文气象：水温、透明度、水深、海况</w:t>
                  </w:r>
                  <w:r>
                    <w:rPr>
                      <w:rFonts w:ascii="仿宋_GB2312" w:hAnsi="仿宋_GB2312" w:cs="仿宋_GB2312" w:eastAsia="仿宋_GB2312"/>
                      <w:sz w:val="21"/>
                    </w:rPr>
                    <w:t>*</w:t>
                  </w:r>
                  <w:r>
                    <w:rPr>
                      <w:rFonts w:ascii="仿宋_GB2312" w:hAnsi="仿宋_GB2312" w:cs="仿宋_GB2312" w:eastAsia="仿宋_GB2312"/>
                      <w:sz w:val="21"/>
                    </w:rPr>
                    <w:t>、简易天气状况</w:t>
                  </w:r>
                  <w:r>
                    <w:rPr>
                      <w:rFonts w:ascii="仿宋_GB2312" w:hAnsi="仿宋_GB2312" w:cs="仿宋_GB2312" w:eastAsia="仿宋_GB2312"/>
                      <w:sz w:val="21"/>
                    </w:rPr>
                    <w:t>*</w:t>
                  </w:r>
                </w:p>
              </w:tc>
              <w:tc>
                <w:tcPr>
                  <w:tcW w:type="dxa" w:w="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r>
            <w:tr>
              <w:tc>
                <w:tcPr>
                  <w:tcW w:type="dxa" w:w="388"/>
                  <w:vMerge/>
                  <w:tcBorders>
                    <w:top w:val="none" w:color="000000" w:sz="4"/>
                    <w:left w:val="single" w:color="000000" w:sz="4"/>
                    <w:bottom w:val="single" w:color="000000" w:sz="4"/>
                    <w:right w:val="single" w:color="000000" w:sz="4"/>
                  </w:tcBorders>
                </w:tcPr>
                <w:p/>
              </w:tc>
              <w:tc>
                <w:tcPr>
                  <w:tcW w:type="dxa" w:w="18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沉积物：粒度</w:t>
                  </w:r>
                  <w:r>
                    <w:rPr>
                      <w:rFonts w:ascii="仿宋_GB2312" w:hAnsi="仿宋_GB2312" w:cs="仿宋_GB2312" w:eastAsia="仿宋_GB2312"/>
                      <w:sz w:val="21"/>
                    </w:rPr>
                    <w:t>*</w:t>
                  </w:r>
                  <w:r>
                    <w:rPr>
                      <w:rFonts w:ascii="仿宋_GB2312" w:hAnsi="仿宋_GB2312" w:cs="仿宋_GB2312" w:eastAsia="仿宋_GB2312"/>
                      <w:sz w:val="21"/>
                    </w:rPr>
                    <w:t>、礁石区泥沙覆盖情况、底质类型覆盖率</w:t>
                  </w:r>
                </w:p>
              </w:tc>
              <w:tc>
                <w:tcPr>
                  <w:tcW w:type="dxa" w:w="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bl>
          <w:p>
            <w:pPr>
              <w:pStyle w:val="null3"/>
              <w:jc w:val="left"/>
            </w:pPr>
            <w:r>
              <w:rPr>
                <w:rFonts w:ascii="仿宋_GB2312" w:hAnsi="仿宋_GB2312" w:cs="仿宋_GB2312" w:eastAsia="仿宋_GB2312"/>
              </w:rPr>
              <w:t>（3）监测站位</w:t>
            </w:r>
            <w:r>
              <w:br/>
            </w:r>
            <w:r>
              <w:rPr>
                <w:rFonts w:ascii="仿宋_GB2312" w:hAnsi="仿宋_GB2312" w:cs="仿宋_GB2312" w:eastAsia="仿宋_GB2312"/>
              </w:rPr>
              <w:t xml:space="preserve"> 监测站位设置满足但不限于以下要求：</w:t>
            </w:r>
            <w:r>
              <w:br/>
            </w:r>
            <w:r>
              <w:rPr>
                <w:rFonts w:ascii="仿宋_GB2312" w:hAnsi="仿宋_GB2312" w:cs="仿宋_GB2312" w:eastAsia="仿宋_GB2312"/>
              </w:rPr>
              <w:t xml:space="preserve"> 三亚珊瑚礁生态状况监测布设站位10个，其中珊瑚礁保护区核心区布设6个站位（见表2）。</w:t>
            </w:r>
          </w:p>
          <w:p>
            <w:pPr>
              <w:pStyle w:val="null3"/>
              <w:jc w:val="center"/>
            </w:pPr>
            <w:r>
              <w:rPr>
                <w:rFonts w:ascii="仿宋_GB2312" w:hAnsi="仿宋_GB2312" w:cs="仿宋_GB2312" w:eastAsia="仿宋_GB2312"/>
                <w:b/>
              </w:rPr>
              <w:t>表2 三亚海域珊瑚礁生态状况监测站位表</w:t>
            </w:r>
          </w:p>
          <w:tbl>
            <w:tblPr>
              <w:tblBorders>
                <w:top w:val="none" w:color="000000" w:sz="4"/>
                <w:left w:val="none" w:color="000000" w:sz="4"/>
                <w:bottom w:val="none" w:color="000000" w:sz="4"/>
                <w:right w:val="none" w:color="000000" w:sz="4"/>
                <w:insideH w:val="none"/>
                <w:insideV w:val="none"/>
              </w:tblBorders>
            </w:tblPr>
            <w:tblGrid>
              <w:gridCol w:w="680"/>
              <w:gridCol w:w="959"/>
              <w:gridCol w:w="899"/>
            </w:tblGrid>
            <w:tr>
              <w:tc>
                <w:tcPr>
                  <w:tcW w:type="dxa" w:w="6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站号</w:t>
                  </w:r>
                </w:p>
              </w:tc>
              <w:tc>
                <w:tcPr>
                  <w:tcW w:type="dxa" w:w="9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经度（°E）</w:t>
                  </w:r>
                </w:p>
              </w:tc>
              <w:tc>
                <w:tcPr>
                  <w:tcW w:type="dxa" w:w="8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纬度（°N）</w:t>
                  </w:r>
                </w:p>
              </w:tc>
            </w:tr>
            <w:tr>
              <w:tc>
                <w:tcPr>
                  <w:tcW w:type="dxa" w:w="6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9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109.2798</w:t>
                  </w:r>
                </w:p>
              </w:tc>
              <w:tc>
                <w:tcPr>
                  <w:tcW w:type="dxa" w:w="8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18.3006</w:t>
                  </w:r>
                </w:p>
              </w:tc>
            </w:tr>
            <w:tr>
              <w:tc>
                <w:tcPr>
                  <w:tcW w:type="dxa" w:w="6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9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109.3726</w:t>
                  </w:r>
                </w:p>
              </w:tc>
              <w:tc>
                <w:tcPr>
                  <w:tcW w:type="dxa" w:w="8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18.2257</w:t>
                  </w:r>
                </w:p>
              </w:tc>
            </w:tr>
            <w:tr>
              <w:tc>
                <w:tcPr>
                  <w:tcW w:type="dxa" w:w="6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9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109.4861</w:t>
                  </w:r>
                </w:p>
              </w:tc>
              <w:tc>
                <w:tcPr>
                  <w:tcW w:type="dxa" w:w="8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18.2189</w:t>
                  </w:r>
                </w:p>
              </w:tc>
            </w:tr>
            <w:tr>
              <w:tc>
                <w:tcPr>
                  <w:tcW w:type="dxa" w:w="6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9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109.4848</w:t>
                  </w:r>
                </w:p>
              </w:tc>
              <w:tc>
                <w:tcPr>
                  <w:tcW w:type="dxa" w:w="8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18.1899</w:t>
                  </w:r>
                </w:p>
              </w:tc>
            </w:tr>
            <w:tr>
              <w:tc>
                <w:tcPr>
                  <w:tcW w:type="dxa" w:w="6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9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109.5057</w:t>
                  </w:r>
                </w:p>
              </w:tc>
              <w:tc>
                <w:tcPr>
                  <w:tcW w:type="dxa" w:w="8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18.2087</w:t>
                  </w:r>
                </w:p>
              </w:tc>
            </w:tr>
            <w:tr>
              <w:tc>
                <w:tcPr>
                  <w:tcW w:type="dxa" w:w="6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9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109.5287</w:t>
                  </w:r>
                </w:p>
              </w:tc>
              <w:tc>
                <w:tcPr>
                  <w:tcW w:type="dxa" w:w="8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18.2140</w:t>
                  </w:r>
                </w:p>
              </w:tc>
            </w:tr>
            <w:tr>
              <w:tc>
                <w:tcPr>
                  <w:tcW w:type="dxa" w:w="6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9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109.5802</w:t>
                  </w:r>
                </w:p>
              </w:tc>
              <w:tc>
                <w:tcPr>
                  <w:tcW w:type="dxa" w:w="8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18.1734</w:t>
                  </w:r>
                </w:p>
              </w:tc>
            </w:tr>
            <w:tr>
              <w:tc>
                <w:tcPr>
                  <w:tcW w:type="dxa" w:w="6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9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109.6161</w:t>
                  </w:r>
                </w:p>
              </w:tc>
              <w:tc>
                <w:tcPr>
                  <w:tcW w:type="dxa" w:w="8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18.1730</w:t>
                  </w:r>
                </w:p>
              </w:tc>
            </w:tr>
            <w:tr>
              <w:tc>
                <w:tcPr>
                  <w:tcW w:type="dxa" w:w="6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9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109.6125</w:t>
                  </w:r>
                </w:p>
              </w:tc>
              <w:tc>
                <w:tcPr>
                  <w:tcW w:type="dxa" w:w="8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18.2058</w:t>
                  </w:r>
                </w:p>
              </w:tc>
            </w:tr>
            <w:tr>
              <w:tc>
                <w:tcPr>
                  <w:tcW w:type="dxa" w:w="6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9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109.6410</w:t>
                  </w:r>
                </w:p>
              </w:tc>
              <w:tc>
                <w:tcPr>
                  <w:tcW w:type="dxa" w:w="8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18.2137</w:t>
                  </w:r>
                </w:p>
              </w:tc>
            </w:tr>
            <w:tr>
              <w:tc>
                <w:tcPr>
                  <w:tcW w:type="dxa" w:w="2538"/>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备注：经业主同意确认，调查站位可视实际情况适当调整。</w:t>
                  </w:r>
                </w:p>
              </w:tc>
            </w:tr>
          </w:tbl>
          <w:p>
            <w:pPr>
              <w:pStyle w:val="null3"/>
              <w:jc w:val="left"/>
            </w:pPr>
            <w:r>
              <w:rPr>
                <w:rFonts w:ascii="仿宋_GB2312" w:hAnsi="仿宋_GB2312" w:cs="仿宋_GB2312" w:eastAsia="仿宋_GB2312"/>
              </w:rPr>
              <w:t>（4）监测与评估方法</w:t>
            </w:r>
            <w:r>
              <w:br/>
            </w:r>
            <w:r>
              <w:rPr>
                <w:rFonts w:ascii="仿宋_GB2312" w:hAnsi="仿宋_GB2312" w:cs="仿宋_GB2312" w:eastAsia="仿宋_GB2312"/>
              </w:rPr>
              <w:t xml:space="preserve"> 珊瑚礁生态状况监测按照《海岸带生态系统现状调查与评估技术导则 第5部分 珊瑚礁》(HY/T 0460.5-2024)及《珊瑚礁生态系统监测、评价与预警技术规程》（试行 2024）中的有关技术要求进行；环境要素监测要求执行《海洋监测规范》（GB17378-2007）、《海洋调查规范》（GB12763-2007）和《海洋监测技术规程》（HY/T 147.1-2013）等。项目实施过程中如有最新的技术规范则参照执行。</w:t>
            </w:r>
            <w:r>
              <w:br/>
            </w:r>
            <w:r>
              <w:rPr>
                <w:rFonts w:ascii="仿宋_GB2312" w:hAnsi="仿宋_GB2312" w:cs="仿宋_GB2312" w:eastAsia="仿宋_GB2312"/>
              </w:rPr>
              <w:t xml:space="preserve"> （5）监测时间和频率</w:t>
            </w:r>
            <w:r>
              <w:br/>
            </w:r>
            <w:r>
              <w:rPr>
                <w:rFonts w:ascii="仿宋_GB2312" w:hAnsi="仿宋_GB2312" w:cs="仿宋_GB2312" w:eastAsia="仿宋_GB2312"/>
              </w:rPr>
              <w:t xml:space="preserve"> 4月-10月期间开展1次现场定点监测。遥感监测获取水温参数，频次与NOAA官方网站同步。出现预警情况时，按照《珊瑚礁生态系统监测、评价与预警技术规程》（试行 2024）要求增加监测频次。</w:t>
            </w:r>
            <w:r>
              <w:br/>
            </w:r>
            <w:r>
              <w:rPr>
                <w:rFonts w:ascii="仿宋_GB2312" w:hAnsi="仿宋_GB2312" w:cs="仿宋_GB2312" w:eastAsia="仿宋_GB2312"/>
              </w:rPr>
              <w:t xml:space="preserve"> （6）质量控制</w:t>
            </w:r>
            <w:r>
              <w:br/>
            </w:r>
            <w:r>
              <w:rPr>
                <w:rFonts w:ascii="仿宋_GB2312" w:hAnsi="仿宋_GB2312" w:cs="仿宋_GB2312" w:eastAsia="仿宋_GB2312"/>
              </w:rPr>
              <w:t xml:space="preserve"> ①在开展调查前，编制任务质量控制方案，或任务实施方案中应包含明确的质量控制内容，方案应包括仪器设备、人员、标准物质、样品采集、储存、运输、检测方法、实验室分析、遥感解译质控、数据审核等质量保证措施。</w:t>
            </w:r>
            <w:r>
              <w:br/>
            </w:r>
            <w:r>
              <w:rPr>
                <w:rFonts w:ascii="仿宋_GB2312" w:hAnsi="仿宋_GB2312" w:cs="仿宋_GB2312" w:eastAsia="仿宋_GB2312"/>
              </w:rPr>
              <w:t xml:space="preserve"> ②水体环境、沉积物、生态、生物样品的采集（预处理）、储存、运输应严格按《海洋监测规范》（GB 17378-2007）和《海洋调查规范》（GB/T 12763-2007）等相关要求执行，制定可实施的实验室分析质量控制计划。</w:t>
            </w:r>
            <w:r>
              <w:br/>
            </w:r>
            <w:r>
              <w:rPr>
                <w:rFonts w:ascii="仿宋_GB2312" w:hAnsi="仿宋_GB2312" w:cs="仿宋_GB2312" w:eastAsia="仿宋_GB2312"/>
              </w:rPr>
              <w:t xml:space="preserve"> ③根据采购人工作安排，参加相关质量监督检查和外控样考核。</w:t>
            </w:r>
            <w:r>
              <w:br/>
            </w:r>
            <w:r>
              <w:rPr>
                <w:rFonts w:ascii="仿宋_GB2312" w:hAnsi="仿宋_GB2312" w:cs="仿宋_GB2312" w:eastAsia="仿宋_GB2312"/>
              </w:rPr>
              <w:t xml:space="preserve"> ④所有出具的检测报告必须加盖CMA章。</w:t>
            </w:r>
            <w:r>
              <w:br/>
            </w:r>
            <w:r>
              <w:rPr>
                <w:rFonts w:ascii="仿宋_GB2312" w:hAnsi="仿宋_GB2312" w:cs="仿宋_GB2312" w:eastAsia="仿宋_GB2312"/>
              </w:rPr>
              <w:t xml:space="preserve"> ⑤因不可抗力因素影响，导致实际监测开展情况与方案要求不符，包括监测站位调整、时间变更等，应详细说明理由并及时向采购人报批确认。</w:t>
            </w:r>
            <w:r>
              <w:br/>
            </w:r>
            <w:r>
              <w:rPr>
                <w:rFonts w:ascii="仿宋_GB2312" w:hAnsi="仿宋_GB2312" w:cs="仿宋_GB2312" w:eastAsia="仿宋_GB2312"/>
              </w:rPr>
              <w:t xml:space="preserve"> （7）成果提交</w:t>
            </w:r>
            <w:r>
              <w:br/>
            </w:r>
            <w:r>
              <w:rPr>
                <w:rFonts w:ascii="仿宋_GB2312" w:hAnsi="仿宋_GB2312" w:cs="仿宋_GB2312" w:eastAsia="仿宋_GB2312"/>
              </w:rPr>
              <w:t xml:space="preserve"> 合同签订后10个工作日内，中标方向采购人提交项目实施方案。</w:t>
            </w:r>
            <w:r>
              <w:br/>
            </w:r>
            <w:r>
              <w:rPr>
                <w:rFonts w:ascii="仿宋_GB2312" w:hAnsi="仿宋_GB2312" w:cs="仿宋_GB2312" w:eastAsia="仿宋_GB2312"/>
              </w:rPr>
              <w:t xml:space="preserve"> 2025年11月30日前提交《2025年三亚珊瑚礁生态系统预警监测评估报告》《2025年三亚珊瑚礁生态系统预警报告》（预警产品），生态图集，预警监测数据集、现场照片、短视频、调查数量矢量化等。</w:t>
            </w:r>
            <w:r>
              <w:br/>
            </w:r>
            <w:r>
              <w:rPr>
                <w:rFonts w:ascii="仿宋_GB2312" w:hAnsi="仿宋_GB2312" w:cs="仿宋_GB2312" w:eastAsia="仿宋_GB2312"/>
              </w:rPr>
              <w:t xml:space="preserve"> ★2、技术、服务人员要求：</w:t>
            </w:r>
            <w:r>
              <w:br/>
            </w:r>
            <w:r>
              <w:rPr>
                <w:rFonts w:ascii="仿宋_GB2312" w:hAnsi="仿宋_GB2312" w:cs="仿宋_GB2312" w:eastAsia="仿宋_GB2312"/>
              </w:rPr>
              <w:t xml:space="preserve"> （1）本项目的项目负责人需具有海洋相关专业副高级（含）以上职称，项目组成员为承担单位固定成员，项目组成员不低于10人，且专业必须涵盖海洋生物生态、海洋化学等、测绘等相关领域。项目负责人须是该项目实施全过程的真正组织者和指导者，担负实质性工作，挂名或不担负实质性工作的人员不得作为项目负责人参与本项工作。</w:t>
            </w:r>
            <w:r>
              <w:br/>
            </w:r>
            <w:r>
              <w:rPr>
                <w:rFonts w:ascii="仿宋_GB2312" w:hAnsi="仿宋_GB2312" w:cs="仿宋_GB2312" w:eastAsia="仿宋_GB2312"/>
              </w:rPr>
              <w:t xml:space="preserve"> （2）为使项目按质、按量、按时及有序实施，中标人应建立完善、稳定的项目团队、内部组织管理方式及协调机制，支撑保障要求及其他相关要求。中标人应承诺做好项目研究的过程管理，做到全面、科学、合理的规划，保证投入项目的人员组织科学、充足，项目的进度计划合理、可行，项目各阶段的跟踪管理和质量保障措施完善。</w:t>
            </w:r>
            <w:r>
              <w:br/>
            </w:r>
            <w:r>
              <w:rPr>
                <w:rFonts w:ascii="仿宋_GB2312" w:hAnsi="仿宋_GB2312" w:cs="仿宋_GB2312" w:eastAsia="仿宋_GB2312"/>
              </w:rPr>
              <w:t xml:space="preserve"> ★3、其他要求：</w:t>
            </w:r>
            <w:r>
              <w:br/>
            </w:r>
            <w:r>
              <w:rPr>
                <w:rFonts w:ascii="仿宋_GB2312" w:hAnsi="仿宋_GB2312" w:cs="仿宋_GB2312" w:eastAsia="仿宋_GB2312"/>
              </w:rPr>
              <w:t xml:space="preserve"> 在调查方法中，投标方需明确充分利用特别国债海南省海洋灾害综合防治能力建设项目设备和数据的途径。</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标的名称：C包红树林生态系统预警监测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1、服务内容和标准：</w:t>
            </w:r>
            <w:r>
              <w:br/>
            </w:r>
            <w:r>
              <w:rPr>
                <w:rFonts w:ascii="仿宋_GB2312" w:hAnsi="仿宋_GB2312" w:cs="仿宋_GB2312" w:eastAsia="仿宋_GB2312"/>
              </w:rPr>
              <w:t xml:space="preserve"> （1）监测范围</w:t>
            </w:r>
            <w:r>
              <w:br/>
            </w:r>
            <w:r>
              <w:rPr>
                <w:rFonts w:ascii="仿宋_GB2312" w:hAnsi="仿宋_GB2312" w:cs="仿宋_GB2312" w:eastAsia="仿宋_GB2312"/>
              </w:rPr>
              <w:t xml:space="preserve"> 调查范围主要为海南东寨港国家级自然保护区红树林分布区。</w:t>
            </w:r>
            <w:r>
              <w:br/>
            </w:r>
            <w:r>
              <w:rPr>
                <w:rFonts w:ascii="仿宋_GB2312" w:hAnsi="仿宋_GB2312" w:cs="仿宋_GB2312" w:eastAsia="仿宋_GB2312"/>
              </w:rPr>
              <w:t xml:space="preserve"> （2）监测内容</w:t>
            </w:r>
            <w:r>
              <w:br/>
            </w:r>
            <w:r>
              <w:rPr>
                <w:rFonts w:ascii="仿宋_GB2312" w:hAnsi="仿宋_GB2312" w:cs="仿宋_GB2312" w:eastAsia="仿宋_GB2312"/>
              </w:rPr>
              <w:t xml:space="preserve"> 监测内容包括植被群落、动物群落和环境要素。具体如下：</w:t>
            </w:r>
            <w:r>
              <w:br/>
            </w:r>
            <w:r>
              <w:rPr>
                <w:rFonts w:ascii="仿宋_GB2312" w:hAnsi="仿宋_GB2312" w:cs="仿宋_GB2312" w:eastAsia="仿宋_GB2312"/>
              </w:rPr>
              <w:t xml:space="preserve"> ——植物群落：红树植物（种类、面积、覆盖度）、互花米草面积、有害藤本植物（种类、面积）、外来红树植物（种类、面积）；</w:t>
            </w:r>
            <w:r>
              <w:br/>
            </w:r>
            <w:r>
              <w:rPr>
                <w:rFonts w:ascii="仿宋_GB2312" w:hAnsi="仿宋_GB2312" w:cs="仿宋_GB2312" w:eastAsia="仿宋_GB2312"/>
              </w:rPr>
              <w:t xml:space="preserve"> ——动物群落：大型底栖动物（种类、密度、生物量）、鸟类（种类、数量）、病虫害（类型、影响程度、面积）；</w:t>
            </w:r>
            <w:r>
              <w:br/>
            </w:r>
            <w:r>
              <w:rPr>
                <w:rFonts w:ascii="仿宋_GB2312" w:hAnsi="仿宋_GB2312" w:cs="仿宋_GB2312" w:eastAsia="仿宋_GB2312"/>
              </w:rPr>
              <w:t xml:space="preserve"> ——环境要素：水环境（盐度、总磷*、总氮*）、底质环境（沉积物粒度）、岸滩侵蚀区域、侵蚀长度。</w:t>
            </w:r>
            <w:r>
              <w:br/>
            </w:r>
            <w:r>
              <w:rPr>
                <w:rFonts w:ascii="仿宋_GB2312" w:hAnsi="仿宋_GB2312" w:cs="仿宋_GB2312" w:eastAsia="仿宋_GB2312"/>
              </w:rPr>
              <w:t xml:space="preserve"> （注：文中“*”项为选测内容）</w:t>
            </w:r>
            <w:r>
              <w:br/>
            </w:r>
            <w:r>
              <w:rPr>
                <w:rFonts w:ascii="仿宋_GB2312" w:hAnsi="仿宋_GB2312" w:cs="仿宋_GB2312" w:eastAsia="仿宋_GB2312"/>
              </w:rPr>
              <w:t xml:space="preserve"> （3）监测站位</w:t>
            </w:r>
            <w:r>
              <w:br/>
            </w:r>
            <w:r>
              <w:rPr>
                <w:rFonts w:ascii="仿宋_GB2312" w:hAnsi="仿宋_GB2312" w:cs="仿宋_GB2312" w:eastAsia="仿宋_GB2312"/>
              </w:rPr>
              <w:t xml:space="preserve"> 监测站位设置满足但不限于以下要求：</w:t>
            </w:r>
            <w:r>
              <w:br/>
            </w:r>
            <w:r>
              <w:rPr>
                <w:rFonts w:ascii="仿宋_GB2312" w:hAnsi="仿宋_GB2312" w:cs="仿宋_GB2312" w:eastAsia="仿宋_GB2312"/>
              </w:rPr>
              <w:t xml:space="preserve"> ①红树林植被</w:t>
            </w:r>
            <w:r>
              <w:br/>
            </w:r>
            <w:r>
              <w:rPr>
                <w:rFonts w:ascii="仿宋_GB2312" w:hAnsi="仿宋_GB2312" w:cs="仿宋_GB2312" w:eastAsia="仿宋_GB2312"/>
              </w:rPr>
              <w:t xml:space="preserve"> 设置5个红树林断面，15个站位。设置不少于3个红树林植被样方。</w:t>
            </w:r>
          </w:p>
          <w:p>
            <w:pPr>
              <w:pStyle w:val="null3"/>
              <w:jc w:val="center"/>
            </w:pPr>
            <w:r>
              <w:rPr>
                <w:rFonts w:ascii="仿宋_GB2312" w:hAnsi="仿宋_GB2312" w:cs="仿宋_GB2312" w:eastAsia="仿宋_GB2312"/>
                <w:b/>
              </w:rPr>
              <w:t>表1 红树林植被断面分布位置坐标</w:t>
            </w:r>
          </w:p>
          <w:tbl>
            <w:tblPr>
              <w:tblInd w:type="dxa" w:w="435"/>
              <w:tblBorders>
                <w:top w:val="none" w:color="000000" w:sz="4"/>
                <w:left w:val="none" w:color="000000" w:sz="4"/>
                <w:bottom w:val="none" w:color="000000" w:sz="4"/>
                <w:right w:val="none" w:color="000000" w:sz="4"/>
                <w:insideH w:val="none"/>
                <w:insideV w:val="none"/>
              </w:tblBorders>
            </w:tblPr>
            <w:tblGrid>
              <w:gridCol w:w="203"/>
              <w:gridCol w:w="203"/>
              <w:gridCol w:w="682"/>
              <w:gridCol w:w="682"/>
              <w:gridCol w:w="776"/>
            </w:tblGrid>
            <w:tr>
              <w:tc>
                <w:tcPr>
                  <w:tcW w:type="dxa" w:w="2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20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断面</w:t>
                  </w:r>
                </w:p>
              </w:tc>
              <w:tc>
                <w:tcPr>
                  <w:tcW w:type="dxa" w:w="68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经度E（°  ′  ″）</w:t>
                  </w:r>
                </w:p>
              </w:tc>
              <w:tc>
                <w:tcPr>
                  <w:tcW w:type="dxa" w:w="68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纬度N（°  ′  ″）</w:t>
                  </w:r>
                </w:p>
              </w:tc>
              <w:tc>
                <w:tcPr>
                  <w:tcW w:type="dxa" w:w="7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站点</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A</w:t>
                  </w:r>
                </w:p>
              </w:tc>
              <w:tc>
                <w:tcPr>
                  <w:tcW w:type="dxa" w:w="6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110°32′38.619″</w:t>
                  </w:r>
                </w:p>
              </w:tc>
              <w:tc>
                <w:tcPr>
                  <w:tcW w:type="dxa" w:w="6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20°00′18.063″</w:t>
                  </w: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A1-低、A2-中、A3-高</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B</w:t>
                  </w:r>
                </w:p>
              </w:tc>
              <w:tc>
                <w:tcPr>
                  <w:tcW w:type="dxa" w:w="6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110°32′51.287″</w:t>
                  </w:r>
                </w:p>
              </w:tc>
              <w:tc>
                <w:tcPr>
                  <w:tcW w:type="dxa" w:w="6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19°59′02.978″</w:t>
                  </w: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B1-低、B2-中、B3-高</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C</w:t>
                  </w:r>
                </w:p>
              </w:tc>
              <w:tc>
                <w:tcPr>
                  <w:tcW w:type="dxa" w:w="6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110°35′31.373″</w:t>
                  </w:r>
                </w:p>
              </w:tc>
              <w:tc>
                <w:tcPr>
                  <w:tcW w:type="dxa" w:w="6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19°56′00.940″</w:t>
                  </w: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C1-低、C2-中、C3-高</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D</w:t>
                  </w:r>
                </w:p>
              </w:tc>
              <w:tc>
                <w:tcPr>
                  <w:tcW w:type="dxa" w:w="6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110°37′04.225″</w:t>
                  </w:r>
                </w:p>
              </w:tc>
              <w:tc>
                <w:tcPr>
                  <w:tcW w:type="dxa" w:w="6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19°55′33.981″</w:t>
                  </w: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D1-低、D2-中、D3-高</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E</w:t>
                  </w:r>
                </w:p>
              </w:tc>
              <w:tc>
                <w:tcPr>
                  <w:tcW w:type="dxa" w:w="6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110°37′38.668″</w:t>
                  </w:r>
                </w:p>
              </w:tc>
              <w:tc>
                <w:tcPr>
                  <w:tcW w:type="dxa" w:w="6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19°56′03.184″</w:t>
                  </w: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E1-低、E2-中、E3-高</w:t>
                  </w:r>
                </w:p>
              </w:tc>
            </w:tr>
            <w:tr>
              <w:tc>
                <w:tcPr>
                  <w:tcW w:type="dxa" w:w="2546"/>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备注：经业主同意确认，调查站位可视实际情况适当调整。</w:t>
                  </w:r>
                </w:p>
              </w:tc>
            </w:tr>
          </w:tbl>
          <w:p>
            <w:pPr>
              <w:pStyle w:val="null3"/>
              <w:jc w:val="left"/>
            </w:pPr>
            <w:r>
              <w:rPr>
                <w:rFonts w:ascii="仿宋_GB2312" w:hAnsi="仿宋_GB2312" w:cs="仿宋_GB2312" w:eastAsia="仿宋_GB2312"/>
              </w:rPr>
              <w:t>②动物群落</w:t>
            </w:r>
            <w:r>
              <w:br/>
            </w:r>
            <w:r>
              <w:rPr>
                <w:rFonts w:ascii="仿宋_GB2312" w:hAnsi="仿宋_GB2312" w:cs="仿宋_GB2312" w:eastAsia="仿宋_GB2312"/>
              </w:rPr>
              <w:t xml:space="preserve"> 大型底栖动物调查站位与红树林植被保持一致，共设5个断面15个站位；</w:t>
            </w:r>
            <w:r>
              <w:br/>
            </w:r>
            <w:r>
              <w:rPr>
                <w:rFonts w:ascii="仿宋_GB2312" w:hAnsi="仿宋_GB2312" w:cs="仿宋_GB2312" w:eastAsia="仿宋_GB2312"/>
              </w:rPr>
              <w:t xml:space="preserve"> 采用样线法开展鸟类群落调查，在红树林植被调查断面附近设置鸟类调查样线。</w:t>
            </w:r>
            <w:r>
              <w:br/>
            </w:r>
            <w:r>
              <w:rPr>
                <w:rFonts w:ascii="仿宋_GB2312" w:hAnsi="仿宋_GB2312" w:cs="仿宋_GB2312" w:eastAsia="仿宋_GB2312"/>
              </w:rPr>
              <w:t xml:space="preserve"> ③环境要素</w:t>
            </w:r>
            <w:r>
              <w:br/>
            </w:r>
            <w:r>
              <w:rPr>
                <w:rFonts w:ascii="仿宋_GB2312" w:hAnsi="仿宋_GB2312" w:cs="仿宋_GB2312" w:eastAsia="仿宋_GB2312"/>
              </w:rPr>
              <w:t xml:space="preserve"> 水环境监测断面与红树林植被保持一致，在每个断面的低潮带或潮沟处采集水样；底质环境监测站位与红树林植被保持一致，在每个站位采集表层沉积物样品。</w:t>
            </w:r>
            <w:r>
              <w:br/>
            </w:r>
            <w:r>
              <w:rPr>
                <w:rFonts w:ascii="仿宋_GB2312" w:hAnsi="仿宋_GB2312" w:cs="仿宋_GB2312" w:eastAsia="仿宋_GB2312"/>
              </w:rPr>
              <w:t xml:space="preserve"> ④互花米草面积</w:t>
            </w:r>
            <w:r>
              <w:br/>
            </w:r>
            <w:r>
              <w:rPr>
                <w:rFonts w:ascii="仿宋_GB2312" w:hAnsi="仿宋_GB2312" w:cs="仿宋_GB2312" w:eastAsia="仿宋_GB2312"/>
              </w:rPr>
              <w:t xml:space="preserve"> 互花米草监测站位，共设置4处监测站位。</w:t>
            </w:r>
          </w:p>
          <w:p>
            <w:pPr>
              <w:pStyle w:val="null3"/>
              <w:jc w:val="center"/>
            </w:pPr>
            <w:r>
              <w:rPr>
                <w:rFonts w:ascii="仿宋_GB2312" w:hAnsi="仿宋_GB2312" w:cs="仿宋_GB2312" w:eastAsia="仿宋_GB2312"/>
                <w:b/>
              </w:rPr>
              <w:t>表2自然因素互花米草监测站位位置坐标</w:t>
            </w:r>
          </w:p>
          <w:tbl>
            <w:tblPr>
              <w:tblBorders>
                <w:top w:val="none" w:color="000000" w:sz="4"/>
                <w:left w:val="none" w:color="000000" w:sz="4"/>
                <w:bottom w:val="none" w:color="000000" w:sz="4"/>
                <w:right w:val="none" w:color="000000" w:sz="4"/>
                <w:insideH w:val="none"/>
                <w:insideV w:val="none"/>
              </w:tblBorders>
            </w:tblPr>
            <w:tblGrid>
              <w:gridCol w:w="481"/>
              <w:gridCol w:w="982"/>
              <w:gridCol w:w="1078"/>
            </w:tblGrid>
            <w:tr>
              <w:tc>
                <w:tcPr>
                  <w:tcW w:type="dxa" w:w="4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98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经度E（°  ′  ″）</w:t>
                  </w:r>
                </w:p>
              </w:tc>
              <w:tc>
                <w:tcPr>
                  <w:tcW w:type="dxa" w:w="10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纬度N（°  ′  ″）</w:t>
                  </w:r>
                </w:p>
              </w:tc>
            </w:tr>
            <w:tr>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9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110°32′16.728″</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20°00′31.073″</w:t>
                  </w:r>
                </w:p>
              </w:tc>
            </w:tr>
            <w:tr>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9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110°35′25.160″</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19°57′07.226″</w:t>
                  </w:r>
                </w:p>
              </w:tc>
            </w:tr>
            <w:tr>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9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110°37′05.074″</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19°58′01.425″</w:t>
                  </w:r>
                </w:p>
              </w:tc>
            </w:tr>
            <w:tr>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9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110°34′00.627″</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19°59′02.547″</w:t>
                  </w:r>
                </w:p>
              </w:tc>
            </w:tr>
            <w:tr>
              <w:tc>
                <w:tcPr>
                  <w:tcW w:type="dxa" w:w="2541"/>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备注：经业主同意确认，调查站位可视实际情况适当调整。</w:t>
                  </w:r>
                </w:p>
              </w:tc>
            </w:tr>
          </w:tbl>
          <w:p>
            <w:pPr>
              <w:pStyle w:val="null3"/>
              <w:jc w:val="left"/>
            </w:pPr>
            <w:r>
              <w:rPr>
                <w:rFonts w:ascii="仿宋_GB2312" w:hAnsi="仿宋_GB2312" w:cs="仿宋_GB2312" w:eastAsia="仿宋_GB2312"/>
              </w:rPr>
              <w:t>⑤外来红树植物</w:t>
            </w:r>
            <w:r>
              <w:br/>
            </w:r>
            <w:r>
              <w:rPr>
                <w:rFonts w:ascii="仿宋_GB2312" w:hAnsi="仿宋_GB2312" w:cs="仿宋_GB2312" w:eastAsia="仿宋_GB2312"/>
              </w:rPr>
              <w:t xml:space="preserve"> 外来红树植物监测站位，共设置6处监测站位。</w:t>
            </w:r>
          </w:p>
          <w:p>
            <w:pPr>
              <w:pStyle w:val="null3"/>
              <w:jc w:val="center"/>
            </w:pPr>
            <w:r>
              <w:rPr>
                <w:rFonts w:ascii="仿宋_GB2312" w:hAnsi="仿宋_GB2312" w:cs="仿宋_GB2312" w:eastAsia="仿宋_GB2312"/>
                <w:b/>
              </w:rPr>
              <w:t>表3 自然因素外来红树植物监测站位位置坐标</w:t>
            </w:r>
          </w:p>
          <w:tbl>
            <w:tblPr>
              <w:tblInd w:type="dxa" w:w="435"/>
              <w:tblBorders>
                <w:top w:val="none" w:color="000000" w:sz="4"/>
                <w:left w:val="none" w:color="000000" w:sz="4"/>
                <w:bottom w:val="none" w:color="000000" w:sz="4"/>
                <w:right w:val="none" w:color="000000" w:sz="4"/>
                <w:insideH w:val="none"/>
                <w:insideV w:val="none"/>
              </w:tblBorders>
            </w:tblPr>
            <w:tblGrid>
              <w:gridCol w:w="493"/>
              <w:gridCol w:w="967"/>
              <w:gridCol w:w="1082"/>
            </w:tblGrid>
            <w:tr>
              <w:tc>
                <w:tcPr>
                  <w:tcW w:type="dxa" w:w="4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9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经度E（°  ′  ″）</w:t>
                  </w:r>
                </w:p>
              </w:tc>
              <w:tc>
                <w:tcPr>
                  <w:tcW w:type="dxa" w:w="108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纬度N（°  ′  ″）</w:t>
                  </w:r>
                </w:p>
              </w:tc>
            </w:tr>
            <w:tr>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110°32′21.294″</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19°59′24.483″</w:t>
                  </w:r>
                </w:p>
              </w:tc>
            </w:tr>
            <w:tr>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110°32′41.349″</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19°58′38.728″</w:t>
                  </w:r>
                </w:p>
              </w:tc>
            </w:tr>
            <w:tr>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110°37′09.495″</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19°58′05.218″</w:t>
                  </w:r>
                </w:p>
              </w:tc>
            </w:tr>
            <w:tr>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110°37′05.719″</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19°57′40.898″</w:t>
                  </w:r>
                </w:p>
              </w:tc>
            </w:tr>
            <w:tr>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110°35′22.159″</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19°57′09.531″</w:t>
                  </w:r>
                </w:p>
              </w:tc>
            </w:tr>
            <w:tr>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110°34′57.672″</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19°58′06.192″</w:t>
                  </w:r>
                </w:p>
              </w:tc>
            </w:tr>
            <w:tr>
              <w:tc>
                <w:tcPr>
                  <w:tcW w:type="dxa" w:w="2542"/>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备注：经业主同意确认，调查站位可视实际情况适当调整。</w:t>
                  </w:r>
                </w:p>
              </w:tc>
            </w:tr>
          </w:tbl>
          <w:p>
            <w:pPr>
              <w:pStyle w:val="null3"/>
              <w:jc w:val="left"/>
            </w:pPr>
            <w:r>
              <w:rPr>
                <w:rFonts w:ascii="仿宋_GB2312" w:hAnsi="仿宋_GB2312" w:cs="仿宋_GB2312" w:eastAsia="仿宋_GB2312"/>
              </w:rPr>
              <w:t>⑥有害藤本与病虫害</w:t>
            </w:r>
            <w:r>
              <w:br/>
            </w:r>
            <w:r>
              <w:rPr>
                <w:rFonts w:ascii="仿宋_GB2312" w:hAnsi="仿宋_GB2312" w:cs="仿宋_GB2312" w:eastAsia="仿宋_GB2312"/>
              </w:rPr>
              <w:t xml:space="preserve"> 自然因素有害藤本与病虫害，共设置7个监测站。</w:t>
            </w:r>
          </w:p>
          <w:p>
            <w:pPr>
              <w:pStyle w:val="null3"/>
              <w:jc w:val="center"/>
            </w:pPr>
            <w:r>
              <w:rPr>
                <w:rFonts w:ascii="仿宋_GB2312" w:hAnsi="仿宋_GB2312" w:cs="仿宋_GB2312" w:eastAsia="仿宋_GB2312"/>
                <w:b/>
              </w:rPr>
              <w:t>表4 自然因素有害藤本与病虫害监测站位位置坐标</w:t>
            </w:r>
          </w:p>
          <w:tbl>
            <w:tblPr>
              <w:tblInd w:type="dxa" w:w="435"/>
              <w:tblBorders>
                <w:top w:val="none" w:color="000000" w:sz="4"/>
                <w:left w:val="none" w:color="000000" w:sz="4"/>
                <w:bottom w:val="none" w:color="000000" w:sz="4"/>
                <w:right w:val="none" w:color="000000" w:sz="4"/>
                <w:insideH w:val="none"/>
                <w:insideV w:val="none"/>
              </w:tblBorders>
            </w:tblPr>
            <w:tblGrid>
              <w:gridCol w:w="493"/>
              <w:gridCol w:w="1082"/>
              <w:gridCol w:w="972"/>
            </w:tblGrid>
            <w:tr>
              <w:tc>
                <w:tcPr>
                  <w:tcW w:type="dxa" w:w="4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108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经度E（°  ′  ″）</w:t>
                  </w:r>
                </w:p>
              </w:tc>
              <w:tc>
                <w:tcPr>
                  <w:tcW w:type="dxa" w:w="9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纬度N（°  ′  ″）</w:t>
                  </w:r>
                </w:p>
              </w:tc>
            </w:tr>
            <w:tr>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110°32′36.556″</w:t>
                  </w:r>
                </w:p>
              </w:tc>
              <w:tc>
                <w:tcPr>
                  <w:tcW w:type="dxa" w:w="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19°59′52.855″</w:t>
                  </w:r>
                </w:p>
              </w:tc>
            </w:tr>
            <w:tr>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110°33′37.861″</w:t>
                  </w:r>
                </w:p>
              </w:tc>
              <w:tc>
                <w:tcPr>
                  <w:tcW w:type="dxa" w:w="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19°58′35.921″</w:t>
                  </w:r>
                </w:p>
              </w:tc>
            </w:tr>
            <w:tr>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110°34′36.497″</w:t>
                  </w:r>
                </w:p>
              </w:tc>
              <w:tc>
                <w:tcPr>
                  <w:tcW w:type="dxa" w:w="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19°57′01.549″</w:t>
                  </w:r>
                </w:p>
              </w:tc>
            </w:tr>
            <w:tr>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110°35′24.622″</w:t>
                  </w:r>
                </w:p>
              </w:tc>
              <w:tc>
                <w:tcPr>
                  <w:tcW w:type="dxa" w:w="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19°56′23.050″</w:t>
                  </w:r>
                </w:p>
              </w:tc>
            </w:tr>
            <w:tr>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110°37′51.156″</w:t>
                  </w:r>
                </w:p>
              </w:tc>
              <w:tc>
                <w:tcPr>
                  <w:tcW w:type="dxa" w:w="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19°55′49.452″</w:t>
                  </w:r>
                </w:p>
              </w:tc>
            </w:tr>
            <w:tr>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110°37′13.850″</w:t>
                  </w:r>
                </w:p>
              </w:tc>
              <w:tc>
                <w:tcPr>
                  <w:tcW w:type="dxa" w:w="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19°55′26.133″</w:t>
                  </w:r>
                </w:p>
              </w:tc>
            </w:tr>
            <w:tr>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110°36′17.387″</w:t>
                  </w:r>
                </w:p>
              </w:tc>
              <w:tc>
                <w:tcPr>
                  <w:tcW w:type="dxa" w:w="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19°53′58.853″</w:t>
                  </w:r>
                </w:p>
              </w:tc>
            </w:tr>
            <w:tr>
              <w:tc>
                <w:tcPr>
                  <w:tcW w:type="dxa" w:w="254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备注：经业主同意确认，调查站位可视实际情况适当调整。</w:t>
                  </w:r>
                </w:p>
              </w:tc>
            </w:tr>
          </w:tbl>
          <w:p>
            <w:pPr>
              <w:pStyle w:val="null3"/>
              <w:jc w:val="left"/>
            </w:pPr>
            <w:r>
              <w:rPr>
                <w:rFonts w:ascii="仿宋_GB2312" w:hAnsi="仿宋_GB2312" w:cs="仿宋_GB2312" w:eastAsia="仿宋_GB2312"/>
              </w:rPr>
              <w:t>⑦岸滩侵蚀</w:t>
            </w:r>
            <w:r>
              <w:br/>
            </w:r>
            <w:r>
              <w:rPr>
                <w:rFonts w:ascii="仿宋_GB2312" w:hAnsi="仿宋_GB2312" w:cs="仿宋_GB2312" w:eastAsia="仿宋_GB2312"/>
              </w:rPr>
              <w:t xml:space="preserve"> 岸滩侵蚀区域及侵蚀长度共设置6个站位。同时，记录监测区域其他人为活动干扰情况。</w:t>
            </w:r>
          </w:p>
          <w:p>
            <w:pPr>
              <w:pStyle w:val="null3"/>
              <w:jc w:val="center"/>
            </w:pPr>
            <w:r>
              <w:rPr>
                <w:rFonts w:ascii="仿宋_GB2312" w:hAnsi="仿宋_GB2312" w:cs="仿宋_GB2312" w:eastAsia="仿宋_GB2312"/>
                <w:b/>
              </w:rPr>
              <w:t>表5 岸滩侵蚀监测站位位置坐标</w:t>
            </w:r>
          </w:p>
          <w:tbl>
            <w:tblPr>
              <w:tblInd w:type="dxa" w:w="435"/>
              <w:tblBorders>
                <w:top w:val="none" w:color="000000" w:sz="4"/>
                <w:left w:val="none" w:color="000000" w:sz="4"/>
                <w:bottom w:val="none" w:color="000000" w:sz="4"/>
                <w:right w:val="none" w:color="000000" w:sz="4"/>
                <w:insideH w:val="none"/>
                <w:insideV w:val="none"/>
              </w:tblBorders>
            </w:tblPr>
            <w:tblGrid>
              <w:gridCol w:w="493"/>
              <w:gridCol w:w="967"/>
              <w:gridCol w:w="1082"/>
            </w:tblGrid>
            <w:tr>
              <w:tc>
                <w:tcPr>
                  <w:tcW w:type="dxa" w:w="4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9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经度E（°  ′  ″）</w:t>
                  </w:r>
                </w:p>
              </w:tc>
              <w:tc>
                <w:tcPr>
                  <w:tcW w:type="dxa" w:w="108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纬度N（°  ′  ″）</w:t>
                  </w:r>
                </w:p>
              </w:tc>
            </w:tr>
            <w:tr>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110°32′14.763″</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20°00′25.050″</w:t>
                  </w:r>
                </w:p>
              </w:tc>
            </w:tr>
            <w:tr>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110°32′56.149″</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19°57′52.906″</w:t>
                  </w:r>
                </w:p>
              </w:tc>
            </w:tr>
            <w:tr>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110°33′58.710″</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19°59′47.334″</w:t>
                  </w:r>
                </w:p>
              </w:tc>
            </w:tr>
            <w:tr>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110°34′53.197″</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19°57′23.598″</w:t>
                  </w:r>
                </w:p>
              </w:tc>
            </w:tr>
            <w:tr>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110°35′55.304″</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19°55′55.700″</w:t>
                  </w:r>
                </w:p>
              </w:tc>
            </w:tr>
            <w:tr>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110°36′50.570″</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19°55′23.299″</w:t>
                  </w:r>
                </w:p>
              </w:tc>
            </w:tr>
            <w:tr>
              <w:tc>
                <w:tcPr>
                  <w:tcW w:type="dxa" w:w="2542"/>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备注：经业主同意确认，调查站位可视实际情况适当调整。</w:t>
                  </w:r>
                </w:p>
              </w:tc>
            </w:tr>
          </w:tbl>
          <w:p>
            <w:pPr>
              <w:pStyle w:val="null3"/>
              <w:jc w:val="left"/>
            </w:pPr>
            <w:r>
              <w:rPr>
                <w:rFonts w:ascii="仿宋_GB2312" w:hAnsi="仿宋_GB2312" w:cs="仿宋_GB2312" w:eastAsia="仿宋_GB2312"/>
              </w:rPr>
              <w:t>（4）监测与评估方法</w:t>
            </w:r>
            <w:r>
              <w:br/>
            </w:r>
            <w:r>
              <w:rPr>
                <w:rFonts w:ascii="仿宋_GB2312" w:hAnsi="仿宋_GB2312" w:cs="仿宋_GB2312" w:eastAsia="仿宋_GB2312"/>
              </w:rPr>
              <w:t xml:space="preserve"> 按照《海岸带生态系统现状调查与评估技术导则 第3部分：红树林》(HY/T 0460.3-2024)和《红树林生态系统监测、评价与预警技术规程》（试行 2024）等有关规定执行，项目实施过程中如有最新的技术规范则参照执行。</w:t>
            </w:r>
            <w:r>
              <w:br/>
            </w:r>
            <w:r>
              <w:rPr>
                <w:rFonts w:ascii="仿宋_GB2312" w:hAnsi="仿宋_GB2312" w:cs="仿宋_GB2312" w:eastAsia="仿宋_GB2312"/>
              </w:rPr>
              <w:t xml:space="preserve"> （5）监测时间和频率</w:t>
            </w:r>
            <w:r>
              <w:br/>
            </w:r>
            <w:r>
              <w:rPr>
                <w:rFonts w:ascii="仿宋_GB2312" w:hAnsi="仿宋_GB2312" w:cs="仿宋_GB2312" w:eastAsia="仿宋_GB2312"/>
              </w:rPr>
              <w:t xml:space="preserve"> 植被群落、病虫害、沉积物粒度及岸滩侵蚀等每年至少开展1次监测；</w:t>
            </w:r>
            <w:r>
              <w:br/>
            </w:r>
            <w:r>
              <w:rPr>
                <w:rFonts w:ascii="仿宋_GB2312" w:hAnsi="仿宋_GB2312" w:cs="仿宋_GB2312" w:eastAsia="仿宋_GB2312"/>
              </w:rPr>
              <w:t xml:space="preserve"> 大型底栖动物每年在春季和秋季各开展1次监测；</w:t>
            </w:r>
            <w:r>
              <w:br/>
            </w:r>
            <w:r>
              <w:rPr>
                <w:rFonts w:ascii="仿宋_GB2312" w:hAnsi="仿宋_GB2312" w:cs="仿宋_GB2312" w:eastAsia="仿宋_GB2312"/>
              </w:rPr>
              <w:t xml:space="preserve"> 鸟类每年开展候鸟季和非候鸟季的监测；</w:t>
            </w:r>
            <w:r>
              <w:br/>
            </w:r>
            <w:r>
              <w:rPr>
                <w:rFonts w:ascii="仿宋_GB2312" w:hAnsi="仿宋_GB2312" w:cs="仿宋_GB2312" w:eastAsia="仿宋_GB2312"/>
              </w:rPr>
              <w:t xml:space="preserve"> 水体盐度宜采用浅水型温盐深仪（CTD）开展长期监测，或用盐度计法测定冬季大潮高潮时的水体盐度；</w:t>
            </w:r>
            <w:r>
              <w:br/>
            </w:r>
            <w:r>
              <w:rPr>
                <w:rFonts w:ascii="仿宋_GB2312" w:hAnsi="仿宋_GB2312" w:cs="仿宋_GB2312" w:eastAsia="仿宋_GB2312"/>
              </w:rPr>
              <w:t xml:space="preserve"> 当监测过程发现警情时，应加密相关指标监测。</w:t>
            </w:r>
            <w:r>
              <w:br/>
            </w:r>
            <w:r>
              <w:rPr>
                <w:rFonts w:ascii="仿宋_GB2312" w:hAnsi="仿宋_GB2312" w:cs="仿宋_GB2312" w:eastAsia="仿宋_GB2312"/>
              </w:rPr>
              <w:t xml:space="preserve"> （6）质量控制</w:t>
            </w:r>
            <w:r>
              <w:br/>
            </w:r>
            <w:r>
              <w:rPr>
                <w:rFonts w:ascii="仿宋_GB2312" w:hAnsi="仿宋_GB2312" w:cs="仿宋_GB2312" w:eastAsia="仿宋_GB2312"/>
              </w:rPr>
              <w:t xml:space="preserve"> ①在开展调查前，编制任务质量控制方案，或任务实施方案中应包含明确的质量控制内容，方案应包括仪器设备、人员、标准物质、样品采集、储存、运输、检测方法、实验室分析、遥感解译质控、数据审核等质量保证措施。</w:t>
            </w:r>
            <w:r>
              <w:br/>
            </w:r>
            <w:r>
              <w:rPr>
                <w:rFonts w:ascii="仿宋_GB2312" w:hAnsi="仿宋_GB2312" w:cs="仿宋_GB2312" w:eastAsia="仿宋_GB2312"/>
              </w:rPr>
              <w:t xml:space="preserve"> ②水体环境、沉积物、生态、生物样品的采集（预处理）、储存、运输应严格按《海洋监测规范》（GB 17378-2007）和《海洋调查规范》（GB/T 12763-2007）等相关要求执行，制定可实施的实验室分析质量控制计划。</w:t>
            </w:r>
            <w:r>
              <w:br/>
            </w:r>
            <w:r>
              <w:rPr>
                <w:rFonts w:ascii="仿宋_GB2312" w:hAnsi="仿宋_GB2312" w:cs="仿宋_GB2312" w:eastAsia="仿宋_GB2312"/>
              </w:rPr>
              <w:t xml:space="preserve"> ③根据采购人工作安排，参加相关质量监督检查和外控样考核。</w:t>
            </w:r>
            <w:r>
              <w:br/>
            </w:r>
            <w:r>
              <w:rPr>
                <w:rFonts w:ascii="仿宋_GB2312" w:hAnsi="仿宋_GB2312" w:cs="仿宋_GB2312" w:eastAsia="仿宋_GB2312"/>
              </w:rPr>
              <w:t xml:space="preserve"> ④所有出具的检测报告必须加盖CMA章。</w:t>
            </w:r>
            <w:r>
              <w:br/>
            </w:r>
            <w:r>
              <w:rPr>
                <w:rFonts w:ascii="仿宋_GB2312" w:hAnsi="仿宋_GB2312" w:cs="仿宋_GB2312" w:eastAsia="仿宋_GB2312"/>
              </w:rPr>
              <w:t xml:space="preserve"> ⑤因不可抗力因素影响，导致实际监测开展情况与方案要求不符，包括监测站位调整、时间变更等，应详细说明理由并经采购人报批确认。</w:t>
            </w:r>
            <w:r>
              <w:br/>
            </w:r>
            <w:r>
              <w:rPr>
                <w:rFonts w:ascii="仿宋_GB2312" w:hAnsi="仿宋_GB2312" w:cs="仿宋_GB2312" w:eastAsia="仿宋_GB2312"/>
              </w:rPr>
              <w:t xml:space="preserve"> （7）成果提交</w:t>
            </w:r>
            <w:r>
              <w:br/>
            </w:r>
            <w:r>
              <w:rPr>
                <w:rFonts w:ascii="仿宋_GB2312" w:hAnsi="仿宋_GB2312" w:cs="仿宋_GB2312" w:eastAsia="仿宋_GB2312"/>
              </w:rPr>
              <w:t xml:space="preserve"> 合同签订后10个工作日内，中标方向采购人提交项目实施方案。</w:t>
            </w:r>
            <w:r>
              <w:br/>
            </w:r>
            <w:r>
              <w:rPr>
                <w:rFonts w:ascii="仿宋_GB2312" w:hAnsi="仿宋_GB2312" w:cs="仿宋_GB2312" w:eastAsia="仿宋_GB2312"/>
              </w:rPr>
              <w:t xml:space="preserve"> 2025年11月30日前提交《2025年海南东寨港国家级自然保护区红树林生态系统预警监测评估报告》《2025年海南东寨港国家级自然保护区红树林生态系统预警报告》、红树林生态图集、预警监测数据集、现场照片、短视频、调查数量矢量化等。</w:t>
            </w:r>
            <w:r>
              <w:br/>
            </w:r>
            <w:r>
              <w:rPr>
                <w:rFonts w:ascii="仿宋_GB2312" w:hAnsi="仿宋_GB2312" w:cs="仿宋_GB2312" w:eastAsia="仿宋_GB2312"/>
              </w:rPr>
              <w:t xml:space="preserve"> 2、技术、服务人员要求：</w:t>
            </w:r>
            <w:r>
              <w:br/>
            </w:r>
            <w:r>
              <w:rPr>
                <w:rFonts w:ascii="仿宋_GB2312" w:hAnsi="仿宋_GB2312" w:cs="仿宋_GB2312" w:eastAsia="仿宋_GB2312"/>
              </w:rPr>
              <w:t xml:space="preserve"> （1）本项目的项目负责人需具有海洋相关专业副高级（含）以上职称，项目组成员为承担单位固定成员，项目组成员不低于10人，且专业必须涵盖海洋生物生态、海洋化学等、测绘等相关领域。项目负责人须是该项目实施全过程的真正组织者和指导者，担负实质性工作，挂名或不担负实质性工作的人员不得作为项目负责人参与本项工作。</w:t>
            </w:r>
            <w:r>
              <w:br/>
            </w:r>
            <w:r>
              <w:rPr>
                <w:rFonts w:ascii="仿宋_GB2312" w:hAnsi="仿宋_GB2312" w:cs="仿宋_GB2312" w:eastAsia="仿宋_GB2312"/>
              </w:rPr>
              <w:t xml:space="preserve"> （2）为使项目按质、按量、按时及有序实施，中标人应建立完善、稳定的项目团队、内部组织管理方式及协调机制，支撑保障要求及其他相关要求。中标人应承诺做好项目研究的过程管理，做到全面、科学、合理的规划，保证投入项目的人员组织科学、充足，项目的进度计划合理、可行，项目各阶段的跟踪管理和质量保障措施完善。</w:t>
            </w:r>
            <w:r>
              <w:br/>
            </w:r>
            <w:r>
              <w:rPr>
                <w:rFonts w:ascii="仿宋_GB2312" w:hAnsi="仿宋_GB2312" w:cs="仿宋_GB2312" w:eastAsia="仿宋_GB2312"/>
              </w:rPr>
              <w:t xml:space="preserve"> 3、其他要求：</w:t>
            </w:r>
            <w:r>
              <w:br/>
            </w:r>
            <w:r>
              <w:rPr>
                <w:rFonts w:ascii="仿宋_GB2312" w:hAnsi="仿宋_GB2312" w:cs="仿宋_GB2312" w:eastAsia="仿宋_GB2312"/>
              </w:rPr>
              <w:t xml:space="preserve"> 在调查方法中，投标方需明确充分利用特别国债海南省海洋灾害综合防治能力建设项目设备和数据的途径。</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标的名称：D包河口、海湾、砂质海岸生态系统预警监测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1、服务内容和标准：</w:t>
            </w:r>
            <w:r>
              <w:br/>
            </w:r>
            <w:r>
              <w:rPr>
                <w:rFonts w:ascii="仿宋_GB2312" w:hAnsi="仿宋_GB2312" w:cs="仿宋_GB2312" w:eastAsia="仿宋_GB2312"/>
                <w:b/>
              </w:rPr>
              <w:t>（一）南渡江口生态系统预警监测</w:t>
            </w:r>
            <w:r>
              <w:br/>
            </w:r>
            <w:r>
              <w:rPr>
                <w:rFonts w:ascii="仿宋_GB2312" w:hAnsi="仿宋_GB2312" w:cs="仿宋_GB2312" w:eastAsia="仿宋_GB2312"/>
              </w:rPr>
              <w:t xml:space="preserve"> （1）监测范围</w:t>
            </w:r>
            <w:r>
              <w:br/>
            </w:r>
            <w:r>
              <w:rPr>
                <w:rFonts w:ascii="仿宋_GB2312" w:hAnsi="仿宋_GB2312" w:cs="仿宋_GB2312" w:eastAsia="仿宋_GB2312"/>
              </w:rPr>
              <w:t xml:space="preserve"> 南渡江口15m水深周边海域至主河道上游麻余村周边水域，包含海甸溪和横沟河水域。</w:t>
            </w:r>
            <w:r>
              <w:br/>
            </w:r>
            <w:r>
              <w:rPr>
                <w:rFonts w:ascii="仿宋_GB2312" w:hAnsi="仿宋_GB2312" w:cs="仿宋_GB2312" w:eastAsia="仿宋_GB2312"/>
              </w:rPr>
              <w:t xml:space="preserve"> （2）监测内容</w:t>
            </w:r>
            <w:r>
              <w:br/>
            </w:r>
            <w:r>
              <w:rPr>
                <w:rFonts w:ascii="仿宋_GB2312" w:hAnsi="仿宋_GB2312" w:cs="仿宋_GB2312" w:eastAsia="仿宋_GB2312"/>
              </w:rPr>
              <w:t xml:space="preserve"> 对南渡江口开展生态系统预警监测，具体监测内容及要素见表1。</w:t>
            </w:r>
          </w:p>
          <w:p>
            <w:pPr>
              <w:pStyle w:val="null3"/>
              <w:jc w:val="center"/>
            </w:pPr>
            <w:r>
              <w:rPr>
                <w:rFonts w:ascii="仿宋_GB2312" w:hAnsi="仿宋_GB2312" w:cs="仿宋_GB2312" w:eastAsia="仿宋_GB2312"/>
                <w:b/>
              </w:rPr>
              <w:t>表1南渡江口生态系统预警监测内容及要素</w:t>
            </w:r>
          </w:p>
          <w:tbl>
            <w:tblPr>
              <w:tblBorders>
                <w:top w:val="none" w:color="000000" w:sz="4"/>
                <w:left w:val="none" w:color="000000" w:sz="4"/>
                <w:bottom w:val="none" w:color="000000" w:sz="4"/>
                <w:right w:val="none" w:color="000000" w:sz="4"/>
                <w:insideH w:val="none"/>
                <w:insideV w:val="none"/>
              </w:tblBorders>
            </w:tblPr>
            <w:tblGrid>
              <w:gridCol w:w="525"/>
              <w:gridCol w:w="2022"/>
            </w:tblGrid>
            <w:tr>
              <w:tc>
                <w:tcPr>
                  <w:tcW w:type="dxa" w:w="5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监测</w:t>
                  </w:r>
                  <w:r>
                    <w:rPr>
                      <w:rFonts w:ascii="仿宋_GB2312" w:hAnsi="仿宋_GB2312" w:cs="仿宋_GB2312" w:eastAsia="仿宋_GB2312"/>
                      <w:sz w:val="21"/>
                      <w:b/>
                    </w:rPr>
                    <w:t>内容</w:t>
                  </w:r>
                </w:p>
              </w:tc>
              <w:tc>
                <w:tcPr>
                  <w:tcW w:type="dxa" w:w="20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监测</w:t>
                  </w:r>
                  <w:r>
                    <w:rPr>
                      <w:rFonts w:ascii="仿宋_GB2312" w:hAnsi="仿宋_GB2312" w:cs="仿宋_GB2312" w:eastAsia="仿宋_GB2312"/>
                      <w:sz w:val="21"/>
                      <w:b/>
                    </w:rPr>
                    <w:t>要素</w:t>
                  </w:r>
                </w:p>
              </w:tc>
            </w:tr>
            <w:tr>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物理组分</w:t>
                  </w: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岸滩蚀淤、湿地的类型与面积、潮沟形态及分布、水深、水温、盐度、透明度</w:t>
                  </w:r>
                  <w:r>
                    <w:rPr>
                      <w:rFonts w:ascii="仿宋_GB2312" w:hAnsi="仿宋_GB2312" w:cs="仿宋_GB2312" w:eastAsia="仿宋_GB2312"/>
                      <w:sz w:val="21"/>
                    </w:rPr>
                    <w:t>、</w:t>
                  </w:r>
                  <w:r>
                    <w:rPr>
                      <w:rFonts w:ascii="仿宋_GB2312" w:hAnsi="仿宋_GB2312" w:cs="仿宋_GB2312" w:eastAsia="仿宋_GB2312"/>
                      <w:sz w:val="21"/>
                    </w:rPr>
                    <w:t>悬浮物</w:t>
                  </w:r>
                  <w:r>
                    <w:rPr>
                      <w:rFonts w:ascii="仿宋_GB2312" w:hAnsi="仿宋_GB2312" w:cs="仿宋_GB2312" w:eastAsia="仿宋_GB2312"/>
                      <w:sz w:val="21"/>
                    </w:rPr>
                    <w:t>、</w:t>
                  </w:r>
                  <w:r>
                    <w:rPr>
                      <w:rFonts w:ascii="仿宋_GB2312" w:hAnsi="仿宋_GB2312" w:cs="仿宋_GB2312" w:eastAsia="仿宋_GB2312"/>
                      <w:sz w:val="21"/>
                    </w:rPr>
                    <w:t>沉积物粒度</w:t>
                  </w:r>
                  <w:r>
                    <w:rPr>
                      <w:rFonts w:ascii="仿宋_GB2312" w:hAnsi="仿宋_GB2312" w:cs="仿宋_GB2312" w:eastAsia="仿宋_GB2312"/>
                      <w:sz w:val="21"/>
                    </w:rPr>
                    <w:t>、</w:t>
                  </w:r>
                  <w:r>
                    <w:rPr>
                      <w:rFonts w:ascii="仿宋_GB2312" w:hAnsi="仿宋_GB2312" w:cs="仿宋_GB2312" w:eastAsia="仿宋_GB2312"/>
                      <w:sz w:val="21"/>
                    </w:rPr>
                    <w:t>沉积物</w:t>
                  </w:r>
                  <w:r>
                    <w:rPr>
                      <w:rFonts w:ascii="仿宋_GB2312" w:hAnsi="仿宋_GB2312" w:cs="仿宋_GB2312" w:eastAsia="仿宋_GB2312"/>
                      <w:sz w:val="21"/>
                    </w:rPr>
                    <w:t>氧化还原电位</w:t>
                  </w:r>
                </w:p>
              </w:tc>
            </w:tr>
            <w:tr>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化学组分</w:t>
                  </w:r>
                </w:p>
                <w:p>
                  <w:pPr>
                    <w:pStyle w:val="null3"/>
                    <w:jc w:val="center"/>
                  </w:pPr>
                  <w:r>
                    <w:rPr>
                      <w:rFonts w:ascii="仿宋_GB2312" w:hAnsi="仿宋_GB2312" w:cs="仿宋_GB2312" w:eastAsia="仿宋_GB2312"/>
                      <w:sz w:val="21"/>
                    </w:rPr>
                    <w:t>（海水）</w:t>
                  </w: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pH</w:t>
                  </w:r>
                  <w:r>
                    <w:rPr>
                      <w:rFonts w:ascii="仿宋_GB2312" w:hAnsi="仿宋_GB2312" w:cs="仿宋_GB2312" w:eastAsia="仿宋_GB2312"/>
                      <w:sz w:val="21"/>
                    </w:rPr>
                    <w:t>、无机氮、活性磷酸盐、化学需氧量、溶解氧、活性硅酸盐、</w:t>
                  </w:r>
                </w:p>
              </w:tc>
            </w:tr>
            <w:tr>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化学组分</w:t>
                  </w:r>
                </w:p>
                <w:p>
                  <w:pPr>
                    <w:pStyle w:val="null3"/>
                    <w:jc w:val="center"/>
                  </w:pPr>
                  <w:r>
                    <w:rPr>
                      <w:rFonts w:ascii="仿宋_GB2312" w:hAnsi="仿宋_GB2312" w:cs="仿宋_GB2312" w:eastAsia="仿宋_GB2312"/>
                      <w:sz w:val="21"/>
                    </w:rPr>
                    <w:t>（沉积物）</w:t>
                  </w: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油类</w:t>
                  </w:r>
                </w:p>
              </w:tc>
            </w:tr>
            <w:tr>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生物组分</w:t>
                  </w: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湿地鸟类与动物、湿地植被与外来生物、叶绿素</w:t>
                  </w:r>
                  <w:r>
                    <w:rPr>
                      <w:rFonts w:ascii="仿宋_GB2312" w:hAnsi="仿宋_GB2312" w:cs="仿宋_GB2312" w:eastAsia="仿宋_GB2312"/>
                      <w:sz w:val="21"/>
                    </w:rPr>
                    <w:t>a</w:t>
                  </w:r>
                  <w:r>
                    <w:rPr>
                      <w:rFonts w:ascii="仿宋_GB2312" w:hAnsi="仿宋_GB2312" w:cs="仿宋_GB2312" w:eastAsia="仿宋_GB2312"/>
                      <w:sz w:val="21"/>
                    </w:rPr>
                    <w:t>、浮游动植物、大型底栖生物、潮间带生物、鱼卵与仔稚鱼、游泳生物</w:t>
                  </w:r>
                </w:p>
              </w:tc>
            </w:tr>
            <w:tr>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人类活动因素</w:t>
                  </w: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涉水构筑物建设情况、入海径流淡水入海量与含沙量等</w:t>
                  </w:r>
                </w:p>
              </w:tc>
            </w:tr>
          </w:tbl>
          <w:p>
            <w:pPr>
              <w:pStyle w:val="null3"/>
              <w:jc w:val="left"/>
            </w:pPr>
            <w:r>
              <w:rPr>
                <w:rFonts w:ascii="仿宋_GB2312" w:hAnsi="仿宋_GB2312" w:cs="仿宋_GB2312" w:eastAsia="仿宋_GB2312"/>
              </w:rPr>
              <w:t>（3）监测站位</w:t>
            </w:r>
            <w:r>
              <w:br/>
            </w:r>
            <w:r>
              <w:rPr>
                <w:rFonts w:ascii="仿宋_GB2312" w:hAnsi="仿宋_GB2312" w:cs="仿宋_GB2312" w:eastAsia="仿宋_GB2312"/>
              </w:rPr>
              <w:t xml:space="preserve"> 监测站位设置满足但不限于以下要求：</w:t>
            </w:r>
            <w:r>
              <w:br/>
            </w:r>
            <w:r>
              <w:rPr>
                <w:rFonts w:ascii="仿宋_GB2312" w:hAnsi="仿宋_GB2312" w:cs="仿宋_GB2312" w:eastAsia="仿宋_GB2312"/>
              </w:rPr>
              <w:t xml:space="preserve"> 在南渡江口布设监测站位9个，开展物理、化学、生物和人类活动因素监测，其中水文气象测定站位和层次与水体环境一致，其他监测要素根据资料收集情况和现场监测实际布设监测站位，见表2。</w:t>
            </w:r>
          </w:p>
          <w:p>
            <w:pPr>
              <w:pStyle w:val="null3"/>
              <w:jc w:val="center"/>
            </w:pPr>
            <w:r>
              <w:rPr>
                <w:rFonts w:ascii="仿宋_GB2312" w:hAnsi="仿宋_GB2312" w:cs="仿宋_GB2312" w:eastAsia="仿宋_GB2312"/>
                <w:b/>
              </w:rPr>
              <w:t>表2南渡江口生态预警监测站位表</w:t>
            </w:r>
          </w:p>
          <w:tbl>
            <w:tblPr>
              <w:tblBorders>
                <w:top w:val="none" w:color="000000" w:sz="4"/>
                <w:left w:val="none" w:color="000000" w:sz="4"/>
                <w:bottom w:val="none" w:color="000000" w:sz="4"/>
                <w:right w:val="none" w:color="000000" w:sz="4"/>
                <w:insideH w:val="none"/>
                <w:insideV w:val="none"/>
              </w:tblBorders>
            </w:tblPr>
            <w:tblGrid>
              <w:gridCol w:w="188"/>
              <w:gridCol w:w="494"/>
              <w:gridCol w:w="449"/>
              <w:gridCol w:w="1002"/>
              <w:gridCol w:w="409"/>
            </w:tblGrid>
            <w:tr>
              <w:tc>
                <w:tcPr>
                  <w:tcW w:type="dxa" w:w="1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站号</w:t>
                  </w:r>
                </w:p>
              </w:tc>
              <w:tc>
                <w:tcPr>
                  <w:tcW w:type="dxa" w:w="4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经度（°E）</w:t>
                  </w:r>
                </w:p>
              </w:tc>
              <w:tc>
                <w:tcPr>
                  <w:tcW w:type="dxa" w:w="44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纬度（°N）</w:t>
                  </w:r>
                </w:p>
              </w:tc>
              <w:tc>
                <w:tcPr>
                  <w:tcW w:type="dxa" w:w="10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监测</w:t>
                  </w:r>
                  <w:r>
                    <w:rPr>
                      <w:rFonts w:ascii="仿宋_GB2312" w:hAnsi="仿宋_GB2312" w:cs="仿宋_GB2312" w:eastAsia="仿宋_GB2312"/>
                      <w:sz w:val="24"/>
                      <w:b/>
                    </w:rPr>
                    <w:t>内容</w:t>
                  </w:r>
                </w:p>
              </w:tc>
              <w:tc>
                <w:tcPr>
                  <w:tcW w:type="dxa" w:w="4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备注</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spacing w:before="105" w:after="105"/>
                    <w:jc w:val="center"/>
                  </w:pP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110.371056</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20.050691</w:t>
                  </w:r>
                </w:p>
              </w:tc>
              <w:tc>
                <w:tcPr>
                  <w:tcW w:type="dxa" w:w="10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水体环境、沉积环境、海洋生物</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南渡江干流</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spacing w:before="105" w:after="105"/>
                    <w:jc w:val="center"/>
                  </w:pP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110.344056</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20.048660</w:t>
                  </w:r>
                </w:p>
              </w:tc>
              <w:tc>
                <w:tcPr>
                  <w:tcW w:type="dxa" w:w="10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水体环境、沉积环境、海洋生物</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海甸溪</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spacing w:before="105" w:after="105"/>
                    <w:jc w:val="center"/>
                  </w:pP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110.351261</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20.067858</w:t>
                  </w:r>
                </w:p>
              </w:tc>
              <w:tc>
                <w:tcPr>
                  <w:tcW w:type="dxa" w:w="10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水体环境、沉积环境、海洋生物</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横沟河</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spacing w:before="105" w:after="105"/>
                    <w:jc w:val="center"/>
                  </w:pP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110.284796</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20.064921</w:t>
                  </w:r>
                </w:p>
              </w:tc>
              <w:tc>
                <w:tcPr>
                  <w:tcW w:type="dxa" w:w="10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水体环境、沉积环境、海洋生物</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5m等深线</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spacing w:before="105" w:after="105"/>
                    <w:jc w:val="center"/>
                  </w:pP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110.335886</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20.086385</w:t>
                  </w:r>
                </w:p>
              </w:tc>
              <w:tc>
                <w:tcPr>
                  <w:tcW w:type="dxa" w:w="10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水体环境、沉积环境、海洋生物</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5m等深线</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spacing w:before="105" w:after="105"/>
                    <w:jc w:val="center"/>
                  </w:pP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110.381699</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20.088420</w:t>
                  </w:r>
                </w:p>
              </w:tc>
              <w:tc>
                <w:tcPr>
                  <w:tcW w:type="dxa" w:w="10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水体环境、沉积环境、海洋生物</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5m等深线</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spacing w:before="105" w:after="105"/>
                    <w:jc w:val="center"/>
                  </w:pP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110.374854</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20.109417</w:t>
                  </w:r>
                </w:p>
              </w:tc>
              <w:tc>
                <w:tcPr>
                  <w:tcW w:type="dxa" w:w="10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水体环境、沉积环境、海洋生物</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10-15m等深线</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spacing w:before="105" w:after="105"/>
                    <w:jc w:val="center"/>
                  </w:pP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110.328290</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20.078515</w:t>
                  </w:r>
                </w:p>
              </w:tc>
              <w:tc>
                <w:tcPr>
                  <w:tcW w:type="dxa" w:w="10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潮间带</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潮间带</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spacing w:before="105" w:after="105"/>
                    <w:jc w:val="center"/>
                  </w:pP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110.377384</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20.048943</w:t>
                  </w:r>
                </w:p>
              </w:tc>
              <w:tc>
                <w:tcPr>
                  <w:tcW w:type="dxa" w:w="10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潮间带</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潮间带（红树林）</w:t>
                  </w:r>
                </w:p>
              </w:tc>
            </w:tr>
            <w:tr>
              <w:tc>
                <w:tcPr>
                  <w:tcW w:type="dxa" w:w="2542"/>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备注：经业主同意确认，调查站位可视实际情况适当调整。</w:t>
                  </w:r>
                </w:p>
              </w:tc>
            </w:tr>
          </w:tbl>
          <w:p>
            <w:pPr>
              <w:pStyle w:val="null3"/>
              <w:jc w:val="left"/>
            </w:pPr>
            <w:r>
              <w:rPr>
                <w:rFonts w:ascii="仿宋_GB2312" w:hAnsi="仿宋_GB2312" w:cs="仿宋_GB2312" w:eastAsia="仿宋_GB2312"/>
              </w:rPr>
              <w:t>（4）监测和评估方法</w:t>
            </w:r>
            <w:r>
              <w:br/>
            </w:r>
            <w:r>
              <w:rPr>
                <w:rFonts w:ascii="仿宋_GB2312" w:hAnsi="仿宋_GB2312" w:cs="仿宋_GB2312" w:eastAsia="仿宋_GB2312"/>
              </w:rPr>
              <w:t xml:space="preserve"> 参照《海岸带生态系统现状调查与评估技术导则 第9部分：河口》（报批稿）海洋监测规范》（GB 17378-2007）《海洋调查规范》（GB/T 12763-2007）《海洋监测技术规程》（HY/T147-2013）等执行，项目实施过程中如有最新的技术规范则参照执行。</w:t>
            </w:r>
            <w:r>
              <w:br/>
            </w:r>
            <w:r>
              <w:rPr>
                <w:rFonts w:ascii="仿宋_GB2312" w:hAnsi="仿宋_GB2312" w:cs="仿宋_GB2312" w:eastAsia="仿宋_GB2312"/>
              </w:rPr>
              <w:t xml:space="preserve"> （5）监测时间和频率</w:t>
            </w:r>
            <w:r>
              <w:br/>
            </w:r>
            <w:r>
              <w:rPr>
                <w:rFonts w:ascii="仿宋_GB2312" w:hAnsi="仿宋_GB2312" w:cs="仿宋_GB2312" w:eastAsia="仿宋_GB2312"/>
              </w:rPr>
              <w:t xml:space="preserve"> 1次/年，于4～10月实施。</w:t>
            </w:r>
            <w:r>
              <w:br/>
            </w:r>
            <w:r>
              <w:rPr>
                <w:rFonts w:ascii="仿宋_GB2312" w:hAnsi="仿宋_GB2312" w:cs="仿宋_GB2312" w:eastAsia="仿宋_GB2312"/>
              </w:rPr>
              <w:t xml:space="preserve"> （6）质量控制</w:t>
            </w:r>
            <w:r>
              <w:br/>
            </w:r>
            <w:r>
              <w:rPr>
                <w:rFonts w:ascii="仿宋_GB2312" w:hAnsi="仿宋_GB2312" w:cs="仿宋_GB2312" w:eastAsia="仿宋_GB2312"/>
              </w:rPr>
              <w:t xml:space="preserve"> ①在开展调查前，按照《全国入海河口生态现状调查质量控制工作方案》编制任务质量控制方案，或任务实施方案中应包含明确的质量控制内容，方案应包括仪器设备、人员、标准物质、样品采集、储存、运输、检测方法、实验室分析、数据审核、评价等质量保证措施。</w:t>
            </w:r>
            <w:r>
              <w:br/>
            </w:r>
            <w:r>
              <w:rPr>
                <w:rFonts w:ascii="仿宋_GB2312" w:hAnsi="仿宋_GB2312" w:cs="仿宋_GB2312" w:eastAsia="仿宋_GB2312"/>
              </w:rPr>
              <w:t xml:space="preserve"> ②水体环境、沉积物、生态、生物样品的采集（预处理）、储存、运输应严格按《海洋监测规范》（GB 17378-2007）和《海洋调查规范》（GB/T 12763-2007）等相关要求执行，制定可实施的实验室分析质量控制计划。</w:t>
            </w:r>
            <w:r>
              <w:br/>
            </w:r>
            <w:r>
              <w:rPr>
                <w:rFonts w:ascii="仿宋_GB2312" w:hAnsi="仿宋_GB2312" w:cs="仿宋_GB2312" w:eastAsia="仿宋_GB2312"/>
              </w:rPr>
              <w:t xml:space="preserve"> ③根据采购人工作安排，参加相关质量监督检查和外控样考核。</w:t>
            </w:r>
            <w:r>
              <w:br/>
            </w:r>
            <w:r>
              <w:rPr>
                <w:rFonts w:ascii="仿宋_GB2312" w:hAnsi="仿宋_GB2312" w:cs="仿宋_GB2312" w:eastAsia="仿宋_GB2312"/>
              </w:rPr>
              <w:t xml:space="preserve"> ④所有出具的检测报告必须加盖CMA章。</w:t>
            </w:r>
            <w:r>
              <w:br/>
            </w:r>
            <w:r>
              <w:rPr>
                <w:rFonts w:ascii="仿宋_GB2312" w:hAnsi="仿宋_GB2312" w:cs="仿宋_GB2312" w:eastAsia="仿宋_GB2312"/>
              </w:rPr>
              <w:t xml:space="preserve"> ⑤因不可抗力因素影响，导致实际监测开展情况与方案要求不符，包括监测站位调整、时间变更等，应详细说明理由并经采购人报批确认。</w:t>
            </w:r>
            <w:r>
              <w:br/>
            </w:r>
            <w:r>
              <w:rPr>
                <w:rFonts w:ascii="仿宋_GB2312" w:hAnsi="仿宋_GB2312" w:cs="仿宋_GB2312" w:eastAsia="仿宋_GB2312"/>
              </w:rPr>
              <w:t xml:space="preserve"> （7）成果提交</w:t>
            </w:r>
            <w:r>
              <w:br/>
            </w:r>
            <w:r>
              <w:rPr>
                <w:rFonts w:ascii="仿宋_GB2312" w:hAnsi="仿宋_GB2312" w:cs="仿宋_GB2312" w:eastAsia="仿宋_GB2312"/>
              </w:rPr>
              <w:t xml:space="preserve"> 合同签订后10个工作日内，中标方向采购人提交项目实施方案。</w:t>
            </w:r>
            <w:r>
              <w:br/>
            </w:r>
            <w:r>
              <w:rPr>
                <w:rFonts w:ascii="仿宋_GB2312" w:hAnsi="仿宋_GB2312" w:cs="仿宋_GB2312" w:eastAsia="仿宋_GB2312"/>
              </w:rPr>
              <w:t xml:space="preserve"> 2025年11月30日前提交《2025年南渡江口生态系统预警监测评估报告》、预警产品、生态图集、生态系统预警监测数据集（包括实验室分析测试数据、遥感数据、现场照片、视频、调查数据矢量化等）。</w:t>
            </w:r>
            <w:r>
              <w:br/>
            </w:r>
            <w:r>
              <w:rPr>
                <w:rFonts w:ascii="仿宋_GB2312" w:hAnsi="仿宋_GB2312" w:cs="仿宋_GB2312" w:eastAsia="仿宋_GB2312"/>
                <w:b/>
              </w:rPr>
              <w:t>（二）三亚湾海湾生态系统预警监测</w:t>
            </w:r>
            <w:r>
              <w:br/>
            </w:r>
            <w:r>
              <w:rPr>
                <w:rFonts w:ascii="仿宋_GB2312" w:hAnsi="仿宋_GB2312" w:cs="仿宋_GB2312" w:eastAsia="仿宋_GB2312"/>
              </w:rPr>
              <w:t xml:space="preserve"> （1）监测范围</w:t>
            </w:r>
            <w:r>
              <w:br/>
            </w:r>
            <w:r>
              <w:rPr>
                <w:rFonts w:ascii="仿宋_GB2312" w:hAnsi="仿宋_GB2312" w:cs="仿宋_GB2312" w:eastAsia="仿宋_GB2312"/>
              </w:rPr>
              <w:t xml:space="preserve"> 调查范围为三亚市鹿回头半岛南端至天涯海角岸段，向海至西岛-东瑁洲周边海域。</w:t>
            </w:r>
            <w:r>
              <w:br/>
            </w:r>
            <w:r>
              <w:rPr>
                <w:rFonts w:ascii="仿宋_GB2312" w:hAnsi="仿宋_GB2312" w:cs="仿宋_GB2312" w:eastAsia="仿宋_GB2312"/>
              </w:rPr>
              <w:t xml:space="preserve"> （2）监测内容</w:t>
            </w:r>
            <w:r>
              <w:br/>
            </w:r>
            <w:r>
              <w:rPr>
                <w:rFonts w:ascii="仿宋_GB2312" w:hAnsi="仿宋_GB2312" w:cs="仿宋_GB2312" w:eastAsia="仿宋_GB2312"/>
              </w:rPr>
              <w:t xml:space="preserve"> 监测内容包括海湾生境、海湾生物和威胁因素等，详见表1。</w:t>
            </w:r>
          </w:p>
          <w:p>
            <w:pPr>
              <w:pStyle w:val="null3"/>
              <w:jc w:val="center"/>
            </w:pPr>
            <w:r>
              <w:rPr>
                <w:rFonts w:ascii="仿宋_GB2312" w:hAnsi="仿宋_GB2312" w:cs="仿宋_GB2312" w:eastAsia="仿宋_GB2312"/>
                <w:b/>
              </w:rPr>
              <w:t>表1海湾生态系统预警监测要素</w:t>
            </w:r>
          </w:p>
          <w:tbl>
            <w:tblPr>
              <w:tblBorders>
                <w:top w:val="none" w:color="000000" w:sz="4"/>
                <w:left w:val="none" w:color="000000" w:sz="4"/>
                <w:bottom w:val="none" w:color="000000" w:sz="4"/>
                <w:right w:val="none" w:color="000000" w:sz="4"/>
                <w:insideH w:val="none"/>
                <w:insideV w:val="none"/>
              </w:tblBorders>
            </w:tblPr>
            <w:tblGrid>
              <w:gridCol w:w="474"/>
              <w:gridCol w:w="545"/>
              <w:gridCol w:w="1529"/>
            </w:tblGrid>
            <w:tr>
              <w:tc>
                <w:tcPr>
                  <w:tcW w:type="dxa" w:w="4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监测</w:t>
                  </w:r>
                  <w:r>
                    <w:rPr>
                      <w:rFonts w:ascii="仿宋_GB2312" w:hAnsi="仿宋_GB2312" w:cs="仿宋_GB2312" w:eastAsia="仿宋_GB2312"/>
                      <w:sz w:val="21"/>
                      <w:b/>
                    </w:rPr>
                    <w:t>内容</w:t>
                  </w:r>
                </w:p>
              </w:tc>
              <w:tc>
                <w:tcPr>
                  <w:tcW w:type="dxa" w:w="5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监测项目</w:t>
                  </w:r>
                </w:p>
              </w:tc>
              <w:tc>
                <w:tcPr>
                  <w:tcW w:type="dxa" w:w="152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监测</w:t>
                  </w:r>
                  <w:r>
                    <w:rPr>
                      <w:rFonts w:ascii="仿宋_GB2312" w:hAnsi="仿宋_GB2312" w:cs="仿宋_GB2312" w:eastAsia="仿宋_GB2312"/>
                      <w:sz w:val="21"/>
                      <w:b/>
                    </w:rPr>
                    <w:t>要素</w:t>
                  </w:r>
                </w:p>
              </w:tc>
            </w:tr>
            <w:tr>
              <w:tc>
                <w:tcPr>
                  <w:tcW w:type="dxa" w:w="47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海湾生境</w:t>
                  </w:r>
                </w:p>
              </w:tc>
              <w:tc>
                <w:tcPr>
                  <w:tcW w:type="dxa" w:w="5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水文气象</w:t>
                  </w:r>
                </w:p>
              </w:tc>
              <w:tc>
                <w:tcPr>
                  <w:tcW w:type="dxa" w:w="1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风向、风速、简易天气现象、水温、水色、水深、透明度、海况</w:t>
                  </w:r>
                </w:p>
              </w:tc>
            </w:tr>
            <w:tr>
              <w:tc>
                <w:tcPr>
                  <w:tcW w:type="dxa" w:w="474"/>
                  <w:vMerge/>
                  <w:tcBorders>
                    <w:top w:val="none" w:color="000000" w:sz="4"/>
                    <w:left w:val="single" w:color="000000" w:sz="4"/>
                    <w:bottom w:val="single" w:color="000000" w:sz="4"/>
                    <w:right w:val="single" w:color="000000" w:sz="4"/>
                  </w:tcBorders>
                </w:tcPr>
                <w:p/>
              </w:tc>
              <w:tc>
                <w:tcPr>
                  <w:tcW w:type="dxa" w:w="5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地形地貌</w:t>
                  </w:r>
                </w:p>
              </w:tc>
              <w:tc>
                <w:tcPr>
                  <w:tcW w:type="dxa" w:w="1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自然岸线类型与长度</w:t>
                  </w:r>
                </w:p>
              </w:tc>
            </w:tr>
            <w:tr>
              <w:tc>
                <w:tcPr>
                  <w:tcW w:type="dxa" w:w="474"/>
                  <w:vMerge/>
                  <w:tcBorders>
                    <w:top w:val="none" w:color="000000" w:sz="4"/>
                    <w:left w:val="single" w:color="000000" w:sz="4"/>
                    <w:bottom w:val="single" w:color="000000" w:sz="4"/>
                    <w:right w:val="single" w:color="000000" w:sz="4"/>
                  </w:tcBorders>
                </w:tcPr>
                <w:p/>
              </w:tc>
              <w:tc>
                <w:tcPr>
                  <w:tcW w:type="dxa" w:w="5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沉积物</w:t>
                  </w:r>
                </w:p>
              </w:tc>
              <w:tc>
                <w:tcPr>
                  <w:tcW w:type="dxa" w:w="1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氧化还原电位、粒度、有机碳、硫化物</w:t>
                  </w:r>
                </w:p>
              </w:tc>
            </w:tr>
            <w:tr>
              <w:tc>
                <w:tcPr>
                  <w:tcW w:type="dxa" w:w="474"/>
                  <w:vMerge/>
                  <w:tcBorders>
                    <w:top w:val="none" w:color="000000" w:sz="4"/>
                    <w:left w:val="single" w:color="000000" w:sz="4"/>
                    <w:bottom w:val="single" w:color="000000" w:sz="4"/>
                    <w:right w:val="single" w:color="000000" w:sz="4"/>
                  </w:tcBorders>
                </w:tcPr>
                <w:p/>
              </w:tc>
              <w:tc>
                <w:tcPr>
                  <w:tcW w:type="dxa" w:w="5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水体</w:t>
                  </w:r>
                </w:p>
              </w:tc>
              <w:tc>
                <w:tcPr>
                  <w:tcW w:type="dxa" w:w="1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盐度、pH、溶解氧、无机氮（氨氮、亚硝酸盐、硝酸盐）、活性磷酸盐</w:t>
                  </w:r>
                </w:p>
              </w:tc>
            </w:tr>
            <w:tr>
              <w:tc>
                <w:tcPr>
                  <w:tcW w:type="dxa" w:w="47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海湾生物</w:t>
                  </w:r>
                </w:p>
              </w:tc>
              <w:tc>
                <w:tcPr>
                  <w:tcW w:type="dxa" w:w="5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生物多样性</w:t>
                  </w:r>
                </w:p>
              </w:tc>
              <w:tc>
                <w:tcPr>
                  <w:tcW w:type="dxa" w:w="1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叶绿素a、浮游植物、浮游动物、大型底栖生物、鱼卵仔鱼</w:t>
                  </w:r>
                </w:p>
              </w:tc>
            </w:tr>
            <w:tr>
              <w:tc>
                <w:tcPr>
                  <w:tcW w:type="dxa" w:w="474"/>
                  <w:vMerge/>
                  <w:tcBorders>
                    <w:top w:val="none" w:color="000000" w:sz="4"/>
                    <w:left w:val="single" w:color="000000" w:sz="4"/>
                    <w:bottom w:val="single" w:color="000000" w:sz="4"/>
                    <w:right w:val="single" w:color="000000" w:sz="4"/>
                  </w:tcBorders>
                </w:tcPr>
                <w:p/>
              </w:tc>
              <w:tc>
                <w:tcPr>
                  <w:tcW w:type="dxa" w:w="5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游泳生物</w:t>
                  </w:r>
                </w:p>
              </w:tc>
              <w:tc>
                <w:tcPr>
                  <w:tcW w:type="dxa" w:w="1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游泳生物</w:t>
                  </w:r>
                </w:p>
              </w:tc>
            </w:tr>
            <w:tr>
              <w:tc>
                <w:tcPr>
                  <w:tcW w:type="dxa" w:w="47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威胁因素</w:t>
                  </w:r>
                </w:p>
              </w:tc>
              <w:tc>
                <w:tcPr>
                  <w:tcW w:type="dxa" w:w="5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海域开发活动</w:t>
                  </w:r>
                </w:p>
              </w:tc>
              <w:tc>
                <w:tcPr>
                  <w:tcW w:type="dxa" w:w="1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围填海面积、人工岸线长度、养殖面积</w:t>
                  </w:r>
                </w:p>
              </w:tc>
            </w:tr>
            <w:tr>
              <w:tc>
                <w:tcPr>
                  <w:tcW w:type="dxa" w:w="474"/>
                  <w:vMerge/>
                  <w:tcBorders>
                    <w:top w:val="none" w:color="000000" w:sz="4"/>
                    <w:left w:val="single" w:color="000000" w:sz="4"/>
                    <w:bottom w:val="single" w:color="000000" w:sz="4"/>
                    <w:right w:val="single" w:color="000000" w:sz="4"/>
                  </w:tcBorders>
                </w:tcPr>
                <w:p/>
              </w:tc>
              <w:tc>
                <w:tcPr>
                  <w:tcW w:type="dxa" w:w="5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自然灾害状况</w:t>
                  </w:r>
                </w:p>
              </w:tc>
              <w:tc>
                <w:tcPr>
                  <w:tcW w:type="dxa" w:w="1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赤潮累计发生面积</w:t>
                  </w:r>
                </w:p>
              </w:tc>
            </w:tr>
          </w:tbl>
          <w:p>
            <w:pPr>
              <w:pStyle w:val="null3"/>
              <w:jc w:val="left"/>
            </w:pPr>
            <w:r>
              <w:rPr>
                <w:rFonts w:ascii="仿宋_GB2312" w:hAnsi="仿宋_GB2312" w:cs="仿宋_GB2312" w:eastAsia="仿宋_GB2312"/>
              </w:rPr>
              <w:t>（3）监测站位</w:t>
            </w:r>
            <w:r>
              <w:br/>
            </w:r>
            <w:r>
              <w:rPr>
                <w:rFonts w:ascii="仿宋_GB2312" w:hAnsi="仿宋_GB2312" w:cs="仿宋_GB2312" w:eastAsia="仿宋_GB2312"/>
              </w:rPr>
              <w:t xml:space="preserve"> 监测站位设置满足但不限于以下要求：</w:t>
            </w:r>
            <w:r>
              <w:br/>
            </w:r>
            <w:r>
              <w:rPr>
                <w:rFonts w:ascii="仿宋_GB2312" w:hAnsi="仿宋_GB2312" w:cs="仿宋_GB2312" w:eastAsia="仿宋_GB2312"/>
              </w:rPr>
              <w:t xml:space="preserve"> 根据三亚湾附近海域环境及特点，布设12个站点，其中水文气象和水体要素监测站位12个，沉积物监测站位7个，生物多样性监测站位7个，游泳生物监测站位1个，详见表2。</w:t>
            </w:r>
          </w:p>
          <w:p>
            <w:pPr>
              <w:pStyle w:val="null3"/>
              <w:jc w:val="center"/>
            </w:pPr>
            <w:r>
              <w:rPr>
                <w:rFonts w:ascii="仿宋_GB2312" w:hAnsi="仿宋_GB2312" w:cs="仿宋_GB2312" w:eastAsia="仿宋_GB2312"/>
                <w:b/>
              </w:rPr>
              <w:t>表2三亚湾海湾生态预警监测站位及监测内容</w:t>
            </w:r>
          </w:p>
          <w:tbl>
            <w:tblPr>
              <w:tblBorders>
                <w:top w:val="none" w:color="000000" w:sz="4"/>
                <w:left w:val="none" w:color="000000" w:sz="4"/>
                <w:bottom w:val="none" w:color="000000" w:sz="4"/>
                <w:right w:val="none" w:color="000000" w:sz="4"/>
                <w:insideH w:val="none"/>
                <w:insideV w:val="none"/>
              </w:tblBorders>
            </w:tblPr>
            <w:tblGrid>
              <w:gridCol w:w="289"/>
              <w:gridCol w:w="425"/>
              <w:gridCol w:w="375"/>
              <w:gridCol w:w="1453"/>
            </w:tblGrid>
            <w:tr>
              <w:tc>
                <w:tcPr>
                  <w:tcW w:type="dxa" w:w="2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站号</w:t>
                  </w:r>
                </w:p>
              </w:tc>
              <w:tc>
                <w:tcPr>
                  <w:tcW w:type="dxa" w:w="4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经度（</w:t>
                  </w:r>
                  <w:r>
                    <w:rPr>
                      <w:rFonts w:ascii="仿宋_GB2312" w:hAnsi="仿宋_GB2312" w:cs="仿宋_GB2312" w:eastAsia="仿宋_GB2312"/>
                      <w:sz w:val="32"/>
                      <w:b/>
                    </w:rPr>
                    <w:t xml:space="preserve"> </w:t>
                  </w:r>
                  <w:r>
                    <w:rPr>
                      <w:rFonts w:ascii="仿宋_GB2312" w:hAnsi="仿宋_GB2312" w:cs="仿宋_GB2312" w:eastAsia="仿宋_GB2312"/>
                      <w:sz w:val="21"/>
                      <w:b/>
                    </w:rPr>
                    <w:t>°）</w:t>
                  </w:r>
                </w:p>
              </w:tc>
              <w:tc>
                <w:tcPr>
                  <w:tcW w:type="dxa" w:w="3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纬度（</w:t>
                  </w:r>
                  <w:r>
                    <w:rPr>
                      <w:rFonts w:ascii="仿宋_GB2312" w:hAnsi="仿宋_GB2312" w:cs="仿宋_GB2312" w:eastAsia="仿宋_GB2312"/>
                      <w:sz w:val="32"/>
                      <w:b/>
                    </w:rPr>
                    <w:t xml:space="preserve"> </w:t>
                  </w:r>
                  <w:r>
                    <w:rPr>
                      <w:rFonts w:ascii="仿宋_GB2312" w:hAnsi="仿宋_GB2312" w:cs="仿宋_GB2312" w:eastAsia="仿宋_GB2312"/>
                      <w:sz w:val="21"/>
                      <w:b/>
                    </w:rPr>
                    <w:t>°）</w:t>
                  </w:r>
                </w:p>
              </w:tc>
              <w:tc>
                <w:tcPr>
                  <w:tcW w:type="dxa" w:w="145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监测</w:t>
                  </w:r>
                  <w:r>
                    <w:rPr>
                      <w:rFonts w:ascii="仿宋_GB2312" w:hAnsi="仿宋_GB2312" w:cs="仿宋_GB2312" w:eastAsia="仿宋_GB2312"/>
                      <w:sz w:val="21"/>
                      <w:b/>
                    </w:rPr>
                    <w:t>内容</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109.3388</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18.2824</w:t>
                  </w:r>
                </w:p>
              </w:tc>
              <w:tc>
                <w:tcPr>
                  <w:tcW w:type="dxa" w:w="1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水文气象、水体、沉积物、生物多样性</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109.3821</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18.2809</w:t>
                  </w:r>
                </w:p>
              </w:tc>
              <w:tc>
                <w:tcPr>
                  <w:tcW w:type="dxa" w:w="1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水文气象、水体</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109.4443</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18.2756</w:t>
                  </w:r>
                </w:p>
              </w:tc>
              <w:tc>
                <w:tcPr>
                  <w:tcW w:type="dxa" w:w="1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水文气象、水体、沉积物、生物多样性</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109.4891</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18.25</w:t>
                  </w:r>
                  <w:r>
                    <w:rPr>
                      <w:rFonts w:ascii="仿宋_GB2312" w:hAnsi="仿宋_GB2312" w:cs="仿宋_GB2312" w:eastAsia="仿宋_GB2312"/>
                      <w:sz w:val="21"/>
                    </w:rPr>
                    <w:t>00</w:t>
                  </w:r>
                </w:p>
              </w:tc>
              <w:tc>
                <w:tcPr>
                  <w:tcW w:type="dxa" w:w="1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水文气象、水体</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109.336</w:t>
                  </w:r>
                  <w:r>
                    <w:rPr>
                      <w:rFonts w:ascii="仿宋_GB2312" w:hAnsi="仿宋_GB2312" w:cs="仿宋_GB2312" w:eastAsia="仿宋_GB2312"/>
                      <w:sz w:val="21"/>
                    </w:rPr>
                    <w:t>0</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18.255</w:t>
                  </w:r>
                  <w:r>
                    <w:rPr>
                      <w:rFonts w:ascii="仿宋_GB2312" w:hAnsi="仿宋_GB2312" w:cs="仿宋_GB2312" w:eastAsia="仿宋_GB2312"/>
                      <w:sz w:val="21"/>
                    </w:rPr>
                    <w:t>0</w:t>
                  </w:r>
                </w:p>
              </w:tc>
              <w:tc>
                <w:tcPr>
                  <w:tcW w:type="dxa" w:w="1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水文气象、水体</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109.3622</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18.2617</w:t>
                  </w:r>
                </w:p>
              </w:tc>
              <w:tc>
                <w:tcPr>
                  <w:tcW w:type="dxa" w:w="1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水文气象、水体、沉积物、生物多样性、游泳生物</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109.4094</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18.2579</w:t>
                  </w:r>
                </w:p>
              </w:tc>
              <w:tc>
                <w:tcPr>
                  <w:tcW w:type="dxa" w:w="1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水文气象、水体、沉积物、生物多样性</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109.4585</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18.2521</w:t>
                  </w:r>
                </w:p>
              </w:tc>
              <w:tc>
                <w:tcPr>
                  <w:tcW w:type="dxa" w:w="1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水文气象、水体、沉积物、生物多样性</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109.4955</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18.235</w:t>
                  </w:r>
                  <w:r>
                    <w:rPr>
                      <w:rFonts w:ascii="仿宋_GB2312" w:hAnsi="仿宋_GB2312" w:cs="仿宋_GB2312" w:eastAsia="仿宋_GB2312"/>
                      <w:sz w:val="21"/>
                    </w:rPr>
                    <w:t>0</w:t>
                  </w:r>
                </w:p>
              </w:tc>
              <w:tc>
                <w:tcPr>
                  <w:tcW w:type="dxa" w:w="1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水文气象、水体</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109.4</w:t>
                  </w:r>
                  <w:r>
                    <w:rPr>
                      <w:rFonts w:ascii="仿宋_GB2312" w:hAnsi="仿宋_GB2312" w:cs="仿宋_GB2312" w:eastAsia="仿宋_GB2312"/>
                      <w:sz w:val="21"/>
                    </w:rPr>
                    <w:t>000</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18.2289</w:t>
                  </w:r>
                </w:p>
              </w:tc>
              <w:tc>
                <w:tcPr>
                  <w:tcW w:type="dxa" w:w="1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水文气象、水体、沉积物、生物多样性</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109.4358</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18.2183</w:t>
                  </w:r>
                </w:p>
              </w:tc>
              <w:tc>
                <w:tcPr>
                  <w:tcW w:type="dxa" w:w="1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水文气象、水体、沉积物、生物多样性</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109.463</w:t>
                  </w:r>
                  <w:r>
                    <w:rPr>
                      <w:rFonts w:ascii="仿宋_GB2312" w:hAnsi="仿宋_GB2312" w:cs="仿宋_GB2312" w:eastAsia="仿宋_GB2312"/>
                      <w:sz w:val="21"/>
                    </w:rPr>
                    <w:t>0</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18.21</w:t>
                  </w:r>
                  <w:r>
                    <w:rPr>
                      <w:rFonts w:ascii="仿宋_GB2312" w:hAnsi="仿宋_GB2312" w:cs="仿宋_GB2312" w:eastAsia="仿宋_GB2312"/>
                      <w:sz w:val="21"/>
                    </w:rPr>
                    <w:t>00</w:t>
                  </w:r>
                </w:p>
              </w:tc>
              <w:tc>
                <w:tcPr>
                  <w:tcW w:type="dxa" w:w="1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水文气象、水体</w:t>
                  </w:r>
                </w:p>
              </w:tc>
            </w:tr>
          </w:tbl>
          <w:p>
            <w:pPr>
              <w:pStyle w:val="null3"/>
              <w:jc w:val="left"/>
            </w:pPr>
            <w:r>
              <w:rPr>
                <w:rFonts w:ascii="仿宋_GB2312" w:hAnsi="仿宋_GB2312" w:cs="仿宋_GB2312" w:eastAsia="仿宋_GB2312"/>
              </w:rPr>
              <w:t>（4）监测和评估方法</w:t>
            </w:r>
            <w:r>
              <w:br/>
            </w:r>
            <w:r>
              <w:rPr>
                <w:rFonts w:ascii="仿宋_GB2312" w:hAnsi="仿宋_GB2312" w:cs="仿宋_GB2312" w:eastAsia="仿宋_GB2312"/>
              </w:rPr>
              <w:t xml:space="preserve"> 按照《海岸带生态系统现状调查与评估技术导则 第10部分 海湾》（HY/T 0460.10-2024）、《海洋监测规范》（ GB 17378-2007）、《海洋调查规范》（ GB/T 12763-2007）和《近岸海域环境监测技术规范》（ HJ 422-2020）等规范执行，项目实施过程中如有最新的技术规范则参照执行。</w:t>
            </w:r>
            <w:r>
              <w:br/>
            </w:r>
            <w:r>
              <w:rPr>
                <w:rFonts w:ascii="仿宋_GB2312" w:hAnsi="仿宋_GB2312" w:cs="仿宋_GB2312" w:eastAsia="仿宋_GB2312"/>
              </w:rPr>
              <w:t xml:space="preserve"> （5）监测时间和频率</w:t>
            </w:r>
            <w:r>
              <w:br/>
            </w:r>
            <w:r>
              <w:rPr>
                <w:rFonts w:ascii="仿宋_GB2312" w:hAnsi="仿宋_GB2312" w:cs="仿宋_GB2312" w:eastAsia="仿宋_GB2312"/>
              </w:rPr>
              <w:t xml:space="preserve"> 2次/年，分别在夏季（6～8月）和秋季（9～11月）各开展1次监测。</w:t>
            </w:r>
            <w:r>
              <w:br/>
            </w:r>
            <w:r>
              <w:rPr>
                <w:rFonts w:ascii="仿宋_GB2312" w:hAnsi="仿宋_GB2312" w:cs="仿宋_GB2312" w:eastAsia="仿宋_GB2312"/>
              </w:rPr>
              <w:t xml:space="preserve"> （6）质量控制</w:t>
            </w:r>
            <w:r>
              <w:br/>
            </w:r>
            <w:r>
              <w:rPr>
                <w:rFonts w:ascii="仿宋_GB2312" w:hAnsi="仿宋_GB2312" w:cs="仿宋_GB2312" w:eastAsia="仿宋_GB2312"/>
              </w:rPr>
              <w:t xml:space="preserve"> ①在开展调查前编制任务质量控制方案，或任务实施方案中应包含明确的质量控制内容，方案应包括仪器设备、人员、标准物质、样品采集、储存、运输、检测方法、实验室分析、数据审核、评价等质量保证措施。</w:t>
            </w:r>
            <w:r>
              <w:br/>
            </w:r>
            <w:r>
              <w:rPr>
                <w:rFonts w:ascii="仿宋_GB2312" w:hAnsi="仿宋_GB2312" w:cs="仿宋_GB2312" w:eastAsia="仿宋_GB2312"/>
              </w:rPr>
              <w:t xml:space="preserve"> ②水体环境、沉积物、生态、生物样品的采集（预处理）、储存、运输应严格按《海洋监测规范》（GB 17378-2007）和《海洋调查规范》（GB/T 12763-2007）等相关要求执行，制定可实施的实验室分析质量控制计划。</w:t>
            </w:r>
            <w:r>
              <w:br/>
            </w:r>
            <w:r>
              <w:rPr>
                <w:rFonts w:ascii="仿宋_GB2312" w:hAnsi="仿宋_GB2312" w:cs="仿宋_GB2312" w:eastAsia="仿宋_GB2312"/>
              </w:rPr>
              <w:t xml:space="preserve"> ③根据采购人工作安排，参加相关质量监督检查和外控样考核。</w:t>
            </w:r>
            <w:r>
              <w:br/>
            </w:r>
            <w:r>
              <w:rPr>
                <w:rFonts w:ascii="仿宋_GB2312" w:hAnsi="仿宋_GB2312" w:cs="仿宋_GB2312" w:eastAsia="仿宋_GB2312"/>
              </w:rPr>
              <w:t xml:space="preserve"> ④所有出具的检测报告必须加盖CMA章。</w:t>
            </w:r>
            <w:r>
              <w:br/>
            </w:r>
            <w:r>
              <w:rPr>
                <w:rFonts w:ascii="仿宋_GB2312" w:hAnsi="仿宋_GB2312" w:cs="仿宋_GB2312" w:eastAsia="仿宋_GB2312"/>
              </w:rPr>
              <w:t xml:space="preserve"> ⑤因不可抗力因素影响，导致实际监测开展情况与方案要求不符，包括监测站位调整、时间变更等，应详细说明理由并经采购人报批确认。</w:t>
            </w:r>
            <w:r>
              <w:br/>
            </w:r>
            <w:r>
              <w:rPr>
                <w:rFonts w:ascii="仿宋_GB2312" w:hAnsi="仿宋_GB2312" w:cs="仿宋_GB2312" w:eastAsia="仿宋_GB2312"/>
              </w:rPr>
              <w:t xml:space="preserve"> （7）成果提交</w:t>
            </w:r>
            <w:r>
              <w:br/>
            </w:r>
            <w:r>
              <w:rPr>
                <w:rFonts w:ascii="仿宋_GB2312" w:hAnsi="仿宋_GB2312" w:cs="仿宋_GB2312" w:eastAsia="仿宋_GB2312"/>
              </w:rPr>
              <w:t xml:space="preserve"> 合同签订后10个工作日内，中标方向采购人提交项目实施方案。</w:t>
            </w:r>
            <w:r>
              <w:br/>
            </w:r>
            <w:r>
              <w:rPr>
                <w:rFonts w:ascii="仿宋_GB2312" w:hAnsi="仿宋_GB2312" w:cs="仿宋_GB2312" w:eastAsia="仿宋_GB2312"/>
              </w:rPr>
              <w:t xml:space="preserve"> 2025年11月30日前提交《2025年三亚湾海湾生态系统预警监测评估报告》、预警产品、生态图集、生态预警监测数据集（包括实验室分析测试数据、遥感数据、现场照片、视频、调查数据矢量化等）。</w:t>
            </w:r>
            <w:r>
              <w:br/>
            </w:r>
            <w:r>
              <w:rPr>
                <w:rFonts w:ascii="仿宋_GB2312" w:hAnsi="仿宋_GB2312" w:cs="仿宋_GB2312" w:eastAsia="仿宋_GB2312"/>
                <w:b/>
              </w:rPr>
              <w:t>（三）三亚亚龙湾砂质海岸生态预警监测</w:t>
            </w:r>
            <w:r>
              <w:br/>
            </w:r>
            <w:r>
              <w:rPr>
                <w:rFonts w:ascii="仿宋_GB2312" w:hAnsi="仿宋_GB2312" w:cs="仿宋_GB2312" w:eastAsia="仿宋_GB2312"/>
              </w:rPr>
              <w:t xml:space="preserve"> （1）监测范围</w:t>
            </w:r>
            <w:r>
              <w:br/>
            </w:r>
            <w:r>
              <w:rPr>
                <w:rFonts w:ascii="仿宋_GB2312" w:hAnsi="仿宋_GB2312" w:cs="仿宋_GB2312" w:eastAsia="仿宋_GB2312"/>
              </w:rPr>
              <w:t xml:space="preserve"> 三亚亚龙湾砂质海岸。</w:t>
            </w:r>
            <w:r>
              <w:br/>
            </w:r>
            <w:r>
              <w:rPr>
                <w:rFonts w:ascii="仿宋_GB2312" w:hAnsi="仿宋_GB2312" w:cs="仿宋_GB2312" w:eastAsia="仿宋_GB2312"/>
              </w:rPr>
              <w:t xml:space="preserve"> （2）监测内容</w:t>
            </w:r>
            <w:r>
              <w:br/>
            </w:r>
            <w:r>
              <w:rPr>
                <w:rFonts w:ascii="仿宋_GB2312" w:hAnsi="仿宋_GB2312" w:cs="仿宋_GB2312" w:eastAsia="仿宋_GB2312"/>
              </w:rPr>
              <w:t xml:space="preserve"> 监测内容主要包括海滩特征、生物群落、环境要素、威胁因素等，具体内容见表1。</w:t>
            </w:r>
          </w:p>
          <w:p>
            <w:pPr>
              <w:pStyle w:val="null3"/>
              <w:jc w:val="center"/>
            </w:pPr>
            <w:r>
              <w:rPr>
                <w:rFonts w:ascii="仿宋_GB2312" w:hAnsi="仿宋_GB2312" w:cs="仿宋_GB2312" w:eastAsia="仿宋_GB2312"/>
                <w:b/>
              </w:rPr>
              <w:t>表1 砂质海岸生态系统预警监测内容及要素</w:t>
            </w:r>
          </w:p>
          <w:tbl>
            <w:tblPr>
              <w:tblBorders>
                <w:top w:val="none" w:color="000000" w:sz="4"/>
                <w:left w:val="none" w:color="000000" w:sz="4"/>
                <w:bottom w:val="none" w:color="000000" w:sz="4"/>
                <w:right w:val="none" w:color="000000" w:sz="4"/>
                <w:insideH w:val="none"/>
                <w:insideV w:val="none"/>
              </w:tblBorders>
            </w:tblPr>
            <w:tblGrid>
              <w:gridCol w:w="316"/>
              <w:gridCol w:w="453"/>
              <w:gridCol w:w="1085"/>
              <w:gridCol w:w="686"/>
            </w:tblGrid>
            <w:tr>
              <w:tc>
                <w:tcPr>
                  <w:tcW w:type="dxa" w:w="316"/>
                  <w:tcBorders>
                    <w:top w:val="single" w:color="000000" w:sz="4"/>
                    <w:left w:val="single" w:color="000000" w:sz="4"/>
                    <w:bottom w:val="single" w:color="000000" w:sz="4"/>
                    <w:right w:val="single" w:color="000000" w:sz="4"/>
                  </w:tcBorders>
                  <w:tcMar>
                    <w:top w:type="dxa" w:w="30"/>
                    <w:left w:type="dxa" w:w="105"/>
                    <w:bottom w:type="dxa" w:w="30"/>
                    <w:right w:type="dxa" w:w="105"/>
                  </w:tcMar>
                  <w:vAlign w:val="top"/>
                </w:tcPr>
                <w:p>
                  <w:pPr>
                    <w:pStyle w:val="null3"/>
                    <w:jc w:val="both"/>
                  </w:pPr>
                  <w:r>
                    <w:rPr>
                      <w:rFonts w:ascii="仿宋_GB2312" w:hAnsi="仿宋_GB2312" w:cs="仿宋_GB2312" w:eastAsia="仿宋_GB2312"/>
                      <w:sz w:val="21"/>
                      <w:b/>
                      <w:color w:val="0D0D0D"/>
                    </w:rPr>
                    <w:t>监测内容</w:t>
                  </w:r>
                </w:p>
              </w:tc>
              <w:tc>
                <w:tcPr>
                  <w:tcW w:type="dxa" w:w="1538"/>
                  <w:gridSpan w:val="2"/>
                  <w:tcBorders>
                    <w:top w:val="single" w:color="000000" w:sz="4"/>
                    <w:left w:val="none" w:color="000000" w:sz="4"/>
                    <w:bottom w:val="single" w:color="000000" w:sz="4"/>
                    <w:right w:val="single" w:color="000000" w:sz="4"/>
                  </w:tcBorders>
                  <w:tcMar>
                    <w:top w:type="dxa" w:w="30"/>
                    <w:left w:type="dxa" w:w="105"/>
                    <w:bottom w:type="dxa" w:w="30"/>
                    <w:right w:type="dxa" w:w="105"/>
                  </w:tcMar>
                  <w:vAlign w:val="top"/>
                </w:tcPr>
                <w:p>
                  <w:pPr>
                    <w:pStyle w:val="null3"/>
                    <w:jc w:val="both"/>
                  </w:pPr>
                  <w:r>
                    <w:rPr>
                      <w:rFonts w:ascii="仿宋_GB2312" w:hAnsi="仿宋_GB2312" w:cs="仿宋_GB2312" w:eastAsia="仿宋_GB2312"/>
                      <w:sz w:val="21"/>
                      <w:b/>
                      <w:color w:val="0D0D0D"/>
                    </w:rPr>
                    <w:t>监测要素</w:t>
                  </w:r>
                </w:p>
              </w:tc>
              <w:tc>
                <w:tcPr>
                  <w:tcW w:type="dxa" w:w="686"/>
                  <w:tcBorders>
                    <w:top w:val="single" w:color="000000" w:sz="4"/>
                    <w:left w:val="none" w:color="000000" w:sz="4"/>
                    <w:bottom w:val="single" w:color="000000" w:sz="4"/>
                    <w:right w:val="single" w:color="000000" w:sz="4"/>
                  </w:tcBorders>
                  <w:tcMar>
                    <w:top w:type="dxa" w:w="30"/>
                    <w:left w:type="dxa" w:w="105"/>
                    <w:bottom w:type="dxa" w:w="30"/>
                    <w:right w:type="dxa" w:w="105"/>
                  </w:tcMar>
                  <w:vAlign w:val="top"/>
                </w:tcPr>
                <w:p>
                  <w:pPr>
                    <w:pStyle w:val="null3"/>
                    <w:jc w:val="both"/>
                  </w:pPr>
                  <w:r>
                    <w:rPr>
                      <w:rFonts w:ascii="仿宋_GB2312" w:hAnsi="仿宋_GB2312" w:cs="仿宋_GB2312" w:eastAsia="仿宋_GB2312"/>
                      <w:sz w:val="21"/>
                      <w:b/>
                      <w:color w:val="0D0D0D"/>
                    </w:rPr>
                    <w:t>监测方式</w:t>
                  </w:r>
                </w:p>
              </w:tc>
            </w:tr>
            <w:tr>
              <w:tc>
                <w:tcPr>
                  <w:tcW w:type="dxa" w:w="316"/>
                  <w:vMerge w:val="restart"/>
                  <w:tcBorders>
                    <w:top w:val="none" w:color="000000" w:sz="4"/>
                    <w:left w:val="single" w:color="000000" w:sz="4"/>
                    <w:bottom w:val="single" w:color="000000" w:sz="4"/>
                    <w:right w:val="single" w:color="000000" w:sz="4"/>
                  </w:tcBorders>
                  <w:tcMar>
                    <w:top w:type="dxa" w:w="30"/>
                    <w:left w:type="dxa" w:w="105"/>
                    <w:bottom w:type="dxa" w:w="30"/>
                    <w:right w:type="dxa" w:w="105"/>
                  </w:tcMar>
                  <w:vAlign w:val="top"/>
                </w:tcPr>
                <w:p>
                  <w:pPr>
                    <w:pStyle w:val="null3"/>
                    <w:jc w:val="both"/>
                  </w:pPr>
                  <w:r>
                    <w:rPr>
                      <w:rFonts w:ascii="仿宋_GB2312" w:hAnsi="仿宋_GB2312" w:cs="仿宋_GB2312" w:eastAsia="仿宋_GB2312"/>
                      <w:sz w:val="21"/>
                      <w:color w:val="0D0D0D"/>
                    </w:rPr>
                    <w:t>海滩特征</w:t>
                  </w:r>
                </w:p>
              </w:tc>
              <w:tc>
                <w:tcPr>
                  <w:tcW w:type="dxa" w:w="453"/>
                  <w:tcBorders>
                    <w:top w:val="none" w:color="000000" w:sz="4"/>
                    <w:left w:val="none" w:color="000000" w:sz="4"/>
                    <w:bottom w:val="single" w:color="000000" w:sz="4"/>
                    <w:right w:val="single" w:color="000000" w:sz="4"/>
                  </w:tcBorders>
                  <w:tcMar>
                    <w:top w:type="dxa" w:w="30"/>
                    <w:left w:type="dxa" w:w="105"/>
                    <w:bottom w:type="dxa" w:w="30"/>
                    <w:right w:type="dxa" w:w="105"/>
                  </w:tcMar>
                  <w:vAlign w:val="top"/>
                </w:tcPr>
                <w:p>
                  <w:pPr>
                    <w:pStyle w:val="null3"/>
                    <w:jc w:val="both"/>
                  </w:pPr>
                  <w:r>
                    <w:rPr>
                      <w:rFonts w:ascii="仿宋_GB2312" w:hAnsi="仿宋_GB2312" w:cs="仿宋_GB2312" w:eastAsia="仿宋_GB2312"/>
                      <w:sz w:val="21"/>
                      <w:color w:val="0D0D0D"/>
                    </w:rPr>
                    <w:t>岸线</w:t>
                  </w:r>
                </w:p>
              </w:tc>
              <w:tc>
                <w:tcPr>
                  <w:tcW w:type="dxa" w:w="1085"/>
                  <w:tcBorders>
                    <w:top w:val="none" w:color="000000" w:sz="4"/>
                    <w:left w:val="none" w:color="000000" w:sz="4"/>
                    <w:bottom w:val="single" w:color="000000" w:sz="4"/>
                    <w:right w:val="single" w:color="000000" w:sz="4"/>
                  </w:tcBorders>
                  <w:tcMar>
                    <w:top w:type="dxa" w:w="30"/>
                    <w:left w:type="dxa" w:w="105"/>
                    <w:bottom w:type="dxa" w:w="30"/>
                    <w:right w:type="dxa" w:w="105"/>
                  </w:tcMar>
                  <w:vAlign w:val="top"/>
                </w:tcPr>
                <w:p>
                  <w:pPr>
                    <w:pStyle w:val="null3"/>
                    <w:jc w:val="both"/>
                  </w:pPr>
                  <w:r>
                    <w:rPr>
                      <w:rFonts w:ascii="仿宋_GB2312" w:hAnsi="仿宋_GB2312" w:cs="仿宋_GB2312" w:eastAsia="仿宋_GB2312"/>
                      <w:sz w:val="21"/>
                      <w:color w:val="0D0D0D"/>
                    </w:rPr>
                    <w:t>海岸线：位置、长度</w:t>
                  </w:r>
                </w:p>
              </w:tc>
              <w:tc>
                <w:tcPr>
                  <w:tcW w:type="dxa" w:w="686"/>
                  <w:tcBorders>
                    <w:top w:val="single" w:color="000000" w:sz="4"/>
                    <w:left w:val="none" w:color="000000" w:sz="4"/>
                    <w:bottom w:val="single" w:color="000000" w:sz="4"/>
                    <w:right w:val="single" w:color="000000" w:sz="4"/>
                  </w:tcBorders>
                  <w:tcMar>
                    <w:top w:type="dxa" w:w="30"/>
                    <w:left w:type="dxa" w:w="105"/>
                    <w:bottom w:type="dxa" w:w="30"/>
                    <w:right w:type="dxa" w:w="105"/>
                  </w:tcMar>
                  <w:vAlign w:val="top"/>
                </w:tcPr>
                <w:p>
                  <w:pPr>
                    <w:pStyle w:val="null3"/>
                    <w:jc w:val="both"/>
                  </w:pPr>
                  <w:r>
                    <w:rPr>
                      <w:rFonts w:ascii="仿宋_GB2312" w:hAnsi="仿宋_GB2312" w:cs="仿宋_GB2312" w:eastAsia="仿宋_GB2312"/>
                      <w:sz w:val="21"/>
                      <w:color w:val="0D0D0D"/>
                    </w:rPr>
                    <w:t>现场调查、遥感调查</w:t>
                  </w:r>
                </w:p>
              </w:tc>
            </w:tr>
            <w:tr>
              <w:tc>
                <w:tcPr>
                  <w:tcW w:type="dxa" w:w="316"/>
                  <w:vMerge/>
                  <w:tcBorders>
                    <w:top w:val="none" w:color="000000" w:sz="4"/>
                    <w:left w:val="single" w:color="000000" w:sz="4"/>
                    <w:bottom w:val="single" w:color="000000" w:sz="4"/>
                    <w:right w:val="single" w:color="000000" w:sz="4"/>
                  </w:tcBorders>
                </w:tcPr>
                <w:p/>
              </w:tc>
              <w:tc>
                <w:tcPr>
                  <w:tcW w:type="dxa" w:w="453"/>
                  <w:tcBorders>
                    <w:top w:val="none" w:color="000000" w:sz="4"/>
                    <w:left w:val="none" w:color="000000" w:sz="4"/>
                    <w:bottom w:val="single" w:color="000000" w:sz="4"/>
                    <w:right w:val="single" w:color="000000" w:sz="4"/>
                  </w:tcBorders>
                  <w:tcMar>
                    <w:top w:type="dxa" w:w="30"/>
                    <w:left w:type="dxa" w:w="105"/>
                    <w:bottom w:type="dxa" w:w="30"/>
                    <w:right w:type="dxa" w:w="105"/>
                  </w:tcMar>
                  <w:vAlign w:val="top"/>
                </w:tcPr>
                <w:p>
                  <w:pPr>
                    <w:pStyle w:val="null3"/>
                    <w:jc w:val="both"/>
                  </w:pPr>
                  <w:r>
                    <w:rPr>
                      <w:rFonts w:ascii="仿宋_GB2312" w:hAnsi="仿宋_GB2312" w:cs="仿宋_GB2312" w:eastAsia="仿宋_GB2312"/>
                      <w:sz w:val="21"/>
                      <w:color w:val="0D0D0D"/>
                    </w:rPr>
                    <w:t>地形</w:t>
                  </w:r>
                </w:p>
              </w:tc>
              <w:tc>
                <w:tcPr>
                  <w:tcW w:type="dxa" w:w="1085"/>
                  <w:tcBorders>
                    <w:top w:val="none" w:color="000000" w:sz="4"/>
                    <w:left w:val="none" w:color="000000" w:sz="4"/>
                    <w:bottom w:val="single" w:color="000000" w:sz="4"/>
                    <w:right w:val="single" w:color="000000" w:sz="4"/>
                  </w:tcBorders>
                  <w:tcMar>
                    <w:top w:type="dxa" w:w="30"/>
                    <w:left w:type="dxa" w:w="105"/>
                    <w:bottom w:type="dxa" w:w="30"/>
                    <w:right w:type="dxa" w:w="105"/>
                  </w:tcMar>
                  <w:vAlign w:val="top"/>
                </w:tcPr>
                <w:p>
                  <w:pPr>
                    <w:pStyle w:val="null3"/>
                    <w:jc w:val="both"/>
                  </w:pPr>
                  <w:r>
                    <w:rPr>
                      <w:rFonts w:ascii="仿宋_GB2312" w:hAnsi="仿宋_GB2312" w:cs="仿宋_GB2312" w:eastAsia="仿宋_GB2312"/>
                      <w:sz w:val="21"/>
                      <w:color w:val="0D0D0D"/>
                    </w:rPr>
                    <w:t>后滨、前滨、内滨剖面地形</w:t>
                  </w:r>
                </w:p>
              </w:tc>
              <w:tc>
                <w:tcPr>
                  <w:tcW w:type="dxa" w:w="686"/>
                  <w:tcBorders>
                    <w:top w:val="none" w:color="000000" w:sz="4"/>
                    <w:left w:val="none" w:color="000000" w:sz="4"/>
                    <w:bottom w:val="single" w:color="000000" w:sz="4"/>
                    <w:right w:val="single" w:color="000000" w:sz="4"/>
                  </w:tcBorders>
                  <w:tcMar>
                    <w:top w:type="dxa" w:w="30"/>
                    <w:left w:type="dxa" w:w="105"/>
                    <w:bottom w:type="dxa" w:w="30"/>
                    <w:right w:type="dxa" w:w="105"/>
                  </w:tcMar>
                  <w:vAlign w:val="top"/>
                </w:tcPr>
                <w:p>
                  <w:pPr>
                    <w:pStyle w:val="null3"/>
                    <w:jc w:val="both"/>
                  </w:pPr>
                  <w:r>
                    <w:rPr>
                      <w:rFonts w:ascii="仿宋_GB2312" w:hAnsi="仿宋_GB2312" w:cs="仿宋_GB2312" w:eastAsia="仿宋_GB2312"/>
                      <w:sz w:val="21"/>
                      <w:color w:val="0D0D0D"/>
                    </w:rPr>
                    <w:t>现场调查</w:t>
                  </w:r>
                </w:p>
              </w:tc>
            </w:tr>
            <w:tr>
              <w:tc>
                <w:tcPr>
                  <w:tcW w:type="dxa" w:w="316"/>
                  <w:vMerge/>
                  <w:tcBorders>
                    <w:top w:val="none" w:color="000000" w:sz="4"/>
                    <w:left w:val="single" w:color="000000" w:sz="4"/>
                    <w:bottom w:val="single" w:color="000000" w:sz="4"/>
                    <w:right w:val="single" w:color="000000" w:sz="4"/>
                  </w:tcBorders>
                </w:tcPr>
                <w:p/>
              </w:tc>
              <w:tc>
                <w:tcPr>
                  <w:tcW w:type="dxa" w:w="453"/>
                  <w:tcBorders>
                    <w:top w:val="none" w:color="000000" w:sz="4"/>
                    <w:left w:val="none" w:color="000000" w:sz="4"/>
                    <w:bottom w:val="single" w:color="000000" w:sz="4"/>
                    <w:right w:val="single" w:color="000000" w:sz="4"/>
                  </w:tcBorders>
                  <w:tcMar>
                    <w:top w:type="dxa" w:w="30"/>
                    <w:left w:type="dxa" w:w="105"/>
                    <w:bottom w:type="dxa" w:w="30"/>
                    <w:right w:type="dxa" w:w="105"/>
                  </w:tcMar>
                  <w:vAlign w:val="top"/>
                </w:tcPr>
                <w:p>
                  <w:pPr>
                    <w:pStyle w:val="null3"/>
                    <w:jc w:val="both"/>
                  </w:pPr>
                  <w:r>
                    <w:rPr>
                      <w:rFonts w:ascii="仿宋_GB2312" w:hAnsi="仿宋_GB2312" w:cs="仿宋_GB2312" w:eastAsia="仿宋_GB2312"/>
                      <w:sz w:val="21"/>
                      <w:color w:val="0D0D0D"/>
                    </w:rPr>
                    <w:t>海滩地貌</w:t>
                  </w:r>
                </w:p>
              </w:tc>
              <w:tc>
                <w:tcPr>
                  <w:tcW w:type="dxa" w:w="1085"/>
                  <w:tcBorders>
                    <w:top w:val="none" w:color="000000" w:sz="4"/>
                    <w:left w:val="none" w:color="000000" w:sz="4"/>
                    <w:bottom w:val="single" w:color="000000" w:sz="4"/>
                    <w:right w:val="single" w:color="000000" w:sz="4"/>
                  </w:tcBorders>
                  <w:tcMar>
                    <w:top w:type="dxa" w:w="30"/>
                    <w:left w:type="dxa" w:w="105"/>
                    <w:bottom w:type="dxa" w:w="30"/>
                    <w:right w:type="dxa" w:w="105"/>
                  </w:tcMar>
                  <w:vAlign w:val="top"/>
                </w:tcPr>
                <w:p>
                  <w:pPr>
                    <w:pStyle w:val="null3"/>
                    <w:jc w:val="both"/>
                  </w:pPr>
                  <w:r>
                    <w:rPr>
                      <w:rFonts w:ascii="仿宋_GB2312" w:hAnsi="仿宋_GB2312" w:cs="仿宋_GB2312" w:eastAsia="仿宋_GB2312"/>
                      <w:sz w:val="21"/>
                      <w:color w:val="0D0D0D"/>
                    </w:rPr>
                    <w:t>滩肩、侵蚀陡坎、沙波纹、水下沙坝等分布</w:t>
                  </w:r>
                </w:p>
              </w:tc>
              <w:tc>
                <w:tcPr>
                  <w:tcW w:type="dxa" w:w="686"/>
                  <w:tcBorders>
                    <w:top w:val="none" w:color="000000" w:sz="4"/>
                    <w:left w:val="none" w:color="000000" w:sz="4"/>
                    <w:bottom w:val="single" w:color="000000" w:sz="4"/>
                    <w:right w:val="single" w:color="000000" w:sz="4"/>
                  </w:tcBorders>
                  <w:tcMar>
                    <w:top w:type="dxa" w:w="30"/>
                    <w:left w:type="dxa" w:w="105"/>
                    <w:bottom w:type="dxa" w:w="30"/>
                    <w:right w:type="dxa" w:w="105"/>
                  </w:tcMar>
                  <w:vAlign w:val="top"/>
                </w:tcPr>
                <w:p>
                  <w:pPr>
                    <w:pStyle w:val="null3"/>
                    <w:jc w:val="both"/>
                  </w:pPr>
                  <w:r>
                    <w:rPr>
                      <w:rFonts w:ascii="仿宋_GB2312" w:hAnsi="仿宋_GB2312" w:cs="仿宋_GB2312" w:eastAsia="仿宋_GB2312"/>
                      <w:sz w:val="21"/>
                      <w:color w:val="0D0D0D"/>
                    </w:rPr>
                    <w:t>现场调查</w:t>
                  </w:r>
                </w:p>
              </w:tc>
            </w:tr>
            <w:tr>
              <w:tc>
                <w:tcPr>
                  <w:tcW w:type="dxa" w:w="316"/>
                  <w:vMerge/>
                  <w:tcBorders>
                    <w:top w:val="none" w:color="000000" w:sz="4"/>
                    <w:left w:val="single" w:color="000000" w:sz="4"/>
                    <w:bottom w:val="single" w:color="000000" w:sz="4"/>
                    <w:right w:val="single" w:color="000000" w:sz="4"/>
                  </w:tcBorders>
                </w:tcPr>
                <w:p/>
              </w:tc>
              <w:tc>
                <w:tcPr>
                  <w:tcW w:type="dxa" w:w="453"/>
                  <w:tcBorders>
                    <w:top w:val="none" w:color="000000" w:sz="4"/>
                    <w:left w:val="none" w:color="000000" w:sz="4"/>
                    <w:bottom w:val="single" w:color="000000" w:sz="4"/>
                    <w:right w:val="single" w:color="000000" w:sz="4"/>
                  </w:tcBorders>
                  <w:tcMar>
                    <w:top w:type="dxa" w:w="30"/>
                    <w:left w:type="dxa" w:w="105"/>
                    <w:bottom w:type="dxa" w:w="30"/>
                    <w:right w:type="dxa" w:w="105"/>
                  </w:tcMar>
                  <w:vAlign w:val="top"/>
                </w:tcPr>
                <w:p>
                  <w:pPr>
                    <w:pStyle w:val="null3"/>
                    <w:jc w:val="both"/>
                  </w:pPr>
                  <w:r>
                    <w:rPr>
                      <w:rFonts w:ascii="仿宋_GB2312" w:hAnsi="仿宋_GB2312" w:cs="仿宋_GB2312" w:eastAsia="仿宋_GB2312"/>
                      <w:sz w:val="21"/>
                      <w:color w:val="0D0D0D"/>
                    </w:rPr>
                    <w:t>沉积物</w:t>
                  </w:r>
                </w:p>
              </w:tc>
              <w:tc>
                <w:tcPr>
                  <w:tcW w:type="dxa" w:w="1085"/>
                  <w:tcBorders>
                    <w:top w:val="none" w:color="000000" w:sz="4"/>
                    <w:left w:val="none" w:color="000000" w:sz="4"/>
                    <w:bottom w:val="single" w:color="000000" w:sz="4"/>
                    <w:right w:val="single" w:color="000000" w:sz="4"/>
                  </w:tcBorders>
                  <w:tcMar>
                    <w:top w:type="dxa" w:w="30"/>
                    <w:left w:type="dxa" w:w="105"/>
                    <w:bottom w:type="dxa" w:w="30"/>
                    <w:right w:type="dxa" w:w="105"/>
                  </w:tcMar>
                  <w:vAlign w:val="top"/>
                </w:tcPr>
                <w:p>
                  <w:pPr>
                    <w:pStyle w:val="null3"/>
                    <w:jc w:val="both"/>
                  </w:pPr>
                  <w:r>
                    <w:rPr>
                      <w:rFonts w:ascii="仿宋_GB2312" w:hAnsi="仿宋_GB2312" w:cs="仿宋_GB2312" w:eastAsia="仿宋_GB2312"/>
                      <w:sz w:val="21"/>
                      <w:color w:val="0D0D0D"/>
                    </w:rPr>
                    <w:t>砂质沉积物粒度参数、砾石形态参数</w:t>
                  </w:r>
                </w:p>
              </w:tc>
              <w:tc>
                <w:tcPr>
                  <w:tcW w:type="dxa" w:w="686"/>
                  <w:tcBorders>
                    <w:top w:val="none" w:color="000000" w:sz="4"/>
                    <w:left w:val="none" w:color="000000" w:sz="4"/>
                    <w:bottom w:val="single" w:color="000000" w:sz="4"/>
                    <w:right w:val="single" w:color="000000" w:sz="4"/>
                  </w:tcBorders>
                  <w:tcMar>
                    <w:top w:type="dxa" w:w="30"/>
                    <w:left w:type="dxa" w:w="105"/>
                    <w:bottom w:type="dxa" w:w="30"/>
                    <w:right w:type="dxa" w:w="105"/>
                  </w:tcMar>
                  <w:vAlign w:val="top"/>
                </w:tcPr>
                <w:p>
                  <w:pPr>
                    <w:pStyle w:val="null3"/>
                    <w:jc w:val="both"/>
                  </w:pPr>
                  <w:r>
                    <w:rPr>
                      <w:rFonts w:ascii="仿宋_GB2312" w:hAnsi="仿宋_GB2312" w:cs="仿宋_GB2312" w:eastAsia="仿宋_GB2312"/>
                      <w:sz w:val="21"/>
                      <w:color w:val="0D0D0D"/>
                    </w:rPr>
                    <w:t>现场调查</w:t>
                  </w:r>
                </w:p>
              </w:tc>
            </w:tr>
            <w:tr>
              <w:tc>
                <w:tcPr>
                  <w:tcW w:type="dxa" w:w="316"/>
                  <w:vMerge/>
                  <w:tcBorders>
                    <w:top w:val="none" w:color="000000" w:sz="4"/>
                    <w:left w:val="single" w:color="000000" w:sz="4"/>
                    <w:bottom w:val="single" w:color="000000" w:sz="4"/>
                    <w:right w:val="single" w:color="000000" w:sz="4"/>
                  </w:tcBorders>
                </w:tcPr>
                <w:p/>
              </w:tc>
              <w:tc>
                <w:tcPr>
                  <w:tcW w:type="dxa" w:w="453"/>
                  <w:tcBorders>
                    <w:top w:val="none" w:color="000000" w:sz="4"/>
                    <w:left w:val="none" w:color="000000" w:sz="4"/>
                    <w:bottom w:val="single" w:color="000000" w:sz="4"/>
                    <w:right w:val="single" w:color="000000" w:sz="4"/>
                  </w:tcBorders>
                  <w:tcMar>
                    <w:top w:type="dxa" w:w="30"/>
                    <w:left w:type="dxa" w:w="105"/>
                    <w:bottom w:type="dxa" w:w="30"/>
                    <w:right w:type="dxa" w:w="105"/>
                  </w:tcMar>
                  <w:vAlign w:val="top"/>
                </w:tcPr>
                <w:p>
                  <w:pPr>
                    <w:pStyle w:val="null3"/>
                    <w:jc w:val="both"/>
                  </w:pPr>
                  <w:r>
                    <w:rPr>
                      <w:rFonts w:ascii="仿宋_GB2312" w:hAnsi="仿宋_GB2312" w:cs="仿宋_GB2312" w:eastAsia="仿宋_GB2312"/>
                      <w:sz w:val="21"/>
                      <w:color w:val="0D0D0D"/>
                    </w:rPr>
                    <w:t>近岸动力环境</w:t>
                  </w:r>
                </w:p>
              </w:tc>
              <w:tc>
                <w:tcPr>
                  <w:tcW w:type="dxa" w:w="1085"/>
                  <w:tcBorders>
                    <w:top w:val="none" w:color="000000" w:sz="4"/>
                    <w:left w:val="none" w:color="000000" w:sz="4"/>
                    <w:bottom w:val="single" w:color="000000" w:sz="4"/>
                    <w:right w:val="single" w:color="000000" w:sz="4"/>
                  </w:tcBorders>
                  <w:tcMar>
                    <w:top w:type="dxa" w:w="30"/>
                    <w:left w:type="dxa" w:w="105"/>
                    <w:bottom w:type="dxa" w:w="30"/>
                    <w:right w:type="dxa" w:w="105"/>
                  </w:tcMar>
                  <w:vAlign w:val="top"/>
                </w:tcPr>
                <w:p>
                  <w:pPr>
                    <w:pStyle w:val="null3"/>
                    <w:jc w:val="both"/>
                  </w:pPr>
                  <w:r>
                    <w:rPr>
                      <w:rFonts w:ascii="仿宋_GB2312" w:hAnsi="仿宋_GB2312" w:cs="仿宋_GB2312" w:eastAsia="仿宋_GB2312"/>
                      <w:sz w:val="21"/>
                      <w:color w:val="0D0D0D"/>
                    </w:rPr>
                    <w:t>波浪、海流、悬沙、潮位、风、区域海平面</w:t>
                  </w:r>
                </w:p>
              </w:tc>
              <w:tc>
                <w:tcPr>
                  <w:tcW w:type="dxa" w:w="686"/>
                  <w:tcBorders>
                    <w:top w:val="none" w:color="000000" w:sz="4"/>
                    <w:left w:val="none" w:color="000000" w:sz="4"/>
                    <w:bottom w:val="single" w:color="000000" w:sz="4"/>
                    <w:right w:val="single" w:color="000000" w:sz="4"/>
                  </w:tcBorders>
                  <w:tcMar>
                    <w:top w:type="dxa" w:w="30"/>
                    <w:left w:type="dxa" w:w="105"/>
                    <w:bottom w:type="dxa" w:w="30"/>
                    <w:right w:type="dxa" w:w="105"/>
                  </w:tcMar>
                  <w:vAlign w:val="top"/>
                </w:tcPr>
                <w:p>
                  <w:pPr>
                    <w:pStyle w:val="null3"/>
                    <w:jc w:val="both"/>
                  </w:pPr>
                  <w:r>
                    <w:rPr>
                      <w:rFonts w:ascii="仿宋_GB2312" w:hAnsi="仿宋_GB2312" w:cs="仿宋_GB2312" w:eastAsia="仿宋_GB2312"/>
                      <w:sz w:val="21"/>
                      <w:color w:val="0D0D0D"/>
                    </w:rPr>
                    <w:t>资料收集</w:t>
                  </w:r>
                </w:p>
              </w:tc>
            </w:tr>
            <w:tr>
              <w:tc>
                <w:tcPr>
                  <w:tcW w:type="dxa" w:w="316"/>
                  <w:vMerge w:val="restart"/>
                  <w:tcBorders>
                    <w:top w:val="none" w:color="000000" w:sz="4"/>
                    <w:left w:val="single" w:color="000000" w:sz="4"/>
                    <w:bottom w:val="single" w:color="000000" w:sz="4"/>
                    <w:right w:val="single" w:color="000000" w:sz="4"/>
                  </w:tcBorders>
                  <w:tcMar>
                    <w:top w:type="dxa" w:w="30"/>
                    <w:left w:type="dxa" w:w="105"/>
                    <w:bottom w:type="dxa" w:w="30"/>
                    <w:right w:type="dxa" w:w="105"/>
                  </w:tcMar>
                  <w:vAlign w:val="top"/>
                </w:tcPr>
                <w:p>
                  <w:pPr>
                    <w:pStyle w:val="null3"/>
                    <w:jc w:val="both"/>
                  </w:pPr>
                  <w:r>
                    <w:rPr>
                      <w:rFonts w:ascii="仿宋_GB2312" w:hAnsi="仿宋_GB2312" w:cs="仿宋_GB2312" w:eastAsia="仿宋_GB2312"/>
                      <w:sz w:val="21"/>
                      <w:color w:val="0D0D0D"/>
                    </w:rPr>
                    <w:t>生物群落</w:t>
                  </w:r>
                </w:p>
              </w:tc>
              <w:tc>
                <w:tcPr>
                  <w:tcW w:type="dxa" w:w="453"/>
                  <w:tcBorders>
                    <w:top w:val="none" w:color="000000" w:sz="4"/>
                    <w:left w:val="none" w:color="000000" w:sz="4"/>
                    <w:bottom w:val="single" w:color="000000" w:sz="4"/>
                    <w:right w:val="single" w:color="000000" w:sz="4"/>
                  </w:tcBorders>
                  <w:tcMar>
                    <w:top w:type="dxa" w:w="30"/>
                    <w:left w:type="dxa" w:w="105"/>
                    <w:bottom w:type="dxa" w:w="30"/>
                    <w:right w:type="dxa" w:w="105"/>
                  </w:tcMar>
                  <w:vAlign w:val="top"/>
                </w:tcPr>
                <w:p>
                  <w:pPr>
                    <w:pStyle w:val="null3"/>
                    <w:jc w:val="both"/>
                  </w:pPr>
                  <w:r>
                    <w:rPr>
                      <w:rFonts w:ascii="仿宋_GB2312" w:hAnsi="仿宋_GB2312" w:cs="仿宋_GB2312" w:eastAsia="仿宋_GB2312"/>
                      <w:sz w:val="21"/>
                      <w:color w:val="0D0D0D"/>
                    </w:rPr>
                    <w:t>潮间带生物</w:t>
                  </w:r>
                </w:p>
              </w:tc>
              <w:tc>
                <w:tcPr>
                  <w:tcW w:type="dxa" w:w="1085"/>
                  <w:tcBorders>
                    <w:top w:val="none" w:color="000000" w:sz="4"/>
                    <w:left w:val="none" w:color="000000" w:sz="4"/>
                    <w:bottom w:val="single" w:color="000000" w:sz="4"/>
                    <w:right w:val="single" w:color="000000" w:sz="4"/>
                  </w:tcBorders>
                  <w:tcMar>
                    <w:top w:type="dxa" w:w="30"/>
                    <w:left w:type="dxa" w:w="105"/>
                    <w:bottom w:type="dxa" w:w="30"/>
                    <w:right w:type="dxa" w:w="105"/>
                  </w:tcMar>
                  <w:vAlign w:val="top"/>
                </w:tcPr>
                <w:p>
                  <w:pPr>
                    <w:pStyle w:val="null3"/>
                    <w:jc w:val="both"/>
                  </w:pPr>
                  <w:r>
                    <w:rPr>
                      <w:rFonts w:ascii="仿宋_GB2312" w:hAnsi="仿宋_GB2312" w:cs="仿宋_GB2312" w:eastAsia="仿宋_GB2312"/>
                      <w:sz w:val="21"/>
                      <w:color w:val="0D0D0D"/>
                    </w:rPr>
                    <w:t>类型、数量及分布特征</w:t>
                  </w:r>
                </w:p>
              </w:tc>
              <w:tc>
                <w:tcPr>
                  <w:tcW w:type="dxa" w:w="686"/>
                  <w:tcBorders>
                    <w:top w:val="none" w:color="000000" w:sz="4"/>
                    <w:left w:val="none" w:color="000000" w:sz="4"/>
                    <w:bottom w:val="single" w:color="000000" w:sz="4"/>
                    <w:right w:val="single" w:color="000000" w:sz="4"/>
                  </w:tcBorders>
                  <w:tcMar>
                    <w:top w:type="dxa" w:w="30"/>
                    <w:left w:type="dxa" w:w="105"/>
                    <w:bottom w:type="dxa" w:w="30"/>
                    <w:right w:type="dxa" w:w="105"/>
                  </w:tcMar>
                  <w:vAlign w:val="top"/>
                </w:tcPr>
                <w:p>
                  <w:pPr>
                    <w:pStyle w:val="null3"/>
                    <w:jc w:val="both"/>
                  </w:pPr>
                  <w:r>
                    <w:rPr>
                      <w:rFonts w:ascii="仿宋_GB2312" w:hAnsi="仿宋_GB2312" w:cs="仿宋_GB2312" w:eastAsia="仿宋_GB2312"/>
                      <w:sz w:val="21"/>
                      <w:color w:val="0D0D0D"/>
                    </w:rPr>
                    <w:t>现场调查</w:t>
                  </w:r>
                </w:p>
              </w:tc>
            </w:tr>
            <w:tr>
              <w:tc>
                <w:tcPr>
                  <w:tcW w:type="dxa" w:w="316"/>
                  <w:vMerge/>
                  <w:tcBorders>
                    <w:top w:val="none" w:color="000000" w:sz="4"/>
                    <w:left w:val="single" w:color="000000" w:sz="4"/>
                    <w:bottom w:val="single" w:color="000000" w:sz="4"/>
                    <w:right w:val="single" w:color="000000" w:sz="4"/>
                  </w:tcBorders>
                </w:tcPr>
                <w:p/>
              </w:tc>
              <w:tc>
                <w:tcPr>
                  <w:tcW w:type="dxa" w:w="453"/>
                  <w:tcBorders>
                    <w:top w:val="none" w:color="000000" w:sz="4"/>
                    <w:left w:val="none" w:color="000000" w:sz="4"/>
                    <w:bottom w:val="single" w:color="000000" w:sz="4"/>
                    <w:right w:val="single" w:color="000000" w:sz="4"/>
                  </w:tcBorders>
                  <w:tcMar>
                    <w:top w:type="dxa" w:w="30"/>
                    <w:left w:type="dxa" w:w="105"/>
                    <w:bottom w:type="dxa" w:w="30"/>
                    <w:right w:type="dxa" w:w="105"/>
                  </w:tcMar>
                  <w:vAlign w:val="top"/>
                </w:tcPr>
                <w:p>
                  <w:pPr>
                    <w:pStyle w:val="null3"/>
                    <w:jc w:val="both"/>
                  </w:pPr>
                  <w:r>
                    <w:rPr>
                      <w:rFonts w:ascii="仿宋_GB2312" w:hAnsi="仿宋_GB2312" w:cs="仿宋_GB2312" w:eastAsia="仿宋_GB2312"/>
                      <w:sz w:val="21"/>
                      <w:color w:val="0D0D0D"/>
                    </w:rPr>
                    <w:t>后滨植被</w:t>
                  </w:r>
                </w:p>
              </w:tc>
              <w:tc>
                <w:tcPr>
                  <w:tcW w:type="dxa" w:w="1085"/>
                  <w:tcBorders>
                    <w:top w:val="none" w:color="000000" w:sz="4"/>
                    <w:left w:val="none" w:color="000000" w:sz="4"/>
                    <w:bottom w:val="single" w:color="000000" w:sz="4"/>
                    <w:right w:val="single" w:color="000000" w:sz="4"/>
                  </w:tcBorders>
                  <w:tcMar>
                    <w:top w:type="dxa" w:w="30"/>
                    <w:left w:type="dxa" w:w="105"/>
                    <w:bottom w:type="dxa" w:w="30"/>
                    <w:right w:type="dxa" w:w="105"/>
                  </w:tcMar>
                  <w:vAlign w:val="top"/>
                </w:tcPr>
                <w:p>
                  <w:pPr>
                    <w:pStyle w:val="null3"/>
                    <w:jc w:val="both"/>
                  </w:pPr>
                  <w:r>
                    <w:rPr>
                      <w:rFonts w:ascii="仿宋_GB2312" w:hAnsi="仿宋_GB2312" w:cs="仿宋_GB2312" w:eastAsia="仿宋_GB2312"/>
                      <w:sz w:val="21"/>
                      <w:color w:val="0D0D0D"/>
                    </w:rPr>
                    <w:t>植被类型、植物种类、面积、株数、株高、胸径、冠幅、盖度及生活力等</w:t>
                  </w:r>
                </w:p>
              </w:tc>
              <w:tc>
                <w:tcPr>
                  <w:tcW w:type="dxa" w:w="686"/>
                  <w:tcBorders>
                    <w:top w:val="none" w:color="000000" w:sz="4"/>
                    <w:left w:val="none" w:color="000000" w:sz="4"/>
                    <w:bottom w:val="single" w:color="000000" w:sz="4"/>
                    <w:right w:val="single" w:color="000000" w:sz="4"/>
                  </w:tcBorders>
                  <w:tcMar>
                    <w:top w:type="dxa" w:w="30"/>
                    <w:left w:type="dxa" w:w="105"/>
                    <w:bottom w:type="dxa" w:w="30"/>
                    <w:right w:type="dxa" w:w="105"/>
                  </w:tcMar>
                  <w:vAlign w:val="top"/>
                </w:tcPr>
                <w:p>
                  <w:pPr>
                    <w:pStyle w:val="null3"/>
                    <w:jc w:val="both"/>
                  </w:pPr>
                  <w:r>
                    <w:rPr>
                      <w:rFonts w:ascii="仿宋_GB2312" w:hAnsi="仿宋_GB2312" w:cs="仿宋_GB2312" w:eastAsia="仿宋_GB2312"/>
                      <w:sz w:val="21"/>
                      <w:color w:val="0D0D0D"/>
                    </w:rPr>
                    <w:t>现场调查、遥感调查</w:t>
                  </w:r>
                </w:p>
              </w:tc>
            </w:tr>
            <w:tr>
              <w:tc>
                <w:tcPr>
                  <w:tcW w:type="dxa" w:w="316"/>
                  <w:vMerge w:val="restart"/>
                  <w:tcBorders>
                    <w:top w:val="none" w:color="000000" w:sz="4"/>
                    <w:left w:val="single" w:color="000000" w:sz="4"/>
                    <w:bottom w:val="single" w:color="000000" w:sz="4"/>
                    <w:right w:val="single" w:color="000000" w:sz="4"/>
                  </w:tcBorders>
                  <w:tcMar>
                    <w:top w:type="dxa" w:w="30"/>
                    <w:left w:type="dxa" w:w="105"/>
                    <w:bottom w:type="dxa" w:w="30"/>
                    <w:right w:type="dxa" w:w="105"/>
                  </w:tcMar>
                  <w:vAlign w:val="top"/>
                </w:tcPr>
                <w:p>
                  <w:pPr>
                    <w:pStyle w:val="null3"/>
                    <w:jc w:val="both"/>
                  </w:pPr>
                  <w:r>
                    <w:rPr>
                      <w:rFonts w:ascii="仿宋_GB2312" w:hAnsi="仿宋_GB2312" w:cs="仿宋_GB2312" w:eastAsia="仿宋_GB2312"/>
                      <w:sz w:val="21"/>
                      <w:color w:val="0D0D0D"/>
                    </w:rPr>
                    <w:t>环境要素</w:t>
                  </w:r>
                </w:p>
              </w:tc>
              <w:tc>
                <w:tcPr>
                  <w:tcW w:type="dxa" w:w="453"/>
                  <w:tcBorders>
                    <w:top w:val="none" w:color="000000" w:sz="4"/>
                    <w:left w:val="none" w:color="000000" w:sz="4"/>
                    <w:bottom w:val="single" w:color="000000" w:sz="4"/>
                    <w:right w:val="single" w:color="000000" w:sz="4"/>
                  </w:tcBorders>
                  <w:tcMar>
                    <w:top w:type="dxa" w:w="30"/>
                    <w:left w:type="dxa" w:w="105"/>
                    <w:bottom w:type="dxa" w:w="30"/>
                    <w:right w:type="dxa" w:w="105"/>
                  </w:tcMar>
                  <w:vAlign w:val="top"/>
                </w:tcPr>
                <w:p>
                  <w:pPr>
                    <w:pStyle w:val="null3"/>
                    <w:jc w:val="both"/>
                  </w:pPr>
                  <w:r>
                    <w:rPr>
                      <w:rFonts w:ascii="仿宋_GB2312" w:hAnsi="仿宋_GB2312" w:cs="仿宋_GB2312" w:eastAsia="仿宋_GB2312"/>
                      <w:sz w:val="21"/>
                      <w:color w:val="0D0D0D"/>
                    </w:rPr>
                    <w:t>水环境</w:t>
                  </w:r>
                </w:p>
              </w:tc>
              <w:tc>
                <w:tcPr>
                  <w:tcW w:type="dxa" w:w="1085"/>
                  <w:tcBorders>
                    <w:top w:val="none" w:color="000000" w:sz="4"/>
                    <w:left w:val="none" w:color="000000" w:sz="4"/>
                    <w:bottom w:val="single" w:color="000000" w:sz="4"/>
                    <w:right w:val="single" w:color="000000" w:sz="4"/>
                  </w:tcBorders>
                  <w:tcMar>
                    <w:top w:type="dxa" w:w="30"/>
                    <w:left w:type="dxa" w:w="105"/>
                    <w:bottom w:type="dxa" w:w="30"/>
                    <w:right w:type="dxa" w:w="105"/>
                  </w:tcMar>
                  <w:vAlign w:val="top"/>
                </w:tcPr>
                <w:p>
                  <w:pPr>
                    <w:pStyle w:val="null3"/>
                    <w:jc w:val="both"/>
                  </w:pPr>
                  <w:r>
                    <w:rPr>
                      <w:rFonts w:ascii="仿宋_GB2312" w:hAnsi="仿宋_GB2312" w:cs="仿宋_GB2312" w:eastAsia="仿宋_GB2312"/>
                      <w:sz w:val="21"/>
                      <w:color w:val="0D0D0D"/>
                    </w:rPr>
                    <w:t>近岸海水水质：水色、水温、盐度、透明度、pH值、溶解氧、硝酸盐、亚硝酸盐、活性磷酸盐、氨盐、悬浮物</w:t>
                  </w:r>
                </w:p>
              </w:tc>
              <w:tc>
                <w:tcPr>
                  <w:tcW w:type="dxa" w:w="686"/>
                  <w:vMerge w:val="restart"/>
                  <w:tcBorders>
                    <w:top w:val="none" w:color="000000" w:sz="4"/>
                    <w:left w:val="none" w:color="000000" w:sz="4"/>
                    <w:bottom w:val="single" w:color="000000" w:sz="4"/>
                    <w:right w:val="single" w:color="000000" w:sz="4"/>
                  </w:tcBorders>
                  <w:tcMar>
                    <w:top w:type="dxa" w:w="30"/>
                    <w:left w:type="dxa" w:w="105"/>
                    <w:bottom w:type="dxa" w:w="30"/>
                    <w:right w:type="dxa" w:w="105"/>
                  </w:tcMar>
                  <w:vAlign w:val="top"/>
                </w:tcPr>
                <w:p>
                  <w:pPr>
                    <w:pStyle w:val="null3"/>
                    <w:jc w:val="both"/>
                  </w:pPr>
                  <w:r>
                    <w:rPr>
                      <w:rFonts w:ascii="仿宋_GB2312" w:hAnsi="仿宋_GB2312" w:cs="仿宋_GB2312" w:eastAsia="仿宋_GB2312"/>
                      <w:sz w:val="21"/>
                      <w:color w:val="0D0D0D"/>
                    </w:rPr>
                    <w:t>现场调查、资料收集</w:t>
                  </w:r>
                </w:p>
              </w:tc>
            </w:tr>
            <w:tr>
              <w:tc>
                <w:tcPr>
                  <w:tcW w:type="dxa" w:w="316"/>
                  <w:vMerge/>
                  <w:tcBorders>
                    <w:top w:val="none" w:color="000000" w:sz="4"/>
                    <w:left w:val="single" w:color="000000" w:sz="4"/>
                    <w:bottom w:val="single" w:color="000000" w:sz="4"/>
                    <w:right w:val="single" w:color="000000" w:sz="4"/>
                  </w:tcBorders>
                </w:tcPr>
                <w:p/>
              </w:tc>
              <w:tc>
                <w:tcPr>
                  <w:tcW w:type="dxa" w:w="453"/>
                  <w:tcBorders>
                    <w:top w:val="none" w:color="000000" w:sz="4"/>
                    <w:left w:val="none" w:color="000000" w:sz="4"/>
                    <w:bottom w:val="single" w:color="000000" w:sz="4"/>
                    <w:right w:val="single" w:color="000000" w:sz="4"/>
                  </w:tcBorders>
                  <w:tcMar>
                    <w:top w:type="dxa" w:w="30"/>
                    <w:left w:type="dxa" w:w="105"/>
                    <w:bottom w:type="dxa" w:w="30"/>
                    <w:right w:type="dxa" w:w="105"/>
                  </w:tcMar>
                  <w:vAlign w:val="top"/>
                </w:tcPr>
                <w:p>
                  <w:pPr>
                    <w:pStyle w:val="null3"/>
                    <w:jc w:val="both"/>
                  </w:pPr>
                  <w:r>
                    <w:rPr>
                      <w:rFonts w:ascii="仿宋_GB2312" w:hAnsi="仿宋_GB2312" w:cs="仿宋_GB2312" w:eastAsia="仿宋_GB2312"/>
                      <w:sz w:val="21"/>
                      <w:color w:val="0D0D0D"/>
                    </w:rPr>
                    <w:t>底质环境</w:t>
                  </w:r>
                </w:p>
              </w:tc>
              <w:tc>
                <w:tcPr>
                  <w:tcW w:type="dxa" w:w="1085"/>
                  <w:tcBorders>
                    <w:top w:val="none" w:color="000000" w:sz="4"/>
                    <w:left w:val="none" w:color="000000" w:sz="4"/>
                    <w:bottom w:val="single" w:color="000000" w:sz="4"/>
                    <w:right w:val="single" w:color="000000" w:sz="4"/>
                  </w:tcBorders>
                  <w:tcMar>
                    <w:top w:type="dxa" w:w="30"/>
                    <w:left w:type="dxa" w:w="105"/>
                    <w:bottom w:type="dxa" w:w="30"/>
                    <w:right w:type="dxa" w:w="105"/>
                  </w:tcMar>
                  <w:vAlign w:val="top"/>
                </w:tcPr>
                <w:p>
                  <w:pPr>
                    <w:pStyle w:val="null3"/>
                    <w:jc w:val="both"/>
                  </w:pPr>
                  <w:r>
                    <w:rPr>
                      <w:rFonts w:ascii="仿宋_GB2312" w:hAnsi="仿宋_GB2312" w:cs="仿宋_GB2312" w:eastAsia="仿宋_GB2312"/>
                      <w:sz w:val="21"/>
                      <w:color w:val="0D0D0D"/>
                    </w:rPr>
                    <w:t>潮间带沉积物质量：粪大肠菌群、油类、有机碳、硫化物</w:t>
                  </w:r>
                </w:p>
              </w:tc>
              <w:tc>
                <w:tcPr>
                  <w:tcW w:type="dxa" w:w="686"/>
                  <w:vMerge/>
                  <w:tcBorders>
                    <w:top w:val="none" w:color="000000" w:sz="4"/>
                    <w:left w:val="none" w:color="000000" w:sz="4"/>
                    <w:bottom w:val="single" w:color="000000" w:sz="4"/>
                    <w:right w:val="single" w:color="000000" w:sz="4"/>
                  </w:tcBorders>
                </w:tcPr>
                <w:p/>
              </w:tc>
            </w:tr>
            <w:tr>
              <w:tc>
                <w:tcPr>
                  <w:tcW w:type="dxa" w:w="316"/>
                  <w:vMerge w:val="restart"/>
                  <w:tcBorders>
                    <w:top w:val="none" w:color="000000" w:sz="4"/>
                    <w:left w:val="single" w:color="000000" w:sz="4"/>
                    <w:bottom w:val="single" w:color="000000" w:sz="4"/>
                    <w:right w:val="single" w:color="000000" w:sz="4"/>
                  </w:tcBorders>
                  <w:tcMar>
                    <w:top w:type="dxa" w:w="30"/>
                    <w:left w:type="dxa" w:w="105"/>
                    <w:bottom w:type="dxa" w:w="30"/>
                    <w:right w:type="dxa" w:w="105"/>
                  </w:tcMar>
                  <w:vAlign w:val="top"/>
                </w:tcPr>
                <w:p>
                  <w:pPr>
                    <w:pStyle w:val="null3"/>
                    <w:jc w:val="both"/>
                  </w:pPr>
                  <w:r>
                    <w:rPr>
                      <w:rFonts w:ascii="仿宋_GB2312" w:hAnsi="仿宋_GB2312" w:cs="仿宋_GB2312" w:eastAsia="仿宋_GB2312"/>
                      <w:sz w:val="21"/>
                      <w:color w:val="0D0D0D"/>
                    </w:rPr>
                    <w:t>威胁因素</w:t>
                  </w:r>
                </w:p>
              </w:tc>
              <w:tc>
                <w:tcPr>
                  <w:tcW w:type="dxa" w:w="453"/>
                  <w:tcBorders>
                    <w:top w:val="none" w:color="000000" w:sz="4"/>
                    <w:left w:val="none" w:color="000000" w:sz="4"/>
                    <w:bottom w:val="single" w:color="000000" w:sz="4"/>
                    <w:right w:val="single" w:color="000000" w:sz="4"/>
                  </w:tcBorders>
                  <w:tcMar>
                    <w:top w:type="dxa" w:w="30"/>
                    <w:left w:type="dxa" w:w="105"/>
                    <w:bottom w:type="dxa" w:w="30"/>
                    <w:right w:type="dxa" w:w="105"/>
                  </w:tcMar>
                  <w:vAlign w:val="top"/>
                </w:tcPr>
                <w:p>
                  <w:pPr>
                    <w:pStyle w:val="null3"/>
                    <w:jc w:val="both"/>
                  </w:pPr>
                  <w:r>
                    <w:rPr>
                      <w:rFonts w:ascii="仿宋_GB2312" w:hAnsi="仿宋_GB2312" w:cs="仿宋_GB2312" w:eastAsia="仿宋_GB2312"/>
                      <w:sz w:val="21"/>
                      <w:color w:val="0D0D0D"/>
                    </w:rPr>
                    <w:t>自然因素</w:t>
                  </w:r>
                </w:p>
              </w:tc>
              <w:tc>
                <w:tcPr>
                  <w:tcW w:type="dxa" w:w="1085"/>
                  <w:tcBorders>
                    <w:top w:val="none" w:color="000000" w:sz="4"/>
                    <w:left w:val="none" w:color="000000" w:sz="4"/>
                    <w:bottom w:val="single" w:color="000000" w:sz="4"/>
                    <w:right w:val="single" w:color="000000" w:sz="4"/>
                  </w:tcBorders>
                  <w:tcMar>
                    <w:top w:type="dxa" w:w="30"/>
                    <w:left w:type="dxa" w:w="105"/>
                    <w:bottom w:type="dxa" w:w="30"/>
                    <w:right w:type="dxa" w:w="105"/>
                  </w:tcMar>
                  <w:vAlign w:val="top"/>
                </w:tcPr>
                <w:p>
                  <w:pPr>
                    <w:pStyle w:val="null3"/>
                    <w:jc w:val="both"/>
                  </w:pPr>
                  <w:r>
                    <w:rPr>
                      <w:rFonts w:ascii="仿宋_GB2312" w:hAnsi="仿宋_GB2312" w:cs="仿宋_GB2312" w:eastAsia="仿宋_GB2312"/>
                      <w:sz w:val="21"/>
                      <w:color w:val="0D0D0D"/>
                    </w:rPr>
                    <w:t>台风、风暴潮</w:t>
                  </w:r>
                </w:p>
              </w:tc>
              <w:tc>
                <w:tcPr>
                  <w:tcW w:type="dxa" w:w="686"/>
                  <w:vMerge w:val="restart"/>
                  <w:tcBorders>
                    <w:top w:val="none" w:color="000000" w:sz="4"/>
                    <w:left w:val="none" w:color="000000" w:sz="4"/>
                    <w:bottom w:val="single" w:color="000000" w:sz="4"/>
                    <w:right w:val="single" w:color="000000" w:sz="4"/>
                  </w:tcBorders>
                  <w:tcMar>
                    <w:top w:type="dxa" w:w="30"/>
                    <w:left w:type="dxa" w:w="105"/>
                    <w:bottom w:type="dxa" w:w="30"/>
                    <w:right w:type="dxa" w:w="105"/>
                  </w:tcMar>
                  <w:vAlign w:val="top"/>
                </w:tcPr>
                <w:p>
                  <w:pPr>
                    <w:pStyle w:val="null3"/>
                    <w:jc w:val="both"/>
                  </w:pPr>
                  <w:r>
                    <w:rPr>
                      <w:rFonts w:ascii="仿宋_GB2312" w:hAnsi="仿宋_GB2312" w:cs="仿宋_GB2312" w:eastAsia="仿宋_GB2312"/>
                      <w:sz w:val="21"/>
                      <w:color w:val="0D0D0D"/>
                    </w:rPr>
                    <w:t>资料收集、现场调查、社会调查</w:t>
                  </w:r>
                </w:p>
              </w:tc>
            </w:tr>
            <w:tr>
              <w:tc>
                <w:tcPr>
                  <w:tcW w:type="dxa" w:w="316"/>
                  <w:vMerge/>
                  <w:tcBorders>
                    <w:top w:val="none" w:color="000000" w:sz="4"/>
                    <w:left w:val="single" w:color="000000" w:sz="4"/>
                    <w:bottom w:val="single" w:color="000000" w:sz="4"/>
                    <w:right w:val="single" w:color="000000" w:sz="4"/>
                  </w:tcBorders>
                </w:tcPr>
                <w:p/>
              </w:tc>
              <w:tc>
                <w:tcPr>
                  <w:tcW w:type="dxa" w:w="453"/>
                  <w:tcBorders>
                    <w:top w:val="none" w:color="000000" w:sz="4"/>
                    <w:left w:val="none" w:color="000000" w:sz="4"/>
                    <w:bottom w:val="single" w:color="000000" w:sz="4"/>
                    <w:right w:val="single" w:color="000000" w:sz="4"/>
                  </w:tcBorders>
                  <w:tcMar>
                    <w:top w:type="dxa" w:w="30"/>
                    <w:left w:type="dxa" w:w="105"/>
                    <w:bottom w:type="dxa" w:w="30"/>
                    <w:right w:type="dxa" w:w="105"/>
                  </w:tcMar>
                  <w:vAlign w:val="top"/>
                </w:tcPr>
                <w:p>
                  <w:pPr>
                    <w:pStyle w:val="null3"/>
                    <w:jc w:val="both"/>
                  </w:pPr>
                  <w:r>
                    <w:rPr>
                      <w:rFonts w:ascii="仿宋_GB2312" w:hAnsi="仿宋_GB2312" w:cs="仿宋_GB2312" w:eastAsia="仿宋_GB2312"/>
                      <w:sz w:val="21"/>
                      <w:color w:val="0D0D0D"/>
                    </w:rPr>
                    <w:t>人为因素</w:t>
                  </w:r>
                </w:p>
              </w:tc>
              <w:tc>
                <w:tcPr>
                  <w:tcW w:type="dxa" w:w="1085"/>
                  <w:tcBorders>
                    <w:top w:val="none" w:color="000000" w:sz="4"/>
                    <w:left w:val="none" w:color="000000" w:sz="4"/>
                    <w:bottom w:val="single" w:color="000000" w:sz="4"/>
                    <w:right w:val="single" w:color="000000" w:sz="4"/>
                  </w:tcBorders>
                  <w:tcMar>
                    <w:top w:type="dxa" w:w="30"/>
                    <w:left w:type="dxa" w:w="105"/>
                    <w:bottom w:type="dxa" w:w="30"/>
                    <w:right w:type="dxa" w:w="105"/>
                  </w:tcMar>
                  <w:vAlign w:val="top"/>
                </w:tcPr>
                <w:p>
                  <w:pPr>
                    <w:pStyle w:val="null3"/>
                    <w:jc w:val="both"/>
                  </w:pPr>
                  <w:r>
                    <w:rPr>
                      <w:rFonts w:ascii="仿宋_GB2312" w:hAnsi="仿宋_GB2312" w:cs="仿宋_GB2312" w:eastAsia="仿宋_GB2312"/>
                      <w:sz w:val="21"/>
                      <w:color w:val="0D0D0D"/>
                    </w:rPr>
                    <w:t>海岸构筑物、海水污染、采捕养殖、人工采砂、滥砍乱伐、森林灾害、海滩垃圾等</w:t>
                  </w:r>
                </w:p>
              </w:tc>
              <w:tc>
                <w:tcPr>
                  <w:tcW w:type="dxa" w:w="686"/>
                  <w:vMerge/>
                  <w:tcBorders>
                    <w:top w:val="none" w:color="000000" w:sz="4"/>
                    <w:left w:val="none" w:color="000000" w:sz="4"/>
                    <w:bottom w:val="single" w:color="000000" w:sz="4"/>
                    <w:right w:val="single" w:color="000000" w:sz="4"/>
                  </w:tcBorders>
                </w:tcPr>
                <w:p/>
              </w:tc>
            </w:tr>
          </w:tbl>
          <w:p>
            <w:pPr>
              <w:pStyle w:val="null3"/>
              <w:jc w:val="left"/>
            </w:pPr>
            <w:r>
              <w:rPr>
                <w:rFonts w:ascii="仿宋_GB2312" w:hAnsi="仿宋_GB2312" w:cs="仿宋_GB2312" w:eastAsia="仿宋_GB2312"/>
              </w:rPr>
              <w:t>（3）监测站位</w:t>
            </w:r>
            <w:r>
              <w:br/>
            </w:r>
            <w:r>
              <w:rPr>
                <w:rFonts w:ascii="仿宋_GB2312" w:hAnsi="仿宋_GB2312" w:cs="仿宋_GB2312" w:eastAsia="仿宋_GB2312"/>
              </w:rPr>
              <w:t xml:space="preserve"> 监测站位设置满足但不限于以下要求：在三亚亚龙湾砂质海岸布设一条测量岸线，8条地形剖面，每条地形剖面分别在沙丘、滩肩、高潮带、中潮带、低潮带、近岸水下等代表性位置各设置1个表层沉积物取样点，每条剖面布设6个沉积物采样点。布设2条环境要素调查断面，每条断面3个站位，共6个站位，开展水质和沉积物质量调查，布设3条大型底栖生物调查断面。后滨植被调查站位根据现场踏勘的结果进行现场布设。（具体调查站位可根据实际勘测的结果调整）。</w:t>
            </w:r>
          </w:p>
          <w:p>
            <w:pPr>
              <w:pStyle w:val="null3"/>
              <w:jc w:val="center"/>
            </w:pPr>
            <w:r>
              <w:rPr>
                <w:rFonts w:ascii="仿宋_GB2312" w:hAnsi="仿宋_GB2312" w:cs="仿宋_GB2312" w:eastAsia="仿宋_GB2312"/>
                <w:b/>
              </w:rPr>
              <w:t>表2 三亚亚龙湾砂质海岸生态预警监测站位</w:t>
            </w:r>
          </w:p>
          <w:tbl>
            <w:tblPr>
              <w:tblBorders>
                <w:top w:val="none" w:color="000000" w:sz="4"/>
                <w:left w:val="none" w:color="000000" w:sz="4"/>
                <w:bottom w:val="none" w:color="000000" w:sz="4"/>
                <w:right w:val="none" w:color="000000" w:sz="4"/>
                <w:insideH w:val="none"/>
                <w:insideV w:val="none"/>
              </w:tblBorders>
            </w:tblPr>
            <w:tblGrid>
              <w:gridCol w:w="309"/>
              <w:gridCol w:w="329"/>
              <w:gridCol w:w="443"/>
              <w:gridCol w:w="435"/>
              <w:gridCol w:w="431"/>
              <w:gridCol w:w="415"/>
              <w:gridCol w:w="172"/>
            </w:tblGrid>
            <w:tr>
              <w:tc>
                <w:tcPr>
                  <w:tcW w:type="dxa" w:w="309"/>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b/>
                    </w:rPr>
                    <w:t>调查区域</w:t>
                  </w:r>
                </w:p>
              </w:tc>
              <w:tc>
                <w:tcPr>
                  <w:tcW w:type="dxa" w:w="329"/>
                  <w:tcBorders>
                    <w:top w:val="singl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b/>
                    </w:rPr>
                    <w:t>调查内容</w:t>
                  </w:r>
                </w:p>
              </w:tc>
              <w:tc>
                <w:tcPr>
                  <w:tcW w:type="dxa" w:w="878"/>
                  <w:gridSpan w:val="2"/>
                  <w:tcBorders>
                    <w:top w:val="singl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422"/>
                    <w:jc w:val="both"/>
                  </w:pPr>
                  <w:r>
                    <w:rPr>
                      <w:rFonts w:ascii="仿宋_GB2312" w:hAnsi="仿宋_GB2312" w:cs="仿宋_GB2312" w:eastAsia="仿宋_GB2312"/>
                      <w:sz w:val="21"/>
                      <w:b/>
                    </w:rPr>
                    <w:t>经度（</w:t>
                  </w:r>
                  <w:r>
                    <w:rPr>
                      <w:rFonts w:ascii="仿宋_GB2312" w:hAnsi="仿宋_GB2312" w:cs="仿宋_GB2312" w:eastAsia="仿宋_GB2312"/>
                      <w:sz w:val="21"/>
                      <w:b/>
                    </w:rPr>
                    <w:t>E</w:t>
                  </w:r>
                  <w:r>
                    <w:rPr>
                      <w:rFonts w:ascii="仿宋_GB2312" w:hAnsi="仿宋_GB2312" w:cs="仿宋_GB2312" w:eastAsia="仿宋_GB2312"/>
                      <w:sz w:val="21"/>
                      <w:b/>
                    </w:rPr>
                    <w:t>）</w:t>
                  </w:r>
                </w:p>
              </w:tc>
              <w:tc>
                <w:tcPr>
                  <w:tcW w:type="dxa" w:w="846"/>
                  <w:gridSpan w:val="2"/>
                  <w:tcBorders>
                    <w:top w:val="singl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422"/>
                    <w:jc w:val="both"/>
                  </w:pPr>
                  <w:r>
                    <w:rPr>
                      <w:rFonts w:ascii="仿宋_GB2312" w:hAnsi="仿宋_GB2312" w:cs="仿宋_GB2312" w:eastAsia="仿宋_GB2312"/>
                      <w:sz w:val="21"/>
                      <w:b/>
                    </w:rPr>
                    <w:t>纬度（</w:t>
                  </w:r>
                  <w:r>
                    <w:rPr>
                      <w:rFonts w:ascii="仿宋_GB2312" w:hAnsi="仿宋_GB2312" w:cs="仿宋_GB2312" w:eastAsia="仿宋_GB2312"/>
                      <w:sz w:val="21"/>
                      <w:b/>
                    </w:rPr>
                    <w:t>N</w:t>
                  </w:r>
                  <w:r>
                    <w:rPr>
                      <w:rFonts w:ascii="仿宋_GB2312" w:hAnsi="仿宋_GB2312" w:cs="仿宋_GB2312" w:eastAsia="仿宋_GB2312"/>
                      <w:sz w:val="21"/>
                      <w:b/>
                    </w:rPr>
                    <w:t>）</w:t>
                  </w:r>
                </w:p>
              </w:tc>
              <w:tc>
                <w:tcPr>
                  <w:tcW w:type="dxa" w:w="172"/>
                  <w:tcBorders>
                    <w:top w:val="singl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b/>
                    </w:rPr>
                    <w:t>备注</w:t>
                  </w:r>
                </w:p>
              </w:tc>
            </w:tr>
            <w:tr>
              <w:tc>
                <w:tcPr>
                  <w:tcW w:type="dxa" w:w="309"/>
                  <w:vMerge w:val="restart"/>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spacing w:before="105" w:after="105"/>
                    <w:ind w:left="180"/>
                    <w:jc w:val="both"/>
                  </w:pPr>
                  <w:r>
                    <w:rPr>
                      <w:rFonts w:ascii="仿宋_GB2312" w:hAnsi="仿宋_GB2312" w:cs="仿宋_GB2312" w:eastAsia="仿宋_GB2312"/>
                      <w:sz w:val="21"/>
                    </w:rPr>
                    <w:t>三亚亚龙湾砂质海岸</w:t>
                  </w:r>
                </w:p>
              </w:tc>
              <w:tc>
                <w:tcPr>
                  <w:tcW w:type="dxa" w:w="329"/>
                  <w:vMerge w:val="restart"/>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174"/>
                    <w:jc w:val="both"/>
                  </w:pPr>
                  <w:r>
                    <w:rPr>
                      <w:rFonts w:ascii="仿宋_GB2312" w:hAnsi="仿宋_GB2312" w:cs="仿宋_GB2312" w:eastAsia="仿宋_GB2312"/>
                      <w:sz w:val="21"/>
                    </w:rPr>
                    <w:t>岸线</w:t>
                  </w:r>
                </w:p>
              </w:tc>
              <w:tc>
                <w:tcPr>
                  <w:tcW w:type="dxa" w:w="44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189"/>
                    <w:jc w:val="both"/>
                  </w:pPr>
                  <w:r>
                    <w:rPr>
                      <w:rFonts w:ascii="仿宋_GB2312" w:hAnsi="仿宋_GB2312" w:cs="仿宋_GB2312" w:eastAsia="仿宋_GB2312"/>
                      <w:sz w:val="21"/>
                    </w:rPr>
                    <w:t>起点经度</w:t>
                  </w:r>
                </w:p>
              </w:tc>
              <w:tc>
                <w:tcPr>
                  <w:tcW w:type="dxa" w:w="43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189"/>
                    <w:jc w:val="both"/>
                  </w:pPr>
                  <w:r>
                    <w:rPr>
                      <w:rFonts w:ascii="仿宋_GB2312" w:hAnsi="仿宋_GB2312" w:cs="仿宋_GB2312" w:eastAsia="仿宋_GB2312"/>
                      <w:sz w:val="21"/>
                    </w:rPr>
                    <w:t>终点经度</w:t>
                  </w:r>
                </w:p>
              </w:tc>
              <w:tc>
                <w:tcPr>
                  <w:tcW w:type="dxa" w:w="431"/>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189"/>
                    <w:jc w:val="both"/>
                  </w:pPr>
                  <w:r>
                    <w:rPr>
                      <w:rFonts w:ascii="仿宋_GB2312" w:hAnsi="仿宋_GB2312" w:cs="仿宋_GB2312" w:eastAsia="仿宋_GB2312"/>
                      <w:sz w:val="21"/>
                    </w:rPr>
                    <w:t>起点纬度</w:t>
                  </w:r>
                </w:p>
              </w:tc>
              <w:tc>
                <w:tcPr>
                  <w:tcW w:type="dxa" w:w="415"/>
                  <w:tcBorders>
                    <w:top w:val="singl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rPr>
                    <w:t>终点纬度</w:t>
                  </w:r>
                </w:p>
              </w:tc>
              <w:tc>
                <w:tcPr>
                  <w:tcW w:type="dxa" w:w="172"/>
                  <w:vMerge w:val="restart"/>
                  <w:tcBorders>
                    <w:top w:val="singl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rPr>
                    <w:t>海滩特征调查</w:t>
                  </w:r>
                </w:p>
              </w:tc>
            </w:tr>
            <w:tr>
              <w:tc>
                <w:tcPr>
                  <w:tcW w:type="dxa" w:w="309"/>
                  <w:vMerge/>
                  <w:tcBorders>
                    <w:top w:val="none" w:color="000000" w:sz="4"/>
                    <w:left w:val="single" w:color="000000" w:sz="4"/>
                    <w:bottom w:val="single" w:color="000000" w:sz="4"/>
                    <w:right w:val="single" w:color="000000" w:sz="4"/>
                  </w:tcBorders>
                </w:tcPr>
                <w:p/>
              </w:tc>
              <w:tc>
                <w:tcPr>
                  <w:tcW w:type="dxa" w:w="329"/>
                  <w:vMerge/>
                  <w:tcBorders>
                    <w:top w:val="none" w:color="000000" w:sz="4"/>
                    <w:left w:val="none" w:color="000000" w:sz="4"/>
                    <w:bottom w:val="single" w:color="000000" w:sz="4"/>
                    <w:right w:val="single" w:color="000000" w:sz="4"/>
                  </w:tcBorders>
                </w:tcPr>
                <w:p/>
              </w:tc>
              <w:tc>
                <w:tcPr>
                  <w:tcW w:type="dxa" w:w="44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109</w:t>
                  </w:r>
                  <w:r>
                    <w:rPr>
                      <w:rFonts w:ascii="仿宋_GB2312" w:hAnsi="仿宋_GB2312" w:cs="仿宋_GB2312" w:eastAsia="仿宋_GB2312"/>
                      <w:sz w:val="21"/>
                      <w:color w:val="000000"/>
                    </w:rPr>
                    <w:t>°</w:t>
                  </w:r>
                  <w:r>
                    <w:rPr>
                      <w:rFonts w:ascii="仿宋_GB2312" w:hAnsi="仿宋_GB2312" w:cs="仿宋_GB2312" w:eastAsia="仿宋_GB2312"/>
                      <w:sz w:val="21"/>
                      <w:color w:val="000000"/>
                    </w:rPr>
                    <w:t>36</w:t>
                  </w:r>
                  <w:r>
                    <w:rPr>
                      <w:rFonts w:ascii="仿宋_GB2312" w:hAnsi="仿宋_GB2312" w:cs="仿宋_GB2312" w:eastAsia="仿宋_GB2312"/>
                      <w:sz w:val="21"/>
                      <w:color w:val="000000"/>
                    </w:rPr>
                    <w:t>′</w:t>
                  </w:r>
                  <w:r>
                    <w:rPr>
                      <w:rFonts w:ascii="仿宋_GB2312" w:hAnsi="仿宋_GB2312" w:cs="仿宋_GB2312" w:eastAsia="仿宋_GB2312"/>
                      <w:sz w:val="21"/>
                      <w:color w:val="000000"/>
                    </w:rPr>
                    <w:t>44.175</w:t>
                  </w:r>
                  <w:r>
                    <w:rPr>
                      <w:rFonts w:ascii="仿宋_GB2312" w:hAnsi="仿宋_GB2312" w:cs="仿宋_GB2312" w:eastAsia="仿宋_GB2312"/>
                      <w:sz w:val="21"/>
                      <w:color w:val="000000"/>
                    </w:rPr>
                    <w:t>″</w:t>
                  </w:r>
                </w:p>
              </w:tc>
              <w:tc>
                <w:tcPr>
                  <w:tcW w:type="dxa" w:w="435"/>
                  <w:tcBorders>
                    <w:top w:val="none" w:color="000000" w:sz="4"/>
                    <w:left w:val="none" w:color="000000" w:sz="4"/>
                    <w:bottom w:val="non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109</w:t>
                  </w:r>
                  <w:r>
                    <w:rPr>
                      <w:rFonts w:ascii="仿宋_GB2312" w:hAnsi="仿宋_GB2312" w:cs="仿宋_GB2312" w:eastAsia="仿宋_GB2312"/>
                      <w:sz w:val="21"/>
                      <w:color w:val="000000"/>
                    </w:rPr>
                    <w:t>°</w:t>
                  </w:r>
                  <w:r>
                    <w:rPr>
                      <w:rFonts w:ascii="仿宋_GB2312" w:hAnsi="仿宋_GB2312" w:cs="仿宋_GB2312" w:eastAsia="仿宋_GB2312"/>
                      <w:sz w:val="21"/>
                      <w:color w:val="000000"/>
                    </w:rPr>
                    <w:t>39</w:t>
                  </w:r>
                  <w:r>
                    <w:rPr>
                      <w:rFonts w:ascii="仿宋_GB2312" w:hAnsi="仿宋_GB2312" w:cs="仿宋_GB2312" w:eastAsia="仿宋_GB2312"/>
                      <w:sz w:val="21"/>
                      <w:color w:val="000000"/>
                    </w:rPr>
                    <w:t>′</w:t>
                  </w:r>
                  <w:r>
                    <w:rPr>
                      <w:rFonts w:ascii="仿宋_GB2312" w:hAnsi="仿宋_GB2312" w:cs="仿宋_GB2312" w:eastAsia="仿宋_GB2312"/>
                      <w:sz w:val="21"/>
                      <w:color w:val="000000"/>
                    </w:rPr>
                    <w:t>10.329</w:t>
                  </w:r>
                  <w:r>
                    <w:rPr>
                      <w:rFonts w:ascii="仿宋_GB2312" w:hAnsi="仿宋_GB2312" w:cs="仿宋_GB2312" w:eastAsia="仿宋_GB2312"/>
                      <w:sz w:val="21"/>
                      <w:color w:val="000000"/>
                    </w:rPr>
                    <w:t>″</w:t>
                  </w:r>
                </w:p>
              </w:tc>
              <w:tc>
                <w:tcPr>
                  <w:tcW w:type="dxa" w:w="431"/>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18</w:t>
                  </w:r>
                  <w:r>
                    <w:rPr>
                      <w:rFonts w:ascii="仿宋_GB2312" w:hAnsi="仿宋_GB2312" w:cs="仿宋_GB2312" w:eastAsia="仿宋_GB2312"/>
                      <w:sz w:val="21"/>
                      <w:color w:val="000000"/>
                    </w:rPr>
                    <w:t>°</w:t>
                  </w:r>
                  <w:r>
                    <w:rPr>
                      <w:rFonts w:ascii="仿宋_GB2312" w:hAnsi="仿宋_GB2312" w:cs="仿宋_GB2312" w:eastAsia="仿宋_GB2312"/>
                      <w:sz w:val="21"/>
                      <w:color w:val="000000"/>
                    </w:rPr>
                    <w:t>12</w:t>
                  </w:r>
                  <w:r>
                    <w:rPr>
                      <w:rFonts w:ascii="仿宋_GB2312" w:hAnsi="仿宋_GB2312" w:cs="仿宋_GB2312" w:eastAsia="仿宋_GB2312"/>
                      <w:sz w:val="21"/>
                      <w:color w:val="000000"/>
                    </w:rPr>
                    <w:t>′</w:t>
                  </w:r>
                  <w:r>
                    <w:rPr>
                      <w:rFonts w:ascii="仿宋_GB2312" w:hAnsi="仿宋_GB2312" w:cs="仿宋_GB2312" w:eastAsia="仿宋_GB2312"/>
                      <w:sz w:val="21"/>
                      <w:color w:val="000000"/>
                    </w:rPr>
                    <w:t>55.274</w:t>
                  </w:r>
                  <w:r>
                    <w:rPr>
                      <w:rFonts w:ascii="仿宋_GB2312" w:hAnsi="仿宋_GB2312" w:cs="仿宋_GB2312" w:eastAsia="仿宋_GB2312"/>
                      <w:sz w:val="21"/>
                      <w:color w:val="000000"/>
                    </w:rPr>
                    <w:t>″</w:t>
                  </w:r>
                </w:p>
              </w:tc>
              <w:tc>
                <w:tcPr>
                  <w:tcW w:type="dxa" w:w="41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18</w:t>
                  </w:r>
                  <w:r>
                    <w:rPr>
                      <w:rFonts w:ascii="仿宋_GB2312" w:hAnsi="仿宋_GB2312" w:cs="仿宋_GB2312" w:eastAsia="仿宋_GB2312"/>
                      <w:sz w:val="21"/>
                      <w:color w:val="000000"/>
                    </w:rPr>
                    <w:t>°</w:t>
                  </w:r>
                  <w:r>
                    <w:rPr>
                      <w:rFonts w:ascii="仿宋_GB2312" w:hAnsi="仿宋_GB2312" w:cs="仿宋_GB2312" w:eastAsia="仿宋_GB2312"/>
                      <w:sz w:val="21"/>
                      <w:color w:val="000000"/>
                    </w:rPr>
                    <w:t>13</w:t>
                  </w:r>
                  <w:r>
                    <w:rPr>
                      <w:rFonts w:ascii="仿宋_GB2312" w:hAnsi="仿宋_GB2312" w:cs="仿宋_GB2312" w:eastAsia="仿宋_GB2312"/>
                      <w:sz w:val="21"/>
                      <w:color w:val="000000"/>
                    </w:rPr>
                    <w:t>′</w:t>
                  </w:r>
                  <w:r>
                    <w:rPr>
                      <w:rFonts w:ascii="仿宋_GB2312" w:hAnsi="仿宋_GB2312" w:cs="仿宋_GB2312" w:eastAsia="仿宋_GB2312"/>
                      <w:sz w:val="21"/>
                      <w:color w:val="000000"/>
                    </w:rPr>
                    <w:t>59.631</w:t>
                  </w:r>
                  <w:r>
                    <w:rPr>
                      <w:rFonts w:ascii="仿宋_GB2312" w:hAnsi="仿宋_GB2312" w:cs="仿宋_GB2312" w:eastAsia="仿宋_GB2312"/>
                      <w:sz w:val="21"/>
                      <w:color w:val="000000"/>
                    </w:rPr>
                    <w:t>″</w:t>
                  </w:r>
                </w:p>
              </w:tc>
              <w:tc>
                <w:tcPr>
                  <w:tcW w:type="dxa" w:w="172"/>
                  <w:vMerge/>
                  <w:tcBorders>
                    <w:top w:val="single" w:color="000000" w:sz="4"/>
                    <w:left w:val="none" w:color="000000" w:sz="4"/>
                    <w:bottom w:val="single" w:color="000000" w:sz="4"/>
                    <w:right w:val="single" w:color="000000" w:sz="4"/>
                  </w:tcBorders>
                </w:tcPr>
                <w:p/>
              </w:tc>
            </w:tr>
            <w:tr>
              <w:tc>
                <w:tcPr>
                  <w:tcW w:type="dxa" w:w="309"/>
                  <w:vMerge/>
                  <w:tcBorders>
                    <w:top w:val="none" w:color="000000" w:sz="4"/>
                    <w:left w:val="single" w:color="000000" w:sz="4"/>
                    <w:bottom w:val="single" w:color="000000" w:sz="4"/>
                    <w:right w:val="single" w:color="000000" w:sz="4"/>
                  </w:tcBorders>
                </w:tcPr>
                <w:p/>
              </w:tc>
              <w:tc>
                <w:tcPr>
                  <w:tcW w:type="dxa" w:w="329"/>
                  <w:vMerge/>
                  <w:tcBorders>
                    <w:top w:val="none" w:color="000000" w:sz="4"/>
                    <w:left w:val="none" w:color="000000" w:sz="4"/>
                    <w:bottom w:val="single" w:color="000000" w:sz="4"/>
                    <w:right w:val="single" w:color="000000" w:sz="4"/>
                  </w:tcBorders>
                </w:tcPr>
                <w:p/>
              </w:tc>
              <w:tc>
                <w:tcPr>
                  <w:tcW w:type="dxa" w:w="1724"/>
                  <w:gridSpan w:val="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rPr>
                    <w:t>根据现场判断识别岸线，利用</w:t>
                  </w:r>
                  <w:r>
                    <w:rPr>
                      <w:rFonts w:ascii="仿宋_GB2312" w:hAnsi="仿宋_GB2312" w:cs="仿宋_GB2312" w:eastAsia="仿宋_GB2312"/>
                      <w:sz w:val="21"/>
                    </w:rPr>
                    <w:t>RTK</w:t>
                  </w:r>
                  <w:r>
                    <w:rPr>
                      <w:rFonts w:ascii="仿宋_GB2312" w:hAnsi="仿宋_GB2312" w:cs="仿宋_GB2312" w:eastAsia="仿宋_GB2312"/>
                      <w:sz w:val="21"/>
                    </w:rPr>
                    <w:t>、无人机调查，历史岸线采用遥感识别</w:t>
                  </w:r>
                </w:p>
              </w:tc>
              <w:tc>
                <w:tcPr>
                  <w:tcW w:type="dxa" w:w="172"/>
                  <w:vMerge/>
                  <w:tcBorders>
                    <w:top w:val="single" w:color="000000" w:sz="4"/>
                    <w:left w:val="none" w:color="000000" w:sz="4"/>
                    <w:bottom w:val="single" w:color="000000" w:sz="4"/>
                    <w:right w:val="single" w:color="000000" w:sz="4"/>
                  </w:tcBorders>
                </w:tcPr>
                <w:p/>
              </w:tc>
            </w:tr>
            <w:tr>
              <w:tc>
                <w:tcPr>
                  <w:tcW w:type="dxa" w:w="309"/>
                  <w:vMerge/>
                  <w:tcBorders>
                    <w:top w:val="none" w:color="000000" w:sz="4"/>
                    <w:left w:val="single" w:color="000000" w:sz="4"/>
                    <w:bottom w:val="single" w:color="000000" w:sz="4"/>
                    <w:right w:val="single" w:color="000000" w:sz="4"/>
                  </w:tcBorders>
                </w:tcPr>
                <w:p/>
              </w:tc>
              <w:tc>
                <w:tcPr>
                  <w:tcW w:type="dxa" w:w="329"/>
                  <w:vMerge w:val="restart"/>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rPr>
                    <w:t>地形剖面起点坐标</w:t>
                  </w:r>
                </w:p>
              </w:tc>
              <w:tc>
                <w:tcPr>
                  <w:tcW w:type="dxa" w:w="878"/>
                  <w:gridSpan w:val="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109.612144°</w:t>
                  </w:r>
                </w:p>
              </w:tc>
              <w:tc>
                <w:tcPr>
                  <w:tcW w:type="dxa" w:w="846"/>
                  <w:gridSpan w:val="2"/>
                  <w:tcBorders>
                    <w:top w:val="none" w:color="000000" w:sz="4"/>
                    <w:left w:val="none" w:color="000000" w:sz="4"/>
                    <w:bottom w:val="single" w:color="000000" w:sz="4"/>
                    <w:right w:val="non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18.215834°</w:t>
                  </w:r>
                </w:p>
              </w:tc>
              <w:tc>
                <w:tcPr>
                  <w:tcW w:type="dxa" w:w="172"/>
                  <w:vMerge/>
                  <w:tcBorders>
                    <w:top w:val="single" w:color="000000" w:sz="4"/>
                    <w:left w:val="none" w:color="000000" w:sz="4"/>
                    <w:bottom w:val="single" w:color="000000" w:sz="4"/>
                    <w:right w:val="single" w:color="000000" w:sz="4"/>
                  </w:tcBorders>
                </w:tcPr>
                <w:p/>
              </w:tc>
            </w:tr>
            <w:tr>
              <w:tc>
                <w:tcPr>
                  <w:tcW w:type="dxa" w:w="309"/>
                  <w:vMerge/>
                  <w:tcBorders>
                    <w:top w:val="none" w:color="000000" w:sz="4"/>
                    <w:left w:val="single" w:color="000000" w:sz="4"/>
                    <w:bottom w:val="single" w:color="000000" w:sz="4"/>
                    <w:right w:val="single" w:color="000000" w:sz="4"/>
                  </w:tcBorders>
                </w:tcPr>
                <w:p/>
              </w:tc>
              <w:tc>
                <w:tcPr>
                  <w:tcW w:type="dxa" w:w="329"/>
                  <w:vMerge/>
                  <w:tcBorders>
                    <w:top w:val="none" w:color="000000" w:sz="4"/>
                    <w:left w:val="none" w:color="000000" w:sz="4"/>
                    <w:bottom w:val="single" w:color="000000" w:sz="4"/>
                    <w:right w:val="single" w:color="000000" w:sz="4"/>
                  </w:tcBorders>
                </w:tcPr>
                <w:p/>
              </w:tc>
              <w:tc>
                <w:tcPr>
                  <w:tcW w:type="dxa" w:w="878"/>
                  <w:gridSpan w:val="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109.616018°</w:t>
                  </w:r>
                </w:p>
              </w:tc>
              <w:tc>
                <w:tcPr>
                  <w:tcW w:type="dxa" w:w="846"/>
                  <w:gridSpan w:val="2"/>
                  <w:tcBorders>
                    <w:top w:val="none" w:color="000000" w:sz="4"/>
                    <w:left w:val="none" w:color="000000" w:sz="4"/>
                    <w:bottom w:val="single" w:color="000000" w:sz="4"/>
                    <w:right w:val="non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18.219244°</w:t>
                  </w:r>
                </w:p>
              </w:tc>
              <w:tc>
                <w:tcPr>
                  <w:tcW w:type="dxa" w:w="172"/>
                  <w:vMerge/>
                  <w:tcBorders>
                    <w:top w:val="single" w:color="000000" w:sz="4"/>
                    <w:left w:val="none" w:color="000000" w:sz="4"/>
                    <w:bottom w:val="single" w:color="000000" w:sz="4"/>
                    <w:right w:val="single" w:color="000000" w:sz="4"/>
                  </w:tcBorders>
                </w:tcPr>
                <w:p/>
              </w:tc>
            </w:tr>
            <w:tr>
              <w:tc>
                <w:tcPr>
                  <w:tcW w:type="dxa" w:w="309"/>
                  <w:vMerge/>
                  <w:tcBorders>
                    <w:top w:val="none" w:color="000000" w:sz="4"/>
                    <w:left w:val="single" w:color="000000" w:sz="4"/>
                    <w:bottom w:val="single" w:color="000000" w:sz="4"/>
                    <w:right w:val="single" w:color="000000" w:sz="4"/>
                  </w:tcBorders>
                </w:tcPr>
                <w:p/>
              </w:tc>
              <w:tc>
                <w:tcPr>
                  <w:tcW w:type="dxa" w:w="329"/>
                  <w:vMerge/>
                  <w:tcBorders>
                    <w:top w:val="none" w:color="000000" w:sz="4"/>
                    <w:left w:val="none" w:color="000000" w:sz="4"/>
                    <w:bottom w:val="single" w:color="000000" w:sz="4"/>
                    <w:right w:val="single" w:color="000000" w:sz="4"/>
                  </w:tcBorders>
                </w:tcPr>
                <w:p/>
              </w:tc>
              <w:tc>
                <w:tcPr>
                  <w:tcW w:type="dxa" w:w="878"/>
                  <w:gridSpan w:val="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109.620968°</w:t>
                  </w:r>
                </w:p>
              </w:tc>
              <w:tc>
                <w:tcPr>
                  <w:tcW w:type="dxa" w:w="846"/>
                  <w:gridSpan w:val="2"/>
                  <w:tcBorders>
                    <w:top w:val="none" w:color="000000" w:sz="4"/>
                    <w:left w:val="none" w:color="000000" w:sz="4"/>
                    <w:bottom w:val="single" w:color="000000" w:sz="4"/>
                    <w:right w:val="non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18.222827°</w:t>
                  </w:r>
                </w:p>
              </w:tc>
              <w:tc>
                <w:tcPr>
                  <w:tcW w:type="dxa" w:w="172"/>
                  <w:vMerge/>
                  <w:tcBorders>
                    <w:top w:val="single" w:color="000000" w:sz="4"/>
                    <w:left w:val="none" w:color="000000" w:sz="4"/>
                    <w:bottom w:val="single" w:color="000000" w:sz="4"/>
                    <w:right w:val="single" w:color="000000" w:sz="4"/>
                  </w:tcBorders>
                </w:tcPr>
                <w:p/>
              </w:tc>
            </w:tr>
            <w:tr>
              <w:tc>
                <w:tcPr>
                  <w:tcW w:type="dxa" w:w="309"/>
                  <w:vMerge/>
                  <w:tcBorders>
                    <w:top w:val="none" w:color="000000" w:sz="4"/>
                    <w:left w:val="single" w:color="000000" w:sz="4"/>
                    <w:bottom w:val="single" w:color="000000" w:sz="4"/>
                    <w:right w:val="single" w:color="000000" w:sz="4"/>
                  </w:tcBorders>
                </w:tcPr>
                <w:p/>
              </w:tc>
              <w:tc>
                <w:tcPr>
                  <w:tcW w:type="dxa" w:w="329"/>
                  <w:vMerge/>
                  <w:tcBorders>
                    <w:top w:val="none" w:color="000000" w:sz="4"/>
                    <w:left w:val="none" w:color="000000" w:sz="4"/>
                    <w:bottom w:val="single" w:color="000000" w:sz="4"/>
                    <w:right w:val="single" w:color="000000" w:sz="4"/>
                  </w:tcBorders>
                </w:tcPr>
                <w:p/>
              </w:tc>
              <w:tc>
                <w:tcPr>
                  <w:tcW w:type="dxa" w:w="878"/>
                  <w:gridSpan w:val="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109.626583°</w:t>
                  </w:r>
                </w:p>
              </w:tc>
              <w:tc>
                <w:tcPr>
                  <w:tcW w:type="dxa" w:w="846"/>
                  <w:gridSpan w:val="2"/>
                  <w:tcBorders>
                    <w:top w:val="none" w:color="000000" w:sz="4"/>
                    <w:left w:val="none" w:color="000000" w:sz="4"/>
                    <w:bottom w:val="single" w:color="000000" w:sz="4"/>
                    <w:right w:val="non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18.226095°</w:t>
                  </w:r>
                </w:p>
              </w:tc>
              <w:tc>
                <w:tcPr>
                  <w:tcW w:type="dxa" w:w="172"/>
                  <w:vMerge/>
                  <w:tcBorders>
                    <w:top w:val="single" w:color="000000" w:sz="4"/>
                    <w:left w:val="none" w:color="000000" w:sz="4"/>
                    <w:bottom w:val="single" w:color="000000" w:sz="4"/>
                    <w:right w:val="single" w:color="000000" w:sz="4"/>
                  </w:tcBorders>
                </w:tcPr>
                <w:p/>
              </w:tc>
            </w:tr>
            <w:tr>
              <w:tc>
                <w:tcPr>
                  <w:tcW w:type="dxa" w:w="309"/>
                  <w:vMerge/>
                  <w:tcBorders>
                    <w:top w:val="none" w:color="000000" w:sz="4"/>
                    <w:left w:val="single" w:color="000000" w:sz="4"/>
                    <w:bottom w:val="single" w:color="000000" w:sz="4"/>
                    <w:right w:val="single" w:color="000000" w:sz="4"/>
                  </w:tcBorders>
                </w:tcPr>
                <w:p/>
              </w:tc>
              <w:tc>
                <w:tcPr>
                  <w:tcW w:type="dxa" w:w="329"/>
                  <w:vMerge/>
                  <w:tcBorders>
                    <w:top w:val="none" w:color="000000" w:sz="4"/>
                    <w:left w:val="none" w:color="000000" w:sz="4"/>
                    <w:bottom w:val="single" w:color="000000" w:sz="4"/>
                    <w:right w:val="single" w:color="000000" w:sz="4"/>
                  </w:tcBorders>
                </w:tcPr>
                <w:p/>
              </w:tc>
              <w:tc>
                <w:tcPr>
                  <w:tcW w:type="dxa" w:w="878"/>
                  <w:gridSpan w:val="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109.633745°</w:t>
                  </w:r>
                </w:p>
              </w:tc>
              <w:tc>
                <w:tcPr>
                  <w:tcW w:type="dxa" w:w="846"/>
                  <w:gridSpan w:val="2"/>
                  <w:tcBorders>
                    <w:top w:val="none" w:color="000000" w:sz="4"/>
                    <w:left w:val="none" w:color="000000" w:sz="4"/>
                    <w:bottom w:val="single" w:color="000000" w:sz="4"/>
                    <w:right w:val="non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18.229056°</w:t>
                  </w:r>
                </w:p>
              </w:tc>
              <w:tc>
                <w:tcPr>
                  <w:tcW w:type="dxa" w:w="172"/>
                  <w:vMerge/>
                  <w:tcBorders>
                    <w:top w:val="single" w:color="000000" w:sz="4"/>
                    <w:left w:val="none" w:color="000000" w:sz="4"/>
                    <w:bottom w:val="single" w:color="000000" w:sz="4"/>
                    <w:right w:val="single" w:color="000000" w:sz="4"/>
                  </w:tcBorders>
                </w:tcPr>
                <w:p/>
              </w:tc>
            </w:tr>
            <w:tr>
              <w:tc>
                <w:tcPr>
                  <w:tcW w:type="dxa" w:w="309"/>
                  <w:vMerge/>
                  <w:tcBorders>
                    <w:top w:val="none" w:color="000000" w:sz="4"/>
                    <w:left w:val="single" w:color="000000" w:sz="4"/>
                    <w:bottom w:val="single" w:color="000000" w:sz="4"/>
                    <w:right w:val="single" w:color="000000" w:sz="4"/>
                  </w:tcBorders>
                </w:tcPr>
                <w:p/>
              </w:tc>
              <w:tc>
                <w:tcPr>
                  <w:tcW w:type="dxa" w:w="329"/>
                  <w:vMerge/>
                  <w:tcBorders>
                    <w:top w:val="none" w:color="000000" w:sz="4"/>
                    <w:left w:val="none" w:color="000000" w:sz="4"/>
                    <w:bottom w:val="single" w:color="000000" w:sz="4"/>
                    <w:right w:val="single" w:color="000000" w:sz="4"/>
                  </w:tcBorders>
                </w:tcPr>
                <w:p/>
              </w:tc>
              <w:tc>
                <w:tcPr>
                  <w:tcW w:type="dxa" w:w="878"/>
                  <w:gridSpan w:val="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109.640175°</w:t>
                  </w:r>
                </w:p>
              </w:tc>
              <w:tc>
                <w:tcPr>
                  <w:tcW w:type="dxa" w:w="846"/>
                  <w:gridSpan w:val="2"/>
                  <w:tcBorders>
                    <w:top w:val="none" w:color="000000" w:sz="4"/>
                    <w:left w:val="none" w:color="000000" w:sz="4"/>
                    <w:bottom w:val="single" w:color="000000" w:sz="4"/>
                    <w:right w:val="non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18.230891°</w:t>
                  </w:r>
                </w:p>
              </w:tc>
              <w:tc>
                <w:tcPr>
                  <w:tcW w:type="dxa" w:w="172"/>
                  <w:vMerge/>
                  <w:tcBorders>
                    <w:top w:val="single" w:color="000000" w:sz="4"/>
                    <w:left w:val="none" w:color="000000" w:sz="4"/>
                    <w:bottom w:val="single" w:color="000000" w:sz="4"/>
                    <w:right w:val="single" w:color="000000" w:sz="4"/>
                  </w:tcBorders>
                </w:tcPr>
                <w:p/>
              </w:tc>
            </w:tr>
            <w:tr>
              <w:tc>
                <w:tcPr>
                  <w:tcW w:type="dxa" w:w="309"/>
                  <w:vMerge/>
                  <w:tcBorders>
                    <w:top w:val="none" w:color="000000" w:sz="4"/>
                    <w:left w:val="single" w:color="000000" w:sz="4"/>
                    <w:bottom w:val="single" w:color="000000" w:sz="4"/>
                    <w:right w:val="single" w:color="000000" w:sz="4"/>
                  </w:tcBorders>
                </w:tcPr>
                <w:p/>
              </w:tc>
              <w:tc>
                <w:tcPr>
                  <w:tcW w:type="dxa" w:w="329"/>
                  <w:vMerge/>
                  <w:tcBorders>
                    <w:top w:val="none" w:color="000000" w:sz="4"/>
                    <w:left w:val="none" w:color="000000" w:sz="4"/>
                    <w:bottom w:val="single" w:color="000000" w:sz="4"/>
                    <w:right w:val="single" w:color="000000" w:sz="4"/>
                  </w:tcBorders>
                </w:tcPr>
                <w:p/>
              </w:tc>
              <w:tc>
                <w:tcPr>
                  <w:tcW w:type="dxa" w:w="878"/>
                  <w:gridSpan w:val="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109.646057°</w:t>
                  </w:r>
                </w:p>
              </w:tc>
              <w:tc>
                <w:tcPr>
                  <w:tcW w:type="dxa" w:w="846"/>
                  <w:gridSpan w:val="2"/>
                  <w:tcBorders>
                    <w:top w:val="none" w:color="000000" w:sz="4"/>
                    <w:left w:val="none" w:color="000000" w:sz="4"/>
                    <w:bottom w:val="single" w:color="000000" w:sz="4"/>
                    <w:right w:val="non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18.232663°</w:t>
                  </w:r>
                </w:p>
              </w:tc>
              <w:tc>
                <w:tcPr>
                  <w:tcW w:type="dxa" w:w="172"/>
                  <w:vMerge/>
                  <w:tcBorders>
                    <w:top w:val="single" w:color="000000" w:sz="4"/>
                    <w:left w:val="none" w:color="000000" w:sz="4"/>
                    <w:bottom w:val="single" w:color="000000" w:sz="4"/>
                    <w:right w:val="single" w:color="000000" w:sz="4"/>
                  </w:tcBorders>
                </w:tcPr>
                <w:p/>
              </w:tc>
            </w:tr>
            <w:tr>
              <w:tc>
                <w:tcPr>
                  <w:tcW w:type="dxa" w:w="309"/>
                  <w:vMerge/>
                  <w:tcBorders>
                    <w:top w:val="none" w:color="000000" w:sz="4"/>
                    <w:left w:val="single" w:color="000000" w:sz="4"/>
                    <w:bottom w:val="single" w:color="000000" w:sz="4"/>
                    <w:right w:val="single" w:color="000000" w:sz="4"/>
                  </w:tcBorders>
                </w:tcPr>
                <w:p/>
              </w:tc>
              <w:tc>
                <w:tcPr>
                  <w:tcW w:type="dxa" w:w="329"/>
                  <w:vMerge/>
                  <w:tcBorders>
                    <w:top w:val="none" w:color="000000" w:sz="4"/>
                    <w:left w:val="none" w:color="000000" w:sz="4"/>
                    <w:bottom w:val="single" w:color="000000" w:sz="4"/>
                    <w:right w:val="single" w:color="000000" w:sz="4"/>
                  </w:tcBorders>
                </w:tcPr>
                <w:p/>
              </w:tc>
              <w:tc>
                <w:tcPr>
                  <w:tcW w:type="dxa" w:w="878"/>
                  <w:gridSpan w:val="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109.651726°</w:t>
                  </w:r>
                </w:p>
              </w:tc>
              <w:tc>
                <w:tcPr>
                  <w:tcW w:type="dxa" w:w="846"/>
                  <w:gridSpan w:val="2"/>
                  <w:tcBorders>
                    <w:top w:val="none" w:color="000000" w:sz="4"/>
                    <w:left w:val="none" w:color="000000" w:sz="4"/>
                    <w:bottom w:val="single" w:color="000000" w:sz="4"/>
                    <w:right w:val="non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18.233267°</w:t>
                  </w:r>
                </w:p>
              </w:tc>
              <w:tc>
                <w:tcPr>
                  <w:tcW w:type="dxa" w:w="172"/>
                  <w:vMerge/>
                  <w:tcBorders>
                    <w:top w:val="single" w:color="000000" w:sz="4"/>
                    <w:left w:val="none" w:color="000000" w:sz="4"/>
                    <w:bottom w:val="single" w:color="000000" w:sz="4"/>
                    <w:right w:val="single" w:color="000000" w:sz="4"/>
                  </w:tcBorders>
                </w:tcPr>
                <w:p/>
              </w:tc>
            </w:tr>
            <w:tr>
              <w:tc>
                <w:tcPr>
                  <w:tcW w:type="dxa" w:w="309"/>
                  <w:vMerge/>
                  <w:tcBorders>
                    <w:top w:val="none" w:color="000000" w:sz="4"/>
                    <w:left w:val="single" w:color="000000" w:sz="4"/>
                    <w:bottom w:val="single" w:color="000000" w:sz="4"/>
                    <w:right w:val="single" w:color="000000" w:sz="4"/>
                  </w:tcBorders>
                </w:tcPr>
                <w:p/>
              </w:tc>
              <w:tc>
                <w:tcPr>
                  <w:tcW w:type="dxa" w:w="329"/>
                  <w:vMerge w:val="restart"/>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rPr>
                    <w:t>地形剖面终点坐标</w:t>
                  </w:r>
                </w:p>
              </w:tc>
              <w:tc>
                <w:tcPr>
                  <w:tcW w:type="dxa" w:w="878"/>
                  <w:gridSpan w:val="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 xml:space="preserve"> 109.618130°</w:t>
                  </w:r>
                </w:p>
              </w:tc>
              <w:tc>
                <w:tcPr>
                  <w:tcW w:type="dxa" w:w="846"/>
                  <w:gridSpan w:val="2"/>
                  <w:tcBorders>
                    <w:top w:val="none" w:color="000000" w:sz="4"/>
                    <w:left w:val="none" w:color="000000" w:sz="4"/>
                    <w:bottom w:val="single" w:color="000000" w:sz="4"/>
                    <w:right w:val="non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 xml:space="preserve"> 18.209706°</w:t>
                  </w:r>
                </w:p>
              </w:tc>
              <w:tc>
                <w:tcPr>
                  <w:tcW w:type="dxa" w:w="172"/>
                  <w:vMerge/>
                  <w:tcBorders>
                    <w:top w:val="single" w:color="000000" w:sz="4"/>
                    <w:left w:val="none" w:color="000000" w:sz="4"/>
                    <w:bottom w:val="single" w:color="000000" w:sz="4"/>
                    <w:right w:val="single" w:color="000000" w:sz="4"/>
                  </w:tcBorders>
                </w:tcPr>
                <w:p/>
              </w:tc>
            </w:tr>
            <w:tr>
              <w:tc>
                <w:tcPr>
                  <w:tcW w:type="dxa" w:w="309"/>
                  <w:vMerge/>
                  <w:tcBorders>
                    <w:top w:val="none" w:color="000000" w:sz="4"/>
                    <w:left w:val="single" w:color="000000" w:sz="4"/>
                    <w:bottom w:val="single" w:color="000000" w:sz="4"/>
                    <w:right w:val="single" w:color="000000" w:sz="4"/>
                  </w:tcBorders>
                </w:tcPr>
                <w:p/>
              </w:tc>
              <w:tc>
                <w:tcPr>
                  <w:tcW w:type="dxa" w:w="329"/>
                  <w:vMerge/>
                  <w:tcBorders>
                    <w:top w:val="none" w:color="000000" w:sz="4"/>
                    <w:left w:val="none" w:color="000000" w:sz="4"/>
                    <w:bottom w:val="single" w:color="000000" w:sz="4"/>
                    <w:right w:val="single" w:color="000000" w:sz="4"/>
                  </w:tcBorders>
                </w:tcPr>
                <w:p/>
              </w:tc>
              <w:tc>
                <w:tcPr>
                  <w:tcW w:type="dxa" w:w="878"/>
                  <w:gridSpan w:val="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 xml:space="preserve"> 109.621942°</w:t>
                  </w:r>
                </w:p>
              </w:tc>
              <w:tc>
                <w:tcPr>
                  <w:tcW w:type="dxa" w:w="846"/>
                  <w:gridSpan w:val="2"/>
                  <w:tcBorders>
                    <w:top w:val="none" w:color="000000" w:sz="4"/>
                    <w:left w:val="none" w:color="000000" w:sz="4"/>
                    <w:bottom w:val="single" w:color="000000" w:sz="4"/>
                    <w:right w:val="non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 xml:space="preserve"> 18.212573°</w:t>
                  </w:r>
                </w:p>
              </w:tc>
              <w:tc>
                <w:tcPr>
                  <w:tcW w:type="dxa" w:w="172"/>
                  <w:vMerge/>
                  <w:tcBorders>
                    <w:top w:val="single" w:color="000000" w:sz="4"/>
                    <w:left w:val="none" w:color="000000" w:sz="4"/>
                    <w:bottom w:val="single" w:color="000000" w:sz="4"/>
                    <w:right w:val="single" w:color="000000" w:sz="4"/>
                  </w:tcBorders>
                </w:tcPr>
                <w:p/>
              </w:tc>
            </w:tr>
            <w:tr>
              <w:tc>
                <w:tcPr>
                  <w:tcW w:type="dxa" w:w="309"/>
                  <w:vMerge/>
                  <w:tcBorders>
                    <w:top w:val="none" w:color="000000" w:sz="4"/>
                    <w:left w:val="single" w:color="000000" w:sz="4"/>
                    <w:bottom w:val="single" w:color="000000" w:sz="4"/>
                    <w:right w:val="single" w:color="000000" w:sz="4"/>
                  </w:tcBorders>
                </w:tcPr>
                <w:p/>
              </w:tc>
              <w:tc>
                <w:tcPr>
                  <w:tcW w:type="dxa" w:w="329"/>
                  <w:vMerge/>
                  <w:tcBorders>
                    <w:top w:val="none" w:color="000000" w:sz="4"/>
                    <w:left w:val="none" w:color="000000" w:sz="4"/>
                    <w:bottom w:val="single" w:color="000000" w:sz="4"/>
                    <w:right w:val="single" w:color="000000" w:sz="4"/>
                  </w:tcBorders>
                </w:tcPr>
                <w:p/>
              </w:tc>
              <w:tc>
                <w:tcPr>
                  <w:tcW w:type="dxa" w:w="878"/>
                  <w:gridSpan w:val="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 xml:space="preserve"> 109.626311°</w:t>
                  </w:r>
                </w:p>
              </w:tc>
              <w:tc>
                <w:tcPr>
                  <w:tcW w:type="dxa" w:w="846"/>
                  <w:gridSpan w:val="2"/>
                  <w:tcBorders>
                    <w:top w:val="none" w:color="000000" w:sz="4"/>
                    <w:left w:val="none" w:color="000000" w:sz="4"/>
                    <w:bottom w:val="single" w:color="000000" w:sz="4"/>
                    <w:right w:val="non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 xml:space="preserve"> 18.215667°</w:t>
                  </w:r>
                </w:p>
              </w:tc>
              <w:tc>
                <w:tcPr>
                  <w:tcW w:type="dxa" w:w="172"/>
                  <w:vMerge/>
                  <w:tcBorders>
                    <w:top w:val="single" w:color="000000" w:sz="4"/>
                    <w:left w:val="none" w:color="000000" w:sz="4"/>
                    <w:bottom w:val="single" w:color="000000" w:sz="4"/>
                    <w:right w:val="single" w:color="000000" w:sz="4"/>
                  </w:tcBorders>
                </w:tcPr>
                <w:p/>
              </w:tc>
            </w:tr>
            <w:tr>
              <w:tc>
                <w:tcPr>
                  <w:tcW w:type="dxa" w:w="309"/>
                  <w:vMerge/>
                  <w:tcBorders>
                    <w:top w:val="none" w:color="000000" w:sz="4"/>
                    <w:left w:val="single" w:color="000000" w:sz="4"/>
                    <w:bottom w:val="single" w:color="000000" w:sz="4"/>
                    <w:right w:val="single" w:color="000000" w:sz="4"/>
                  </w:tcBorders>
                </w:tcPr>
                <w:p/>
              </w:tc>
              <w:tc>
                <w:tcPr>
                  <w:tcW w:type="dxa" w:w="329"/>
                  <w:vMerge/>
                  <w:tcBorders>
                    <w:top w:val="none" w:color="000000" w:sz="4"/>
                    <w:left w:val="none" w:color="000000" w:sz="4"/>
                    <w:bottom w:val="single" w:color="000000" w:sz="4"/>
                    <w:right w:val="single" w:color="000000" w:sz="4"/>
                  </w:tcBorders>
                </w:tcPr>
                <w:p/>
              </w:tc>
              <w:tc>
                <w:tcPr>
                  <w:tcW w:type="dxa" w:w="878"/>
                  <w:gridSpan w:val="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 xml:space="preserve"> 109.631553°</w:t>
                  </w:r>
                </w:p>
              </w:tc>
              <w:tc>
                <w:tcPr>
                  <w:tcW w:type="dxa" w:w="846"/>
                  <w:gridSpan w:val="2"/>
                  <w:tcBorders>
                    <w:top w:val="none" w:color="000000" w:sz="4"/>
                    <w:left w:val="none" w:color="000000" w:sz="4"/>
                    <w:bottom w:val="single" w:color="000000" w:sz="4"/>
                    <w:right w:val="non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 xml:space="preserve"> 18.218911°</w:t>
                  </w:r>
                </w:p>
              </w:tc>
              <w:tc>
                <w:tcPr>
                  <w:tcW w:type="dxa" w:w="172"/>
                  <w:vMerge/>
                  <w:tcBorders>
                    <w:top w:val="single" w:color="000000" w:sz="4"/>
                    <w:left w:val="none" w:color="000000" w:sz="4"/>
                    <w:bottom w:val="single" w:color="000000" w:sz="4"/>
                    <w:right w:val="single" w:color="000000" w:sz="4"/>
                  </w:tcBorders>
                </w:tcPr>
                <w:p/>
              </w:tc>
            </w:tr>
            <w:tr>
              <w:tc>
                <w:tcPr>
                  <w:tcW w:type="dxa" w:w="309"/>
                  <w:vMerge/>
                  <w:tcBorders>
                    <w:top w:val="none" w:color="000000" w:sz="4"/>
                    <w:left w:val="single" w:color="000000" w:sz="4"/>
                    <w:bottom w:val="single" w:color="000000" w:sz="4"/>
                    <w:right w:val="single" w:color="000000" w:sz="4"/>
                  </w:tcBorders>
                </w:tcPr>
                <w:p/>
              </w:tc>
              <w:tc>
                <w:tcPr>
                  <w:tcW w:type="dxa" w:w="329"/>
                  <w:vMerge/>
                  <w:tcBorders>
                    <w:top w:val="none" w:color="000000" w:sz="4"/>
                    <w:left w:val="none" w:color="000000" w:sz="4"/>
                    <w:bottom w:val="single" w:color="000000" w:sz="4"/>
                    <w:right w:val="single" w:color="000000" w:sz="4"/>
                  </w:tcBorders>
                </w:tcPr>
                <w:p/>
              </w:tc>
              <w:tc>
                <w:tcPr>
                  <w:tcW w:type="dxa" w:w="878"/>
                  <w:gridSpan w:val="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 xml:space="preserve"> 109.637748°</w:t>
                  </w:r>
                </w:p>
              </w:tc>
              <w:tc>
                <w:tcPr>
                  <w:tcW w:type="dxa" w:w="846"/>
                  <w:gridSpan w:val="2"/>
                  <w:tcBorders>
                    <w:top w:val="none" w:color="000000" w:sz="4"/>
                    <w:left w:val="none" w:color="000000" w:sz="4"/>
                    <w:bottom w:val="single" w:color="000000" w:sz="4"/>
                    <w:right w:val="non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 xml:space="preserve"> 18.221476°</w:t>
                  </w:r>
                </w:p>
              </w:tc>
              <w:tc>
                <w:tcPr>
                  <w:tcW w:type="dxa" w:w="172"/>
                  <w:vMerge/>
                  <w:tcBorders>
                    <w:top w:val="single" w:color="000000" w:sz="4"/>
                    <w:left w:val="none" w:color="000000" w:sz="4"/>
                    <w:bottom w:val="single" w:color="000000" w:sz="4"/>
                    <w:right w:val="single" w:color="000000" w:sz="4"/>
                  </w:tcBorders>
                </w:tcPr>
                <w:p/>
              </w:tc>
            </w:tr>
            <w:tr>
              <w:tc>
                <w:tcPr>
                  <w:tcW w:type="dxa" w:w="309"/>
                  <w:vMerge/>
                  <w:tcBorders>
                    <w:top w:val="none" w:color="000000" w:sz="4"/>
                    <w:left w:val="single" w:color="000000" w:sz="4"/>
                    <w:bottom w:val="single" w:color="000000" w:sz="4"/>
                    <w:right w:val="single" w:color="000000" w:sz="4"/>
                  </w:tcBorders>
                </w:tcPr>
                <w:p/>
              </w:tc>
              <w:tc>
                <w:tcPr>
                  <w:tcW w:type="dxa" w:w="329"/>
                  <w:vMerge/>
                  <w:tcBorders>
                    <w:top w:val="none" w:color="000000" w:sz="4"/>
                    <w:left w:val="none" w:color="000000" w:sz="4"/>
                    <w:bottom w:val="single" w:color="000000" w:sz="4"/>
                    <w:right w:val="single" w:color="000000" w:sz="4"/>
                  </w:tcBorders>
                </w:tcPr>
                <w:p/>
              </w:tc>
              <w:tc>
                <w:tcPr>
                  <w:tcW w:type="dxa" w:w="878"/>
                  <w:gridSpan w:val="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 xml:space="preserve"> 109.644102°</w:t>
                  </w:r>
                </w:p>
              </w:tc>
              <w:tc>
                <w:tcPr>
                  <w:tcW w:type="dxa" w:w="846"/>
                  <w:gridSpan w:val="2"/>
                  <w:tcBorders>
                    <w:top w:val="none" w:color="000000" w:sz="4"/>
                    <w:left w:val="none" w:color="000000" w:sz="4"/>
                    <w:bottom w:val="single" w:color="000000" w:sz="4"/>
                    <w:right w:val="non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 xml:space="preserve"> 18.223890°</w:t>
                  </w:r>
                </w:p>
              </w:tc>
              <w:tc>
                <w:tcPr>
                  <w:tcW w:type="dxa" w:w="172"/>
                  <w:vMerge/>
                  <w:tcBorders>
                    <w:top w:val="single" w:color="000000" w:sz="4"/>
                    <w:left w:val="none" w:color="000000" w:sz="4"/>
                    <w:bottom w:val="single" w:color="000000" w:sz="4"/>
                    <w:right w:val="single" w:color="000000" w:sz="4"/>
                  </w:tcBorders>
                </w:tcPr>
                <w:p/>
              </w:tc>
            </w:tr>
            <w:tr>
              <w:tc>
                <w:tcPr>
                  <w:tcW w:type="dxa" w:w="309"/>
                  <w:vMerge/>
                  <w:tcBorders>
                    <w:top w:val="none" w:color="000000" w:sz="4"/>
                    <w:left w:val="single" w:color="000000" w:sz="4"/>
                    <w:bottom w:val="single" w:color="000000" w:sz="4"/>
                    <w:right w:val="single" w:color="000000" w:sz="4"/>
                  </w:tcBorders>
                </w:tcPr>
                <w:p/>
              </w:tc>
              <w:tc>
                <w:tcPr>
                  <w:tcW w:type="dxa" w:w="329"/>
                  <w:vMerge/>
                  <w:tcBorders>
                    <w:top w:val="none" w:color="000000" w:sz="4"/>
                    <w:left w:val="none" w:color="000000" w:sz="4"/>
                    <w:bottom w:val="single" w:color="000000" w:sz="4"/>
                    <w:right w:val="single" w:color="000000" w:sz="4"/>
                  </w:tcBorders>
                </w:tcPr>
                <w:p/>
              </w:tc>
              <w:tc>
                <w:tcPr>
                  <w:tcW w:type="dxa" w:w="878"/>
                  <w:gridSpan w:val="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 xml:space="preserve"> 109.649264°</w:t>
                  </w:r>
                </w:p>
              </w:tc>
              <w:tc>
                <w:tcPr>
                  <w:tcW w:type="dxa" w:w="846"/>
                  <w:gridSpan w:val="2"/>
                  <w:tcBorders>
                    <w:top w:val="none" w:color="000000" w:sz="4"/>
                    <w:left w:val="none" w:color="000000" w:sz="4"/>
                    <w:bottom w:val="single" w:color="000000" w:sz="4"/>
                    <w:right w:val="non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 xml:space="preserve"> 18.225323°</w:t>
                  </w:r>
                </w:p>
              </w:tc>
              <w:tc>
                <w:tcPr>
                  <w:tcW w:type="dxa" w:w="172"/>
                  <w:vMerge/>
                  <w:tcBorders>
                    <w:top w:val="single" w:color="000000" w:sz="4"/>
                    <w:left w:val="none" w:color="000000" w:sz="4"/>
                    <w:bottom w:val="single" w:color="000000" w:sz="4"/>
                    <w:right w:val="single" w:color="000000" w:sz="4"/>
                  </w:tcBorders>
                </w:tcPr>
                <w:p/>
              </w:tc>
            </w:tr>
            <w:tr>
              <w:tc>
                <w:tcPr>
                  <w:tcW w:type="dxa" w:w="309"/>
                  <w:vMerge/>
                  <w:tcBorders>
                    <w:top w:val="none" w:color="000000" w:sz="4"/>
                    <w:left w:val="single" w:color="000000" w:sz="4"/>
                    <w:bottom w:val="single" w:color="000000" w:sz="4"/>
                    <w:right w:val="single" w:color="000000" w:sz="4"/>
                  </w:tcBorders>
                </w:tcPr>
                <w:p/>
              </w:tc>
              <w:tc>
                <w:tcPr>
                  <w:tcW w:type="dxa" w:w="329"/>
                  <w:vMerge/>
                  <w:tcBorders>
                    <w:top w:val="none" w:color="000000" w:sz="4"/>
                    <w:left w:val="none" w:color="000000" w:sz="4"/>
                    <w:bottom w:val="single" w:color="000000" w:sz="4"/>
                    <w:right w:val="single" w:color="000000" w:sz="4"/>
                  </w:tcBorders>
                </w:tcPr>
                <w:p/>
              </w:tc>
              <w:tc>
                <w:tcPr>
                  <w:tcW w:type="dxa" w:w="878"/>
                  <w:gridSpan w:val="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 xml:space="preserve"> 109.653664°</w:t>
                  </w:r>
                </w:p>
              </w:tc>
              <w:tc>
                <w:tcPr>
                  <w:tcW w:type="dxa" w:w="846"/>
                  <w:gridSpan w:val="2"/>
                  <w:tcBorders>
                    <w:top w:val="none" w:color="000000" w:sz="4"/>
                    <w:left w:val="none" w:color="000000" w:sz="4"/>
                    <w:bottom w:val="none" w:color="000000" w:sz="4"/>
                    <w:right w:val="non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 xml:space="preserve"> 18.225916°</w:t>
                  </w:r>
                </w:p>
              </w:tc>
              <w:tc>
                <w:tcPr>
                  <w:tcW w:type="dxa" w:w="172"/>
                  <w:vMerge/>
                  <w:tcBorders>
                    <w:top w:val="single" w:color="000000" w:sz="4"/>
                    <w:left w:val="none" w:color="000000" w:sz="4"/>
                    <w:bottom w:val="single" w:color="000000" w:sz="4"/>
                    <w:right w:val="single" w:color="000000" w:sz="4"/>
                  </w:tcBorders>
                </w:tcPr>
                <w:p/>
              </w:tc>
            </w:tr>
            <w:tr>
              <w:tc>
                <w:tcPr>
                  <w:tcW w:type="dxa" w:w="309"/>
                  <w:vMerge/>
                  <w:tcBorders>
                    <w:top w:val="none" w:color="000000" w:sz="4"/>
                    <w:left w:val="single" w:color="000000" w:sz="4"/>
                    <w:bottom w:val="single" w:color="000000" w:sz="4"/>
                    <w:right w:val="single" w:color="000000" w:sz="4"/>
                  </w:tcBorders>
                </w:tcPr>
                <w:p/>
              </w:tc>
              <w:tc>
                <w:tcPr>
                  <w:tcW w:type="dxa" w:w="32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rPr>
                    <w:t>海滩地貌</w:t>
                  </w:r>
                </w:p>
              </w:tc>
              <w:tc>
                <w:tcPr>
                  <w:tcW w:type="dxa" w:w="1724"/>
                  <w:gridSpan w:val="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420"/>
                    <w:jc w:val="both"/>
                  </w:pPr>
                  <w:r>
                    <w:rPr>
                      <w:rFonts w:ascii="仿宋_GB2312" w:hAnsi="仿宋_GB2312" w:cs="仿宋_GB2312" w:eastAsia="仿宋_GB2312"/>
                      <w:sz w:val="21"/>
                    </w:rPr>
                    <w:t>根据现场调查识别海滩地貌</w:t>
                  </w:r>
                </w:p>
              </w:tc>
              <w:tc>
                <w:tcPr>
                  <w:tcW w:type="dxa" w:w="172"/>
                  <w:vMerge/>
                  <w:tcBorders>
                    <w:top w:val="single" w:color="000000" w:sz="4"/>
                    <w:left w:val="none" w:color="000000" w:sz="4"/>
                    <w:bottom w:val="single" w:color="000000" w:sz="4"/>
                    <w:right w:val="single" w:color="000000" w:sz="4"/>
                  </w:tcBorders>
                </w:tcPr>
                <w:p/>
              </w:tc>
            </w:tr>
            <w:tr>
              <w:tc>
                <w:tcPr>
                  <w:tcW w:type="dxa" w:w="309"/>
                  <w:vMerge/>
                  <w:tcBorders>
                    <w:top w:val="none" w:color="000000" w:sz="4"/>
                    <w:left w:val="single" w:color="000000" w:sz="4"/>
                    <w:bottom w:val="single" w:color="000000" w:sz="4"/>
                    <w:right w:val="single" w:color="000000" w:sz="4"/>
                  </w:tcBorders>
                </w:tcPr>
                <w:p/>
              </w:tc>
              <w:tc>
                <w:tcPr>
                  <w:tcW w:type="dxa" w:w="329"/>
                  <w:vMerge w:val="restart"/>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rPr>
                    <w:t>沙滩沉积物</w:t>
                  </w:r>
                </w:p>
              </w:tc>
              <w:tc>
                <w:tcPr>
                  <w:tcW w:type="dxa" w:w="878"/>
                  <w:gridSpan w:val="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109.612200°</w:t>
                  </w:r>
                </w:p>
              </w:tc>
              <w:tc>
                <w:tcPr>
                  <w:tcW w:type="dxa" w:w="846"/>
                  <w:gridSpan w:val="2"/>
                  <w:tcBorders>
                    <w:top w:val="none" w:color="000000" w:sz="4"/>
                    <w:left w:val="none" w:color="000000" w:sz="4"/>
                    <w:bottom w:val="single" w:color="000000" w:sz="4"/>
                    <w:right w:val="non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18.215778°</w:t>
                  </w:r>
                </w:p>
              </w:tc>
              <w:tc>
                <w:tcPr>
                  <w:tcW w:type="dxa" w:w="172"/>
                  <w:vMerge/>
                  <w:tcBorders>
                    <w:top w:val="single" w:color="000000" w:sz="4"/>
                    <w:left w:val="none" w:color="000000" w:sz="4"/>
                    <w:bottom w:val="single" w:color="000000" w:sz="4"/>
                    <w:right w:val="single" w:color="000000" w:sz="4"/>
                  </w:tcBorders>
                </w:tcPr>
                <w:p/>
              </w:tc>
            </w:tr>
            <w:tr>
              <w:tc>
                <w:tcPr>
                  <w:tcW w:type="dxa" w:w="309"/>
                  <w:vMerge/>
                  <w:tcBorders>
                    <w:top w:val="none" w:color="000000" w:sz="4"/>
                    <w:left w:val="single" w:color="000000" w:sz="4"/>
                    <w:bottom w:val="single" w:color="000000" w:sz="4"/>
                    <w:right w:val="single" w:color="000000" w:sz="4"/>
                  </w:tcBorders>
                </w:tcPr>
                <w:p/>
              </w:tc>
              <w:tc>
                <w:tcPr>
                  <w:tcW w:type="dxa" w:w="329"/>
                  <w:vMerge/>
                  <w:tcBorders>
                    <w:top w:val="none" w:color="000000" w:sz="4"/>
                    <w:left w:val="none" w:color="000000" w:sz="4"/>
                    <w:bottom w:val="single" w:color="000000" w:sz="4"/>
                    <w:right w:val="single" w:color="000000" w:sz="4"/>
                  </w:tcBorders>
                </w:tcPr>
                <w:p/>
              </w:tc>
              <w:tc>
                <w:tcPr>
                  <w:tcW w:type="dxa" w:w="878"/>
                  <w:gridSpan w:val="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109.612296°</w:t>
                  </w:r>
                </w:p>
              </w:tc>
              <w:tc>
                <w:tcPr>
                  <w:tcW w:type="dxa" w:w="846"/>
                  <w:gridSpan w:val="2"/>
                  <w:tcBorders>
                    <w:top w:val="none" w:color="000000" w:sz="4"/>
                    <w:left w:val="none" w:color="000000" w:sz="4"/>
                    <w:bottom w:val="single" w:color="000000" w:sz="4"/>
                    <w:right w:val="non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18.215679°</w:t>
                  </w:r>
                </w:p>
              </w:tc>
              <w:tc>
                <w:tcPr>
                  <w:tcW w:type="dxa" w:w="172"/>
                  <w:vMerge/>
                  <w:tcBorders>
                    <w:top w:val="single" w:color="000000" w:sz="4"/>
                    <w:left w:val="none" w:color="000000" w:sz="4"/>
                    <w:bottom w:val="single" w:color="000000" w:sz="4"/>
                    <w:right w:val="single" w:color="000000" w:sz="4"/>
                  </w:tcBorders>
                </w:tcPr>
                <w:p/>
              </w:tc>
            </w:tr>
            <w:tr>
              <w:tc>
                <w:tcPr>
                  <w:tcW w:type="dxa" w:w="309"/>
                  <w:vMerge/>
                  <w:tcBorders>
                    <w:top w:val="none" w:color="000000" w:sz="4"/>
                    <w:left w:val="single" w:color="000000" w:sz="4"/>
                    <w:bottom w:val="single" w:color="000000" w:sz="4"/>
                    <w:right w:val="single" w:color="000000" w:sz="4"/>
                  </w:tcBorders>
                </w:tcPr>
                <w:p/>
              </w:tc>
              <w:tc>
                <w:tcPr>
                  <w:tcW w:type="dxa" w:w="329"/>
                  <w:vMerge/>
                  <w:tcBorders>
                    <w:top w:val="none" w:color="000000" w:sz="4"/>
                    <w:left w:val="none" w:color="000000" w:sz="4"/>
                    <w:bottom w:val="single" w:color="000000" w:sz="4"/>
                    <w:right w:val="single" w:color="000000" w:sz="4"/>
                  </w:tcBorders>
                </w:tcPr>
                <w:p/>
              </w:tc>
              <w:tc>
                <w:tcPr>
                  <w:tcW w:type="dxa" w:w="878"/>
                  <w:gridSpan w:val="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109.612357°</w:t>
                  </w:r>
                </w:p>
              </w:tc>
              <w:tc>
                <w:tcPr>
                  <w:tcW w:type="dxa" w:w="846"/>
                  <w:gridSpan w:val="2"/>
                  <w:tcBorders>
                    <w:top w:val="none" w:color="000000" w:sz="4"/>
                    <w:left w:val="none" w:color="000000" w:sz="4"/>
                    <w:bottom w:val="single" w:color="000000" w:sz="4"/>
                    <w:right w:val="non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18.215617°</w:t>
                  </w:r>
                </w:p>
              </w:tc>
              <w:tc>
                <w:tcPr>
                  <w:tcW w:type="dxa" w:w="172"/>
                  <w:vMerge/>
                  <w:tcBorders>
                    <w:top w:val="single" w:color="000000" w:sz="4"/>
                    <w:left w:val="none" w:color="000000" w:sz="4"/>
                    <w:bottom w:val="single" w:color="000000" w:sz="4"/>
                    <w:right w:val="single" w:color="000000" w:sz="4"/>
                  </w:tcBorders>
                </w:tcPr>
                <w:p/>
              </w:tc>
            </w:tr>
            <w:tr>
              <w:tc>
                <w:tcPr>
                  <w:tcW w:type="dxa" w:w="309"/>
                  <w:vMerge/>
                  <w:tcBorders>
                    <w:top w:val="none" w:color="000000" w:sz="4"/>
                    <w:left w:val="single" w:color="000000" w:sz="4"/>
                    <w:bottom w:val="single" w:color="000000" w:sz="4"/>
                    <w:right w:val="single" w:color="000000" w:sz="4"/>
                  </w:tcBorders>
                </w:tcPr>
                <w:p/>
              </w:tc>
              <w:tc>
                <w:tcPr>
                  <w:tcW w:type="dxa" w:w="329"/>
                  <w:vMerge/>
                  <w:tcBorders>
                    <w:top w:val="none" w:color="000000" w:sz="4"/>
                    <w:left w:val="none" w:color="000000" w:sz="4"/>
                    <w:bottom w:val="single" w:color="000000" w:sz="4"/>
                    <w:right w:val="single" w:color="000000" w:sz="4"/>
                  </w:tcBorders>
                </w:tcPr>
                <w:p/>
              </w:tc>
              <w:tc>
                <w:tcPr>
                  <w:tcW w:type="dxa" w:w="878"/>
                  <w:gridSpan w:val="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109.612414°</w:t>
                  </w:r>
                </w:p>
              </w:tc>
              <w:tc>
                <w:tcPr>
                  <w:tcW w:type="dxa" w:w="846"/>
                  <w:gridSpan w:val="2"/>
                  <w:tcBorders>
                    <w:top w:val="none" w:color="000000" w:sz="4"/>
                    <w:left w:val="none" w:color="000000" w:sz="4"/>
                    <w:bottom w:val="single" w:color="000000" w:sz="4"/>
                    <w:right w:val="non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18.215558°</w:t>
                  </w:r>
                </w:p>
              </w:tc>
              <w:tc>
                <w:tcPr>
                  <w:tcW w:type="dxa" w:w="172"/>
                  <w:vMerge/>
                  <w:tcBorders>
                    <w:top w:val="single" w:color="000000" w:sz="4"/>
                    <w:left w:val="none" w:color="000000" w:sz="4"/>
                    <w:bottom w:val="single" w:color="000000" w:sz="4"/>
                    <w:right w:val="single" w:color="000000" w:sz="4"/>
                  </w:tcBorders>
                </w:tcPr>
                <w:p/>
              </w:tc>
            </w:tr>
            <w:tr>
              <w:tc>
                <w:tcPr>
                  <w:tcW w:type="dxa" w:w="309"/>
                  <w:vMerge/>
                  <w:tcBorders>
                    <w:top w:val="none" w:color="000000" w:sz="4"/>
                    <w:left w:val="single" w:color="000000" w:sz="4"/>
                    <w:bottom w:val="single" w:color="000000" w:sz="4"/>
                    <w:right w:val="single" w:color="000000" w:sz="4"/>
                  </w:tcBorders>
                </w:tcPr>
                <w:p/>
              </w:tc>
              <w:tc>
                <w:tcPr>
                  <w:tcW w:type="dxa" w:w="329"/>
                  <w:vMerge/>
                  <w:tcBorders>
                    <w:top w:val="none" w:color="000000" w:sz="4"/>
                    <w:left w:val="none" w:color="000000" w:sz="4"/>
                    <w:bottom w:val="single" w:color="000000" w:sz="4"/>
                    <w:right w:val="single" w:color="000000" w:sz="4"/>
                  </w:tcBorders>
                </w:tcPr>
                <w:p/>
              </w:tc>
              <w:tc>
                <w:tcPr>
                  <w:tcW w:type="dxa" w:w="878"/>
                  <w:gridSpan w:val="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109.612486°</w:t>
                  </w:r>
                </w:p>
              </w:tc>
              <w:tc>
                <w:tcPr>
                  <w:tcW w:type="dxa" w:w="846"/>
                  <w:gridSpan w:val="2"/>
                  <w:tcBorders>
                    <w:top w:val="none" w:color="000000" w:sz="4"/>
                    <w:left w:val="none" w:color="000000" w:sz="4"/>
                    <w:bottom w:val="single" w:color="000000" w:sz="4"/>
                    <w:right w:val="non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18.215485°</w:t>
                  </w:r>
                </w:p>
              </w:tc>
              <w:tc>
                <w:tcPr>
                  <w:tcW w:type="dxa" w:w="172"/>
                  <w:vMerge/>
                  <w:tcBorders>
                    <w:top w:val="single" w:color="000000" w:sz="4"/>
                    <w:left w:val="none" w:color="000000" w:sz="4"/>
                    <w:bottom w:val="single" w:color="000000" w:sz="4"/>
                    <w:right w:val="single" w:color="000000" w:sz="4"/>
                  </w:tcBorders>
                </w:tcPr>
                <w:p/>
              </w:tc>
            </w:tr>
            <w:tr>
              <w:tc>
                <w:tcPr>
                  <w:tcW w:type="dxa" w:w="309"/>
                  <w:vMerge/>
                  <w:tcBorders>
                    <w:top w:val="none" w:color="000000" w:sz="4"/>
                    <w:left w:val="single" w:color="000000" w:sz="4"/>
                    <w:bottom w:val="single" w:color="000000" w:sz="4"/>
                    <w:right w:val="single" w:color="000000" w:sz="4"/>
                  </w:tcBorders>
                </w:tcPr>
                <w:p/>
              </w:tc>
              <w:tc>
                <w:tcPr>
                  <w:tcW w:type="dxa" w:w="329"/>
                  <w:vMerge/>
                  <w:tcBorders>
                    <w:top w:val="none" w:color="000000" w:sz="4"/>
                    <w:left w:val="none" w:color="000000" w:sz="4"/>
                    <w:bottom w:val="single" w:color="000000" w:sz="4"/>
                    <w:right w:val="single" w:color="000000" w:sz="4"/>
                  </w:tcBorders>
                </w:tcPr>
                <w:p/>
              </w:tc>
              <w:tc>
                <w:tcPr>
                  <w:tcW w:type="dxa" w:w="878"/>
                  <w:gridSpan w:val="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109.613674°</w:t>
                  </w:r>
                </w:p>
              </w:tc>
              <w:tc>
                <w:tcPr>
                  <w:tcW w:type="dxa" w:w="846"/>
                  <w:gridSpan w:val="2"/>
                  <w:tcBorders>
                    <w:top w:val="none" w:color="000000" w:sz="4"/>
                    <w:left w:val="none" w:color="000000" w:sz="4"/>
                    <w:bottom w:val="single" w:color="000000" w:sz="4"/>
                    <w:right w:val="non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18.214272°</w:t>
                  </w:r>
                </w:p>
              </w:tc>
              <w:tc>
                <w:tcPr>
                  <w:tcW w:type="dxa" w:w="172"/>
                  <w:vMerge/>
                  <w:tcBorders>
                    <w:top w:val="single" w:color="000000" w:sz="4"/>
                    <w:left w:val="none" w:color="000000" w:sz="4"/>
                    <w:bottom w:val="single" w:color="000000" w:sz="4"/>
                    <w:right w:val="single" w:color="000000" w:sz="4"/>
                  </w:tcBorders>
                </w:tcPr>
                <w:p/>
              </w:tc>
            </w:tr>
            <w:tr>
              <w:tc>
                <w:tcPr>
                  <w:tcW w:type="dxa" w:w="309"/>
                  <w:vMerge/>
                  <w:tcBorders>
                    <w:top w:val="none" w:color="000000" w:sz="4"/>
                    <w:left w:val="single" w:color="000000" w:sz="4"/>
                    <w:bottom w:val="single" w:color="000000" w:sz="4"/>
                    <w:right w:val="single" w:color="000000" w:sz="4"/>
                  </w:tcBorders>
                </w:tcPr>
                <w:p/>
              </w:tc>
              <w:tc>
                <w:tcPr>
                  <w:tcW w:type="dxa" w:w="329"/>
                  <w:vMerge/>
                  <w:tcBorders>
                    <w:top w:val="none" w:color="000000" w:sz="4"/>
                    <w:left w:val="none" w:color="000000" w:sz="4"/>
                    <w:bottom w:val="single" w:color="000000" w:sz="4"/>
                    <w:right w:val="single" w:color="000000" w:sz="4"/>
                  </w:tcBorders>
                </w:tcPr>
                <w:p/>
              </w:tc>
              <w:tc>
                <w:tcPr>
                  <w:tcW w:type="dxa" w:w="878"/>
                  <w:gridSpan w:val="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109.616018°</w:t>
                  </w:r>
                </w:p>
              </w:tc>
              <w:tc>
                <w:tcPr>
                  <w:tcW w:type="dxa" w:w="846"/>
                  <w:gridSpan w:val="2"/>
                  <w:tcBorders>
                    <w:top w:val="none" w:color="000000" w:sz="4"/>
                    <w:left w:val="none" w:color="000000" w:sz="4"/>
                    <w:bottom w:val="single" w:color="000000" w:sz="4"/>
                    <w:right w:val="non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18.219244°</w:t>
                  </w:r>
                </w:p>
              </w:tc>
              <w:tc>
                <w:tcPr>
                  <w:tcW w:type="dxa" w:w="172"/>
                  <w:vMerge/>
                  <w:tcBorders>
                    <w:top w:val="single" w:color="000000" w:sz="4"/>
                    <w:left w:val="none" w:color="000000" w:sz="4"/>
                    <w:bottom w:val="single" w:color="000000" w:sz="4"/>
                    <w:right w:val="single" w:color="000000" w:sz="4"/>
                  </w:tcBorders>
                </w:tcPr>
                <w:p/>
              </w:tc>
            </w:tr>
            <w:tr>
              <w:tc>
                <w:tcPr>
                  <w:tcW w:type="dxa" w:w="309"/>
                  <w:vMerge/>
                  <w:tcBorders>
                    <w:top w:val="none" w:color="000000" w:sz="4"/>
                    <w:left w:val="single" w:color="000000" w:sz="4"/>
                    <w:bottom w:val="single" w:color="000000" w:sz="4"/>
                    <w:right w:val="single" w:color="000000" w:sz="4"/>
                  </w:tcBorders>
                </w:tcPr>
                <w:p/>
              </w:tc>
              <w:tc>
                <w:tcPr>
                  <w:tcW w:type="dxa" w:w="329"/>
                  <w:vMerge/>
                  <w:tcBorders>
                    <w:top w:val="none" w:color="000000" w:sz="4"/>
                    <w:left w:val="none" w:color="000000" w:sz="4"/>
                    <w:bottom w:val="single" w:color="000000" w:sz="4"/>
                    <w:right w:val="single" w:color="000000" w:sz="4"/>
                  </w:tcBorders>
                </w:tcPr>
                <w:p/>
              </w:tc>
              <w:tc>
                <w:tcPr>
                  <w:tcW w:type="dxa" w:w="878"/>
                  <w:gridSpan w:val="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109.616147°</w:t>
                  </w:r>
                </w:p>
              </w:tc>
              <w:tc>
                <w:tcPr>
                  <w:tcW w:type="dxa" w:w="846"/>
                  <w:gridSpan w:val="2"/>
                  <w:tcBorders>
                    <w:top w:val="none" w:color="000000" w:sz="4"/>
                    <w:left w:val="none" w:color="000000" w:sz="4"/>
                    <w:bottom w:val="single" w:color="000000" w:sz="4"/>
                    <w:right w:val="non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18.219096°</w:t>
                  </w:r>
                </w:p>
              </w:tc>
              <w:tc>
                <w:tcPr>
                  <w:tcW w:type="dxa" w:w="172"/>
                  <w:vMerge/>
                  <w:tcBorders>
                    <w:top w:val="single" w:color="000000" w:sz="4"/>
                    <w:left w:val="none" w:color="000000" w:sz="4"/>
                    <w:bottom w:val="single" w:color="000000" w:sz="4"/>
                    <w:right w:val="single" w:color="000000" w:sz="4"/>
                  </w:tcBorders>
                </w:tcPr>
                <w:p/>
              </w:tc>
            </w:tr>
            <w:tr>
              <w:tc>
                <w:tcPr>
                  <w:tcW w:type="dxa" w:w="309"/>
                  <w:vMerge/>
                  <w:tcBorders>
                    <w:top w:val="none" w:color="000000" w:sz="4"/>
                    <w:left w:val="single" w:color="000000" w:sz="4"/>
                    <w:bottom w:val="single" w:color="000000" w:sz="4"/>
                    <w:right w:val="single" w:color="000000" w:sz="4"/>
                  </w:tcBorders>
                </w:tcPr>
                <w:p/>
              </w:tc>
              <w:tc>
                <w:tcPr>
                  <w:tcW w:type="dxa" w:w="329"/>
                  <w:vMerge/>
                  <w:tcBorders>
                    <w:top w:val="none" w:color="000000" w:sz="4"/>
                    <w:left w:val="none" w:color="000000" w:sz="4"/>
                    <w:bottom w:val="single" w:color="000000" w:sz="4"/>
                    <w:right w:val="single" w:color="000000" w:sz="4"/>
                  </w:tcBorders>
                </w:tcPr>
                <w:p/>
              </w:tc>
              <w:tc>
                <w:tcPr>
                  <w:tcW w:type="dxa" w:w="878"/>
                  <w:gridSpan w:val="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109.616244°</w:t>
                  </w:r>
                </w:p>
              </w:tc>
              <w:tc>
                <w:tcPr>
                  <w:tcW w:type="dxa" w:w="846"/>
                  <w:gridSpan w:val="2"/>
                  <w:tcBorders>
                    <w:top w:val="none" w:color="000000" w:sz="4"/>
                    <w:left w:val="none" w:color="000000" w:sz="4"/>
                    <w:bottom w:val="single" w:color="000000" w:sz="4"/>
                    <w:right w:val="non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18.218984°</w:t>
                  </w:r>
                </w:p>
              </w:tc>
              <w:tc>
                <w:tcPr>
                  <w:tcW w:type="dxa" w:w="172"/>
                  <w:vMerge/>
                  <w:tcBorders>
                    <w:top w:val="single" w:color="000000" w:sz="4"/>
                    <w:left w:val="none" w:color="000000" w:sz="4"/>
                    <w:bottom w:val="single" w:color="000000" w:sz="4"/>
                    <w:right w:val="single" w:color="000000" w:sz="4"/>
                  </w:tcBorders>
                </w:tcPr>
                <w:p/>
              </w:tc>
            </w:tr>
            <w:tr>
              <w:tc>
                <w:tcPr>
                  <w:tcW w:type="dxa" w:w="309"/>
                  <w:vMerge/>
                  <w:tcBorders>
                    <w:top w:val="none" w:color="000000" w:sz="4"/>
                    <w:left w:val="single" w:color="000000" w:sz="4"/>
                    <w:bottom w:val="single" w:color="000000" w:sz="4"/>
                    <w:right w:val="single" w:color="000000" w:sz="4"/>
                  </w:tcBorders>
                </w:tcPr>
                <w:p/>
              </w:tc>
              <w:tc>
                <w:tcPr>
                  <w:tcW w:type="dxa" w:w="329"/>
                  <w:vMerge/>
                  <w:tcBorders>
                    <w:top w:val="none" w:color="000000" w:sz="4"/>
                    <w:left w:val="none" w:color="000000" w:sz="4"/>
                    <w:bottom w:val="single" w:color="000000" w:sz="4"/>
                    <w:right w:val="single" w:color="000000" w:sz="4"/>
                  </w:tcBorders>
                </w:tcPr>
                <w:p/>
              </w:tc>
              <w:tc>
                <w:tcPr>
                  <w:tcW w:type="dxa" w:w="878"/>
                  <w:gridSpan w:val="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109.616344°</w:t>
                  </w:r>
                </w:p>
              </w:tc>
              <w:tc>
                <w:tcPr>
                  <w:tcW w:type="dxa" w:w="846"/>
                  <w:gridSpan w:val="2"/>
                  <w:tcBorders>
                    <w:top w:val="none" w:color="000000" w:sz="4"/>
                    <w:left w:val="none" w:color="000000" w:sz="4"/>
                    <w:bottom w:val="single" w:color="000000" w:sz="4"/>
                    <w:right w:val="non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18.218870°</w:t>
                  </w:r>
                </w:p>
              </w:tc>
              <w:tc>
                <w:tcPr>
                  <w:tcW w:type="dxa" w:w="172"/>
                  <w:vMerge/>
                  <w:tcBorders>
                    <w:top w:val="single" w:color="000000" w:sz="4"/>
                    <w:left w:val="none" w:color="000000" w:sz="4"/>
                    <w:bottom w:val="single" w:color="000000" w:sz="4"/>
                    <w:right w:val="single" w:color="000000" w:sz="4"/>
                  </w:tcBorders>
                </w:tcPr>
                <w:p/>
              </w:tc>
            </w:tr>
            <w:tr>
              <w:tc>
                <w:tcPr>
                  <w:tcW w:type="dxa" w:w="309"/>
                  <w:vMerge/>
                  <w:tcBorders>
                    <w:top w:val="none" w:color="000000" w:sz="4"/>
                    <w:left w:val="single" w:color="000000" w:sz="4"/>
                    <w:bottom w:val="single" w:color="000000" w:sz="4"/>
                    <w:right w:val="single" w:color="000000" w:sz="4"/>
                  </w:tcBorders>
                </w:tcPr>
                <w:p/>
              </w:tc>
              <w:tc>
                <w:tcPr>
                  <w:tcW w:type="dxa" w:w="329"/>
                  <w:vMerge/>
                  <w:tcBorders>
                    <w:top w:val="none" w:color="000000" w:sz="4"/>
                    <w:left w:val="none" w:color="000000" w:sz="4"/>
                    <w:bottom w:val="single" w:color="000000" w:sz="4"/>
                    <w:right w:val="single" w:color="000000" w:sz="4"/>
                  </w:tcBorders>
                </w:tcPr>
                <w:p/>
              </w:tc>
              <w:tc>
                <w:tcPr>
                  <w:tcW w:type="dxa" w:w="878"/>
                  <w:gridSpan w:val="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109.616460°</w:t>
                  </w:r>
                </w:p>
              </w:tc>
              <w:tc>
                <w:tcPr>
                  <w:tcW w:type="dxa" w:w="846"/>
                  <w:gridSpan w:val="2"/>
                  <w:tcBorders>
                    <w:top w:val="none" w:color="000000" w:sz="4"/>
                    <w:left w:val="none" w:color="000000" w:sz="4"/>
                    <w:bottom w:val="single" w:color="000000" w:sz="4"/>
                    <w:right w:val="non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18.218736°</w:t>
                  </w:r>
                </w:p>
              </w:tc>
              <w:tc>
                <w:tcPr>
                  <w:tcW w:type="dxa" w:w="172"/>
                  <w:vMerge/>
                  <w:tcBorders>
                    <w:top w:val="single" w:color="000000" w:sz="4"/>
                    <w:left w:val="none" w:color="000000" w:sz="4"/>
                    <w:bottom w:val="single" w:color="000000" w:sz="4"/>
                    <w:right w:val="single" w:color="000000" w:sz="4"/>
                  </w:tcBorders>
                </w:tcPr>
                <w:p/>
              </w:tc>
            </w:tr>
            <w:tr>
              <w:tc>
                <w:tcPr>
                  <w:tcW w:type="dxa" w:w="309"/>
                  <w:vMerge/>
                  <w:tcBorders>
                    <w:top w:val="none" w:color="000000" w:sz="4"/>
                    <w:left w:val="single" w:color="000000" w:sz="4"/>
                    <w:bottom w:val="single" w:color="000000" w:sz="4"/>
                    <w:right w:val="single" w:color="000000" w:sz="4"/>
                  </w:tcBorders>
                </w:tcPr>
                <w:p/>
              </w:tc>
              <w:tc>
                <w:tcPr>
                  <w:tcW w:type="dxa" w:w="329"/>
                  <w:vMerge/>
                  <w:tcBorders>
                    <w:top w:val="none" w:color="000000" w:sz="4"/>
                    <w:left w:val="none" w:color="000000" w:sz="4"/>
                    <w:bottom w:val="single" w:color="000000" w:sz="4"/>
                    <w:right w:val="single" w:color="000000" w:sz="4"/>
                  </w:tcBorders>
                </w:tcPr>
                <w:p/>
              </w:tc>
              <w:tc>
                <w:tcPr>
                  <w:tcW w:type="dxa" w:w="878"/>
                  <w:gridSpan w:val="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109.617363°</w:t>
                  </w:r>
                </w:p>
              </w:tc>
              <w:tc>
                <w:tcPr>
                  <w:tcW w:type="dxa" w:w="846"/>
                  <w:gridSpan w:val="2"/>
                  <w:tcBorders>
                    <w:top w:val="none" w:color="000000" w:sz="4"/>
                    <w:left w:val="none" w:color="000000" w:sz="4"/>
                    <w:bottom w:val="single" w:color="000000" w:sz="4"/>
                    <w:right w:val="non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18.217700°</w:t>
                  </w:r>
                </w:p>
              </w:tc>
              <w:tc>
                <w:tcPr>
                  <w:tcW w:type="dxa" w:w="172"/>
                  <w:vMerge/>
                  <w:tcBorders>
                    <w:top w:val="single" w:color="000000" w:sz="4"/>
                    <w:left w:val="none" w:color="000000" w:sz="4"/>
                    <w:bottom w:val="single" w:color="000000" w:sz="4"/>
                    <w:right w:val="single" w:color="000000" w:sz="4"/>
                  </w:tcBorders>
                </w:tcPr>
                <w:p/>
              </w:tc>
            </w:tr>
            <w:tr>
              <w:tc>
                <w:tcPr>
                  <w:tcW w:type="dxa" w:w="309"/>
                  <w:vMerge/>
                  <w:tcBorders>
                    <w:top w:val="none" w:color="000000" w:sz="4"/>
                    <w:left w:val="single" w:color="000000" w:sz="4"/>
                    <w:bottom w:val="single" w:color="000000" w:sz="4"/>
                    <w:right w:val="single" w:color="000000" w:sz="4"/>
                  </w:tcBorders>
                </w:tcPr>
                <w:p/>
              </w:tc>
              <w:tc>
                <w:tcPr>
                  <w:tcW w:type="dxa" w:w="329"/>
                  <w:vMerge/>
                  <w:tcBorders>
                    <w:top w:val="none" w:color="000000" w:sz="4"/>
                    <w:left w:val="none" w:color="000000" w:sz="4"/>
                    <w:bottom w:val="single" w:color="000000" w:sz="4"/>
                    <w:right w:val="single" w:color="000000" w:sz="4"/>
                  </w:tcBorders>
                </w:tcPr>
                <w:p/>
              </w:tc>
              <w:tc>
                <w:tcPr>
                  <w:tcW w:type="dxa" w:w="878"/>
                  <w:gridSpan w:val="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109.620968°</w:t>
                  </w:r>
                </w:p>
              </w:tc>
              <w:tc>
                <w:tcPr>
                  <w:tcW w:type="dxa" w:w="846"/>
                  <w:gridSpan w:val="2"/>
                  <w:tcBorders>
                    <w:top w:val="none" w:color="000000" w:sz="4"/>
                    <w:left w:val="none" w:color="000000" w:sz="4"/>
                    <w:bottom w:val="single" w:color="000000" w:sz="4"/>
                    <w:right w:val="non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18.222827°</w:t>
                  </w:r>
                </w:p>
              </w:tc>
              <w:tc>
                <w:tcPr>
                  <w:tcW w:type="dxa" w:w="172"/>
                  <w:vMerge/>
                  <w:tcBorders>
                    <w:top w:val="single" w:color="000000" w:sz="4"/>
                    <w:left w:val="none" w:color="000000" w:sz="4"/>
                    <w:bottom w:val="single" w:color="000000" w:sz="4"/>
                    <w:right w:val="single" w:color="000000" w:sz="4"/>
                  </w:tcBorders>
                </w:tcPr>
                <w:p/>
              </w:tc>
            </w:tr>
            <w:tr>
              <w:tc>
                <w:tcPr>
                  <w:tcW w:type="dxa" w:w="309"/>
                  <w:vMerge/>
                  <w:tcBorders>
                    <w:top w:val="none" w:color="000000" w:sz="4"/>
                    <w:left w:val="single" w:color="000000" w:sz="4"/>
                    <w:bottom w:val="single" w:color="000000" w:sz="4"/>
                    <w:right w:val="single" w:color="000000" w:sz="4"/>
                  </w:tcBorders>
                </w:tcPr>
                <w:p/>
              </w:tc>
              <w:tc>
                <w:tcPr>
                  <w:tcW w:type="dxa" w:w="329"/>
                  <w:vMerge/>
                  <w:tcBorders>
                    <w:top w:val="none" w:color="000000" w:sz="4"/>
                    <w:left w:val="none" w:color="000000" w:sz="4"/>
                    <w:bottom w:val="single" w:color="000000" w:sz="4"/>
                    <w:right w:val="single" w:color="000000" w:sz="4"/>
                  </w:tcBorders>
                </w:tcPr>
                <w:p/>
              </w:tc>
              <w:tc>
                <w:tcPr>
                  <w:tcW w:type="dxa" w:w="878"/>
                  <w:gridSpan w:val="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109.621068°</w:t>
                  </w:r>
                </w:p>
              </w:tc>
              <w:tc>
                <w:tcPr>
                  <w:tcW w:type="dxa" w:w="846"/>
                  <w:gridSpan w:val="2"/>
                  <w:tcBorders>
                    <w:top w:val="none" w:color="000000" w:sz="4"/>
                    <w:left w:val="none" w:color="000000" w:sz="4"/>
                    <w:bottom w:val="single" w:color="000000" w:sz="4"/>
                    <w:right w:val="non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18.222692°</w:t>
                  </w:r>
                </w:p>
              </w:tc>
              <w:tc>
                <w:tcPr>
                  <w:tcW w:type="dxa" w:w="172"/>
                  <w:vMerge/>
                  <w:tcBorders>
                    <w:top w:val="single" w:color="000000" w:sz="4"/>
                    <w:left w:val="none" w:color="000000" w:sz="4"/>
                    <w:bottom w:val="single" w:color="000000" w:sz="4"/>
                    <w:right w:val="single" w:color="000000" w:sz="4"/>
                  </w:tcBorders>
                </w:tcPr>
                <w:p/>
              </w:tc>
            </w:tr>
            <w:tr>
              <w:tc>
                <w:tcPr>
                  <w:tcW w:type="dxa" w:w="309"/>
                  <w:vMerge/>
                  <w:tcBorders>
                    <w:top w:val="none" w:color="000000" w:sz="4"/>
                    <w:left w:val="single" w:color="000000" w:sz="4"/>
                    <w:bottom w:val="single" w:color="000000" w:sz="4"/>
                    <w:right w:val="single" w:color="000000" w:sz="4"/>
                  </w:tcBorders>
                </w:tcPr>
                <w:p/>
              </w:tc>
              <w:tc>
                <w:tcPr>
                  <w:tcW w:type="dxa" w:w="329"/>
                  <w:vMerge/>
                  <w:tcBorders>
                    <w:top w:val="none" w:color="000000" w:sz="4"/>
                    <w:left w:val="none" w:color="000000" w:sz="4"/>
                    <w:bottom w:val="single" w:color="000000" w:sz="4"/>
                    <w:right w:val="single" w:color="000000" w:sz="4"/>
                  </w:tcBorders>
                </w:tcPr>
                <w:p/>
              </w:tc>
              <w:tc>
                <w:tcPr>
                  <w:tcW w:type="dxa" w:w="878"/>
                  <w:gridSpan w:val="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109.621117°</w:t>
                  </w:r>
                </w:p>
              </w:tc>
              <w:tc>
                <w:tcPr>
                  <w:tcW w:type="dxa" w:w="846"/>
                  <w:gridSpan w:val="2"/>
                  <w:tcBorders>
                    <w:top w:val="none" w:color="000000" w:sz="4"/>
                    <w:left w:val="none" w:color="000000" w:sz="4"/>
                    <w:bottom w:val="single" w:color="000000" w:sz="4"/>
                    <w:right w:val="non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18.222626°</w:t>
                  </w:r>
                </w:p>
              </w:tc>
              <w:tc>
                <w:tcPr>
                  <w:tcW w:type="dxa" w:w="172"/>
                  <w:vMerge/>
                  <w:tcBorders>
                    <w:top w:val="single" w:color="000000" w:sz="4"/>
                    <w:left w:val="none" w:color="000000" w:sz="4"/>
                    <w:bottom w:val="single" w:color="000000" w:sz="4"/>
                    <w:right w:val="single" w:color="000000" w:sz="4"/>
                  </w:tcBorders>
                </w:tcPr>
                <w:p/>
              </w:tc>
            </w:tr>
            <w:tr>
              <w:tc>
                <w:tcPr>
                  <w:tcW w:type="dxa" w:w="309"/>
                  <w:vMerge/>
                  <w:tcBorders>
                    <w:top w:val="none" w:color="000000" w:sz="4"/>
                    <w:left w:val="single" w:color="000000" w:sz="4"/>
                    <w:bottom w:val="single" w:color="000000" w:sz="4"/>
                    <w:right w:val="single" w:color="000000" w:sz="4"/>
                  </w:tcBorders>
                </w:tcPr>
                <w:p/>
              </w:tc>
              <w:tc>
                <w:tcPr>
                  <w:tcW w:type="dxa" w:w="329"/>
                  <w:vMerge/>
                  <w:tcBorders>
                    <w:top w:val="none" w:color="000000" w:sz="4"/>
                    <w:left w:val="none" w:color="000000" w:sz="4"/>
                    <w:bottom w:val="single" w:color="000000" w:sz="4"/>
                    <w:right w:val="single" w:color="000000" w:sz="4"/>
                  </w:tcBorders>
                </w:tcPr>
                <w:p/>
              </w:tc>
              <w:tc>
                <w:tcPr>
                  <w:tcW w:type="dxa" w:w="878"/>
                  <w:gridSpan w:val="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109.621172°</w:t>
                  </w:r>
                </w:p>
              </w:tc>
              <w:tc>
                <w:tcPr>
                  <w:tcW w:type="dxa" w:w="846"/>
                  <w:gridSpan w:val="2"/>
                  <w:tcBorders>
                    <w:top w:val="none" w:color="000000" w:sz="4"/>
                    <w:left w:val="none" w:color="000000" w:sz="4"/>
                    <w:bottom w:val="single" w:color="000000" w:sz="4"/>
                    <w:right w:val="non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18.222552°</w:t>
                  </w:r>
                </w:p>
              </w:tc>
              <w:tc>
                <w:tcPr>
                  <w:tcW w:type="dxa" w:w="172"/>
                  <w:vMerge/>
                  <w:tcBorders>
                    <w:top w:val="single" w:color="000000" w:sz="4"/>
                    <w:left w:val="none" w:color="000000" w:sz="4"/>
                    <w:bottom w:val="single" w:color="000000" w:sz="4"/>
                    <w:right w:val="single" w:color="000000" w:sz="4"/>
                  </w:tcBorders>
                </w:tcPr>
                <w:p/>
              </w:tc>
            </w:tr>
            <w:tr>
              <w:tc>
                <w:tcPr>
                  <w:tcW w:type="dxa" w:w="309"/>
                  <w:vMerge/>
                  <w:tcBorders>
                    <w:top w:val="none" w:color="000000" w:sz="4"/>
                    <w:left w:val="single" w:color="000000" w:sz="4"/>
                    <w:bottom w:val="single" w:color="000000" w:sz="4"/>
                    <w:right w:val="single" w:color="000000" w:sz="4"/>
                  </w:tcBorders>
                </w:tcPr>
                <w:p/>
              </w:tc>
              <w:tc>
                <w:tcPr>
                  <w:tcW w:type="dxa" w:w="329"/>
                  <w:vMerge/>
                  <w:tcBorders>
                    <w:top w:val="none" w:color="000000" w:sz="4"/>
                    <w:left w:val="none" w:color="000000" w:sz="4"/>
                    <w:bottom w:val="single" w:color="000000" w:sz="4"/>
                    <w:right w:val="single" w:color="000000" w:sz="4"/>
                  </w:tcBorders>
                </w:tcPr>
                <w:p/>
              </w:tc>
              <w:tc>
                <w:tcPr>
                  <w:tcW w:type="dxa" w:w="878"/>
                  <w:gridSpan w:val="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109.621237°</w:t>
                  </w:r>
                </w:p>
              </w:tc>
              <w:tc>
                <w:tcPr>
                  <w:tcW w:type="dxa" w:w="846"/>
                  <w:gridSpan w:val="2"/>
                  <w:tcBorders>
                    <w:top w:val="none" w:color="000000" w:sz="4"/>
                    <w:left w:val="none" w:color="000000" w:sz="4"/>
                    <w:bottom w:val="single" w:color="000000" w:sz="4"/>
                    <w:right w:val="non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18.222463°</w:t>
                  </w:r>
                </w:p>
              </w:tc>
              <w:tc>
                <w:tcPr>
                  <w:tcW w:type="dxa" w:w="172"/>
                  <w:vMerge/>
                  <w:tcBorders>
                    <w:top w:val="single" w:color="000000" w:sz="4"/>
                    <w:left w:val="none" w:color="000000" w:sz="4"/>
                    <w:bottom w:val="single" w:color="000000" w:sz="4"/>
                    <w:right w:val="single" w:color="000000" w:sz="4"/>
                  </w:tcBorders>
                </w:tcPr>
                <w:p/>
              </w:tc>
            </w:tr>
            <w:tr>
              <w:tc>
                <w:tcPr>
                  <w:tcW w:type="dxa" w:w="309"/>
                  <w:vMerge/>
                  <w:tcBorders>
                    <w:top w:val="none" w:color="000000" w:sz="4"/>
                    <w:left w:val="single" w:color="000000" w:sz="4"/>
                    <w:bottom w:val="single" w:color="000000" w:sz="4"/>
                    <w:right w:val="single" w:color="000000" w:sz="4"/>
                  </w:tcBorders>
                </w:tcPr>
                <w:p/>
              </w:tc>
              <w:tc>
                <w:tcPr>
                  <w:tcW w:type="dxa" w:w="329"/>
                  <w:vMerge/>
                  <w:tcBorders>
                    <w:top w:val="none" w:color="000000" w:sz="4"/>
                    <w:left w:val="none" w:color="000000" w:sz="4"/>
                    <w:bottom w:val="single" w:color="000000" w:sz="4"/>
                    <w:right w:val="single" w:color="000000" w:sz="4"/>
                  </w:tcBorders>
                </w:tcPr>
                <w:p/>
              </w:tc>
              <w:tc>
                <w:tcPr>
                  <w:tcW w:type="dxa" w:w="878"/>
                  <w:gridSpan w:val="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109.622129°</w:t>
                  </w:r>
                </w:p>
              </w:tc>
              <w:tc>
                <w:tcPr>
                  <w:tcW w:type="dxa" w:w="846"/>
                  <w:gridSpan w:val="2"/>
                  <w:tcBorders>
                    <w:top w:val="none" w:color="000000" w:sz="4"/>
                    <w:left w:val="none" w:color="000000" w:sz="4"/>
                    <w:bottom w:val="single" w:color="000000" w:sz="4"/>
                    <w:right w:val="non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18.221255°</w:t>
                  </w:r>
                </w:p>
              </w:tc>
              <w:tc>
                <w:tcPr>
                  <w:tcW w:type="dxa" w:w="172"/>
                  <w:vMerge/>
                  <w:tcBorders>
                    <w:top w:val="single" w:color="000000" w:sz="4"/>
                    <w:left w:val="none" w:color="000000" w:sz="4"/>
                    <w:bottom w:val="single" w:color="000000" w:sz="4"/>
                    <w:right w:val="single" w:color="000000" w:sz="4"/>
                  </w:tcBorders>
                </w:tcPr>
                <w:p/>
              </w:tc>
            </w:tr>
            <w:tr>
              <w:tc>
                <w:tcPr>
                  <w:tcW w:type="dxa" w:w="309"/>
                  <w:vMerge/>
                  <w:tcBorders>
                    <w:top w:val="none" w:color="000000" w:sz="4"/>
                    <w:left w:val="single" w:color="000000" w:sz="4"/>
                    <w:bottom w:val="single" w:color="000000" w:sz="4"/>
                    <w:right w:val="single" w:color="000000" w:sz="4"/>
                  </w:tcBorders>
                </w:tcPr>
                <w:p/>
              </w:tc>
              <w:tc>
                <w:tcPr>
                  <w:tcW w:type="dxa" w:w="329"/>
                  <w:vMerge/>
                  <w:tcBorders>
                    <w:top w:val="none" w:color="000000" w:sz="4"/>
                    <w:left w:val="none" w:color="000000" w:sz="4"/>
                    <w:bottom w:val="single" w:color="000000" w:sz="4"/>
                    <w:right w:val="single" w:color="000000" w:sz="4"/>
                  </w:tcBorders>
                </w:tcPr>
                <w:p/>
              </w:tc>
              <w:tc>
                <w:tcPr>
                  <w:tcW w:type="dxa" w:w="878"/>
                  <w:gridSpan w:val="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109.626607°</w:t>
                  </w:r>
                </w:p>
              </w:tc>
              <w:tc>
                <w:tcPr>
                  <w:tcW w:type="dxa" w:w="846"/>
                  <w:gridSpan w:val="2"/>
                  <w:tcBorders>
                    <w:top w:val="none" w:color="000000" w:sz="4"/>
                    <w:left w:val="none" w:color="000000" w:sz="4"/>
                    <w:bottom w:val="single" w:color="000000" w:sz="4"/>
                    <w:right w:val="non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18.226060°</w:t>
                  </w:r>
                </w:p>
              </w:tc>
              <w:tc>
                <w:tcPr>
                  <w:tcW w:type="dxa" w:w="172"/>
                  <w:vMerge/>
                  <w:tcBorders>
                    <w:top w:val="single" w:color="000000" w:sz="4"/>
                    <w:left w:val="none" w:color="000000" w:sz="4"/>
                    <w:bottom w:val="single" w:color="000000" w:sz="4"/>
                    <w:right w:val="single" w:color="000000" w:sz="4"/>
                  </w:tcBorders>
                </w:tcPr>
                <w:p/>
              </w:tc>
            </w:tr>
            <w:tr>
              <w:tc>
                <w:tcPr>
                  <w:tcW w:type="dxa" w:w="309"/>
                  <w:vMerge/>
                  <w:tcBorders>
                    <w:top w:val="none" w:color="000000" w:sz="4"/>
                    <w:left w:val="single" w:color="000000" w:sz="4"/>
                    <w:bottom w:val="single" w:color="000000" w:sz="4"/>
                    <w:right w:val="single" w:color="000000" w:sz="4"/>
                  </w:tcBorders>
                </w:tcPr>
                <w:p/>
              </w:tc>
              <w:tc>
                <w:tcPr>
                  <w:tcW w:type="dxa" w:w="329"/>
                  <w:vMerge/>
                  <w:tcBorders>
                    <w:top w:val="none" w:color="000000" w:sz="4"/>
                    <w:left w:val="none" w:color="000000" w:sz="4"/>
                    <w:bottom w:val="single" w:color="000000" w:sz="4"/>
                    <w:right w:val="single" w:color="000000" w:sz="4"/>
                  </w:tcBorders>
                </w:tcPr>
                <w:p/>
              </w:tc>
              <w:tc>
                <w:tcPr>
                  <w:tcW w:type="dxa" w:w="878"/>
                  <w:gridSpan w:val="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109.626664°</w:t>
                  </w:r>
                </w:p>
              </w:tc>
              <w:tc>
                <w:tcPr>
                  <w:tcW w:type="dxa" w:w="846"/>
                  <w:gridSpan w:val="2"/>
                  <w:tcBorders>
                    <w:top w:val="none" w:color="000000" w:sz="4"/>
                    <w:left w:val="none" w:color="000000" w:sz="4"/>
                    <w:bottom w:val="single" w:color="000000" w:sz="4"/>
                    <w:right w:val="non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18.225977°</w:t>
                  </w:r>
                </w:p>
              </w:tc>
              <w:tc>
                <w:tcPr>
                  <w:tcW w:type="dxa" w:w="172"/>
                  <w:vMerge/>
                  <w:tcBorders>
                    <w:top w:val="single" w:color="000000" w:sz="4"/>
                    <w:left w:val="none" w:color="000000" w:sz="4"/>
                    <w:bottom w:val="single" w:color="000000" w:sz="4"/>
                    <w:right w:val="single" w:color="000000" w:sz="4"/>
                  </w:tcBorders>
                </w:tcPr>
                <w:p/>
              </w:tc>
            </w:tr>
            <w:tr>
              <w:tc>
                <w:tcPr>
                  <w:tcW w:type="dxa" w:w="309"/>
                  <w:vMerge/>
                  <w:tcBorders>
                    <w:top w:val="none" w:color="000000" w:sz="4"/>
                    <w:left w:val="single" w:color="000000" w:sz="4"/>
                    <w:bottom w:val="single" w:color="000000" w:sz="4"/>
                    <w:right w:val="single" w:color="000000" w:sz="4"/>
                  </w:tcBorders>
                </w:tcPr>
                <w:p/>
              </w:tc>
              <w:tc>
                <w:tcPr>
                  <w:tcW w:type="dxa" w:w="329"/>
                  <w:vMerge/>
                  <w:tcBorders>
                    <w:top w:val="none" w:color="000000" w:sz="4"/>
                    <w:left w:val="none" w:color="000000" w:sz="4"/>
                    <w:bottom w:val="single" w:color="000000" w:sz="4"/>
                    <w:right w:val="single" w:color="000000" w:sz="4"/>
                  </w:tcBorders>
                </w:tcPr>
                <w:p/>
              </w:tc>
              <w:tc>
                <w:tcPr>
                  <w:tcW w:type="dxa" w:w="878"/>
                  <w:gridSpan w:val="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109.626727°</w:t>
                  </w:r>
                </w:p>
              </w:tc>
              <w:tc>
                <w:tcPr>
                  <w:tcW w:type="dxa" w:w="846"/>
                  <w:gridSpan w:val="2"/>
                  <w:tcBorders>
                    <w:top w:val="none" w:color="000000" w:sz="4"/>
                    <w:left w:val="none" w:color="000000" w:sz="4"/>
                    <w:bottom w:val="single" w:color="000000" w:sz="4"/>
                    <w:right w:val="non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18.225884°</w:t>
                  </w:r>
                </w:p>
              </w:tc>
              <w:tc>
                <w:tcPr>
                  <w:tcW w:type="dxa" w:w="172"/>
                  <w:vMerge/>
                  <w:tcBorders>
                    <w:top w:val="single" w:color="000000" w:sz="4"/>
                    <w:left w:val="none" w:color="000000" w:sz="4"/>
                    <w:bottom w:val="single" w:color="000000" w:sz="4"/>
                    <w:right w:val="single" w:color="000000" w:sz="4"/>
                  </w:tcBorders>
                </w:tcPr>
                <w:p/>
              </w:tc>
            </w:tr>
            <w:tr>
              <w:tc>
                <w:tcPr>
                  <w:tcW w:type="dxa" w:w="309"/>
                  <w:vMerge/>
                  <w:tcBorders>
                    <w:top w:val="none" w:color="000000" w:sz="4"/>
                    <w:left w:val="single" w:color="000000" w:sz="4"/>
                    <w:bottom w:val="single" w:color="000000" w:sz="4"/>
                    <w:right w:val="single" w:color="000000" w:sz="4"/>
                  </w:tcBorders>
                </w:tcPr>
                <w:p/>
              </w:tc>
              <w:tc>
                <w:tcPr>
                  <w:tcW w:type="dxa" w:w="329"/>
                  <w:vMerge/>
                  <w:tcBorders>
                    <w:top w:val="none" w:color="000000" w:sz="4"/>
                    <w:left w:val="none" w:color="000000" w:sz="4"/>
                    <w:bottom w:val="single" w:color="000000" w:sz="4"/>
                    <w:right w:val="single" w:color="000000" w:sz="4"/>
                  </w:tcBorders>
                </w:tcPr>
                <w:p/>
              </w:tc>
              <w:tc>
                <w:tcPr>
                  <w:tcW w:type="dxa" w:w="878"/>
                  <w:gridSpan w:val="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109.626792°</w:t>
                  </w:r>
                </w:p>
              </w:tc>
              <w:tc>
                <w:tcPr>
                  <w:tcW w:type="dxa" w:w="846"/>
                  <w:gridSpan w:val="2"/>
                  <w:tcBorders>
                    <w:top w:val="none" w:color="000000" w:sz="4"/>
                    <w:left w:val="none" w:color="000000" w:sz="4"/>
                    <w:bottom w:val="single" w:color="000000" w:sz="4"/>
                    <w:right w:val="non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18.225790°</w:t>
                  </w:r>
                </w:p>
              </w:tc>
              <w:tc>
                <w:tcPr>
                  <w:tcW w:type="dxa" w:w="172"/>
                  <w:vMerge/>
                  <w:tcBorders>
                    <w:top w:val="single" w:color="000000" w:sz="4"/>
                    <w:left w:val="none" w:color="000000" w:sz="4"/>
                    <w:bottom w:val="single" w:color="000000" w:sz="4"/>
                    <w:right w:val="single" w:color="000000" w:sz="4"/>
                  </w:tcBorders>
                </w:tcPr>
                <w:p/>
              </w:tc>
            </w:tr>
            <w:tr>
              <w:tc>
                <w:tcPr>
                  <w:tcW w:type="dxa" w:w="309"/>
                  <w:vMerge/>
                  <w:tcBorders>
                    <w:top w:val="none" w:color="000000" w:sz="4"/>
                    <w:left w:val="single" w:color="000000" w:sz="4"/>
                    <w:bottom w:val="single" w:color="000000" w:sz="4"/>
                    <w:right w:val="single" w:color="000000" w:sz="4"/>
                  </w:tcBorders>
                </w:tcPr>
                <w:p/>
              </w:tc>
              <w:tc>
                <w:tcPr>
                  <w:tcW w:type="dxa" w:w="329"/>
                  <w:vMerge/>
                  <w:tcBorders>
                    <w:top w:val="none" w:color="000000" w:sz="4"/>
                    <w:left w:val="none" w:color="000000" w:sz="4"/>
                    <w:bottom w:val="single" w:color="000000" w:sz="4"/>
                    <w:right w:val="single" w:color="000000" w:sz="4"/>
                  </w:tcBorders>
                </w:tcPr>
                <w:p/>
              </w:tc>
              <w:tc>
                <w:tcPr>
                  <w:tcW w:type="dxa" w:w="878"/>
                  <w:gridSpan w:val="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109.626842°</w:t>
                  </w:r>
                </w:p>
              </w:tc>
              <w:tc>
                <w:tcPr>
                  <w:tcW w:type="dxa" w:w="846"/>
                  <w:gridSpan w:val="2"/>
                  <w:tcBorders>
                    <w:top w:val="none" w:color="000000" w:sz="4"/>
                    <w:left w:val="none" w:color="000000" w:sz="4"/>
                    <w:bottom w:val="single" w:color="000000" w:sz="4"/>
                    <w:right w:val="non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18.225716°</w:t>
                  </w:r>
                </w:p>
              </w:tc>
              <w:tc>
                <w:tcPr>
                  <w:tcW w:type="dxa" w:w="172"/>
                  <w:vMerge/>
                  <w:tcBorders>
                    <w:top w:val="single" w:color="000000" w:sz="4"/>
                    <w:left w:val="none" w:color="000000" w:sz="4"/>
                    <w:bottom w:val="single" w:color="000000" w:sz="4"/>
                    <w:right w:val="single" w:color="000000" w:sz="4"/>
                  </w:tcBorders>
                </w:tcPr>
                <w:p/>
              </w:tc>
            </w:tr>
            <w:tr>
              <w:tc>
                <w:tcPr>
                  <w:tcW w:type="dxa" w:w="309"/>
                  <w:vMerge/>
                  <w:tcBorders>
                    <w:top w:val="none" w:color="000000" w:sz="4"/>
                    <w:left w:val="single" w:color="000000" w:sz="4"/>
                    <w:bottom w:val="single" w:color="000000" w:sz="4"/>
                    <w:right w:val="single" w:color="000000" w:sz="4"/>
                  </w:tcBorders>
                </w:tcPr>
                <w:p/>
              </w:tc>
              <w:tc>
                <w:tcPr>
                  <w:tcW w:type="dxa" w:w="329"/>
                  <w:vMerge/>
                  <w:tcBorders>
                    <w:top w:val="none" w:color="000000" w:sz="4"/>
                    <w:left w:val="none" w:color="000000" w:sz="4"/>
                    <w:bottom w:val="single" w:color="000000" w:sz="4"/>
                    <w:right w:val="single" w:color="000000" w:sz="4"/>
                  </w:tcBorders>
                </w:tcPr>
                <w:p/>
              </w:tc>
              <w:tc>
                <w:tcPr>
                  <w:tcW w:type="dxa" w:w="878"/>
                  <w:gridSpan w:val="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109.627775°</w:t>
                  </w:r>
                </w:p>
              </w:tc>
              <w:tc>
                <w:tcPr>
                  <w:tcW w:type="dxa" w:w="846"/>
                  <w:gridSpan w:val="2"/>
                  <w:tcBorders>
                    <w:top w:val="none" w:color="000000" w:sz="4"/>
                    <w:left w:val="none" w:color="000000" w:sz="4"/>
                    <w:bottom w:val="single" w:color="000000" w:sz="4"/>
                    <w:right w:val="non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18.224350°</w:t>
                  </w:r>
                </w:p>
              </w:tc>
              <w:tc>
                <w:tcPr>
                  <w:tcW w:type="dxa" w:w="172"/>
                  <w:vMerge/>
                  <w:tcBorders>
                    <w:top w:val="single" w:color="000000" w:sz="4"/>
                    <w:left w:val="none" w:color="000000" w:sz="4"/>
                    <w:bottom w:val="single" w:color="000000" w:sz="4"/>
                    <w:right w:val="single" w:color="000000" w:sz="4"/>
                  </w:tcBorders>
                </w:tcPr>
                <w:p/>
              </w:tc>
            </w:tr>
            <w:tr>
              <w:tc>
                <w:tcPr>
                  <w:tcW w:type="dxa" w:w="309"/>
                  <w:vMerge/>
                  <w:tcBorders>
                    <w:top w:val="none" w:color="000000" w:sz="4"/>
                    <w:left w:val="single" w:color="000000" w:sz="4"/>
                    <w:bottom w:val="single" w:color="000000" w:sz="4"/>
                    <w:right w:val="single" w:color="000000" w:sz="4"/>
                  </w:tcBorders>
                </w:tcPr>
                <w:p/>
              </w:tc>
              <w:tc>
                <w:tcPr>
                  <w:tcW w:type="dxa" w:w="329"/>
                  <w:vMerge/>
                  <w:tcBorders>
                    <w:top w:val="none" w:color="000000" w:sz="4"/>
                    <w:left w:val="none" w:color="000000" w:sz="4"/>
                    <w:bottom w:val="single" w:color="000000" w:sz="4"/>
                    <w:right w:val="single" w:color="000000" w:sz="4"/>
                  </w:tcBorders>
                </w:tcPr>
                <w:p/>
              </w:tc>
              <w:tc>
                <w:tcPr>
                  <w:tcW w:type="dxa" w:w="878"/>
                  <w:gridSpan w:val="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109.633745°</w:t>
                  </w:r>
                </w:p>
              </w:tc>
              <w:tc>
                <w:tcPr>
                  <w:tcW w:type="dxa" w:w="846"/>
                  <w:gridSpan w:val="2"/>
                  <w:tcBorders>
                    <w:top w:val="none" w:color="000000" w:sz="4"/>
                    <w:left w:val="none" w:color="000000" w:sz="4"/>
                    <w:bottom w:val="single" w:color="000000" w:sz="4"/>
                    <w:right w:val="non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18.229056°</w:t>
                  </w:r>
                </w:p>
              </w:tc>
              <w:tc>
                <w:tcPr>
                  <w:tcW w:type="dxa" w:w="172"/>
                  <w:vMerge/>
                  <w:tcBorders>
                    <w:top w:val="single" w:color="000000" w:sz="4"/>
                    <w:left w:val="none" w:color="000000" w:sz="4"/>
                    <w:bottom w:val="single" w:color="000000" w:sz="4"/>
                    <w:right w:val="single" w:color="000000" w:sz="4"/>
                  </w:tcBorders>
                </w:tcPr>
                <w:p/>
              </w:tc>
            </w:tr>
            <w:tr>
              <w:tc>
                <w:tcPr>
                  <w:tcW w:type="dxa" w:w="309"/>
                  <w:vMerge/>
                  <w:tcBorders>
                    <w:top w:val="none" w:color="000000" w:sz="4"/>
                    <w:left w:val="single" w:color="000000" w:sz="4"/>
                    <w:bottom w:val="single" w:color="000000" w:sz="4"/>
                    <w:right w:val="single" w:color="000000" w:sz="4"/>
                  </w:tcBorders>
                </w:tcPr>
                <w:p/>
              </w:tc>
              <w:tc>
                <w:tcPr>
                  <w:tcW w:type="dxa" w:w="329"/>
                  <w:vMerge/>
                  <w:tcBorders>
                    <w:top w:val="none" w:color="000000" w:sz="4"/>
                    <w:left w:val="none" w:color="000000" w:sz="4"/>
                    <w:bottom w:val="single" w:color="000000" w:sz="4"/>
                    <w:right w:val="single" w:color="000000" w:sz="4"/>
                  </w:tcBorders>
                </w:tcPr>
                <w:p/>
              </w:tc>
              <w:tc>
                <w:tcPr>
                  <w:tcW w:type="dxa" w:w="878"/>
                  <w:gridSpan w:val="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109.633810°</w:t>
                  </w:r>
                </w:p>
              </w:tc>
              <w:tc>
                <w:tcPr>
                  <w:tcW w:type="dxa" w:w="846"/>
                  <w:gridSpan w:val="2"/>
                  <w:tcBorders>
                    <w:top w:val="none" w:color="000000" w:sz="4"/>
                    <w:left w:val="none" w:color="000000" w:sz="4"/>
                    <w:bottom w:val="single" w:color="000000" w:sz="4"/>
                    <w:right w:val="non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18.228934°</w:t>
                  </w:r>
                </w:p>
              </w:tc>
              <w:tc>
                <w:tcPr>
                  <w:tcW w:type="dxa" w:w="172"/>
                  <w:vMerge/>
                  <w:tcBorders>
                    <w:top w:val="single" w:color="000000" w:sz="4"/>
                    <w:left w:val="none" w:color="000000" w:sz="4"/>
                    <w:bottom w:val="single" w:color="000000" w:sz="4"/>
                    <w:right w:val="single" w:color="000000" w:sz="4"/>
                  </w:tcBorders>
                </w:tcPr>
                <w:p/>
              </w:tc>
            </w:tr>
            <w:tr>
              <w:tc>
                <w:tcPr>
                  <w:tcW w:type="dxa" w:w="309"/>
                  <w:vMerge/>
                  <w:tcBorders>
                    <w:top w:val="none" w:color="000000" w:sz="4"/>
                    <w:left w:val="single" w:color="000000" w:sz="4"/>
                    <w:bottom w:val="single" w:color="000000" w:sz="4"/>
                    <w:right w:val="single" w:color="000000" w:sz="4"/>
                  </w:tcBorders>
                </w:tcPr>
                <w:p/>
              </w:tc>
              <w:tc>
                <w:tcPr>
                  <w:tcW w:type="dxa" w:w="329"/>
                  <w:vMerge/>
                  <w:tcBorders>
                    <w:top w:val="none" w:color="000000" w:sz="4"/>
                    <w:left w:val="none" w:color="000000" w:sz="4"/>
                    <w:bottom w:val="single" w:color="000000" w:sz="4"/>
                    <w:right w:val="single" w:color="000000" w:sz="4"/>
                  </w:tcBorders>
                </w:tcPr>
                <w:p/>
              </w:tc>
              <w:tc>
                <w:tcPr>
                  <w:tcW w:type="dxa" w:w="878"/>
                  <w:gridSpan w:val="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109.633869°</w:t>
                  </w:r>
                </w:p>
              </w:tc>
              <w:tc>
                <w:tcPr>
                  <w:tcW w:type="dxa" w:w="846"/>
                  <w:gridSpan w:val="2"/>
                  <w:tcBorders>
                    <w:top w:val="none" w:color="000000" w:sz="4"/>
                    <w:left w:val="none" w:color="000000" w:sz="4"/>
                    <w:bottom w:val="single" w:color="000000" w:sz="4"/>
                    <w:right w:val="non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18.228822°</w:t>
                  </w:r>
                </w:p>
              </w:tc>
              <w:tc>
                <w:tcPr>
                  <w:tcW w:type="dxa" w:w="172"/>
                  <w:vMerge/>
                  <w:tcBorders>
                    <w:top w:val="single" w:color="000000" w:sz="4"/>
                    <w:left w:val="none" w:color="000000" w:sz="4"/>
                    <w:bottom w:val="single" w:color="000000" w:sz="4"/>
                    <w:right w:val="single" w:color="000000" w:sz="4"/>
                  </w:tcBorders>
                </w:tcPr>
                <w:p/>
              </w:tc>
            </w:tr>
            <w:tr>
              <w:tc>
                <w:tcPr>
                  <w:tcW w:type="dxa" w:w="309"/>
                  <w:vMerge/>
                  <w:tcBorders>
                    <w:top w:val="none" w:color="000000" w:sz="4"/>
                    <w:left w:val="single" w:color="000000" w:sz="4"/>
                    <w:bottom w:val="single" w:color="000000" w:sz="4"/>
                    <w:right w:val="single" w:color="000000" w:sz="4"/>
                  </w:tcBorders>
                </w:tcPr>
                <w:p/>
              </w:tc>
              <w:tc>
                <w:tcPr>
                  <w:tcW w:type="dxa" w:w="329"/>
                  <w:vMerge/>
                  <w:tcBorders>
                    <w:top w:val="none" w:color="000000" w:sz="4"/>
                    <w:left w:val="none" w:color="000000" w:sz="4"/>
                    <w:bottom w:val="single" w:color="000000" w:sz="4"/>
                    <w:right w:val="single" w:color="000000" w:sz="4"/>
                  </w:tcBorders>
                </w:tcPr>
                <w:p/>
              </w:tc>
              <w:tc>
                <w:tcPr>
                  <w:tcW w:type="dxa" w:w="878"/>
                  <w:gridSpan w:val="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109.633922°</w:t>
                  </w:r>
                </w:p>
              </w:tc>
              <w:tc>
                <w:tcPr>
                  <w:tcW w:type="dxa" w:w="846"/>
                  <w:gridSpan w:val="2"/>
                  <w:tcBorders>
                    <w:top w:val="none" w:color="000000" w:sz="4"/>
                    <w:left w:val="none" w:color="000000" w:sz="4"/>
                    <w:bottom w:val="single" w:color="000000" w:sz="4"/>
                    <w:right w:val="non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18.228721°</w:t>
                  </w:r>
                </w:p>
              </w:tc>
              <w:tc>
                <w:tcPr>
                  <w:tcW w:type="dxa" w:w="172"/>
                  <w:vMerge/>
                  <w:tcBorders>
                    <w:top w:val="single" w:color="000000" w:sz="4"/>
                    <w:left w:val="none" w:color="000000" w:sz="4"/>
                    <w:bottom w:val="single" w:color="000000" w:sz="4"/>
                    <w:right w:val="single" w:color="000000" w:sz="4"/>
                  </w:tcBorders>
                </w:tcPr>
                <w:p/>
              </w:tc>
            </w:tr>
            <w:tr>
              <w:tc>
                <w:tcPr>
                  <w:tcW w:type="dxa" w:w="309"/>
                  <w:vMerge/>
                  <w:tcBorders>
                    <w:top w:val="none" w:color="000000" w:sz="4"/>
                    <w:left w:val="single" w:color="000000" w:sz="4"/>
                    <w:bottom w:val="single" w:color="000000" w:sz="4"/>
                    <w:right w:val="single" w:color="000000" w:sz="4"/>
                  </w:tcBorders>
                </w:tcPr>
                <w:p/>
              </w:tc>
              <w:tc>
                <w:tcPr>
                  <w:tcW w:type="dxa" w:w="329"/>
                  <w:vMerge/>
                  <w:tcBorders>
                    <w:top w:val="none" w:color="000000" w:sz="4"/>
                    <w:left w:val="none" w:color="000000" w:sz="4"/>
                    <w:bottom w:val="single" w:color="000000" w:sz="4"/>
                    <w:right w:val="single" w:color="000000" w:sz="4"/>
                  </w:tcBorders>
                </w:tcPr>
                <w:p/>
              </w:tc>
              <w:tc>
                <w:tcPr>
                  <w:tcW w:type="dxa" w:w="878"/>
                  <w:gridSpan w:val="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109.633986°</w:t>
                  </w:r>
                </w:p>
              </w:tc>
              <w:tc>
                <w:tcPr>
                  <w:tcW w:type="dxa" w:w="846"/>
                  <w:gridSpan w:val="2"/>
                  <w:tcBorders>
                    <w:top w:val="none" w:color="000000" w:sz="4"/>
                    <w:left w:val="none" w:color="000000" w:sz="4"/>
                    <w:bottom w:val="single" w:color="000000" w:sz="4"/>
                    <w:right w:val="non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18.228600°</w:t>
                  </w:r>
                </w:p>
              </w:tc>
              <w:tc>
                <w:tcPr>
                  <w:tcW w:type="dxa" w:w="172"/>
                  <w:vMerge/>
                  <w:tcBorders>
                    <w:top w:val="single" w:color="000000" w:sz="4"/>
                    <w:left w:val="none" w:color="000000" w:sz="4"/>
                    <w:bottom w:val="single" w:color="000000" w:sz="4"/>
                    <w:right w:val="single" w:color="000000" w:sz="4"/>
                  </w:tcBorders>
                </w:tcPr>
                <w:p/>
              </w:tc>
            </w:tr>
            <w:tr>
              <w:tc>
                <w:tcPr>
                  <w:tcW w:type="dxa" w:w="309"/>
                  <w:vMerge/>
                  <w:tcBorders>
                    <w:top w:val="none" w:color="000000" w:sz="4"/>
                    <w:left w:val="single" w:color="000000" w:sz="4"/>
                    <w:bottom w:val="single" w:color="000000" w:sz="4"/>
                    <w:right w:val="single" w:color="000000" w:sz="4"/>
                  </w:tcBorders>
                </w:tcPr>
                <w:p/>
              </w:tc>
              <w:tc>
                <w:tcPr>
                  <w:tcW w:type="dxa" w:w="329"/>
                  <w:vMerge/>
                  <w:tcBorders>
                    <w:top w:val="none" w:color="000000" w:sz="4"/>
                    <w:left w:val="none" w:color="000000" w:sz="4"/>
                    <w:bottom w:val="single" w:color="000000" w:sz="4"/>
                    <w:right w:val="single" w:color="000000" w:sz="4"/>
                  </w:tcBorders>
                </w:tcPr>
                <w:p/>
              </w:tc>
              <w:tc>
                <w:tcPr>
                  <w:tcW w:type="dxa" w:w="878"/>
                  <w:gridSpan w:val="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109.634749°</w:t>
                  </w:r>
                </w:p>
              </w:tc>
              <w:tc>
                <w:tcPr>
                  <w:tcW w:type="dxa" w:w="846"/>
                  <w:gridSpan w:val="2"/>
                  <w:tcBorders>
                    <w:top w:val="none" w:color="000000" w:sz="4"/>
                    <w:left w:val="none" w:color="000000" w:sz="4"/>
                    <w:bottom w:val="single" w:color="000000" w:sz="4"/>
                    <w:right w:val="non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18.227149°</w:t>
                  </w:r>
                </w:p>
              </w:tc>
              <w:tc>
                <w:tcPr>
                  <w:tcW w:type="dxa" w:w="172"/>
                  <w:vMerge/>
                  <w:tcBorders>
                    <w:top w:val="single" w:color="000000" w:sz="4"/>
                    <w:left w:val="none" w:color="000000" w:sz="4"/>
                    <w:bottom w:val="single" w:color="000000" w:sz="4"/>
                    <w:right w:val="single" w:color="000000" w:sz="4"/>
                  </w:tcBorders>
                </w:tcPr>
                <w:p/>
              </w:tc>
            </w:tr>
            <w:tr>
              <w:tc>
                <w:tcPr>
                  <w:tcW w:type="dxa" w:w="309"/>
                  <w:vMerge/>
                  <w:tcBorders>
                    <w:top w:val="none" w:color="000000" w:sz="4"/>
                    <w:left w:val="single" w:color="000000" w:sz="4"/>
                    <w:bottom w:val="single" w:color="000000" w:sz="4"/>
                    <w:right w:val="single" w:color="000000" w:sz="4"/>
                  </w:tcBorders>
                </w:tcPr>
                <w:p/>
              </w:tc>
              <w:tc>
                <w:tcPr>
                  <w:tcW w:type="dxa" w:w="329"/>
                  <w:vMerge/>
                  <w:tcBorders>
                    <w:top w:val="none" w:color="000000" w:sz="4"/>
                    <w:left w:val="none" w:color="000000" w:sz="4"/>
                    <w:bottom w:val="single" w:color="000000" w:sz="4"/>
                    <w:right w:val="single" w:color="000000" w:sz="4"/>
                  </w:tcBorders>
                </w:tcPr>
                <w:p/>
              </w:tc>
              <w:tc>
                <w:tcPr>
                  <w:tcW w:type="dxa" w:w="878"/>
                  <w:gridSpan w:val="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109.640204°</w:t>
                  </w:r>
                </w:p>
              </w:tc>
              <w:tc>
                <w:tcPr>
                  <w:tcW w:type="dxa" w:w="846"/>
                  <w:gridSpan w:val="2"/>
                  <w:tcBorders>
                    <w:top w:val="none" w:color="000000" w:sz="4"/>
                    <w:left w:val="none" w:color="000000" w:sz="4"/>
                    <w:bottom w:val="single" w:color="000000" w:sz="4"/>
                    <w:right w:val="non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18.230838°</w:t>
                  </w:r>
                </w:p>
              </w:tc>
              <w:tc>
                <w:tcPr>
                  <w:tcW w:type="dxa" w:w="172"/>
                  <w:vMerge/>
                  <w:tcBorders>
                    <w:top w:val="single" w:color="000000" w:sz="4"/>
                    <w:left w:val="none" w:color="000000" w:sz="4"/>
                    <w:bottom w:val="single" w:color="000000" w:sz="4"/>
                    <w:right w:val="single" w:color="000000" w:sz="4"/>
                  </w:tcBorders>
                </w:tcPr>
                <w:p/>
              </w:tc>
            </w:tr>
            <w:tr>
              <w:tc>
                <w:tcPr>
                  <w:tcW w:type="dxa" w:w="309"/>
                  <w:vMerge/>
                  <w:tcBorders>
                    <w:top w:val="none" w:color="000000" w:sz="4"/>
                    <w:left w:val="single" w:color="000000" w:sz="4"/>
                    <w:bottom w:val="single" w:color="000000" w:sz="4"/>
                    <w:right w:val="single" w:color="000000" w:sz="4"/>
                  </w:tcBorders>
                </w:tcPr>
                <w:p/>
              </w:tc>
              <w:tc>
                <w:tcPr>
                  <w:tcW w:type="dxa" w:w="329"/>
                  <w:vMerge/>
                  <w:tcBorders>
                    <w:top w:val="none" w:color="000000" w:sz="4"/>
                    <w:left w:val="none" w:color="000000" w:sz="4"/>
                    <w:bottom w:val="single" w:color="000000" w:sz="4"/>
                    <w:right w:val="single" w:color="000000" w:sz="4"/>
                  </w:tcBorders>
                </w:tcPr>
                <w:p/>
              </w:tc>
              <w:tc>
                <w:tcPr>
                  <w:tcW w:type="dxa" w:w="878"/>
                  <w:gridSpan w:val="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109.640246°</w:t>
                  </w:r>
                </w:p>
              </w:tc>
              <w:tc>
                <w:tcPr>
                  <w:tcW w:type="dxa" w:w="846"/>
                  <w:gridSpan w:val="2"/>
                  <w:tcBorders>
                    <w:top w:val="none" w:color="000000" w:sz="4"/>
                    <w:left w:val="none" w:color="000000" w:sz="4"/>
                    <w:bottom w:val="single" w:color="000000" w:sz="4"/>
                    <w:right w:val="non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18.230764°</w:t>
                  </w:r>
                </w:p>
              </w:tc>
              <w:tc>
                <w:tcPr>
                  <w:tcW w:type="dxa" w:w="172"/>
                  <w:vMerge/>
                  <w:tcBorders>
                    <w:top w:val="single" w:color="000000" w:sz="4"/>
                    <w:left w:val="none" w:color="000000" w:sz="4"/>
                    <w:bottom w:val="single" w:color="000000" w:sz="4"/>
                    <w:right w:val="single" w:color="000000" w:sz="4"/>
                  </w:tcBorders>
                </w:tcPr>
                <w:p/>
              </w:tc>
            </w:tr>
            <w:tr>
              <w:tc>
                <w:tcPr>
                  <w:tcW w:type="dxa" w:w="309"/>
                  <w:vMerge/>
                  <w:tcBorders>
                    <w:top w:val="none" w:color="000000" w:sz="4"/>
                    <w:left w:val="single" w:color="000000" w:sz="4"/>
                    <w:bottom w:val="single" w:color="000000" w:sz="4"/>
                    <w:right w:val="single" w:color="000000" w:sz="4"/>
                  </w:tcBorders>
                </w:tcPr>
                <w:p/>
              </w:tc>
              <w:tc>
                <w:tcPr>
                  <w:tcW w:type="dxa" w:w="329"/>
                  <w:vMerge/>
                  <w:tcBorders>
                    <w:top w:val="none" w:color="000000" w:sz="4"/>
                    <w:left w:val="none" w:color="000000" w:sz="4"/>
                    <w:bottom w:val="single" w:color="000000" w:sz="4"/>
                    <w:right w:val="single" w:color="000000" w:sz="4"/>
                  </w:tcBorders>
                </w:tcPr>
                <w:p/>
              </w:tc>
              <w:tc>
                <w:tcPr>
                  <w:tcW w:type="dxa" w:w="878"/>
                  <w:gridSpan w:val="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109.640311°</w:t>
                  </w:r>
                </w:p>
              </w:tc>
              <w:tc>
                <w:tcPr>
                  <w:tcW w:type="dxa" w:w="846"/>
                  <w:gridSpan w:val="2"/>
                  <w:tcBorders>
                    <w:top w:val="none" w:color="000000" w:sz="4"/>
                    <w:left w:val="none" w:color="000000" w:sz="4"/>
                    <w:bottom w:val="single" w:color="000000" w:sz="4"/>
                    <w:right w:val="non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18.230649°</w:t>
                  </w:r>
                </w:p>
              </w:tc>
              <w:tc>
                <w:tcPr>
                  <w:tcW w:type="dxa" w:w="172"/>
                  <w:vMerge/>
                  <w:tcBorders>
                    <w:top w:val="single" w:color="000000" w:sz="4"/>
                    <w:left w:val="none" w:color="000000" w:sz="4"/>
                    <w:bottom w:val="single" w:color="000000" w:sz="4"/>
                    <w:right w:val="single" w:color="000000" w:sz="4"/>
                  </w:tcBorders>
                </w:tcPr>
                <w:p/>
              </w:tc>
            </w:tr>
            <w:tr>
              <w:tc>
                <w:tcPr>
                  <w:tcW w:type="dxa" w:w="309"/>
                  <w:vMerge/>
                  <w:tcBorders>
                    <w:top w:val="none" w:color="000000" w:sz="4"/>
                    <w:left w:val="single" w:color="000000" w:sz="4"/>
                    <w:bottom w:val="single" w:color="000000" w:sz="4"/>
                    <w:right w:val="single" w:color="000000" w:sz="4"/>
                  </w:tcBorders>
                </w:tcPr>
                <w:p/>
              </w:tc>
              <w:tc>
                <w:tcPr>
                  <w:tcW w:type="dxa" w:w="329"/>
                  <w:vMerge/>
                  <w:tcBorders>
                    <w:top w:val="none" w:color="000000" w:sz="4"/>
                    <w:left w:val="none" w:color="000000" w:sz="4"/>
                    <w:bottom w:val="single" w:color="000000" w:sz="4"/>
                    <w:right w:val="single" w:color="000000" w:sz="4"/>
                  </w:tcBorders>
                </w:tcPr>
                <w:p/>
              </w:tc>
              <w:tc>
                <w:tcPr>
                  <w:tcW w:type="dxa" w:w="878"/>
                  <w:gridSpan w:val="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109.640374°</w:t>
                  </w:r>
                </w:p>
              </w:tc>
              <w:tc>
                <w:tcPr>
                  <w:tcW w:type="dxa" w:w="846"/>
                  <w:gridSpan w:val="2"/>
                  <w:tcBorders>
                    <w:top w:val="none" w:color="000000" w:sz="4"/>
                    <w:left w:val="none" w:color="000000" w:sz="4"/>
                    <w:bottom w:val="single" w:color="000000" w:sz="4"/>
                    <w:right w:val="non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18.230537°</w:t>
                  </w:r>
                </w:p>
              </w:tc>
              <w:tc>
                <w:tcPr>
                  <w:tcW w:type="dxa" w:w="172"/>
                  <w:vMerge/>
                  <w:tcBorders>
                    <w:top w:val="single" w:color="000000" w:sz="4"/>
                    <w:left w:val="none" w:color="000000" w:sz="4"/>
                    <w:bottom w:val="single" w:color="000000" w:sz="4"/>
                    <w:right w:val="single" w:color="000000" w:sz="4"/>
                  </w:tcBorders>
                </w:tcPr>
                <w:p/>
              </w:tc>
            </w:tr>
            <w:tr>
              <w:tc>
                <w:tcPr>
                  <w:tcW w:type="dxa" w:w="309"/>
                  <w:vMerge/>
                  <w:tcBorders>
                    <w:top w:val="none" w:color="000000" w:sz="4"/>
                    <w:left w:val="single" w:color="000000" w:sz="4"/>
                    <w:bottom w:val="single" w:color="000000" w:sz="4"/>
                    <w:right w:val="single" w:color="000000" w:sz="4"/>
                  </w:tcBorders>
                </w:tcPr>
                <w:p/>
              </w:tc>
              <w:tc>
                <w:tcPr>
                  <w:tcW w:type="dxa" w:w="329"/>
                  <w:vMerge/>
                  <w:tcBorders>
                    <w:top w:val="none" w:color="000000" w:sz="4"/>
                    <w:left w:val="none" w:color="000000" w:sz="4"/>
                    <w:bottom w:val="single" w:color="000000" w:sz="4"/>
                    <w:right w:val="single" w:color="000000" w:sz="4"/>
                  </w:tcBorders>
                </w:tcPr>
                <w:p/>
              </w:tc>
              <w:tc>
                <w:tcPr>
                  <w:tcW w:type="dxa" w:w="878"/>
                  <w:gridSpan w:val="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109.640430°</w:t>
                  </w:r>
                </w:p>
              </w:tc>
              <w:tc>
                <w:tcPr>
                  <w:tcW w:type="dxa" w:w="846"/>
                  <w:gridSpan w:val="2"/>
                  <w:tcBorders>
                    <w:top w:val="none" w:color="000000" w:sz="4"/>
                    <w:left w:val="none" w:color="000000" w:sz="4"/>
                    <w:bottom w:val="single" w:color="000000" w:sz="4"/>
                    <w:right w:val="non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18.230437°</w:t>
                  </w:r>
                </w:p>
              </w:tc>
              <w:tc>
                <w:tcPr>
                  <w:tcW w:type="dxa" w:w="172"/>
                  <w:vMerge/>
                  <w:tcBorders>
                    <w:top w:val="single" w:color="000000" w:sz="4"/>
                    <w:left w:val="none" w:color="000000" w:sz="4"/>
                    <w:bottom w:val="single" w:color="000000" w:sz="4"/>
                    <w:right w:val="single" w:color="000000" w:sz="4"/>
                  </w:tcBorders>
                </w:tcPr>
                <w:p/>
              </w:tc>
            </w:tr>
            <w:tr>
              <w:tc>
                <w:tcPr>
                  <w:tcW w:type="dxa" w:w="309"/>
                  <w:vMerge/>
                  <w:tcBorders>
                    <w:top w:val="none" w:color="000000" w:sz="4"/>
                    <w:left w:val="single" w:color="000000" w:sz="4"/>
                    <w:bottom w:val="single" w:color="000000" w:sz="4"/>
                    <w:right w:val="single" w:color="000000" w:sz="4"/>
                  </w:tcBorders>
                </w:tcPr>
                <w:p/>
              </w:tc>
              <w:tc>
                <w:tcPr>
                  <w:tcW w:type="dxa" w:w="329"/>
                  <w:vMerge w:val="restart"/>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rPr>
                    <w:t>沙滩沉积物</w:t>
                  </w:r>
                </w:p>
              </w:tc>
              <w:tc>
                <w:tcPr>
                  <w:tcW w:type="dxa" w:w="878"/>
                  <w:gridSpan w:val="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109.641229°</w:t>
                  </w:r>
                </w:p>
              </w:tc>
              <w:tc>
                <w:tcPr>
                  <w:tcW w:type="dxa" w:w="846"/>
                  <w:gridSpan w:val="2"/>
                  <w:tcBorders>
                    <w:top w:val="none" w:color="000000" w:sz="4"/>
                    <w:left w:val="none" w:color="000000" w:sz="4"/>
                    <w:bottom w:val="single" w:color="000000" w:sz="4"/>
                    <w:right w:val="non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18.229018°</w:t>
                  </w:r>
                </w:p>
              </w:tc>
              <w:tc>
                <w:tcPr>
                  <w:tcW w:type="dxa" w:w="172"/>
                  <w:vMerge/>
                  <w:tcBorders>
                    <w:top w:val="single" w:color="000000" w:sz="4"/>
                    <w:left w:val="none" w:color="000000" w:sz="4"/>
                    <w:bottom w:val="single" w:color="000000" w:sz="4"/>
                    <w:right w:val="single" w:color="000000" w:sz="4"/>
                  </w:tcBorders>
                </w:tcPr>
                <w:p/>
              </w:tc>
            </w:tr>
            <w:tr>
              <w:tc>
                <w:tcPr>
                  <w:tcW w:type="dxa" w:w="309"/>
                  <w:vMerge/>
                  <w:tcBorders>
                    <w:top w:val="none" w:color="000000" w:sz="4"/>
                    <w:left w:val="single" w:color="000000" w:sz="4"/>
                    <w:bottom w:val="single" w:color="000000" w:sz="4"/>
                    <w:right w:val="single" w:color="000000" w:sz="4"/>
                  </w:tcBorders>
                </w:tcPr>
                <w:p/>
              </w:tc>
              <w:tc>
                <w:tcPr>
                  <w:tcW w:type="dxa" w:w="329"/>
                  <w:vMerge/>
                  <w:tcBorders>
                    <w:top w:val="none" w:color="000000" w:sz="4"/>
                    <w:left w:val="none" w:color="000000" w:sz="4"/>
                    <w:bottom w:val="single" w:color="000000" w:sz="4"/>
                    <w:right w:val="single" w:color="000000" w:sz="4"/>
                  </w:tcBorders>
                </w:tcPr>
                <w:p/>
              </w:tc>
              <w:tc>
                <w:tcPr>
                  <w:tcW w:type="dxa" w:w="878"/>
                  <w:gridSpan w:val="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109.646084°</w:t>
                  </w:r>
                </w:p>
              </w:tc>
              <w:tc>
                <w:tcPr>
                  <w:tcW w:type="dxa" w:w="846"/>
                  <w:gridSpan w:val="2"/>
                  <w:tcBorders>
                    <w:top w:val="none" w:color="000000" w:sz="4"/>
                    <w:left w:val="none" w:color="000000" w:sz="4"/>
                    <w:bottom w:val="single" w:color="000000" w:sz="4"/>
                    <w:right w:val="non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18.232600°</w:t>
                  </w:r>
                </w:p>
              </w:tc>
              <w:tc>
                <w:tcPr>
                  <w:tcW w:type="dxa" w:w="172"/>
                  <w:vMerge/>
                  <w:tcBorders>
                    <w:top w:val="single" w:color="000000" w:sz="4"/>
                    <w:left w:val="none" w:color="000000" w:sz="4"/>
                    <w:bottom w:val="single" w:color="000000" w:sz="4"/>
                    <w:right w:val="single" w:color="000000" w:sz="4"/>
                  </w:tcBorders>
                </w:tcPr>
                <w:p/>
              </w:tc>
            </w:tr>
            <w:tr>
              <w:tc>
                <w:tcPr>
                  <w:tcW w:type="dxa" w:w="309"/>
                  <w:vMerge/>
                  <w:tcBorders>
                    <w:top w:val="none" w:color="000000" w:sz="4"/>
                    <w:left w:val="single" w:color="000000" w:sz="4"/>
                    <w:bottom w:val="single" w:color="000000" w:sz="4"/>
                    <w:right w:val="single" w:color="000000" w:sz="4"/>
                  </w:tcBorders>
                </w:tcPr>
                <w:p/>
              </w:tc>
              <w:tc>
                <w:tcPr>
                  <w:tcW w:type="dxa" w:w="329"/>
                  <w:vMerge/>
                  <w:tcBorders>
                    <w:top w:val="none" w:color="000000" w:sz="4"/>
                    <w:left w:val="none" w:color="000000" w:sz="4"/>
                    <w:bottom w:val="single" w:color="000000" w:sz="4"/>
                    <w:right w:val="single" w:color="000000" w:sz="4"/>
                  </w:tcBorders>
                </w:tcPr>
                <w:p/>
              </w:tc>
              <w:tc>
                <w:tcPr>
                  <w:tcW w:type="dxa" w:w="878"/>
                  <w:gridSpan w:val="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109.646142°</w:t>
                  </w:r>
                </w:p>
              </w:tc>
              <w:tc>
                <w:tcPr>
                  <w:tcW w:type="dxa" w:w="846"/>
                  <w:gridSpan w:val="2"/>
                  <w:tcBorders>
                    <w:top w:val="none" w:color="000000" w:sz="4"/>
                    <w:left w:val="none" w:color="000000" w:sz="4"/>
                    <w:bottom w:val="single" w:color="000000" w:sz="4"/>
                    <w:right w:val="non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18.232466°</w:t>
                  </w:r>
                </w:p>
              </w:tc>
              <w:tc>
                <w:tcPr>
                  <w:tcW w:type="dxa" w:w="172"/>
                  <w:vMerge/>
                  <w:tcBorders>
                    <w:top w:val="single" w:color="000000" w:sz="4"/>
                    <w:left w:val="none" w:color="000000" w:sz="4"/>
                    <w:bottom w:val="single" w:color="000000" w:sz="4"/>
                    <w:right w:val="single" w:color="000000" w:sz="4"/>
                  </w:tcBorders>
                </w:tcPr>
                <w:p/>
              </w:tc>
            </w:tr>
            <w:tr>
              <w:tc>
                <w:tcPr>
                  <w:tcW w:type="dxa" w:w="309"/>
                  <w:vMerge/>
                  <w:tcBorders>
                    <w:top w:val="none" w:color="000000" w:sz="4"/>
                    <w:left w:val="single" w:color="000000" w:sz="4"/>
                    <w:bottom w:val="single" w:color="000000" w:sz="4"/>
                    <w:right w:val="single" w:color="000000" w:sz="4"/>
                  </w:tcBorders>
                </w:tcPr>
                <w:p/>
              </w:tc>
              <w:tc>
                <w:tcPr>
                  <w:tcW w:type="dxa" w:w="329"/>
                  <w:vMerge/>
                  <w:tcBorders>
                    <w:top w:val="none" w:color="000000" w:sz="4"/>
                    <w:left w:val="none" w:color="000000" w:sz="4"/>
                    <w:bottom w:val="single" w:color="000000" w:sz="4"/>
                    <w:right w:val="single" w:color="000000" w:sz="4"/>
                  </w:tcBorders>
                </w:tcPr>
                <w:p/>
              </w:tc>
              <w:tc>
                <w:tcPr>
                  <w:tcW w:type="dxa" w:w="878"/>
                  <w:gridSpan w:val="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109.646210°</w:t>
                  </w:r>
                </w:p>
              </w:tc>
              <w:tc>
                <w:tcPr>
                  <w:tcW w:type="dxa" w:w="846"/>
                  <w:gridSpan w:val="2"/>
                  <w:tcBorders>
                    <w:top w:val="none" w:color="000000" w:sz="4"/>
                    <w:left w:val="none" w:color="000000" w:sz="4"/>
                    <w:bottom w:val="single" w:color="000000" w:sz="4"/>
                    <w:right w:val="non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18.232308°</w:t>
                  </w:r>
                </w:p>
              </w:tc>
              <w:tc>
                <w:tcPr>
                  <w:tcW w:type="dxa" w:w="172"/>
                  <w:vMerge/>
                  <w:tcBorders>
                    <w:top w:val="single" w:color="000000" w:sz="4"/>
                    <w:left w:val="none" w:color="000000" w:sz="4"/>
                    <w:bottom w:val="single" w:color="000000" w:sz="4"/>
                    <w:right w:val="single" w:color="000000" w:sz="4"/>
                  </w:tcBorders>
                </w:tcPr>
                <w:p/>
              </w:tc>
            </w:tr>
            <w:tr>
              <w:tc>
                <w:tcPr>
                  <w:tcW w:type="dxa" w:w="309"/>
                  <w:vMerge/>
                  <w:tcBorders>
                    <w:top w:val="none" w:color="000000" w:sz="4"/>
                    <w:left w:val="single" w:color="000000" w:sz="4"/>
                    <w:bottom w:val="single" w:color="000000" w:sz="4"/>
                    <w:right w:val="single" w:color="000000" w:sz="4"/>
                  </w:tcBorders>
                </w:tcPr>
                <w:p/>
              </w:tc>
              <w:tc>
                <w:tcPr>
                  <w:tcW w:type="dxa" w:w="329"/>
                  <w:vMerge/>
                  <w:tcBorders>
                    <w:top w:val="none" w:color="000000" w:sz="4"/>
                    <w:left w:val="none" w:color="000000" w:sz="4"/>
                    <w:bottom w:val="single" w:color="000000" w:sz="4"/>
                    <w:right w:val="single" w:color="000000" w:sz="4"/>
                  </w:tcBorders>
                </w:tcPr>
                <w:p/>
              </w:tc>
              <w:tc>
                <w:tcPr>
                  <w:tcW w:type="dxa" w:w="878"/>
                  <w:gridSpan w:val="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109.646260°</w:t>
                  </w:r>
                </w:p>
              </w:tc>
              <w:tc>
                <w:tcPr>
                  <w:tcW w:type="dxa" w:w="846"/>
                  <w:gridSpan w:val="2"/>
                  <w:tcBorders>
                    <w:top w:val="none" w:color="000000" w:sz="4"/>
                    <w:left w:val="none" w:color="000000" w:sz="4"/>
                    <w:bottom w:val="single" w:color="000000" w:sz="4"/>
                    <w:right w:val="non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18.232191°</w:t>
                  </w:r>
                </w:p>
              </w:tc>
              <w:tc>
                <w:tcPr>
                  <w:tcW w:type="dxa" w:w="172"/>
                  <w:vMerge/>
                  <w:tcBorders>
                    <w:top w:val="single" w:color="000000" w:sz="4"/>
                    <w:left w:val="none" w:color="000000" w:sz="4"/>
                    <w:bottom w:val="single" w:color="000000" w:sz="4"/>
                    <w:right w:val="single" w:color="000000" w:sz="4"/>
                  </w:tcBorders>
                </w:tcPr>
                <w:p/>
              </w:tc>
            </w:tr>
            <w:tr>
              <w:tc>
                <w:tcPr>
                  <w:tcW w:type="dxa" w:w="309"/>
                  <w:vMerge/>
                  <w:tcBorders>
                    <w:top w:val="none" w:color="000000" w:sz="4"/>
                    <w:left w:val="single" w:color="000000" w:sz="4"/>
                    <w:bottom w:val="single" w:color="000000" w:sz="4"/>
                    <w:right w:val="single" w:color="000000" w:sz="4"/>
                  </w:tcBorders>
                </w:tcPr>
                <w:p/>
              </w:tc>
              <w:tc>
                <w:tcPr>
                  <w:tcW w:type="dxa" w:w="329"/>
                  <w:vMerge/>
                  <w:tcBorders>
                    <w:top w:val="none" w:color="000000" w:sz="4"/>
                    <w:left w:val="none" w:color="000000" w:sz="4"/>
                    <w:bottom w:val="single" w:color="000000" w:sz="4"/>
                    <w:right w:val="single" w:color="000000" w:sz="4"/>
                  </w:tcBorders>
                </w:tcPr>
                <w:p/>
              </w:tc>
              <w:tc>
                <w:tcPr>
                  <w:tcW w:type="dxa" w:w="878"/>
                  <w:gridSpan w:val="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109.646308°</w:t>
                  </w:r>
                </w:p>
              </w:tc>
              <w:tc>
                <w:tcPr>
                  <w:tcW w:type="dxa" w:w="846"/>
                  <w:gridSpan w:val="2"/>
                  <w:tcBorders>
                    <w:top w:val="none" w:color="000000" w:sz="4"/>
                    <w:left w:val="none" w:color="000000" w:sz="4"/>
                    <w:bottom w:val="single" w:color="000000" w:sz="4"/>
                    <w:right w:val="non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18.232080°</w:t>
                  </w:r>
                </w:p>
              </w:tc>
              <w:tc>
                <w:tcPr>
                  <w:tcW w:type="dxa" w:w="172"/>
                  <w:vMerge/>
                  <w:tcBorders>
                    <w:top w:val="single" w:color="000000" w:sz="4"/>
                    <w:left w:val="none" w:color="000000" w:sz="4"/>
                    <w:bottom w:val="single" w:color="000000" w:sz="4"/>
                    <w:right w:val="single" w:color="000000" w:sz="4"/>
                  </w:tcBorders>
                </w:tcPr>
                <w:p/>
              </w:tc>
            </w:tr>
            <w:tr>
              <w:tc>
                <w:tcPr>
                  <w:tcW w:type="dxa" w:w="309"/>
                  <w:vMerge/>
                  <w:tcBorders>
                    <w:top w:val="none" w:color="000000" w:sz="4"/>
                    <w:left w:val="single" w:color="000000" w:sz="4"/>
                    <w:bottom w:val="single" w:color="000000" w:sz="4"/>
                    <w:right w:val="single" w:color="000000" w:sz="4"/>
                  </w:tcBorders>
                </w:tcPr>
                <w:p/>
              </w:tc>
              <w:tc>
                <w:tcPr>
                  <w:tcW w:type="dxa" w:w="329"/>
                  <w:vMerge/>
                  <w:tcBorders>
                    <w:top w:val="none" w:color="000000" w:sz="4"/>
                    <w:left w:val="none" w:color="000000" w:sz="4"/>
                    <w:bottom w:val="single" w:color="000000" w:sz="4"/>
                    <w:right w:val="single" w:color="000000" w:sz="4"/>
                  </w:tcBorders>
                </w:tcPr>
                <w:p/>
              </w:tc>
              <w:tc>
                <w:tcPr>
                  <w:tcW w:type="dxa" w:w="878"/>
                  <w:gridSpan w:val="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109.646889°</w:t>
                  </w:r>
                </w:p>
              </w:tc>
              <w:tc>
                <w:tcPr>
                  <w:tcW w:type="dxa" w:w="846"/>
                  <w:gridSpan w:val="2"/>
                  <w:tcBorders>
                    <w:top w:val="none" w:color="000000" w:sz="4"/>
                    <w:left w:val="none" w:color="000000" w:sz="4"/>
                    <w:bottom w:val="single" w:color="000000" w:sz="4"/>
                    <w:right w:val="non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18.230728°</w:t>
                  </w:r>
                </w:p>
              </w:tc>
              <w:tc>
                <w:tcPr>
                  <w:tcW w:type="dxa" w:w="172"/>
                  <w:vMerge/>
                  <w:tcBorders>
                    <w:top w:val="single" w:color="000000" w:sz="4"/>
                    <w:left w:val="none" w:color="000000" w:sz="4"/>
                    <w:bottom w:val="single" w:color="000000" w:sz="4"/>
                    <w:right w:val="single" w:color="000000" w:sz="4"/>
                  </w:tcBorders>
                </w:tcPr>
                <w:p/>
              </w:tc>
            </w:tr>
            <w:tr>
              <w:tc>
                <w:tcPr>
                  <w:tcW w:type="dxa" w:w="309"/>
                  <w:vMerge/>
                  <w:tcBorders>
                    <w:top w:val="none" w:color="000000" w:sz="4"/>
                    <w:left w:val="single" w:color="000000" w:sz="4"/>
                    <w:bottom w:val="single" w:color="000000" w:sz="4"/>
                    <w:right w:val="single" w:color="000000" w:sz="4"/>
                  </w:tcBorders>
                </w:tcPr>
                <w:p/>
              </w:tc>
              <w:tc>
                <w:tcPr>
                  <w:tcW w:type="dxa" w:w="329"/>
                  <w:vMerge/>
                  <w:tcBorders>
                    <w:top w:val="none" w:color="000000" w:sz="4"/>
                    <w:left w:val="none" w:color="000000" w:sz="4"/>
                    <w:bottom w:val="single" w:color="000000" w:sz="4"/>
                    <w:right w:val="single" w:color="000000" w:sz="4"/>
                  </w:tcBorders>
                </w:tcPr>
                <w:p/>
              </w:tc>
              <w:tc>
                <w:tcPr>
                  <w:tcW w:type="dxa" w:w="878"/>
                  <w:gridSpan w:val="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109.651726°</w:t>
                  </w:r>
                </w:p>
              </w:tc>
              <w:tc>
                <w:tcPr>
                  <w:tcW w:type="dxa" w:w="846"/>
                  <w:gridSpan w:val="2"/>
                  <w:tcBorders>
                    <w:top w:val="none" w:color="000000" w:sz="4"/>
                    <w:left w:val="none" w:color="000000" w:sz="4"/>
                    <w:bottom w:val="single" w:color="000000" w:sz="4"/>
                    <w:right w:val="non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18.233267°</w:t>
                  </w:r>
                </w:p>
              </w:tc>
              <w:tc>
                <w:tcPr>
                  <w:tcW w:type="dxa" w:w="172"/>
                  <w:vMerge/>
                  <w:tcBorders>
                    <w:top w:val="single" w:color="000000" w:sz="4"/>
                    <w:left w:val="none" w:color="000000" w:sz="4"/>
                    <w:bottom w:val="single" w:color="000000" w:sz="4"/>
                    <w:right w:val="single" w:color="000000" w:sz="4"/>
                  </w:tcBorders>
                </w:tcPr>
                <w:p/>
              </w:tc>
            </w:tr>
            <w:tr>
              <w:tc>
                <w:tcPr>
                  <w:tcW w:type="dxa" w:w="309"/>
                  <w:vMerge/>
                  <w:tcBorders>
                    <w:top w:val="none" w:color="000000" w:sz="4"/>
                    <w:left w:val="single" w:color="000000" w:sz="4"/>
                    <w:bottom w:val="single" w:color="000000" w:sz="4"/>
                    <w:right w:val="single" w:color="000000" w:sz="4"/>
                  </w:tcBorders>
                </w:tcPr>
                <w:p/>
              </w:tc>
              <w:tc>
                <w:tcPr>
                  <w:tcW w:type="dxa" w:w="329"/>
                  <w:vMerge/>
                  <w:tcBorders>
                    <w:top w:val="none" w:color="000000" w:sz="4"/>
                    <w:left w:val="none" w:color="000000" w:sz="4"/>
                    <w:bottom w:val="single" w:color="000000" w:sz="4"/>
                    <w:right w:val="single" w:color="000000" w:sz="4"/>
                  </w:tcBorders>
                </w:tcPr>
                <w:p/>
              </w:tc>
              <w:tc>
                <w:tcPr>
                  <w:tcW w:type="dxa" w:w="878"/>
                  <w:gridSpan w:val="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109.651755°</w:t>
                  </w:r>
                </w:p>
              </w:tc>
              <w:tc>
                <w:tcPr>
                  <w:tcW w:type="dxa" w:w="846"/>
                  <w:gridSpan w:val="2"/>
                  <w:tcBorders>
                    <w:top w:val="none" w:color="000000" w:sz="4"/>
                    <w:left w:val="none" w:color="000000" w:sz="4"/>
                    <w:bottom w:val="single" w:color="000000" w:sz="4"/>
                    <w:right w:val="non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18.233149°</w:t>
                  </w:r>
                </w:p>
              </w:tc>
              <w:tc>
                <w:tcPr>
                  <w:tcW w:type="dxa" w:w="172"/>
                  <w:vMerge/>
                  <w:tcBorders>
                    <w:top w:val="single" w:color="000000" w:sz="4"/>
                    <w:left w:val="none" w:color="000000" w:sz="4"/>
                    <w:bottom w:val="single" w:color="000000" w:sz="4"/>
                    <w:right w:val="single" w:color="000000" w:sz="4"/>
                  </w:tcBorders>
                </w:tcPr>
                <w:p/>
              </w:tc>
            </w:tr>
            <w:tr>
              <w:tc>
                <w:tcPr>
                  <w:tcW w:type="dxa" w:w="309"/>
                  <w:vMerge/>
                  <w:tcBorders>
                    <w:top w:val="none" w:color="000000" w:sz="4"/>
                    <w:left w:val="single" w:color="000000" w:sz="4"/>
                    <w:bottom w:val="single" w:color="000000" w:sz="4"/>
                    <w:right w:val="single" w:color="000000" w:sz="4"/>
                  </w:tcBorders>
                </w:tcPr>
                <w:p/>
              </w:tc>
              <w:tc>
                <w:tcPr>
                  <w:tcW w:type="dxa" w:w="329"/>
                  <w:vMerge/>
                  <w:tcBorders>
                    <w:top w:val="none" w:color="000000" w:sz="4"/>
                    <w:left w:val="none" w:color="000000" w:sz="4"/>
                    <w:bottom w:val="single" w:color="000000" w:sz="4"/>
                    <w:right w:val="single" w:color="000000" w:sz="4"/>
                  </w:tcBorders>
                </w:tcPr>
                <w:p/>
              </w:tc>
              <w:tc>
                <w:tcPr>
                  <w:tcW w:type="dxa" w:w="878"/>
                  <w:gridSpan w:val="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109.651844°</w:t>
                  </w:r>
                </w:p>
              </w:tc>
              <w:tc>
                <w:tcPr>
                  <w:tcW w:type="dxa" w:w="846"/>
                  <w:gridSpan w:val="2"/>
                  <w:tcBorders>
                    <w:top w:val="none" w:color="000000" w:sz="4"/>
                    <w:left w:val="none" w:color="000000" w:sz="4"/>
                    <w:bottom w:val="single" w:color="000000" w:sz="4"/>
                    <w:right w:val="non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18.232786°</w:t>
                  </w:r>
                </w:p>
              </w:tc>
              <w:tc>
                <w:tcPr>
                  <w:tcW w:type="dxa" w:w="172"/>
                  <w:vMerge/>
                  <w:tcBorders>
                    <w:top w:val="single" w:color="000000" w:sz="4"/>
                    <w:left w:val="none" w:color="000000" w:sz="4"/>
                    <w:bottom w:val="single" w:color="000000" w:sz="4"/>
                    <w:right w:val="single" w:color="000000" w:sz="4"/>
                  </w:tcBorders>
                </w:tcPr>
                <w:p/>
              </w:tc>
            </w:tr>
            <w:tr>
              <w:tc>
                <w:tcPr>
                  <w:tcW w:type="dxa" w:w="309"/>
                  <w:vMerge/>
                  <w:tcBorders>
                    <w:top w:val="none" w:color="000000" w:sz="4"/>
                    <w:left w:val="single" w:color="000000" w:sz="4"/>
                    <w:bottom w:val="single" w:color="000000" w:sz="4"/>
                    <w:right w:val="single" w:color="000000" w:sz="4"/>
                  </w:tcBorders>
                </w:tcPr>
                <w:p/>
              </w:tc>
              <w:tc>
                <w:tcPr>
                  <w:tcW w:type="dxa" w:w="329"/>
                  <w:vMerge/>
                  <w:tcBorders>
                    <w:top w:val="none" w:color="000000" w:sz="4"/>
                    <w:left w:val="none" w:color="000000" w:sz="4"/>
                    <w:bottom w:val="single" w:color="000000" w:sz="4"/>
                    <w:right w:val="single" w:color="000000" w:sz="4"/>
                  </w:tcBorders>
                </w:tcPr>
                <w:p/>
              </w:tc>
              <w:tc>
                <w:tcPr>
                  <w:tcW w:type="dxa" w:w="878"/>
                  <w:gridSpan w:val="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109.652098°</w:t>
                  </w:r>
                </w:p>
              </w:tc>
              <w:tc>
                <w:tcPr>
                  <w:tcW w:type="dxa" w:w="846"/>
                  <w:gridSpan w:val="2"/>
                  <w:tcBorders>
                    <w:top w:val="none" w:color="000000" w:sz="4"/>
                    <w:left w:val="none" w:color="000000" w:sz="4"/>
                    <w:bottom w:val="single" w:color="000000" w:sz="4"/>
                    <w:right w:val="non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18.231755°</w:t>
                  </w:r>
                </w:p>
              </w:tc>
              <w:tc>
                <w:tcPr>
                  <w:tcW w:type="dxa" w:w="172"/>
                  <w:vMerge/>
                  <w:tcBorders>
                    <w:top w:val="single" w:color="000000" w:sz="4"/>
                    <w:left w:val="none" w:color="000000" w:sz="4"/>
                    <w:bottom w:val="single" w:color="000000" w:sz="4"/>
                    <w:right w:val="single" w:color="000000" w:sz="4"/>
                  </w:tcBorders>
                </w:tcPr>
                <w:p/>
              </w:tc>
            </w:tr>
            <w:tr>
              <w:tc>
                <w:tcPr>
                  <w:tcW w:type="dxa" w:w="309"/>
                  <w:vMerge/>
                  <w:tcBorders>
                    <w:top w:val="none" w:color="000000" w:sz="4"/>
                    <w:left w:val="single" w:color="000000" w:sz="4"/>
                    <w:bottom w:val="single" w:color="000000" w:sz="4"/>
                    <w:right w:val="single" w:color="000000" w:sz="4"/>
                  </w:tcBorders>
                </w:tcPr>
                <w:p/>
              </w:tc>
              <w:tc>
                <w:tcPr>
                  <w:tcW w:type="dxa" w:w="329"/>
                  <w:vMerge/>
                  <w:tcBorders>
                    <w:top w:val="none" w:color="000000" w:sz="4"/>
                    <w:left w:val="none" w:color="000000" w:sz="4"/>
                    <w:bottom w:val="single" w:color="000000" w:sz="4"/>
                    <w:right w:val="single" w:color="000000" w:sz="4"/>
                  </w:tcBorders>
                </w:tcPr>
                <w:p/>
              </w:tc>
              <w:tc>
                <w:tcPr>
                  <w:tcW w:type="dxa" w:w="878"/>
                  <w:gridSpan w:val="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109.651799°</w:t>
                  </w:r>
                </w:p>
              </w:tc>
              <w:tc>
                <w:tcPr>
                  <w:tcW w:type="dxa" w:w="846"/>
                  <w:gridSpan w:val="2"/>
                  <w:tcBorders>
                    <w:top w:val="none" w:color="000000" w:sz="4"/>
                    <w:left w:val="none" w:color="000000" w:sz="4"/>
                    <w:bottom w:val="single" w:color="000000" w:sz="4"/>
                    <w:right w:val="non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18.232968°</w:t>
                  </w:r>
                </w:p>
              </w:tc>
              <w:tc>
                <w:tcPr>
                  <w:tcW w:type="dxa" w:w="172"/>
                  <w:vMerge/>
                  <w:tcBorders>
                    <w:top w:val="single" w:color="000000" w:sz="4"/>
                    <w:left w:val="none" w:color="000000" w:sz="4"/>
                    <w:bottom w:val="single" w:color="000000" w:sz="4"/>
                    <w:right w:val="single" w:color="000000" w:sz="4"/>
                  </w:tcBorders>
                </w:tcPr>
                <w:p/>
              </w:tc>
            </w:tr>
            <w:tr>
              <w:tc>
                <w:tcPr>
                  <w:tcW w:type="dxa" w:w="309"/>
                  <w:vMerge/>
                  <w:tcBorders>
                    <w:top w:val="none" w:color="000000" w:sz="4"/>
                    <w:left w:val="single" w:color="000000" w:sz="4"/>
                    <w:bottom w:val="single" w:color="000000" w:sz="4"/>
                    <w:right w:val="single" w:color="000000" w:sz="4"/>
                  </w:tcBorders>
                </w:tcPr>
                <w:p/>
              </w:tc>
              <w:tc>
                <w:tcPr>
                  <w:tcW w:type="dxa" w:w="329"/>
                  <w:vMerge/>
                  <w:tcBorders>
                    <w:top w:val="none" w:color="000000" w:sz="4"/>
                    <w:left w:val="none" w:color="000000" w:sz="4"/>
                    <w:bottom w:val="single" w:color="000000" w:sz="4"/>
                    <w:right w:val="single" w:color="000000" w:sz="4"/>
                  </w:tcBorders>
                </w:tcPr>
                <w:p/>
              </w:tc>
              <w:tc>
                <w:tcPr>
                  <w:tcW w:type="dxa" w:w="878"/>
                  <w:gridSpan w:val="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109.651817°</w:t>
                  </w:r>
                </w:p>
              </w:tc>
              <w:tc>
                <w:tcPr>
                  <w:tcW w:type="dxa" w:w="846"/>
                  <w:gridSpan w:val="2"/>
                  <w:tcBorders>
                    <w:top w:val="none" w:color="000000" w:sz="4"/>
                    <w:left w:val="none" w:color="000000" w:sz="4"/>
                    <w:bottom w:val="single" w:color="000000" w:sz="4"/>
                    <w:right w:val="non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18.232896°</w:t>
                  </w:r>
                </w:p>
              </w:tc>
              <w:tc>
                <w:tcPr>
                  <w:tcW w:type="dxa" w:w="172"/>
                  <w:vMerge/>
                  <w:tcBorders>
                    <w:top w:val="single" w:color="000000" w:sz="4"/>
                    <w:left w:val="none" w:color="000000" w:sz="4"/>
                    <w:bottom w:val="single" w:color="000000" w:sz="4"/>
                    <w:right w:val="single" w:color="000000" w:sz="4"/>
                  </w:tcBorders>
                </w:tcPr>
                <w:p/>
              </w:tc>
            </w:tr>
            <w:tr>
              <w:tc>
                <w:tcPr>
                  <w:tcW w:type="dxa" w:w="309"/>
                  <w:vMerge/>
                  <w:tcBorders>
                    <w:top w:val="none" w:color="000000" w:sz="4"/>
                    <w:left w:val="single" w:color="000000" w:sz="4"/>
                    <w:bottom w:val="single" w:color="000000" w:sz="4"/>
                    <w:right w:val="single" w:color="000000" w:sz="4"/>
                  </w:tcBorders>
                </w:tcPr>
                <w:p/>
              </w:tc>
              <w:tc>
                <w:tcPr>
                  <w:tcW w:type="dxa" w:w="329"/>
                  <w:vMerge w:val="restart"/>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rPr>
                    <w:t>底栖生物</w:t>
                  </w:r>
                </w:p>
              </w:tc>
              <w:tc>
                <w:tcPr>
                  <w:tcW w:type="dxa" w:w="878"/>
                  <w:gridSpan w:val="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109.649200°</w:t>
                  </w:r>
                </w:p>
              </w:tc>
              <w:tc>
                <w:tcPr>
                  <w:tcW w:type="dxa" w:w="846"/>
                  <w:gridSpan w:val="2"/>
                  <w:tcBorders>
                    <w:top w:val="none" w:color="000000" w:sz="4"/>
                    <w:left w:val="none" w:color="000000" w:sz="4"/>
                    <w:bottom w:val="single" w:color="000000" w:sz="4"/>
                    <w:right w:val="non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18.233037°</w:t>
                  </w:r>
                </w:p>
              </w:tc>
              <w:tc>
                <w:tcPr>
                  <w:tcW w:type="dxa" w:w="172"/>
                  <w:vMerge w:val="restart"/>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rPr>
                    <w:t>生物群落调查</w:t>
                  </w:r>
                </w:p>
              </w:tc>
            </w:tr>
            <w:tr>
              <w:tc>
                <w:tcPr>
                  <w:tcW w:type="dxa" w:w="309"/>
                  <w:vMerge/>
                  <w:tcBorders>
                    <w:top w:val="none" w:color="000000" w:sz="4"/>
                    <w:left w:val="single" w:color="000000" w:sz="4"/>
                    <w:bottom w:val="single" w:color="000000" w:sz="4"/>
                    <w:right w:val="single" w:color="000000" w:sz="4"/>
                  </w:tcBorders>
                </w:tcPr>
                <w:p/>
              </w:tc>
              <w:tc>
                <w:tcPr>
                  <w:tcW w:type="dxa" w:w="329"/>
                  <w:vMerge/>
                  <w:tcBorders>
                    <w:top w:val="none" w:color="000000" w:sz="4"/>
                    <w:left w:val="none" w:color="000000" w:sz="4"/>
                    <w:bottom w:val="single" w:color="000000" w:sz="4"/>
                    <w:right w:val="single" w:color="000000" w:sz="4"/>
                  </w:tcBorders>
                </w:tcPr>
                <w:p/>
              </w:tc>
              <w:tc>
                <w:tcPr>
                  <w:tcW w:type="dxa" w:w="878"/>
                  <w:gridSpan w:val="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109.616703°</w:t>
                  </w:r>
                </w:p>
              </w:tc>
              <w:tc>
                <w:tcPr>
                  <w:tcW w:type="dxa" w:w="846"/>
                  <w:gridSpan w:val="2"/>
                  <w:tcBorders>
                    <w:top w:val="none" w:color="000000" w:sz="4"/>
                    <w:left w:val="none" w:color="000000" w:sz="4"/>
                    <w:bottom w:val="single" w:color="000000" w:sz="4"/>
                    <w:right w:val="non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18.219554°</w:t>
                  </w:r>
                </w:p>
              </w:tc>
              <w:tc>
                <w:tcPr>
                  <w:tcW w:type="dxa" w:w="172"/>
                  <w:vMerge/>
                  <w:tcBorders>
                    <w:top w:val="none" w:color="000000" w:sz="4"/>
                    <w:left w:val="single" w:color="000000" w:sz="4"/>
                    <w:bottom w:val="single" w:color="000000" w:sz="4"/>
                    <w:right w:val="single" w:color="000000" w:sz="4"/>
                  </w:tcBorders>
                </w:tcPr>
                <w:p/>
              </w:tc>
            </w:tr>
            <w:tr>
              <w:tc>
                <w:tcPr>
                  <w:tcW w:type="dxa" w:w="309"/>
                  <w:vMerge/>
                  <w:tcBorders>
                    <w:top w:val="none" w:color="000000" w:sz="4"/>
                    <w:left w:val="single" w:color="000000" w:sz="4"/>
                    <w:bottom w:val="single" w:color="000000" w:sz="4"/>
                    <w:right w:val="single" w:color="000000" w:sz="4"/>
                  </w:tcBorders>
                </w:tcPr>
                <w:p/>
              </w:tc>
              <w:tc>
                <w:tcPr>
                  <w:tcW w:type="dxa" w:w="329"/>
                  <w:vMerge/>
                  <w:tcBorders>
                    <w:top w:val="none" w:color="000000" w:sz="4"/>
                    <w:left w:val="none" w:color="000000" w:sz="4"/>
                    <w:bottom w:val="single" w:color="000000" w:sz="4"/>
                    <w:right w:val="single" w:color="000000" w:sz="4"/>
                  </w:tcBorders>
                </w:tcPr>
                <w:p/>
              </w:tc>
              <w:tc>
                <w:tcPr>
                  <w:tcW w:type="dxa" w:w="878"/>
                  <w:gridSpan w:val="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109.632225°</w:t>
                  </w:r>
                </w:p>
              </w:tc>
              <w:tc>
                <w:tcPr>
                  <w:tcW w:type="dxa" w:w="846"/>
                  <w:gridSpan w:val="2"/>
                  <w:tcBorders>
                    <w:top w:val="none" w:color="000000" w:sz="4"/>
                    <w:left w:val="none" w:color="000000" w:sz="4"/>
                    <w:bottom w:val="none" w:color="000000" w:sz="4"/>
                    <w:right w:val="non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18.228472°</w:t>
                  </w:r>
                </w:p>
              </w:tc>
              <w:tc>
                <w:tcPr>
                  <w:tcW w:type="dxa" w:w="172"/>
                  <w:vMerge/>
                  <w:tcBorders>
                    <w:top w:val="none" w:color="000000" w:sz="4"/>
                    <w:left w:val="single" w:color="000000" w:sz="4"/>
                    <w:bottom w:val="single" w:color="000000" w:sz="4"/>
                    <w:right w:val="single" w:color="000000" w:sz="4"/>
                  </w:tcBorders>
                </w:tcPr>
                <w:p/>
              </w:tc>
            </w:tr>
            <w:tr>
              <w:tc>
                <w:tcPr>
                  <w:tcW w:type="dxa" w:w="309"/>
                  <w:vMerge/>
                  <w:tcBorders>
                    <w:top w:val="none" w:color="000000" w:sz="4"/>
                    <w:left w:val="single" w:color="000000" w:sz="4"/>
                    <w:bottom w:val="single" w:color="000000" w:sz="4"/>
                    <w:right w:val="single" w:color="000000" w:sz="4"/>
                  </w:tcBorders>
                </w:tcPr>
                <w:p/>
              </w:tc>
              <w:tc>
                <w:tcPr>
                  <w:tcW w:type="dxa" w:w="32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rPr>
                    <w:t>后滨植被</w:t>
                  </w:r>
                </w:p>
              </w:tc>
              <w:tc>
                <w:tcPr>
                  <w:tcW w:type="dxa" w:w="1724"/>
                  <w:gridSpan w:val="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rPr>
                    <w:t>按照技术要求现场布设站位并记录坐标</w:t>
                  </w:r>
                </w:p>
              </w:tc>
              <w:tc>
                <w:tcPr>
                  <w:tcW w:type="dxa" w:w="172"/>
                  <w:vMerge/>
                  <w:tcBorders>
                    <w:top w:val="none" w:color="000000" w:sz="4"/>
                    <w:left w:val="single" w:color="000000" w:sz="4"/>
                    <w:bottom w:val="single" w:color="000000" w:sz="4"/>
                    <w:right w:val="single" w:color="000000" w:sz="4"/>
                  </w:tcBorders>
                </w:tcPr>
                <w:p/>
              </w:tc>
            </w:tr>
            <w:tr>
              <w:tc>
                <w:tcPr>
                  <w:tcW w:type="dxa" w:w="309"/>
                  <w:vMerge/>
                  <w:tcBorders>
                    <w:top w:val="none" w:color="000000" w:sz="4"/>
                    <w:left w:val="single" w:color="000000" w:sz="4"/>
                    <w:bottom w:val="single" w:color="000000" w:sz="4"/>
                    <w:right w:val="single" w:color="000000" w:sz="4"/>
                  </w:tcBorders>
                </w:tcPr>
                <w:p/>
              </w:tc>
              <w:tc>
                <w:tcPr>
                  <w:tcW w:type="dxa" w:w="329"/>
                  <w:vMerge w:val="restart"/>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rPr>
                    <w:t>海水水质</w:t>
                  </w:r>
                </w:p>
              </w:tc>
              <w:tc>
                <w:tcPr>
                  <w:tcW w:type="dxa" w:w="878"/>
                  <w:gridSpan w:val="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109.619516°</w:t>
                  </w:r>
                </w:p>
              </w:tc>
              <w:tc>
                <w:tcPr>
                  <w:tcW w:type="dxa" w:w="846"/>
                  <w:gridSpan w:val="2"/>
                  <w:tcBorders>
                    <w:top w:val="none" w:color="000000" w:sz="4"/>
                    <w:left w:val="none" w:color="000000" w:sz="4"/>
                    <w:bottom w:val="single" w:color="000000" w:sz="4"/>
                    <w:right w:val="non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18.218992°</w:t>
                  </w:r>
                </w:p>
              </w:tc>
              <w:tc>
                <w:tcPr>
                  <w:tcW w:type="dxa" w:w="172"/>
                  <w:vMerge w:val="restart"/>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rPr>
                    <w:t>环境要素调查</w:t>
                  </w:r>
                </w:p>
              </w:tc>
            </w:tr>
            <w:tr>
              <w:tc>
                <w:tcPr>
                  <w:tcW w:type="dxa" w:w="309"/>
                  <w:vMerge/>
                  <w:tcBorders>
                    <w:top w:val="none" w:color="000000" w:sz="4"/>
                    <w:left w:val="single" w:color="000000" w:sz="4"/>
                    <w:bottom w:val="single" w:color="000000" w:sz="4"/>
                    <w:right w:val="single" w:color="000000" w:sz="4"/>
                  </w:tcBorders>
                </w:tcPr>
                <w:p/>
              </w:tc>
              <w:tc>
                <w:tcPr>
                  <w:tcW w:type="dxa" w:w="329"/>
                  <w:vMerge/>
                  <w:tcBorders>
                    <w:top w:val="none" w:color="000000" w:sz="4"/>
                    <w:left w:val="none" w:color="000000" w:sz="4"/>
                    <w:bottom w:val="single" w:color="000000" w:sz="4"/>
                    <w:right w:val="single" w:color="000000" w:sz="4"/>
                  </w:tcBorders>
                </w:tcPr>
                <w:p/>
              </w:tc>
              <w:tc>
                <w:tcPr>
                  <w:tcW w:type="dxa" w:w="878"/>
                  <w:gridSpan w:val="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109.622225°</w:t>
                  </w:r>
                </w:p>
              </w:tc>
              <w:tc>
                <w:tcPr>
                  <w:tcW w:type="dxa" w:w="846"/>
                  <w:gridSpan w:val="2"/>
                  <w:tcBorders>
                    <w:top w:val="none" w:color="000000" w:sz="4"/>
                    <w:left w:val="none" w:color="000000" w:sz="4"/>
                    <w:bottom w:val="single" w:color="000000" w:sz="4"/>
                    <w:right w:val="non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18.215741°</w:t>
                  </w:r>
                </w:p>
              </w:tc>
              <w:tc>
                <w:tcPr>
                  <w:tcW w:type="dxa" w:w="172"/>
                  <w:vMerge/>
                  <w:tcBorders>
                    <w:top w:val="single" w:color="000000" w:sz="4"/>
                    <w:left w:val="single" w:color="000000" w:sz="4"/>
                    <w:bottom w:val="single" w:color="000000" w:sz="4"/>
                    <w:right w:val="single" w:color="000000" w:sz="4"/>
                  </w:tcBorders>
                </w:tcPr>
                <w:p/>
              </w:tc>
            </w:tr>
            <w:tr>
              <w:tc>
                <w:tcPr>
                  <w:tcW w:type="dxa" w:w="309"/>
                  <w:vMerge/>
                  <w:tcBorders>
                    <w:top w:val="none" w:color="000000" w:sz="4"/>
                    <w:left w:val="single" w:color="000000" w:sz="4"/>
                    <w:bottom w:val="single" w:color="000000" w:sz="4"/>
                    <w:right w:val="single" w:color="000000" w:sz="4"/>
                  </w:tcBorders>
                </w:tcPr>
                <w:p/>
              </w:tc>
              <w:tc>
                <w:tcPr>
                  <w:tcW w:type="dxa" w:w="329"/>
                  <w:vMerge/>
                  <w:tcBorders>
                    <w:top w:val="none" w:color="000000" w:sz="4"/>
                    <w:left w:val="none" w:color="000000" w:sz="4"/>
                    <w:bottom w:val="single" w:color="000000" w:sz="4"/>
                    <w:right w:val="single" w:color="000000" w:sz="4"/>
                  </w:tcBorders>
                </w:tcPr>
                <w:p/>
              </w:tc>
              <w:tc>
                <w:tcPr>
                  <w:tcW w:type="dxa" w:w="878"/>
                  <w:gridSpan w:val="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109.625077°</w:t>
                  </w:r>
                </w:p>
              </w:tc>
              <w:tc>
                <w:tcPr>
                  <w:tcW w:type="dxa" w:w="846"/>
                  <w:gridSpan w:val="2"/>
                  <w:tcBorders>
                    <w:top w:val="none" w:color="000000" w:sz="4"/>
                    <w:left w:val="none" w:color="000000" w:sz="4"/>
                    <w:bottom w:val="single" w:color="000000" w:sz="4"/>
                    <w:right w:val="non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18.211812°</w:t>
                  </w:r>
                </w:p>
              </w:tc>
              <w:tc>
                <w:tcPr>
                  <w:tcW w:type="dxa" w:w="172"/>
                  <w:vMerge/>
                  <w:tcBorders>
                    <w:top w:val="single" w:color="000000" w:sz="4"/>
                    <w:left w:val="single" w:color="000000" w:sz="4"/>
                    <w:bottom w:val="single" w:color="000000" w:sz="4"/>
                    <w:right w:val="single" w:color="000000" w:sz="4"/>
                  </w:tcBorders>
                </w:tcPr>
                <w:p/>
              </w:tc>
            </w:tr>
            <w:tr>
              <w:tc>
                <w:tcPr>
                  <w:tcW w:type="dxa" w:w="309"/>
                  <w:vMerge/>
                  <w:tcBorders>
                    <w:top w:val="none" w:color="000000" w:sz="4"/>
                    <w:left w:val="single" w:color="000000" w:sz="4"/>
                    <w:bottom w:val="single" w:color="000000" w:sz="4"/>
                    <w:right w:val="single" w:color="000000" w:sz="4"/>
                  </w:tcBorders>
                </w:tcPr>
                <w:p/>
              </w:tc>
              <w:tc>
                <w:tcPr>
                  <w:tcW w:type="dxa" w:w="329"/>
                  <w:vMerge/>
                  <w:tcBorders>
                    <w:top w:val="none" w:color="000000" w:sz="4"/>
                    <w:left w:val="none" w:color="000000" w:sz="4"/>
                    <w:bottom w:val="single" w:color="000000" w:sz="4"/>
                    <w:right w:val="single" w:color="000000" w:sz="4"/>
                  </w:tcBorders>
                </w:tcPr>
                <w:p/>
              </w:tc>
              <w:tc>
                <w:tcPr>
                  <w:tcW w:type="dxa" w:w="878"/>
                  <w:gridSpan w:val="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109.642975°</w:t>
                  </w:r>
                </w:p>
              </w:tc>
              <w:tc>
                <w:tcPr>
                  <w:tcW w:type="dxa" w:w="846"/>
                  <w:gridSpan w:val="2"/>
                  <w:tcBorders>
                    <w:top w:val="none" w:color="000000" w:sz="4"/>
                    <w:left w:val="none" w:color="000000" w:sz="4"/>
                    <w:bottom w:val="single" w:color="000000" w:sz="4"/>
                    <w:right w:val="non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18.229557°</w:t>
                  </w:r>
                </w:p>
              </w:tc>
              <w:tc>
                <w:tcPr>
                  <w:tcW w:type="dxa" w:w="172"/>
                  <w:vMerge/>
                  <w:tcBorders>
                    <w:top w:val="single" w:color="000000" w:sz="4"/>
                    <w:left w:val="single" w:color="000000" w:sz="4"/>
                    <w:bottom w:val="single" w:color="000000" w:sz="4"/>
                    <w:right w:val="single" w:color="000000" w:sz="4"/>
                  </w:tcBorders>
                </w:tcPr>
                <w:p/>
              </w:tc>
            </w:tr>
            <w:tr>
              <w:tc>
                <w:tcPr>
                  <w:tcW w:type="dxa" w:w="309"/>
                  <w:vMerge/>
                  <w:tcBorders>
                    <w:top w:val="none" w:color="000000" w:sz="4"/>
                    <w:left w:val="single" w:color="000000" w:sz="4"/>
                    <w:bottom w:val="single" w:color="000000" w:sz="4"/>
                    <w:right w:val="single" w:color="000000" w:sz="4"/>
                  </w:tcBorders>
                </w:tcPr>
                <w:p/>
              </w:tc>
              <w:tc>
                <w:tcPr>
                  <w:tcW w:type="dxa" w:w="329"/>
                  <w:vMerge/>
                  <w:tcBorders>
                    <w:top w:val="none" w:color="000000" w:sz="4"/>
                    <w:left w:val="none" w:color="000000" w:sz="4"/>
                    <w:bottom w:val="single" w:color="000000" w:sz="4"/>
                    <w:right w:val="single" w:color="000000" w:sz="4"/>
                  </w:tcBorders>
                </w:tcPr>
                <w:p/>
              </w:tc>
              <w:tc>
                <w:tcPr>
                  <w:tcW w:type="dxa" w:w="878"/>
                  <w:gridSpan w:val="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109.644900°</w:t>
                  </w:r>
                </w:p>
              </w:tc>
              <w:tc>
                <w:tcPr>
                  <w:tcW w:type="dxa" w:w="846"/>
                  <w:gridSpan w:val="2"/>
                  <w:tcBorders>
                    <w:top w:val="none" w:color="000000" w:sz="4"/>
                    <w:left w:val="none" w:color="000000" w:sz="4"/>
                    <w:bottom w:val="single" w:color="000000" w:sz="4"/>
                    <w:right w:val="non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18.226374°</w:t>
                  </w:r>
                </w:p>
              </w:tc>
              <w:tc>
                <w:tcPr>
                  <w:tcW w:type="dxa" w:w="172"/>
                  <w:vMerge/>
                  <w:tcBorders>
                    <w:top w:val="single" w:color="000000" w:sz="4"/>
                    <w:left w:val="single" w:color="000000" w:sz="4"/>
                    <w:bottom w:val="single" w:color="000000" w:sz="4"/>
                    <w:right w:val="single" w:color="000000" w:sz="4"/>
                  </w:tcBorders>
                </w:tcPr>
                <w:p/>
              </w:tc>
            </w:tr>
            <w:tr>
              <w:tc>
                <w:tcPr>
                  <w:tcW w:type="dxa" w:w="309"/>
                  <w:vMerge/>
                  <w:tcBorders>
                    <w:top w:val="none" w:color="000000" w:sz="4"/>
                    <w:left w:val="single" w:color="000000" w:sz="4"/>
                    <w:bottom w:val="single" w:color="000000" w:sz="4"/>
                    <w:right w:val="single" w:color="000000" w:sz="4"/>
                  </w:tcBorders>
                </w:tcPr>
                <w:p/>
              </w:tc>
              <w:tc>
                <w:tcPr>
                  <w:tcW w:type="dxa" w:w="329"/>
                  <w:vMerge/>
                  <w:tcBorders>
                    <w:top w:val="none" w:color="000000" w:sz="4"/>
                    <w:left w:val="none" w:color="000000" w:sz="4"/>
                    <w:bottom w:val="single" w:color="000000" w:sz="4"/>
                    <w:right w:val="single" w:color="000000" w:sz="4"/>
                  </w:tcBorders>
                </w:tcPr>
                <w:p/>
              </w:tc>
              <w:tc>
                <w:tcPr>
                  <w:tcW w:type="dxa" w:w="878"/>
                  <w:gridSpan w:val="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109.647253°</w:t>
                  </w:r>
                </w:p>
              </w:tc>
              <w:tc>
                <w:tcPr>
                  <w:tcW w:type="dxa" w:w="846"/>
                  <w:gridSpan w:val="2"/>
                  <w:tcBorders>
                    <w:top w:val="none" w:color="000000" w:sz="4"/>
                    <w:left w:val="none" w:color="000000" w:sz="4"/>
                    <w:bottom w:val="none" w:color="000000" w:sz="4"/>
                    <w:right w:val="non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18.222040°</w:t>
                  </w:r>
                </w:p>
              </w:tc>
              <w:tc>
                <w:tcPr>
                  <w:tcW w:type="dxa" w:w="172"/>
                  <w:vMerge/>
                  <w:tcBorders>
                    <w:top w:val="single" w:color="000000" w:sz="4"/>
                    <w:left w:val="single" w:color="000000" w:sz="4"/>
                    <w:bottom w:val="single" w:color="000000" w:sz="4"/>
                    <w:right w:val="single" w:color="000000" w:sz="4"/>
                  </w:tcBorders>
                </w:tcPr>
                <w:p/>
              </w:tc>
            </w:tr>
            <w:tr>
              <w:tc>
                <w:tcPr>
                  <w:tcW w:type="dxa" w:w="309"/>
                  <w:vMerge/>
                  <w:tcBorders>
                    <w:top w:val="none" w:color="000000" w:sz="4"/>
                    <w:left w:val="single" w:color="000000" w:sz="4"/>
                    <w:bottom w:val="single" w:color="000000" w:sz="4"/>
                    <w:right w:val="single" w:color="000000" w:sz="4"/>
                  </w:tcBorders>
                </w:tcPr>
                <w:p/>
              </w:tc>
              <w:tc>
                <w:tcPr>
                  <w:tcW w:type="dxa" w:w="32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rPr>
                    <w:t>沉积物质量</w:t>
                  </w:r>
                </w:p>
              </w:tc>
              <w:tc>
                <w:tcPr>
                  <w:tcW w:type="dxa" w:w="1724"/>
                  <w:gridSpan w:val="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189"/>
                    <w:jc w:val="both"/>
                  </w:pPr>
                  <w:r>
                    <w:rPr>
                      <w:rFonts w:ascii="仿宋_GB2312" w:hAnsi="仿宋_GB2312" w:cs="仿宋_GB2312" w:eastAsia="仿宋_GB2312"/>
                      <w:sz w:val="21"/>
                    </w:rPr>
                    <w:t>同水质站位</w:t>
                  </w:r>
                </w:p>
              </w:tc>
              <w:tc>
                <w:tcPr>
                  <w:tcW w:type="dxa" w:w="172"/>
                  <w:vMerge/>
                  <w:tcBorders>
                    <w:top w:val="single" w:color="000000" w:sz="4"/>
                    <w:left w:val="single" w:color="000000" w:sz="4"/>
                    <w:bottom w:val="single" w:color="000000" w:sz="4"/>
                    <w:right w:val="single" w:color="000000" w:sz="4"/>
                  </w:tcBorders>
                </w:tcPr>
                <w:p/>
              </w:tc>
            </w:tr>
          </w:tbl>
          <w:p>
            <w:pPr>
              <w:pStyle w:val="null3"/>
              <w:jc w:val="left"/>
            </w:pPr>
            <w:r>
              <w:rPr>
                <w:rFonts w:ascii="仿宋_GB2312" w:hAnsi="仿宋_GB2312" w:cs="仿宋_GB2312" w:eastAsia="仿宋_GB2312"/>
              </w:rPr>
              <w:t>（4）监测和评估方法</w:t>
            </w:r>
            <w:r>
              <w:br/>
            </w:r>
            <w:r>
              <w:rPr>
                <w:rFonts w:ascii="仿宋_GB2312" w:hAnsi="仿宋_GB2312" w:cs="仿宋_GB2312" w:eastAsia="仿宋_GB2312"/>
              </w:rPr>
              <w:t xml:space="preserve"> 按照《海岸带生态系统现状调查与评估技术导则 第8部分 砂质海岸》（HY/T 0460.8-2024）、《海洋监测规范》（ GB 17378-2007）、《海洋调查规范》（ GB/T 12763-2007）和《近岸海域环境监测技术规范》（ HJ 422-2020）等规范执行，项目实施过程中如有最新的技术规范则参照执行。</w:t>
            </w:r>
            <w:r>
              <w:br/>
            </w:r>
            <w:r>
              <w:rPr>
                <w:rFonts w:ascii="仿宋_GB2312" w:hAnsi="仿宋_GB2312" w:cs="仿宋_GB2312" w:eastAsia="仿宋_GB2312"/>
              </w:rPr>
              <w:t xml:space="preserve"> （5）监测时间和频率</w:t>
            </w:r>
            <w:r>
              <w:br/>
            </w:r>
            <w:r>
              <w:rPr>
                <w:rFonts w:ascii="仿宋_GB2312" w:hAnsi="仿宋_GB2312" w:cs="仿宋_GB2312" w:eastAsia="仿宋_GB2312"/>
              </w:rPr>
              <w:t xml:space="preserve"> 海滩特征及环境要素至少在夏季开展1次调查，冬季视情况开展调查，以资料收集为主。潮间带底栖生物群落至少在秋季大潮期间开展1次调查，春季视情况开展调查，以资料收集为主。后滨植被安排在5月～9月实施。。</w:t>
            </w:r>
            <w:r>
              <w:br/>
            </w:r>
            <w:r>
              <w:rPr>
                <w:rFonts w:ascii="仿宋_GB2312" w:hAnsi="仿宋_GB2312" w:cs="仿宋_GB2312" w:eastAsia="仿宋_GB2312"/>
              </w:rPr>
              <w:t xml:space="preserve"> （6）质量控制</w:t>
            </w:r>
            <w:r>
              <w:br/>
            </w:r>
            <w:r>
              <w:rPr>
                <w:rFonts w:ascii="仿宋_GB2312" w:hAnsi="仿宋_GB2312" w:cs="仿宋_GB2312" w:eastAsia="仿宋_GB2312"/>
              </w:rPr>
              <w:t xml:space="preserve"> ①在开展调查前，编制任务质量控制方案，或任务实施方案中应包含明确的质量控制内容，方案应包括仪器设备、人员、标准物质、样品采集、储存、运输、检测方法、实验室分析、遥感解译质控、数据审核、评价等质量保证措施。</w:t>
            </w:r>
            <w:r>
              <w:br/>
            </w:r>
            <w:r>
              <w:rPr>
                <w:rFonts w:ascii="仿宋_GB2312" w:hAnsi="仿宋_GB2312" w:cs="仿宋_GB2312" w:eastAsia="仿宋_GB2312"/>
              </w:rPr>
              <w:t xml:space="preserve"> ②水体环境、沉积物、生态、生物样品的采集（预处理）、储存、运输应严格按《海洋监测规范》（GB 17378-2007）和《海洋调查规范》（GB/T 12763-2007）等相关要求执行，制定可实施的实验室分析质量控制计划。</w:t>
            </w:r>
            <w:r>
              <w:br/>
            </w:r>
            <w:r>
              <w:rPr>
                <w:rFonts w:ascii="仿宋_GB2312" w:hAnsi="仿宋_GB2312" w:cs="仿宋_GB2312" w:eastAsia="仿宋_GB2312"/>
              </w:rPr>
              <w:t xml:space="preserve"> ③根据采购人工作安排，参加相关质量监督检查和外控样考核。</w:t>
            </w:r>
            <w:r>
              <w:br/>
            </w:r>
            <w:r>
              <w:rPr>
                <w:rFonts w:ascii="仿宋_GB2312" w:hAnsi="仿宋_GB2312" w:cs="仿宋_GB2312" w:eastAsia="仿宋_GB2312"/>
              </w:rPr>
              <w:t xml:space="preserve"> ④所有出具的检测报告必须加盖CMA章。</w:t>
            </w:r>
            <w:r>
              <w:br/>
            </w:r>
            <w:r>
              <w:rPr>
                <w:rFonts w:ascii="仿宋_GB2312" w:hAnsi="仿宋_GB2312" w:cs="仿宋_GB2312" w:eastAsia="仿宋_GB2312"/>
              </w:rPr>
              <w:t xml:space="preserve"> ⑤因不可抗力因素影响，导致实际监测开展情况与方案要求不符，包括监测站位调整、时间变更等，应详细说明理由并经采购人报批确认。</w:t>
            </w:r>
            <w:r>
              <w:br/>
            </w:r>
            <w:r>
              <w:rPr>
                <w:rFonts w:ascii="仿宋_GB2312" w:hAnsi="仿宋_GB2312" w:cs="仿宋_GB2312" w:eastAsia="仿宋_GB2312"/>
              </w:rPr>
              <w:t xml:space="preserve"> （7）成果提交</w:t>
            </w:r>
            <w:r>
              <w:br/>
            </w:r>
            <w:r>
              <w:rPr>
                <w:rFonts w:ascii="仿宋_GB2312" w:hAnsi="仿宋_GB2312" w:cs="仿宋_GB2312" w:eastAsia="仿宋_GB2312"/>
              </w:rPr>
              <w:t xml:space="preserve"> 合同签订后10个工作日内，中标方向采购人提交项目实施方案。</w:t>
            </w:r>
            <w:r>
              <w:br/>
            </w:r>
            <w:r>
              <w:rPr>
                <w:rFonts w:ascii="仿宋_GB2312" w:hAnsi="仿宋_GB2312" w:cs="仿宋_GB2312" w:eastAsia="仿宋_GB2312"/>
              </w:rPr>
              <w:t xml:space="preserve"> 2025年12月30日前提交《2025年三亚亚龙湾砂质海岸生态系统预警监测评估报告》、预警产品、生态图集、生态预警监测数据集（包括实验室分析测试数据、遥感数据、现场照片、视频、调查数据矢量化等）。</w:t>
            </w:r>
            <w:r>
              <w:br/>
            </w:r>
            <w:r>
              <w:rPr>
                <w:rFonts w:ascii="仿宋_GB2312" w:hAnsi="仿宋_GB2312" w:cs="仿宋_GB2312" w:eastAsia="仿宋_GB2312"/>
              </w:rPr>
              <w:t xml:space="preserve"> 2、技术、服务人员要求：</w:t>
            </w:r>
            <w:r>
              <w:br/>
            </w:r>
            <w:r>
              <w:rPr>
                <w:rFonts w:ascii="仿宋_GB2312" w:hAnsi="仿宋_GB2312" w:cs="仿宋_GB2312" w:eastAsia="仿宋_GB2312"/>
              </w:rPr>
              <w:t xml:space="preserve"> （1）本项目的项目负责人需具有海洋相关专业副高级（含）以上职称，项目组成员为承担单位固定成员，项目组成员不低于15人，且专业必须涵盖海洋生物生态、海洋化学等、测绘等相关领域。项目负责人须是该项目实施全过程的真正组织者和指导者，担负实质性工作，挂名或不担负实质性工作的人员不得作为项目负责人参与本项工作。</w:t>
            </w:r>
            <w:r>
              <w:br/>
            </w:r>
            <w:r>
              <w:rPr>
                <w:rFonts w:ascii="仿宋_GB2312" w:hAnsi="仿宋_GB2312" w:cs="仿宋_GB2312" w:eastAsia="仿宋_GB2312"/>
              </w:rPr>
              <w:t xml:space="preserve"> （2）为使项目按质、按量、按时及有序实施，中标人应建立完善、稳定的项目团队、内部组织管理方式及协调机制，支撑保障要求及其他相关要求。中标人应承诺做好项目研究的过程管理，做到全面、科学、合理的规划，保证投入项目的人员组织科学、充足，项目的进度计划合理、可行，项目各阶段的跟踪管理和质量保障措施完善。</w:t>
            </w:r>
            <w:r>
              <w:br/>
            </w:r>
            <w:r>
              <w:rPr>
                <w:rFonts w:ascii="仿宋_GB2312" w:hAnsi="仿宋_GB2312" w:cs="仿宋_GB2312" w:eastAsia="仿宋_GB2312"/>
              </w:rPr>
              <w:t xml:space="preserve"> 3、其他要求：</w:t>
            </w:r>
            <w:r>
              <w:br/>
            </w:r>
            <w:r>
              <w:rPr>
                <w:rFonts w:ascii="仿宋_GB2312" w:hAnsi="仿宋_GB2312" w:cs="仿宋_GB2312" w:eastAsia="仿宋_GB2312"/>
              </w:rPr>
              <w:t xml:space="preserve"> 在调查方法中，投标方需明确充分利用特别国债海南省海洋灾害综合防治能力建设项目设备和数据的途径。</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标的名称：E包海南省海洋生态预警监测成果编制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1、服务内容和标准：</w:t>
            </w:r>
            <w:r>
              <w:br/>
            </w:r>
            <w:r>
              <w:rPr>
                <w:rFonts w:ascii="仿宋_GB2312" w:hAnsi="仿宋_GB2312" w:cs="仿宋_GB2312" w:eastAsia="仿宋_GB2312"/>
              </w:rPr>
              <w:t xml:space="preserve">   （一）技术服务内容</w:t>
            </w:r>
            <w:r>
              <w:br/>
            </w:r>
            <w:r>
              <w:rPr>
                <w:rFonts w:ascii="仿宋_GB2312" w:hAnsi="仿宋_GB2312" w:cs="仿宋_GB2312" w:eastAsia="仿宋_GB2312"/>
              </w:rPr>
              <w:t xml:space="preserve">   1.编制海洋生态预警监测状况报告</w:t>
            </w:r>
            <w:r>
              <w:br/>
            </w:r>
            <w:r>
              <w:rPr>
                <w:rFonts w:ascii="仿宋_GB2312" w:hAnsi="仿宋_GB2312" w:cs="仿宋_GB2312" w:eastAsia="仿宋_GB2312"/>
              </w:rPr>
              <w:t xml:space="preserve"> 对本年度以及2021年-2025年（“十四五”期间）的海洋生态基础状况、典型生态系统和海洋生态灾害等进行全面系统的评价，分析现状、趋势和问题。分析评估海南省近岸海域生态状况，反映海洋生态保护和修复工作成效，编制《2025年海南省海洋生态状况报告》及《海南省（十四五）海洋生态预警监测状况报告》。。</w:t>
            </w:r>
            <w:r>
              <w:br/>
            </w:r>
            <w:r>
              <w:rPr>
                <w:rFonts w:ascii="仿宋_GB2312" w:hAnsi="仿宋_GB2312" w:cs="仿宋_GB2312" w:eastAsia="仿宋_GB2312"/>
              </w:rPr>
              <w:t xml:space="preserve">   2.编制生态类型清单和生态图产品</w:t>
            </w:r>
            <w:r>
              <w:br/>
            </w:r>
            <w:r>
              <w:rPr>
                <w:rFonts w:ascii="仿宋_GB2312" w:hAnsi="仿宋_GB2312" w:cs="仿宋_GB2312" w:eastAsia="仿宋_GB2312"/>
              </w:rPr>
              <w:t xml:space="preserve"> 按照《近岸海域生态类型清单和生态图构建指导方案》及生态类型清单和生态图制作技术要求，针对2021年-2025年已完成典型生态系统现状调查和预警监测的区域开展其所在四级分区的生态类型清单和生态图制作，编制《海南省海洋生态类型清单》和《海南省海洋生态图技术报告》。</w:t>
            </w:r>
            <w:r>
              <w:br/>
            </w:r>
            <w:r>
              <w:rPr>
                <w:rFonts w:ascii="仿宋_GB2312" w:hAnsi="仿宋_GB2312" w:cs="仿宋_GB2312" w:eastAsia="仿宋_GB2312"/>
              </w:rPr>
              <w:t xml:space="preserve">   3.完善海南省海洋生态分类分区</w:t>
            </w:r>
            <w:r>
              <w:br/>
            </w:r>
            <w:r>
              <w:rPr>
                <w:rFonts w:ascii="仿宋_GB2312" w:hAnsi="仿宋_GB2312" w:cs="仿宋_GB2312" w:eastAsia="仿宋_GB2312"/>
              </w:rPr>
              <w:t xml:space="preserve"> 在现有海洋生态分类分区图件的基础上，根据2025年海南省海洋生态预警监测成果，对区域内各来源数据资料和研究成果进行整合处理，进一步完善海南省海洋生态分类分区，编制《海南省近岸海域生态四级分区技术报告》。</w:t>
            </w:r>
            <w:r>
              <w:br/>
            </w:r>
            <w:r>
              <w:rPr>
                <w:rFonts w:ascii="仿宋_GB2312" w:hAnsi="仿宋_GB2312" w:cs="仿宋_GB2312" w:eastAsia="仿宋_GB2312"/>
              </w:rPr>
              <w:t xml:space="preserve">   4.编制海南省海洋生态问题清单</w:t>
            </w:r>
            <w:r>
              <w:br/>
            </w:r>
            <w:r>
              <w:rPr>
                <w:rFonts w:ascii="仿宋_GB2312" w:hAnsi="仿宋_GB2312" w:cs="仿宋_GB2312" w:eastAsia="仿宋_GB2312"/>
              </w:rPr>
              <w:t xml:space="preserve"> 基于2021年-2025年度典型生态系统现状调查结果，结合历史变化趋势，提出开展调查的生态系统问题清单，评估我省典型生态系统主要生态问题并动态更新。</w:t>
            </w:r>
            <w:r>
              <w:br/>
            </w:r>
            <w:r>
              <w:rPr>
                <w:rFonts w:ascii="仿宋_GB2312" w:hAnsi="仿宋_GB2312" w:cs="仿宋_GB2312" w:eastAsia="仿宋_GB2312"/>
              </w:rPr>
              <w:t xml:space="preserve"> （二）成果提交</w:t>
            </w:r>
            <w:r>
              <w:br/>
            </w:r>
            <w:r>
              <w:rPr>
                <w:rFonts w:ascii="仿宋_GB2312" w:hAnsi="仿宋_GB2312" w:cs="仿宋_GB2312" w:eastAsia="仿宋_GB2312"/>
              </w:rPr>
              <w:t xml:space="preserve">   合同签订后10个工作日内，中标方向采购人提交项目实施方案。</w:t>
            </w:r>
            <w:r>
              <w:br/>
            </w:r>
            <w:r>
              <w:rPr>
                <w:rFonts w:ascii="仿宋_GB2312" w:hAnsi="仿宋_GB2312" w:cs="仿宋_GB2312" w:eastAsia="仿宋_GB2312"/>
              </w:rPr>
              <w:t xml:space="preserve">   2025年12月10日前提交成果包括：《2025年海南省海洋生态预警监测状况报告》《海南省（十四五）海洋生态预警监测状况报告》《海南省近岸海域生态四级分区技术报告》《海南省海洋生态类型清单》和《海南省海洋生态图技术报告》、海南省海洋生态问题清单、2025年海南省海洋生态预警监测数据集、2025年海南省海洋生态图集、海南省（“十四五”）海洋生态图集。</w:t>
            </w:r>
            <w:r>
              <w:br/>
            </w:r>
            <w:r>
              <w:rPr>
                <w:rFonts w:ascii="仿宋_GB2312" w:hAnsi="仿宋_GB2312" w:cs="仿宋_GB2312" w:eastAsia="仿宋_GB2312"/>
              </w:rPr>
              <w:t xml:space="preserve"> （三）技术服务实施依据</w:t>
            </w:r>
            <w:r>
              <w:br/>
            </w:r>
            <w:r>
              <w:rPr>
                <w:rFonts w:ascii="仿宋_GB2312" w:hAnsi="仿宋_GB2312" w:cs="仿宋_GB2312" w:eastAsia="仿宋_GB2312"/>
              </w:rPr>
              <w:t xml:space="preserve"> 1.《自然资源部办公厅关于建立健全海洋生态预警监测体系的通知》(自然资办发〔2021〕52号)；</w:t>
            </w:r>
            <w:r>
              <w:br/>
            </w:r>
            <w:r>
              <w:rPr>
                <w:rFonts w:ascii="仿宋_GB2312" w:hAnsi="仿宋_GB2312" w:cs="仿宋_GB2312" w:eastAsia="仿宋_GB2312"/>
              </w:rPr>
              <w:t xml:space="preserve"> 2.《全国海洋生态预警监测总体方案（2021-2025年）》（自然资办发〔2021〕64号）；</w:t>
            </w:r>
            <w:r>
              <w:br/>
            </w:r>
            <w:r>
              <w:rPr>
                <w:rFonts w:ascii="仿宋_GB2312" w:hAnsi="仿宋_GB2312" w:cs="仿宋_GB2312" w:eastAsia="仿宋_GB2312"/>
              </w:rPr>
              <w:t xml:space="preserve"> 3.《2025年全国海洋预警监测工作方案》；</w:t>
            </w:r>
            <w:r>
              <w:br/>
            </w:r>
            <w:r>
              <w:rPr>
                <w:rFonts w:ascii="仿宋_GB2312" w:hAnsi="仿宋_GB2312" w:cs="仿宋_GB2312" w:eastAsia="仿宋_GB2312"/>
              </w:rPr>
              <w:t xml:space="preserve"> 4.《2025年海南省海洋生态预警监测工作方案》。</w:t>
            </w:r>
            <w:r>
              <w:br/>
            </w:r>
            <w:r>
              <w:rPr>
                <w:rFonts w:ascii="仿宋_GB2312" w:hAnsi="仿宋_GB2312" w:cs="仿宋_GB2312" w:eastAsia="仿宋_GB2312"/>
              </w:rPr>
              <w:t xml:space="preserve"> 2、技术、服务人员要求：</w:t>
            </w:r>
            <w:r>
              <w:br/>
            </w:r>
            <w:r>
              <w:rPr>
                <w:rFonts w:ascii="仿宋_GB2312" w:hAnsi="仿宋_GB2312" w:cs="仿宋_GB2312" w:eastAsia="仿宋_GB2312"/>
              </w:rPr>
              <w:t xml:space="preserve">   （1）本项目的项目负责人需具有海洋相关专业副高级（含）以上职称，项目组成员为承担单位固定成员，项目组成员不低于10人，且专业必须涵盖海洋生物生态、海洋化学等、测绘等相关领域。项目负责人须是该项目实施全过程的真正组织者和指导者，担负实质性工作，挂名或不担负实质性工作的人员不得作为项目负责人参与本项工作。</w:t>
            </w:r>
            <w:r>
              <w:br/>
            </w:r>
            <w:r>
              <w:rPr>
                <w:rFonts w:ascii="仿宋_GB2312" w:hAnsi="仿宋_GB2312" w:cs="仿宋_GB2312" w:eastAsia="仿宋_GB2312"/>
              </w:rPr>
              <w:t xml:space="preserve">   （2）为使项目按质、按量、按时及有序实施，中标人应建立完善、稳定的项目团队、内部组织管理方式及协调机制，支撑保障要求及其他相关要求。中标人应承诺做好项目研究的过程管理，做到全面、科学、合理的规划，保证投入项目的人员组织科学、充足，项目的进度计划合理、可行，项目各阶段的跟踪管理和质量保障措施完善。</w:t>
            </w:r>
            <w:r>
              <w:br/>
            </w:r>
            <w:r>
              <w:rPr>
                <w:rFonts w:ascii="仿宋_GB2312" w:hAnsi="仿宋_GB2312" w:cs="仿宋_GB2312" w:eastAsia="仿宋_GB2312"/>
              </w:rPr>
              <w:t xml:space="preserve"> 3、其他要求：</w:t>
            </w:r>
            <w:r>
              <w:br/>
            </w:r>
            <w:r>
              <w:rPr>
                <w:rFonts w:ascii="仿宋_GB2312" w:hAnsi="仿宋_GB2312" w:cs="仿宋_GB2312" w:eastAsia="仿宋_GB2312"/>
              </w:rPr>
              <w:t xml:space="preserve">   在调查方法中，投标方需明确充分利用特别国债海南省海洋灾害综合防治能力建设项目设备和数据的途径。</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1、合同履行期限：合同签订生效之日起1年。</w:t>
            </w:r>
            <w:r>
              <w:br/>
            </w:r>
            <w:r>
              <w:rPr>
                <w:rFonts w:ascii="仿宋_GB2312" w:hAnsi="仿宋_GB2312" w:cs="仿宋_GB2312" w:eastAsia="仿宋_GB2312"/>
              </w:rPr>
              <w:t xml:space="preserve"> 2、服务地点：采购人指定地点。</w:t>
            </w:r>
            <w:r>
              <w:br/>
            </w:r>
            <w:r>
              <w:rPr>
                <w:rFonts w:ascii="仿宋_GB2312" w:hAnsi="仿宋_GB2312" w:cs="仿宋_GB2312" w:eastAsia="仿宋_GB2312"/>
              </w:rPr>
              <w:t xml:space="preserve"> 3、付款条件（进度和方式）：按照合同约定进行付款，合同签订后付款中标金额的70%款项；项目验收合格后，付清剩余的30%款项。</w:t>
            </w:r>
            <w:r>
              <w:br/>
            </w:r>
            <w:r>
              <w:rPr>
                <w:rFonts w:ascii="仿宋_GB2312" w:hAnsi="仿宋_GB2312" w:cs="仿宋_GB2312" w:eastAsia="仿宋_GB2312"/>
              </w:rPr>
              <w:t xml:space="preserve"> 4、售后服务：中标方在项目验收完成后，提供一年的技术咨询服务；中标方在收到技术咨询请求后，应于24个小时内反馈。</w:t>
            </w:r>
            <w:r>
              <w:br/>
            </w:r>
            <w:r>
              <w:rPr>
                <w:rFonts w:ascii="仿宋_GB2312" w:hAnsi="仿宋_GB2312" w:cs="仿宋_GB2312" w:eastAsia="仿宋_GB2312"/>
              </w:rPr>
              <w:t xml:space="preserve"> 5、验收方式及标准：由采购人在指定地点对所购服务进行验收。招标方组织专家评审验收会，验收标准除了招标文件的技术（服务）要求、中标人的投标文件及承诺以及采购合同约定外，可溯源到国家、行业及地方现行相关规定、规范及技术标准。中标方根据专家评审意见，进一步修改完善项目成果，并最终征得招标方同意。</w:t>
            </w:r>
            <w:r>
              <w:br/>
            </w:r>
            <w:r>
              <w:rPr>
                <w:rFonts w:ascii="仿宋_GB2312" w:hAnsi="仿宋_GB2312" w:cs="仿宋_GB2312" w:eastAsia="仿宋_GB2312"/>
              </w:rPr>
              <w:t xml:space="preserve"> 6、保险：（1）中标人应当遵守国家有关消防、安全、生产操作、劳动保护等方面的规定，并结合本项目采购合同履行情况，购买涉及上述履约风险的对应保险，保险金额以抵消可能发生的事故因其发生所造成的财产、人身损失承担赔偿保险金责任，维护保险标的的安全。（2）中标人为本项目提供履约的所有人员按照《中华人民共和国劳动合同法》订立劳动合同，如有退休人员或其他依法不能签订劳动合同的应当签订劳务合同，并为上述人员购买意外伤害保险，保险期限至本项目采购合同履行完毕。</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1、合同履行期限：合同签订生效之日起1年。</w:t>
            </w:r>
            <w:r>
              <w:br/>
            </w:r>
            <w:r>
              <w:rPr>
                <w:rFonts w:ascii="仿宋_GB2312" w:hAnsi="仿宋_GB2312" w:cs="仿宋_GB2312" w:eastAsia="仿宋_GB2312"/>
              </w:rPr>
              <w:t xml:space="preserve"> 2、服务地点：采购人指定地点。</w:t>
            </w:r>
            <w:r>
              <w:br/>
            </w:r>
            <w:r>
              <w:rPr>
                <w:rFonts w:ascii="仿宋_GB2312" w:hAnsi="仿宋_GB2312" w:cs="仿宋_GB2312" w:eastAsia="仿宋_GB2312"/>
              </w:rPr>
              <w:t xml:space="preserve"> 3、付款条件（进度和方式）：按照合同约定进行付款，合同签订后付款中标金额的70%款项；项目验收合格后，付清剩余的30%款项。</w:t>
            </w:r>
            <w:r>
              <w:br/>
            </w:r>
            <w:r>
              <w:rPr>
                <w:rFonts w:ascii="仿宋_GB2312" w:hAnsi="仿宋_GB2312" w:cs="仿宋_GB2312" w:eastAsia="仿宋_GB2312"/>
              </w:rPr>
              <w:t xml:space="preserve"> 4、售后服务：中标方在项目验收完成后，提供一年的技术咨询服务；中标方在收到技术咨询请求后，应于24个小时内反馈。</w:t>
            </w:r>
            <w:r>
              <w:br/>
            </w:r>
            <w:r>
              <w:rPr>
                <w:rFonts w:ascii="仿宋_GB2312" w:hAnsi="仿宋_GB2312" w:cs="仿宋_GB2312" w:eastAsia="仿宋_GB2312"/>
              </w:rPr>
              <w:t xml:space="preserve"> 5、验收方式及标准：由采购人在指定地点对所购服务进行验收。招标方组织专家评审验收会，验收标准除了招标文件的技术（服务）要求、中标人的投标文件及承诺以及采购合同约定外，可溯源到国家、行业及地方现行相关规定、规范及技术标准。中标方根据专家评审意见，进一步修改完善项目成果，并最终征得招标方同意。</w:t>
            </w:r>
            <w:r>
              <w:br/>
            </w:r>
            <w:r>
              <w:rPr>
                <w:rFonts w:ascii="仿宋_GB2312" w:hAnsi="仿宋_GB2312" w:cs="仿宋_GB2312" w:eastAsia="仿宋_GB2312"/>
              </w:rPr>
              <w:t xml:space="preserve"> 6、保险：（1）中标人应当遵守国家有关消防、安全、生产操作、劳动保护等方面的规定，并结合本项目采购合同履行情况，购买涉及上述履约风险的对应保险，保险金额以抵消可能发生的事故因其发生所造成的财产、人身损失承担赔偿保险金责任，维护保险标的的安全。（2）中标人为本项目提供履约的所有人员按照《中华人民共和国劳动合同法》订立劳动合同，如有退休人员或其他依法不能签订劳动合同的应当签订劳务合同，并为上述人员购买意外伤害保险，保险期限至本项目采购合同履行完毕。</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1、合同履行期限：合同签订生效之日起1年。</w:t>
            </w:r>
            <w:r>
              <w:br/>
            </w:r>
            <w:r>
              <w:rPr>
                <w:rFonts w:ascii="仿宋_GB2312" w:hAnsi="仿宋_GB2312" w:cs="仿宋_GB2312" w:eastAsia="仿宋_GB2312"/>
              </w:rPr>
              <w:t xml:space="preserve"> 2、服务地点：采购人指定地点。</w:t>
            </w:r>
            <w:r>
              <w:br/>
            </w:r>
            <w:r>
              <w:rPr>
                <w:rFonts w:ascii="仿宋_GB2312" w:hAnsi="仿宋_GB2312" w:cs="仿宋_GB2312" w:eastAsia="仿宋_GB2312"/>
              </w:rPr>
              <w:t xml:space="preserve"> 3、付款条件（进度和方式）：按照合同约定进行付款，合同签订后付款中标金额的70%款项；项目验收合格后，付清剩余的30%款项。</w:t>
            </w:r>
            <w:r>
              <w:br/>
            </w:r>
            <w:r>
              <w:rPr>
                <w:rFonts w:ascii="仿宋_GB2312" w:hAnsi="仿宋_GB2312" w:cs="仿宋_GB2312" w:eastAsia="仿宋_GB2312"/>
              </w:rPr>
              <w:t xml:space="preserve"> 4、售后服务：中标方在项目验收完成后，提供一年的技术咨询服务；中标方在收到技术咨询请求后，应于24个小时内反馈。</w:t>
            </w:r>
            <w:r>
              <w:br/>
            </w:r>
            <w:r>
              <w:rPr>
                <w:rFonts w:ascii="仿宋_GB2312" w:hAnsi="仿宋_GB2312" w:cs="仿宋_GB2312" w:eastAsia="仿宋_GB2312"/>
              </w:rPr>
              <w:t xml:space="preserve"> 5、验收方式及标准：由采购人在指定地点对所购服务进行验收。招标方组织专家评审验收会，验收标准除了招标文件的技术（服务）要求、中标人的投标文件及承诺以及采购合同约定外，可溯源到国家、行业及地方现行相关规定、规范及技术标准。中标方根据专家评审意见，进一步修改完善项目成果，并最终征得招标方同意。</w:t>
            </w:r>
            <w:r>
              <w:br/>
            </w:r>
            <w:r>
              <w:rPr>
                <w:rFonts w:ascii="仿宋_GB2312" w:hAnsi="仿宋_GB2312" w:cs="仿宋_GB2312" w:eastAsia="仿宋_GB2312"/>
              </w:rPr>
              <w:t xml:space="preserve"> 6、保险：（1）中标人应当遵守国家有关消防、安全、生产操作、劳动保护等方面的规定，并结合本项目采购合同履行情况，购买涉及上述履约风险的对应保险，保险金额以抵消可能发生的事故因其发生所造成的财产、人身损失承担赔偿保险金责任，维护保险标的的安全。（2）中标人为本项目提供履约的所有人员按照《中华人民共和国劳动合同法》订立劳动合同，如有退休人员或其他依法不能签订劳动合同的应当签订劳务合同，并为上述人员购买意外伤害保险，保险期限至本项目采购合同履行完毕。</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1、合同履行期限：合同签订生效之日起1年。</w:t>
            </w:r>
            <w:r>
              <w:br/>
            </w:r>
            <w:r>
              <w:rPr>
                <w:rFonts w:ascii="仿宋_GB2312" w:hAnsi="仿宋_GB2312" w:cs="仿宋_GB2312" w:eastAsia="仿宋_GB2312"/>
              </w:rPr>
              <w:t xml:space="preserve"> 2、服务地点：采购人指定地点。</w:t>
            </w:r>
            <w:r>
              <w:br/>
            </w:r>
            <w:r>
              <w:rPr>
                <w:rFonts w:ascii="仿宋_GB2312" w:hAnsi="仿宋_GB2312" w:cs="仿宋_GB2312" w:eastAsia="仿宋_GB2312"/>
              </w:rPr>
              <w:t xml:space="preserve"> 3、付款条件（进度和方式）：</w:t>
            </w:r>
            <w:r>
              <w:br/>
            </w:r>
            <w:r>
              <w:rPr>
                <w:rFonts w:ascii="仿宋_GB2312" w:hAnsi="仿宋_GB2312" w:cs="仿宋_GB2312" w:eastAsia="仿宋_GB2312"/>
              </w:rPr>
              <w:t xml:space="preserve"> 按照合同约定进行付款，合同签订后付款中标金额的70%款项；项目验收合格后，付清剩余的30%款项。</w:t>
            </w:r>
            <w:r>
              <w:br/>
            </w:r>
            <w:r>
              <w:rPr>
                <w:rFonts w:ascii="仿宋_GB2312" w:hAnsi="仿宋_GB2312" w:cs="仿宋_GB2312" w:eastAsia="仿宋_GB2312"/>
              </w:rPr>
              <w:t xml:space="preserve"> 4、售后服务：中标方在项目验收完成后，提供一年的技术咨询服务；中标方在收到技术咨询请求后，应于24个小时内反馈。</w:t>
            </w:r>
            <w:r>
              <w:br/>
            </w:r>
            <w:r>
              <w:rPr>
                <w:rFonts w:ascii="仿宋_GB2312" w:hAnsi="仿宋_GB2312" w:cs="仿宋_GB2312" w:eastAsia="仿宋_GB2312"/>
              </w:rPr>
              <w:t xml:space="preserve"> 5、验收方式及标准：由采购人在指定地点对所购服务进行验收。招标方组织专家评审验收会，验收标准除了招标文件的技术（服务）要求、中标人的投标文件及承诺以及采购合同约定外，可溯源到国家、行业及地方现行相关规定、规范及技术标准。中标方根据专家评审意见，进一步修改完善项目成果，并最终征得招标方同意。</w:t>
            </w:r>
            <w:r>
              <w:br/>
            </w:r>
            <w:r>
              <w:rPr>
                <w:rFonts w:ascii="仿宋_GB2312" w:hAnsi="仿宋_GB2312" w:cs="仿宋_GB2312" w:eastAsia="仿宋_GB2312"/>
              </w:rPr>
              <w:t xml:space="preserve"> 6、保险：（1）中标人应当遵守国家有关消防、安全、生产操作、劳动保护等方面的规定，并结合本项目采购合同履行情况，购买涉及上述履约风险的对应保险，保险金额以抵消可能发生的事故因其发生所造成的财产、人身损失承担赔偿保险金责任，维护保险标的的安全。（2）中标人为本项目提供履约的所有人员按照《中华人民共和国劳动合同法》订立劳动合同，如有退休人员或其他依法不能签订劳动合同的应当签订劳务合同，并为上述人员购买意外伤害保险，保险期限至本项目采购合同履行完毕。</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资质条件</w:t>
            </w:r>
          </w:p>
        </w:tc>
        <w:tc>
          <w:tcPr>
            <w:tcW w:type="dxa" w:w="3322"/>
          </w:tcPr>
          <w:p>
            <w:pPr>
              <w:pStyle w:val="null3"/>
              <w:jc w:val="left"/>
            </w:pPr>
            <w:r>
              <w:rPr>
                <w:rFonts w:ascii="仿宋_GB2312" w:hAnsi="仿宋_GB2312" w:cs="仿宋_GB2312" w:eastAsia="仿宋_GB2312"/>
              </w:rPr>
              <w:t>具有中国国家认证认可监督管理委员会或省级质量技术监督局颁发的检验检测机构资质认定证书（CMA）（证明材料：提供相关资质证书加盖公章）</w:t>
            </w:r>
          </w:p>
        </w:tc>
        <w:tc>
          <w:tcPr>
            <w:tcW w:type="dxa" w:w="1661"/>
          </w:tcPr>
          <w:p>
            <w:pPr>
              <w:pStyle w:val="null3"/>
              <w:jc w:val="left"/>
            </w:pPr>
            <w:r>
              <w:rPr>
                <w:rFonts w:ascii="仿宋_GB2312" w:hAnsi="仿宋_GB2312" w:cs="仿宋_GB2312" w:eastAsia="仿宋_GB2312"/>
              </w:rPr>
              <w:t>资质条件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参加政府采购活动前三年内，在经营活动中没有环保类行政处罚记录（提供声明函）</w:t>
            </w:r>
          </w:p>
        </w:tc>
        <w:tc>
          <w:tcPr>
            <w:tcW w:type="dxa" w:w="1661"/>
          </w:tcPr>
          <w:p>
            <w:pPr>
              <w:pStyle w:val="null3"/>
              <w:jc w:val="left"/>
            </w:pPr>
            <w:r>
              <w:rPr>
                <w:rFonts w:ascii="仿宋_GB2312" w:hAnsi="仿宋_GB2312" w:cs="仿宋_GB2312" w:eastAsia="仿宋_GB2312"/>
              </w:rPr>
              <w:t>无环保类行政处罚记录声明函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资质条件</w:t>
            </w:r>
          </w:p>
        </w:tc>
        <w:tc>
          <w:tcPr>
            <w:tcW w:type="dxa" w:w="3322"/>
          </w:tcPr>
          <w:p>
            <w:pPr>
              <w:pStyle w:val="null3"/>
              <w:jc w:val="left"/>
            </w:pPr>
            <w:r>
              <w:rPr>
                <w:rFonts w:ascii="仿宋_GB2312" w:hAnsi="仿宋_GB2312" w:cs="仿宋_GB2312" w:eastAsia="仿宋_GB2312"/>
              </w:rPr>
              <w:t>具有中国国家认证认可监督管理委员会或省级质量技术监督局颁发的检验检测机构资质认定证书（CMA）（证明材料：提供相关资质证书加盖公章）</w:t>
            </w:r>
          </w:p>
        </w:tc>
        <w:tc>
          <w:tcPr>
            <w:tcW w:type="dxa" w:w="1661"/>
          </w:tcPr>
          <w:p>
            <w:pPr>
              <w:pStyle w:val="null3"/>
              <w:jc w:val="left"/>
            </w:pPr>
            <w:r>
              <w:rPr>
                <w:rFonts w:ascii="仿宋_GB2312" w:hAnsi="仿宋_GB2312" w:cs="仿宋_GB2312" w:eastAsia="仿宋_GB2312"/>
              </w:rPr>
              <w:t>资质条件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参加政府采购活动前三年内，在经营活动中没有环保类行政处罚记录（提供声明函）</w:t>
            </w:r>
          </w:p>
        </w:tc>
        <w:tc>
          <w:tcPr>
            <w:tcW w:type="dxa" w:w="1661"/>
          </w:tcPr>
          <w:p>
            <w:pPr>
              <w:pStyle w:val="null3"/>
              <w:jc w:val="left"/>
            </w:pPr>
            <w:r>
              <w:rPr>
                <w:rFonts w:ascii="仿宋_GB2312" w:hAnsi="仿宋_GB2312" w:cs="仿宋_GB2312" w:eastAsia="仿宋_GB2312"/>
              </w:rPr>
              <w:t>无环保类行政处罚记录声明函</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资质条件</w:t>
            </w:r>
          </w:p>
        </w:tc>
        <w:tc>
          <w:tcPr>
            <w:tcW w:type="dxa" w:w="3322"/>
          </w:tcPr>
          <w:p>
            <w:pPr>
              <w:pStyle w:val="null3"/>
              <w:jc w:val="left"/>
            </w:pPr>
            <w:r>
              <w:rPr>
                <w:rFonts w:ascii="仿宋_GB2312" w:hAnsi="仿宋_GB2312" w:cs="仿宋_GB2312" w:eastAsia="仿宋_GB2312"/>
              </w:rPr>
              <w:t>具有中国国家认证认可监督管理委员会或省级质量技术监督局颁发的检验检测机构资质认定证书（CMA）（证明材料：提供相关资质证书加盖公章）</w:t>
            </w:r>
          </w:p>
        </w:tc>
        <w:tc>
          <w:tcPr>
            <w:tcW w:type="dxa" w:w="1661"/>
          </w:tcPr>
          <w:p>
            <w:pPr>
              <w:pStyle w:val="null3"/>
              <w:jc w:val="left"/>
            </w:pPr>
            <w:r>
              <w:rPr>
                <w:rFonts w:ascii="仿宋_GB2312" w:hAnsi="仿宋_GB2312" w:cs="仿宋_GB2312" w:eastAsia="仿宋_GB2312"/>
              </w:rPr>
              <w:t>资质条件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参加政府采购活动前三年内，在经营活动中没有环保类行政处罚记录（提供声明函）</w:t>
            </w:r>
          </w:p>
        </w:tc>
        <w:tc>
          <w:tcPr>
            <w:tcW w:type="dxa" w:w="1661"/>
          </w:tcPr>
          <w:p>
            <w:pPr>
              <w:pStyle w:val="null3"/>
              <w:jc w:val="left"/>
            </w:pPr>
            <w:r>
              <w:rPr>
                <w:rFonts w:ascii="仿宋_GB2312" w:hAnsi="仿宋_GB2312" w:cs="仿宋_GB2312" w:eastAsia="仿宋_GB2312"/>
              </w:rPr>
              <w:t>无环保类行政处罚记录声明函</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参加政府采购活动前三年内，在经营活动中没有环保类行政处罚记录（提供声明函）</w:t>
            </w:r>
          </w:p>
        </w:tc>
        <w:tc>
          <w:tcPr>
            <w:tcW w:type="dxa" w:w="1661"/>
          </w:tcPr>
          <w:p>
            <w:pPr>
              <w:pStyle w:val="null3"/>
              <w:jc w:val="left"/>
            </w:pPr>
            <w:r>
              <w:rPr>
                <w:rFonts w:ascii="仿宋_GB2312" w:hAnsi="仿宋_GB2312" w:cs="仿宋_GB2312" w:eastAsia="仿宋_GB2312"/>
              </w:rPr>
              <w:t>无环保类行政处罚记录声明函</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商务应答表 自觉抵制政府采购领域商业贿赂行为承诺书 封面 商业信誉、财务会计制度、缴纳税收和社保的承诺函 具有独立承担民事责任的能力证明文件 投标人承诺函 其他材料 投标人无不良信用记录 投标函 无重大违法记录声明函 法定代表人资格证明书或法定代表人授权委托书 符合法律、行政法规规定的其他条件的声明函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商务应答表 自觉抵制政府采购领域商业贿赂行为承诺书 商业信誉、财务会计制度、缴纳税收和社保的承诺函 具有独立承担民事责任的能力证明文件 投标人承诺函 其他材料 投标人无不良信用记录 投标函 无重大违法记录声明函 法定代表人资格证明书或法定代表人授权委托书 符合法律、行政法规规定的其他条件的声明函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商务应答表 自觉抵制政府采购领域商业贿赂行为承诺书 封面 商业信誉、财务会计制度、缴纳税收和社保的承诺函 具有独立承担民事责任的能力证明文件 投标人承诺函 其他材料 投标人无不良信用记录 投标函 无重大违法记录声明函 法定代表人资格证明书或法定代表人授权委托书 符合法律、行政法规规定的其他条件的声明函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商务应答表 自觉抵制政府采购领域商业贿赂行为承诺书 商业信誉、财务会计制度、缴纳税收和社保的承诺函 具有独立承担民事责任的能力证明文件 投标人承诺函 其他材料 投标人无不良信用记录 投标函 无重大违法记录声明函 法定代表人资格证明书或法定代表人授权委托书 符合法律、行政法规规定的其他条件的声明函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商务应答表 自觉抵制政府采购领域商业贿赂行为承诺书 封面 商业信誉、财务会计制度、缴纳税收和社保的承诺函 具有独立承担民事责任的能力证明文件 投标人承诺函 其他材料 投标人无不良信用记录 投标函 无重大违法记录声明函 法定代表人资格证明书或法定代表人授权委托书 符合法律、行政法规规定的其他条件的声明函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商务应答表 自觉抵制政府采购领域商业贿赂行为承诺书 商业信誉、财务会计制度、缴纳税收和社保的承诺函 具有独立承担民事责任的能力证明文件 投标人承诺函 其他材料 投标人无不良信用记录 投标函 无重大违法记录声明函 法定代表人资格证明书或法定代表人授权委托书 符合法律、行政法规规定的其他条件的声明函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商务应答表 自觉抵制政府采购领域商业贿赂行为承诺书 封面 商业信誉、财务会计制度、缴纳税收和社保的承诺函 具有独立承担民事责任的能力证明文件 投标人承诺函 其他材料 投标人无不良信用记录 投标函 无重大违法记录声明函 法定代表人资格证明书或法定代表人授权委托书 符合法律、行政法规规定的其他条件的声明函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商务应答表 自觉抵制政府采购领域商业贿赂行为承诺书 商业信誉、财务会计制度、缴纳税收和社保的承诺函 具有独立承担民事责任的能力证明文件 投标人承诺函 其他材料 投标人无不良信用记录 投标函 无重大违法记录声明函 法定代表人资格证明书或法定代表人授权委托书 符合法律、行政法规规定的其他条件的声明函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技术部分50.00分</w:t>
            </w:r>
          </w:p>
          <w:p>
            <w:pPr>
              <w:pStyle w:val="null3"/>
              <w:jc w:val="both"/>
            </w:pPr>
            <w:r>
              <w:rPr>
                <w:rFonts w:ascii="仿宋_GB2312" w:hAnsi="仿宋_GB2312" w:cs="仿宋_GB2312" w:eastAsia="仿宋_GB2312"/>
              </w:rPr>
              <w:t>商务部分40.00分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项目理解</w:t>
            </w:r>
          </w:p>
        </w:tc>
        <w:tc>
          <w:tcPr>
            <w:tcW w:type="dxa" w:w="2492"/>
          </w:tcPr>
          <w:p>
            <w:pPr>
              <w:pStyle w:val="null3"/>
              <w:jc w:val="both"/>
            </w:pPr>
            <w:r>
              <w:rPr>
                <w:rFonts w:ascii="仿宋_GB2312" w:hAnsi="仿宋_GB2312" w:cs="仿宋_GB2312" w:eastAsia="仿宋_GB2312"/>
              </w:rPr>
              <w:t>根据投标人针对本项目理解和熟悉程度进行综合评分，内容包括但不限于：①工作目标和要求等；②重难点分析及应对措施等。投标人提交项目理解的得10分，如每缺少一项内容扣5分，最低得0分；项目理解存在一处缺陷（缺陷是指方案内容不符合采购项目的具体特点、与采购项目实际需要不相适应、与合同履行无关、凭空编造、方案中内容前后不一致、前后逻辑错误等情形）扣1分，最低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项目实施方案</w:t>
            </w:r>
          </w:p>
        </w:tc>
        <w:tc>
          <w:tcPr>
            <w:tcW w:type="dxa" w:w="2492"/>
          </w:tcPr>
          <w:p>
            <w:pPr>
              <w:pStyle w:val="null3"/>
              <w:jc w:val="both"/>
            </w:pPr>
            <w:r>
              <w:rPr>
                <w:rFonts w:ascii="仿宋_GB2312" w:hAnsi="仿宋_GB2312" w:cs="仿宋_GB2312" w:eastAsia="仿宋_GB2312"/>
              </w:rPr>
              <w:t>根据投标人提交的项目实施方案进行综合评分，内容包括但不限于：①政策依据和标准规范；②工作内容（包括但不限于监测要素、监测站位、监测时间等）；③技术路线；④预计成果报告。投标人提交项目实施方案的得20分，如每缺少一项内容扣5分，最低得0分；项目实施方案内容存在一处缺陷（缺陷是指方案内容不符合采购项目的具体特点、与采购项目实际需要不相适应、与合同履行无关、凭空编造、方案中内容前后不一致、前后逻辑错误等情形）扣1分，最低得0分。</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工作计划安排与保证措施</w:t>
            </w:r>
          </w:p>
        </w:tc>
        <w:tc>
          <w:tcPr>
            <w:tcW w:type="dxa" w:w="2492"/>
          </w:tcPr>
          <w:p>
            <w:pPr>
              <w:pStyle w:val="null3"/>
              <w:jc w:val="both"/>
            </w:pPr>
            <w:r>
              <w:rPr>
                <w:rFonts w:ascii="仿宋_GB2312" w:hAnsi="仿宋_GB2312" w:cs="仿宋_GB2312" w:eastAsia="仿宋_GB2312"/>
              </w:rPr>
              <w:t>根据投标人提交的工作计划安排与保证措施进行综合评分，内容包括但不限于：①工作进度安排与保证措施；②人员架构及主要职责与分工等。投标人提交工作计划安排与保证措施的得10分，如每缺少一项内容扣5分，最低得0分；工作计划安排与保证措施内容存在一处缺陷（缺陷是指方案内容不符合采购项目的具体特点、与采购项目实际需要不相适应、与合同履行无关、凭空编造、方案中内容前后不一致、前后逻辑错误等情形）扣1分，最低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质量控制方案</w:t>
            </w:r>
          </w:p>
        </w:tc>
        <w:tc>
          <w:tcPr>
            <w:tcW w:type="dxa" w:w="2492"/>
          </w:tcPr>
          <w:p>
            <w:pPr>
              <w:pStyle w:val="null3"/>
              <w:jc w:val="both"/>
            </w:pPr>
            <w:r>
              <w:rPr>
                <w:rFonts w:ascii="仿宋_GB2312" w:hAnsi="仿宋_GB2312" w:cs="仿宋_GB2312" w:eastAsia="仿宋_GB2312"/>
              </w:rPr>
              <w:t>根据投标人提交的质量管理方案进行综合评分，内容包括但不限于：①质量管理控制体系；②质量管理标准依据；③质量管理流程等；④监测人员质量控制；⑤质量控制措施（内业、外业环节质量计划等）。投标人提交质量管理方案的得10分，如每缺少一项内容扣2分，最低得0分；质量管理方案内容存在一处缺陷（缺陷是指方案内容不符合采购项目的具体特点、与采购项目实际需要不相适应、与合同履行无关、凭空编造、方案中内容前后不一致、前后逻辑错误等情形）扣0.5分，最低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项目服务人员配备</w:t>
            </w:r>
          </w:p>
        </w:tc>
        <w:tc>
          <w:tcPr>
            <w:tcW w:type="dxa" w:w="2492"/>
          </w:tcPr>
          <w:p>
            <w:pPr>
              <w:pStyle w:val="null3"/>
              <w:jc w:val="both"/>
            </w:pPr>
            <w:r>
              <w:rPr>
                <w:rFonts w:ascii="仿宋_GB2312" w:hAnsi="仿宋_GB2312" w:cs="仿宋_GB2312" w:eastAsia="仿宋_GB2312"/>
              </w:rPr>
              <w:t>（1）投标人拟安排的项目负责人：具有海洋或生态环境相关专业正高级（正高级工程师或研究员）职称得5分，具有海洋类或生态环境类副高级（高级工程师或副研究员）职称得3分，其他职称不得分；具有主持珊瑚礁领域的国家级项目得5分，具有主持珊瑚礁领域的省级项目得2分，未主持项目不得分，此项最多得10分。 证明材料：1.投标人须在投标文件中附有主管部门颁发的职称证书等相关有效的证明材料（如职称证明中未注明专业方向，结合学位或学历证书证明）及在本单位任职的证明材料（提供投标人为其缴纳的近3个月连续社保证明材料复印件）复印件，并加盖公章。2.投标人须在投标文件中附有主持国家级或省级项目任务书等证明材料复印件，并加盖公章。</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项目服务人员配备</w:t>
            </w:r>
          </w:p>
        </w:tc>
        <w:tc>
          <w:tcPr>
            <w:tcW w:type="dxa" w:w="2492"/>
          </w:tcPr>
          <w:p>
            <w:pPr>
              <w:pStyle w:val="null3"/>
              <w:jc w:val="both"/>
            </w:pPr>
            <w:r>
              <w:rPr>
                <w:rFonts w:ascii="仿宋_GB2312" w:hAnsi="仿宋_GB2312" w:cs="仿宋_GB2312" w:eastAsia="仿宋_GB2312"/>
              </w:rPr>
              <w:t>（2）拟安排的技术负责人情况：具有海洋类或生态环境类正高级（正高级工程师或研究员）职称得5分，具有海洋类或生态环境类副高级（高级工程师或副研究员）职称得3分，其他职称不得分，此项最多得5分。 证明材料：1.投标人须在投标文件中附有主管部门颁发的职称证书等相关有效的证明材料（如职称证明中未注明专业方向，结合学位或学历证书证明）及在本单位任职的证明材料（提供投标人为其缴纳的近3个月连续社保证明材料复印件）复印件，并加盖公章。</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项目服务人员配备</w:t>
            </w:r>
          </w:p>
        </w:tc>
        <w:tc>
          <w:tcPr>
            <w:tcW w:type="dxa" w:w="2492"/>
          </w:tcPr>
          <w:p>
            <w:pPr>
              <w:pStyle w:val="null3"/>
              <w:jc w:val="both"/>
            </w:pPr>
            <w:r>
              <w:rPr>
                <w:rFonts w:ascii="仿宋_GB2312" w:hAnsi="仿宋_GB2312" w:cs="仿宋_GB2312" w:eastAsia="仿宋_GB2312"/>
              </w:rPr>
              <w:t>（3）拟安排的项目技术支持团队成员情况（项目技术负责人除外）：具有海洋类或生态环境类副高级（副高级工程师或副研究员）以上职称的，每提供1个得1分；具有海洋类或生态环境类中级（工程师或助理研究员）职称的，每提供1个得0.5分，此项最多得10分。（注：同一人不重复计算。 证明材料：1.投标人须在投标文件中附有主管部门颁发的职称证书等相关有效的证明材料（如职称证明中未注明专业方向，结合学位或学历证书证明）及在本单位任职的证明材料（提供投标人为其缴纳的近3个月连续社保证明材料复印件）复印件，并加盖公章。</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项目服务人员配备</w:t>
            </w:r>
          </w:p>
        </w:tc>
        <w:tc>
          <w:tcPr>
            <w:tcW w:type="dxa" w:w="2492"/>
          </w:tcPr>
          <w:p>
            <w:pPr>
              <w:pStyle w:val="null3"/>
              <w:jc w:val="both"/>
            </w:pPr>
            <w:r>
              <w:rPr>
                <w:rFonts w:ascii="仿宋_GB2312" w:hAnsi="仿宋_GB2312" w:cs="仿宋_GB2312" w:eastAsia="仿宋_GB2312"/>
              </w:rPr>
              <w:t>（4）项目技术支持团队成员具备国内外潜水行业或专业组织会颁发的潜水员证人员每人得1分，此项最多得3分。 证明材料： 1、在本单位任职的证明材料（提供投标人为其缴纳的近3个月连续社保证明材料复印件）复印件，并加盖公章。 2、投标人须在投标文件中附有相关能力证书（潜水员证）等证明材料复印件，并加盖公章。</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履约能力评价</w:t>
            </w:r>
          </w:p>
        </w:tc>
        <w:tc>
          <w:tcPr>
            <w:tcW w:type="dxa" w:w="2492"/>
          </w:tcPr>
          <w:p>
            <w:pPr>
              <w:pStyle w:val="null3"/>
              <w:jc w:val="both"/>
            </w:pPr>
            <w:r>
              <w:rPr>
                <w:rFonts w:ascii="仿宋_GB2312" w:hAnsi="仿宋_GB2312" w:cs="仿宋_GB2312" w:eastAsia="仿宋_GB2312"/>
              </w:rPr>
              <w:t>自2021年1月1日起至今，投标人具有珊瑚礁现状调查或监测预警项目经验（不限行政区域和行业），每一个得2分，此项最多得12分。 证明材料: 投标人须在投标文件中附合同协议书或项目任务书复印件，时间按合同签订的时间为准，并加盖公章。</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 残疾人福利性单位声明函 监狱企业的证明文件</w:t>
            </w:r>
          </w:p>
        </w:tc>
      </w:tr>
    </w:tbl>
    <w:p>
      <w:pPr>
        <w:pStyle w:val="null3"/>
        <w:jc w:val="both"/>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技术部分50.00分</w:t>
            </w:r>
          </w:p>
          <w:p>
            <w:pPr>
              <w:pStyle w:val="null3"/>
              <w:jc w:val="both"/>
            </w:pPr>
            <w:r>
              <w:rPr>
                <w:rFonts w:ascii="仿宋_GB2312" w:hAnsi="仿宋_GB2312" w:cs="仿宋_GB2312" w:eastAsia="仿宋_GB2312"/>
              </w:rPr>
              <w:t>商务部分40.00分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项目理解</w:t>
            </w:r>
          </w:p>
        </w:tc>
        <w:tc>
          <w:tcPr>
            <w:tcW w:type="dxa" w:w="2492"/>
          </w:tcPr>
          <w:p>
            <w:pPr>
              <w:pStyle w:val="null3"/>
              <w:jc w:val="both"/>
            </w:pPr>
            <w:r>
              <w:rPr>
                <w:rFonts w:ascii="仿宋_GB2312" w:hAnsi="仿宋_GB2312" w:cs="仿宋_GB2312" w:eastAsia="仿宋_GB2312"/>
              </w:rPr>
              <w:t>根据投标人针对本项目理解和熟悉程度进行综合评分，内容包括但不限于：①工作目标和要求等；②重难点分析及应对措施等。投标人提交项目理解的得10分，如每缺少一项内容扣5分，最低得0分；项目理解存在一处缺陷（缺陷是指方案内容不符合采购项目的具体特点、与采购项目实际需要不相适应、与合同履行无关、凭空编造、方案中内容前后不一致、前后逻辑错误等情形）扣1分，最低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项目实施方案</w:t>
            </w:r>
          </w:p>
        </w:tc>
        <w:tc>
          <w:tcPr>
            <w:tcW w:type="dxa" w:w="2492"/>
          </w:tcPr>
          <w:p>
            <w:pPr>
              <w:pStyle w:val="null3"/>
              <w:jc w:val="both"/>
            </w:pPr>
            <w:r>
              <w:rPr>
                <w:rFonts w:ascii="仿宋_GB2312" w:hAnsi="仿宋_GB2312" w:cs="仿宋_GB2312" w:eastAsia="仿宋_GB2312"/>
              </w:rPr>
              <w:t>根据投标人提交的项目实施方案进行综合评分，内容包括但不限于：①政策依据和标准规范；②工作内容（包括但不限于监测要素、监测站位、监测时间等）；③技术路线；④预计成果报告。投标人提交项目实施方案的得20分，如每缺少一项内容扣5分，最低得0分；项目实施方案内容存在一处缺陷（缺陷是指方案内容不符合采购项目的具体特点、与采购项目实际需要不相适应、与合同履行无关、凭空编造、方案中内容前后不一致、前后逻辑错误等情形）扣1分，最低得0分。</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工作计划安排与保证措施</w:t>
            </w:r>
          </w:p>
        </w:tc>
        <w:tc>
          <w:tcPr>
            <w:tcW w:type="dxa" w:w="2492"/>
          </w:tcPr>
          <w:p>
            <w:pPr>
              <w:pStyle w:val="null3"/>
              <w:jc w:val="both"/>
            </w:pPr>
            <w:r>
              <w:rPr>
                <w:rFonts w:ascii="仿宋_GB2312" w:hAnsi="仿宋_GB2312" w:cs="仿宋_GB2312" w:eastAsia="仿宋_GB2312"/>
              </w:rPr>
              <w:t>根据投标人提交的工作计划安排与保证措施进行综合评分，内容包括但不限于：①工作进度安排与保证措施；②人员架构及主要职责与分工等。投标人提交工作计划安排与保证措施的得10分，如每缺少一项内容扣5分，最低得0分；工作计划安排与保证措施内容存在一处缺陷（缺陷是指方案内容不符合采购项目的具体特点、与采购项目实际需要不相适应、与合同履行无关、凭空编造、方案中内容前后不一致、前后逻辑错误等情形）扣1分，最低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质量控制方案</w:t>
            </w:r>
          </w:p>
        </w:tc>
        <w:tc>
          <w:tcPr>
            <w:tcW w:type="dxa" w:w="2492"/>
          </w:tcPr>
          <w:p>
            <w:pPr>
              <w:pStyle w:val="null3"/>
              <w:jc w:val="both"/>
            </w:pPr>
            <w:r>
              <w:rPr>
                <w:rFonts w:ascii="仿宋_GB2312" w:hAnsi="仿宋_GB2312" w:cs="仿宋_GB2312" w:eastAsia="仿宋_GB2312"/>
              </w:rPr>
              <w:t>根据投标人提交的质量管理方案进行综合评分，内容包括但不限于：①质量管理控制体系；②质量管理标准依据；③质量管理流程等；④监测人员质量控制；⑤质量控制措施（内业、外业环节质量计划等）。投标人提交质量管理方案的得10分，如每缺少一项内容扣2分，最低得0分；质量管理方案内容存在一处缺陷（缺陷是指方案内容不符合采购项目的具体特点、与采购项目实际需要不相适应、与合同履行无关、凭空编造、方案中内容前后不一致、前后逻辑错误等情形）扣0.5分，最低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项目服务人员配备</w:t>
            </w:r>
          </w:p>
        </w:tc>
        <w:tc>
          <w:tcPr>
            <w:tcW w:type="dxa" w:w="2492"/>
          </w:tcPr>
          <w:p>
            <w:pPr>
              <w:pStyle w:val="null3"/>
              <w:jc w:val="both"/>
            </w:pPr>
            <w:r>
              <w:rPr>
                <w:rFonts w:ascii="仿宋_GB2312" w:hAnsi="仿宋_GB2312" w:cs="仿宋_GB2312" w:eastAsia="仿宋_GB2312"/>
              </w:rPr>
              <w:t>（1）投标人拟安排的项目负责人：具有海洋或生态环境相关专业正高级（正高级工程师或研究员）职称得5分，具有海洋类或生态环境类副高级（高级工程师或副研究员）职称得3分，其他职称不得分；具有主持红树林领域的国家级项目得5分，具有主持红树林领域的省级项目得2分，未主持项目不得分，此项最多得10分。 证明材料：1.投标人须在投标文件中附有主管部门颁发的职称证书等相关有效的证明材料（如职称证明中未注明专业方向，结合学位或学历证书证明）及在本单位任职的证明材料（提供投标人为其缴纳的近3个月连续社保证明材料复印件）复印件，并加盖公章。2.投标人须在投标文件中附有主持国家级或省级项目任务书等证明材料复印件，并加盖公章。</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项目服务人员配备</w:t>
            </w:r>
          </w:p>
        </w:tc>
        <w:tc>
          <w:tcPr>
            <w:tcW w:type="dxa" w:w="2492"/>
          </w:tcPr>
          <w:p>
            <w:pPr>
              <w:pStyle w:val="null3"/>
              <w:jc w:val="both"/>
            </w:pPr>
            <w:r>
              <w:rPr>
                <w:rFonts w:ascii="仿宋_GB2312" w:hAnsi="仿宋_GB2312" w:cs="仿宋_GB2312" w:eastAsia="仿宋_GB2312"/>
              </w:rPr>
              <w:t>（2）拟安排的技术负责人情况：具有海洋类或生态环境类正高级（正高级工程师或研究员）职称得5分，具有海洋类或生态环境类副高级（高级工程师或副研究员）职称得3分，其他职称不得分，此项最多得5分。 1.投标人须在投标文件中附有主管部门颁发的职称证书等相关有效的证明材料（如职称证明中未注明专业方向，结合学位或学历证书证明）及在本单位任职的证明材料（提供投标人为其缴纳的近3个月连续社保证明材料复印件）复印件，并加盖公章。</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项目服务人员配备</w:t>
            </w:r>
          </w:p>
        </w:tc>
        <w:tc>
          <w:tcPr>
            <w:tcW w:type="dxa" w:w="2492"/>
          </w:tcPr>
          <w:p>
            <w:pPr>
              <w:pStyle w:val="null3"/>
              <w:jc w:val="both"/>
            </w:pPr>
            <w:r>
              <w:rPr>
                <w:rFonts w:ascii="仿宋_GB2312" w:hAnsi="仿宋_GB2312" w:cs="仿宋_GB2312" w:eastAsia="仿宋_GB2312"/>
              </w:rPr>
              <w:t>（3）拟安排的项目技术支持团队成员情况（项目技术负责人除外）：具有海洋类或生态环境类副高级（副高级工程师或副研究员）以上职称的，每提供1个得1分；具有海洋类或生态环境类中级（工程师或助理研究员）职称的，每提供1个得0.5分，此项最多得10分。（注：同一人不重复计算。） 1.投标人须在投标文件中附有主管部门颁发的职称证书等相关有效的证明材料（如职称证明中未注明专业方向，结合学位或学历证书证明）及在本单位任职的证明材料（提供投标人为其缴纳的近3个月连续社保证明材料复印件）复印件，并加盖公章。</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履约能力评价</w:t>
            </w:r>
          </w:p>
        </w:tc>
        <w:tc>
          <w:tcPr>
            <w:tcW w:type="dxa" w:w="2492"/>
          </w:tcPr>
          <w:p>
            <w:pPr>
              <w:pStyle w:val="null3"/>
              <w:jc w:val="both"/>
            </w:pPr>
            <w:r>
              <w:rPr>
                <w:rFonts w:ascii="仿宋_GB2312" w:hAnsi="仿宋_GB2312" w:cs="仿宋_GB2312" w:eastAsia="仿宋_GB2312"/>
              </w:rPr>
              <w:t>自2021年1月1日起至今，投标人具有红树林现状调查或监测预警项目经验（不限行政区域和行业），每一个得3分，本项满分15分。 证明材料: 投标人须在投标文件中附合同协议书或项目任务书复印件，时间按合同签订的时间为准，并加盖公章。</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 残疾人福利性单位声明函 监狱企业的证明文件</w:t>
            </w:r>
          </w:p>
        </w:tc>
      </w:tr>
    </w:tbl>
    <w:p>
      <w:pPr>
        <w:pStyle w:val="null3"/>
        <w:jc w:val="both"/>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技术部分50.00分</w:t>
            </w:r>
          </w:p>
          <w:p>
            <w:pPr>
              <w:pStyle w:val="null3"/>
              <w:jc w:val="both"/>
            </w:pPr>
            <w:r>
              <w:rPr>
                <w:rFonts w:ascii="仿宋_GB2312" w:hAnsi="仿宋_GB2312" w:cs="仿宋_GB2312" w:eastAsia="仿宋_GB2312"/>
              </w:rPr>
              <w:t>商务部分40.00分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项目理解</w:t>
            </w:r>
          </w:p>
        </w:tc>
        <w:tc>
          <w:tcPr>
            <w:tcW w:type="dxa" w:w="2492"/>
          </w:tcPr>
          <w:p>
            <w:pPr>
              <w:pStyle w:val="null3"/>
              <w:jc w:val="both"/>
            </w:pPr>
            <w:r>
              <w:rPr>
                <w:rFonts w:ascii="仿宋_GB2312" w:hAnsi="仿宋_GB2312" w:cs="仿宋_GB2312" w:eastAsia="仿宋_GB2312"/>
              </w:rPr>
              <w:t>根据投标人针对本项目理解和熟悉程度进行综合评分，内容包括但不限于：①工作目标和要求等；②重难点分析及应对措施等。投标人提交项目理解的得10分，如每缺少一项内容扣5分，最低得0分；项目理解存在一处缺陷（缺陷是指方案内容不符合采购项目的具体特点、与采购项目实际需要不相适应、与合同履行无关、凭空编造、方案中内容前后不一致、前后逻辑错误等情形）扣1分，最低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项目实施方案</w:t>
            </w:r>
          </w:p>
        </w:tc>
        <w:tc>
          <w:tcPr>
            <w:tcW w:type="dxa" w:w="2492"/>
          </w:tcPr>
          <w:p>
            <w:pPr>
              <w:pStyle w:val="null3"/>
              <w:jc w:val="both"/>
            </w:pPr>
            <w:r>
              <w:rPr>
                <w:rFonts w:ascii="仿宋_GB2312" w:hAnsi="仿宋_GB2312" w:cs="仿宋_GB2312" w:eastAsia="仿宋_GB2312"/>
              </w:rPr>
              <w:t>根据投标人提交的项目实施方案进行综合评分，内容包括但不限于：①政策依据和标准规范；②工作内容（包括但不限于监测要素、监测站位、监测时间等）；③技术路线；④预计成果报告。投标人提交项目实施方案的得20分，如每缺少一项内容扣5分，最低得0分；项目实施方案内容存在一处缺陷（缺陷是指方案内容不符合采购项目的具体特点、与采购项目实际需要不相适应、与合同履行无关、凭空编造、方案中内容前后不一致、前后逻辑错误等情形）扣1分，最低得0分。</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工作计划安排与保证措施</w:t>
            </w:r>
          </w:p>
        </w:tc>
        <w:tc>
          <w:tcPr>
            <w:tcW w:type="dxa" w:w="2492"/>
          </w:tcPr>
          <w:p>
            <w:pPr>
              <w:pStyle w:val="null3"/>
              <w:jc w:val="both"/>
            </w:pPr>
            <w:r>
              <w:rPr>
                <w:rFonts w:ascii="仿宋_GB2312" w:hAnsi="仿宋_GB2312" w:cs="仿宋_GB2312" w:eastAsia="仿宋_GB2312"/>
              </w:rPr>
              <w:t>根据投标人提交的工作计划安排与保证措施进行综合评分，内容包括但不限于：①工作进度安排与保证措施；②人员架构及主要职责与分工等。投标人提交工作计划安排与保证措施的得10分，如每缺少一项内容扣5分，最低得0分；工作计划安排与保证措施内容存在一处缺陷（缺陷是指方案内容不符合采购项目的具体特点、与采购项目实际需要不相适应、与合同履行无关、凭空编造、方案中内容前后不一致、前后逻辑错误等情形）扣1分，最低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质量控制方案</w:t>
            </w:r>
          </w:p>
        </w:tc>
        <w:tc>
          <w:tcPr>
            <w:tcW w:type="dxa" w:w="2492"/>
          </w:tcPr>
          <w:p>
            <w:pPr>
              <w:pStyle w:val="null3"/>
              <w:jc w:val="both"/>
            </w:pPr>
            <w:r>
              <w:rPr>
                <w:rFonts w:ascii="仿宋_GB2312" w:hAnsi="仿宋_GB2312" w:cs="仿宋_GB2312" w:eastAsia="仿宋_GB2312"/>
              </w:rPr>
              <w:t>根据投标人提交的质量管理方案进行综合评分，内容包括但不限于：①质量管理控制体系；②质量管理标准依据；③质量管理流程等；④监测人员质量控制；⑤质量控制措施（内业、外业环节质量计划等）。投标人提交质量管理方案的得10分，如每缺少一项内容扣2分，最低得0分；质量管理方案内容存在一处缺陷（缺陷是指方案内容不符合采购项目的具体特点、与采购项目实际需要不相适应、与合同履行无关、凭空编造、方案中内容前后不一致、前后逻辑错误等情形）扣0.5分，最低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项目服务人员配备</w:t>
            </w:r>
          </w:p>
        </w:tc>
        <w:tc>
          <w:tcPr>
            <w:tcW w:type="dxa" w:w="2492"/>
          </w:tcPr>
          <w:p>
            <w:pPr>
              <w:pStyle w:val="null3"/>
              <w:jc w:val="both"/>
            </w:pPr>
            <w:r>
              <w:rPr>
                <w:rFonts w:ascii="仿宋_GB2312" w:hAnsi="仿宋_GB2312" w:cs="仿宋_GB2312" w:eastAsia="仿宋_GB2312"/>
              </w:rPr>
              <w:t>（1）投标人拟安排的项目负责人：具有海洋或生态环境相关专业正高级（正高级工程师或研究员）职称得5分，具有海洋类或生态环境类副高级（高级工程师或副研究员）职称得3分，其他职称不得分；具有主持河口或海湾或砂质海岸领域的国家级项目得5分，具有主持河口或海湾或砂质海岸领域的省级项目得2分，未主持项目不得分，此项最多得10分。 证明材料：1.投标人须在投标文件中附有主管部门颁发的职称证书等相关有效的证明材料（如职称证明中未注明专业方向，结合学位或学历证书证明）及在本单位任职的证明材料（提供投标人为其缴纳的近3个月连续社保证明材料复印件）复印件，并加盖公章。2.投标人须在投标文件中附有主持国家级或省级项目任务书等证明材料复印件，并加盖公章。</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项目服务人员配备</w:t>
            </w:r>
          </w:p>
        </w:tc>
        <w:tc>
          <w:tcPr>
            <w:tcW w:type="dxa" w:w="2492"/>
          </w:tcPr>
          <w:p>
            <w:pPr>
              <w:pStyle w:val="null3"/>
              <w:jc w:val="both"/>
            </w:pPr>
            <w:r>
              <w:rPr>
                <w:rFonts w:ascii="仿宋_GB2312" w:hAnsi="仿宋_GB2312" w:cs="仿宋_GB2312" w:eastAsia="仿宋_GB2312"/>
              </w:rPr>
              <w:t>（2）拟安排的技术负责人情况：具有海洋类或生态环境类正高级（正高级工程师或研究员）职称得5分，具有海洋类或生态环境类副高级（高级工程师或副研究员）职称得3分，其他职称不得分，此项最多得5分。 1.投标人须在投标文件中附有主管部门颁发的职称证书等相关有效的证明材料（如职称证明中未注明专业方向，结合学位或学历证书证明）及在本单位任职的证明材料（提供投标人为其缴纳的近3个月连续社保证明材料复印件）复印件，并加盖公章。</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项目服务人员配备</w:t>
            </w:r>
          </w:p>
        </w:tc>
        <w:tc>
          <w:tcPr>
            <w:tcW w:type="dxa" w:w="2492"/>
          </w:tcPr>
          <w:p>
            <w:pPr>
              <w:pStyle w:val="null3"/>
              <w:jc w:val="both"/>
            </w:pPr>
            <w:r>
              <w:rPr>
                <w:rFonts w:ascii="仿宋_GB2312" w:hAnsi="仿宋_GB2312" w:cs="仿宋_GB2312" w:eastAsia="仿宋_GB2312"/>
              </w:rPr>
              <w:t>（3）拟安排的项目技术支持团队成员情况（项目技术负责人除外）：具有海洋类或生态环境类副高级（副高级工程师或副研究员）以上职称的，每提供1个得1分；具有海洋类或生态环境类中级（工程师或助理研究员）职称的，每提供1个得0.5分，此项最多得10分。（注：同一人不重复计算。） 1.投标人须在投标文件中附有主管部门颁发的职称证书等相关有效的证明材料（如职称证明中未注明专业方向，结合学位或学历证书证明）及在本单位任职的证明材料（提供投标人为其缴纳的近3个月连续社保证明材料复印件）复印件，并加盖公章。</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履约能力评价</w:t>
            </w:r>
          </w:p>
        </w:tc>
        <w:tc>
          <w:tcPr>
            <w:tcW w:type="dxa" w:w="2492"/>
          </w:tcPr>
          <w:p>
            <w:pPr>
              <w:pStyle w:val="null3"/>
              <w:jc w:val="both"/>
            </w:pPr>
            <w:r>
              <w:rPr>
                <w:rFonts w:ascii="仿宋_GB2312" w:hAnsi="仿宋_GB2312" w:cs="仿宋_GB2312" w:eastAsia="仿宋_GB2312"/>
              </w:rPr>
              <w:t>自2021年1月1日起至今，投标人具有河口或海湾或砂质海岸现状调查或监测预警项目经验（不限行政区域和行业），每一个得3分，本项满分15分。 证明材料: 投标人须在投标文件中附合同协议书或项目任务书复印件，时间按合同签订的时间为准，并加盖公章。</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 残疾人福利性单位声明函 监狱企业的证明文件</w:t>
            </w:r>
          </w:p>
        </w:tc>
      </w:tr>
    </w:tbl>
    <w:p>
      <w:pPr>
        <w:pStyle w:val="null3"/>
        <w:jc w:val="both"/>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技术部分45.00分</w:t>
            </w:r>
          </w:p>
          <w:p>
            <w:pPr>
              <w:pStyle w:val="null3"/>
              <w:jc w:val="both"/>
            </w:pPr>
            <w:r>
              <w:rPr>
                <w:rFonts w:ascii="仿宋_GB2312" w:hAnsi="仿宋_GB2312" w:cs="仿宋_GB2312" w:eastAsia="仿宋_GB2312"/>
              </w:rPr>
              <w:t>商务部分45.00分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项目理解</w:t>
            </w:r>
          </w:p>
        </w:tc>
        <w:tc>
          <w:tcPr>
            <w:tcW w:type="dxa" w:w="2492"/>
          </w:tcPr>
          <w:p>
            <w:pPr>
              <w:pStyle w:val="null3"/>
              <w:jc w:val="both"/>
            </w:pPr>
            <w:r>
              <w:rPr>
                <w:rFonts w:ascii="仿宋_GB2312" w:hAnsi="仿宋_GB2312" w:cs="仿宋_GB2312" w:eastAsia="仿宋_GB2312"/>
              </w:rPr>
              <w:t>根据投标人针对本项目理解和熟悉程度进行综合评分，内容包括但不限于：①工作目标；②工作要求等。投标人提交项目理解的得5分，如每缺少一项内容扣2.5分，最低得0分；项目理解存在一处缺陷（缺陷是指方案内容不符合采购项目的具体特点、与采购项目实际需要不相适应、与合同履行无关、凭空编造、方案中内容前后不一致、前后逻辑错误等情形）扣1分，最低得0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项目工作思路及技术路线</w:t>
            </w:r>
          </w:p>
        </w:tc>
        <w:tc>
          <w:tcPr>
            <w:tcW w:type="dxa" w:w="2492"/>
          </w:tcPr>
          <w:p>
            <w:pPr>
              <w:pStyle w:val="null3"/>
              <w:jc w:val="both"/>
            </w:pPr>
            <w:r>
              <w:rPr>
                <w:rFonts w:ascii="仿宋_GB2312" w:hAnsi="仿宋_GB2312" w:cs="仿宋_GB2312" w:eastAsia="仿宋_GB2312"/>
              </w:rPr>
              <w:t>根据投标人提交的项目工作思路及技术路线进行综合评分，内容包括但不限于：①工作思路、方法；②技术路线。投标人提交项目工作思路及技术路线得10分，如每缺少一项内容扣5分，最低得0分；项目工作思路及技术路线内容存在一处缺陷（缺陷是指方案内容不符合采购项目的具体特点、与采购项目实际需要不相适应、与合同履行无关、凭空编造、方案中内容前后不一致、前后逻辑错误等情形）扣1分，最低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重点难点分析</w:t>
            </w:r>
          </w:p>
        </w:tc>
        <w:tc>
          <w:tcPr>
            <w:tcW w:type="dxa" w:w="2492"/>
          </w:tcPr>
          <w:p>
            <w:pPr>
              <w:pStyle w:val="null3"/>
              <w:jc w:val="both"/>
            </w:pPr>
            <w:r>
              <w:rPr>
                <w:rFonts w:ascii="仿宋_GB2312" w:hAnsi="仿宋_GB2312" w:cs="仿宋_GB2312" w:eastAsia="仿宋_GB2312"/>
              </w:rPr>
              <w:t>根据投标人提交的项目重点难点分析进行综合评分，内容包括但不限于：①重点难点和关键点分析；②解决应对措施。投标人提交项目重点难点分析得10分，如每缺少一项内容扣5分，最低得0分；项目重点难点分析内容存在一处缺陷（缺陷是指方案内容不符合采购项目的具体特点、与采购项目实际需要不相适应、与合同履行无关、凭空编造、方案中内容前后不一致、前后逻辑错误等情形）扣1分，最低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工作计划安排与保证措施</w:t>
            </w:r>
          </w:p>
        </w:tc>
        <w:tc>
          <w:tcPr>
            <w:tcW w:type="dxa" w:w="2492"/>
          </w:tcPr>
          <w:p>
            <w:pPr>
              <w:pStyle w:val="null3"/>
              <w:jc w:val="both"/>
            </w:pPr>
            <w:r>
              <w:rPr>
                <w:rFonts w:ascii="仿宋_GB2312" w:hAnsi="仿宋_GB2312" w:cs="仿宋_GB2312" w:eastAsia="仿宋_GB2312"/>
              </w:rPr>
              <w:t>根据投标人提交的工作计划安排与保证措施进行综合评分，内容包括但不限于：①工作进度安排与保证措施；②人员架构及主要职责与分工等。投标人提交工作计划安排与保证措施的得10分，如每缺少一项内容扣5分，最低得0分；工作计划安排与保证措施内容存在一处缺陷（缺陷是指方案内容不符合采购项目的具体特点、与采购项目实际需要不相适应、与合同履行无关、凭空编造、方案中内容前后不一致、前后逻辑错误等情形）扣1分，最低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质量控制方案</w:t>
            </w:r>
          </w:p>
        </w:tc>
        <w:tc>
          <w:tcPr>
            <w:tcW w:type="dxa" w:w="2492"/>
          </w:tcPr>
          <w:p>
            <w:pPr>
              <w:pStyle w:val="null3"/>
              <w:jc w:val="both"/>
            </w:pPr>
            <w:r>
              <w:rPr>
                <w:rFonts w:ascii="仿宋_GB2312" w:hAnsi="仿宋_GB2312" w:cs="仿宋_GB2312" w:eastAsia="仿宋_GB2312"/>
              </w:rPr>
              <w:t>根据投标人提交的质量管理方案进行综合评分，内容包括但不限于：①质量保障措施；②服务响应计划。投标人提交质量管理方案的得10分，如每缺少一项内容扣5分，最低得0分；质量管理方案内容存在一处缺陷（缺陷是指方案内容不符合采购项目的具体特点、与采购项目实际需要不相适应、与合同履行无关、凭空编造、方案中内容前后不一致、前后逻辑错误等情形）扣2分，最低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项目服务人员配备</w:t>
            </w:r>
          </w:p>
        </w:tc>
        <w:tc>
          <w:tcPr>
            <w:tcW w:type="dxa" w:w="2492"/>
          </w:tcPr>
          <w:p>
            <w:pPr>
              <w:pStyle w:val="null3"/>
              <w:jc w:val="both"/>
            </w:pPr>
            <w:r>
              <w:rPr>
                <w:rFonts w:ascii="仿宋_GB2312" w:hAnsi="仿宋_GB2312" w:cs="仿宋_GB2312" w:eastAsia="仿宋_GB2312"/>
              </w:rPr>
              <w:t>（1）投标人拟安排的项目负责人：具有海洋或生态环境相关专业正高级（正高级工程师或研究员）职称得7分，具有海洋类或生态环境类副高级（高级工程师或副研究员）职称得5分，其他职称不得分，此项最多得7分。 证明材料：1.投标人须在投标文件中附有主管部门颁发的职称证书等相关有效的证明材料（如职称证明中未注明专业方向，结合学位或学历证书证明）及在本单位任职的证明材料（提供投标人为其缴纳的近3个月连续社保证明材料复印件）复印件，并加盖公章。</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项目服务人员配备</w:t>
            </w:r>
          </w:p>
        </w:tc>
        <w:tc>
          <w:tcPr>
            <w:tcW w:type="dxa" w:w="2492"/>
          </w:tcPr>
          <w:p>
            <w:pPr>
              <w:pStyle w:val="null3"/>
              <w:jc w:val="both"/>
            </w:pPr>
            <w:r>
              <w:rPr>
                <w:rFonts w:ascii="仿宋_GB2312" w:hAnsi="仿宋_GB2312" w:cs="仿宋_GB2312" w:eastAsia="仿宋_GB2312"/>
              </w:rPr>
              <w:t>（2）拟安排的技术负责人情况：具有海洋类或生态环境类正高级（正高级工程师或研究员）职称得7分，具有海洋类或生态环境类副高级（高级工程师或副研究员）职称得5分，其他职称不得分，此项最多得7分。 1.投标人须在投标文件中附有主管部门颁发的职称证书等相关有效的证明材料（如职称证明中未注明专业方向，结合学位或学历证书证明）及在本单位任职的证明材料（提供投标人为其缴纳的近3个月连续社保证明材料复印件）复印件，并加盖公章。</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项目服务人员配备</w:t>
            </w:r>
          </w:p>
        </w:tc>
        <w:tc>
          <w:tcPr>
            <w:tcW w:type="dxa" w:w="2492"/>
          </w:tcPr>
          <w:p>
            <w:pPr>
              <w:pStyle w:val="null3"/>
              <w:jc w:val="both"/>
            </w:pPr>
            <w:r>
              <w:rPr>
                <w:rFonts w:ascii="仿宋_GB2312" w:hAnsi="仿宋_GB2312" w:cs="仿宋_GB2312" w:eastAsia="仿宋_GB2312"/>
              </w:rPr>
              <w:t>（3）拟安排的项目技术支持团队成员情况（项目技术负责人除外）：具有海洋类或生态环境类副高级（副高级工程师或副研究员）以上职称的，每提供1个得1分；具有海洋类或生态环境类中级（工程师或助理研究员）职称的，每提供1个得0.5分，此项最多得10分。（注：同一人不重复计算。） 1.投标人须在投标文件中附有主管部门颁发的职称证书等相关有效的证明材料（如职称证明中未注明专业方向，结合学位或学历证书证明）及在本单位任职的证明材料（提供投标人为其缴纳的近3个月连续社保证明材料复印件）复印件，并加盖公章。</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项目服务人员配备</w:t>
            </w:r>
          </w:p>
        </w:tc>
        <w:tc>
          <w:tcPr>
            <w:tcW w:type="dxa" w:w="2492"/>
          </w:tcPr>
          <w:p>
            <w:pPr>
              <w:pStyle w:val="null3"/>
              <w:jc w:val="both"/>
            </w:pPr>
            <w:r>
              <w:rPr>
                <w:rFonts w:ascii="仿宋_GB2312" w:hAnsi="仿宋_GB2312" w:cs="仿宋_GB2312" w:eastAsia="仿宋_GB2312"/>
              </w:rPr>
              <w:t>（4）项目技术支持团队成员主持编制过海洋行业标准的得3分，此项最多得3分。 1.投标人须在投标文件中附有在本单位任职的证明材料（提供投标人为其缴纳的近3个月连续社保证明材料复印件）复印件，并加盖公章。 2.投标人须在投标文件中附有编制海洋行业标准等相关证明材料复印件，并加盖公章。</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履约能力评价</w:t>
            </w:r>
          </w:p>
        </w:tc>
        <w:tc>
          <w:tcPr>
            <w:tcW w:type="dxa" w:w="2492"/>
          </w:tcPr>
          <w:p>
            <w:pPr>
              <w:pStyle w:val="null3"/>
              <w:jc w:val="both"/>
            </w:pPr>
            <w:r>
              <w:rPr>
                <w:rFonts w:ascii="仿宋_GB2312" w:hAnsi="仿宋_GB2312" w:cs="仿宋_GB2312" w:eastAsia="仿宋_GB2312"/>
              </w:rPr>
              <w:t>自2021年1月1日起至今，投标人提供海洋生态预警监测公报、海洋生态预警监测报告等项目业绩的（不限行政区域和行业），每一个得3分，此项最多得18分。 证明材料：1.投标人须在投标文件中附成果封面和编制人员签章页或合同关键页面或项目任务书关键页面并加盖投标人单位公章，时间按合同签订的时间为准。</w:t>
            </w:r>
          </w:p>
        </w:tc>
        <w:tc>
          <w:tcPr>
            <w:tcW w:type="dxa" w:w="831"/>
          </w:tcPr>
          <w:p>
            <w:pPr>
              <w:pStyle w:val="null3"/>
              <w:jc w:val="right"/>
            </w:pPr>
            <w:r>
              <w:rPr>
                <w:rFonts w:ascii="仿宋_GB2312" w:hAnsi="仿宋_GB2312" w:cs="仿宋_GB2312" w:eastAsia="仿宋_GB2312"/>
              </w:rPr>
              <w:t>18.00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详见附件：合同模板-法核后定稿.docx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HNZC2025-052-001（二）</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海南省海洋生态现状调查和预警监测(二次招标)</w:t>
      </w:r>
    </w:p>
    <w:p>
      <w:pPr>
        <w:pStyle w:val="null3"/>
        <w:jc w:val="left"/>
      </w:pPr>
      <w:r>
        <w:rPr>
          <w:rFonts w:ascii="仿宋_GB2312" w:hAnsi="仿宋_GB2312" w:cs="仿宋_GB2312" w:eastAsia="仿宋_GB2312"/>
        </w:rPr>
        <w:t>采购包：</w:t>
      </w:r>
      <w:r>
        <w:rPr>
          <w:rFonts w:ascii="仿宋_GB2312" w:hAnsi="仿宋_GB2312" w:cs="仿宋_GB2312" w:eastAsia="仿宋_GB2312"/>
        </w:rPr>
        <w:t>A包珊瑚礁生态系统预警监测</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服务地点</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A包珊瑚礁生态系统预警监测</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500000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HNZC2025-052-001（二）</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海南省海洋生态现状调查和预警监测(二次招标)</w:t>
      </w:r>
    </w:p>
    <w:p>
      <w:pPr>
        <w:pStyle w:val="null3"/>
        <w:jc w:val="left"/>
      </w:pPr>
      <w:r>
        <w:rPr>
          <w:rFonts w:ascii="仿宋_GB2312" w:hAnsi="仿宋_GB2312" w:cs="仿宋_GB2312" w:eastAsia="仿宋_GB2312"/>
        </w:rPr>
        <w:t>采购包：</w:t>
      </w:r>
      <w:r>
        <w:rPr>
          <w:rFonts w:ascii="仿宋_GB2312" w:hAnsi="仿宋_GB2312" w:cs="仿宋_GB2312" w:eastAsia="仿宋_GB2312"/>
        </w:rPr>
        <w:t>C包红树林生态系统预警监测</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服务地点</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C包红树林生态系统预警监测</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400000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HNZC2025-052-001（二）</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海南省海洋生态现状调查和预警监测(二次招标)</w:t>
      </w:r>
    </w:p>
    <w:p>
      <w:pPr>
        <w:pStyle w:val="null3"/>
        <w:jc w:val="left"/>
      </w:pPr>
      <w:r>
        <w:rPr>
          <w:rFonts w:ascii="仿宋_GB2312" w:hAnsi="仿宋_GB2312" w:cs="仿宋_GB2312" w:eastAsia="仿宋_GB2312"/>
        </w:rPr>
        <w:t>采购包：</w:t>
      </w:r>
      <w:r>
        <w:rPr>
          <w:rFonts w:ascii="仿宋_GB2312" w:hAnsi="仿宋_GB2312" w:cs="仿宋_GB2312" w:eastAsia="仿宋_GB2312"/>
        </w:rPr>
        <w:t>D包河口、海湾、砂质海岸生态系统预警监测</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服务地点</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D包河口、海湾、砂质海岸生态系统预警监测</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1100050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HNZC2025-052-001（二）</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海南省海洋生态现状调查和预警监测(二次招标)</w:t>
      </w:r>
    </w:p>
    <w:p>
      <w:pPr>
        <w:pStyle w:val="null3"/>
        <w:jc w:val="left"/>
      </w:pPr>
      <w:r>
        <w:rPr>
          <w:rFonts w:ascii="仿宋_GB2312" w:hAnsi="仿宋_GB2312" w:cs="仿宋_GB2312" w:eastAsia="仿宋_GB2312"/>
        </w:rPr>
        <w:t>采购包：</w:t>
      </w:r>
      <w:r>
        <w:rPr>
          <w:rFonts w:ascii="仿宋_GB2312" w:hAnsi="仿宋_GB2312" w:cs="仿宋_GB2312" w:eastAsia="仿宋_GB2312"/>
        </w:rPr>
        <w:t>E包海南省海洋生态预警监测成果编制</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服务地点</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E包海南省海洋生态预警监测成果编制</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363450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详见附件：资质条件</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详见附件：资质条件</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详见附件：资质条件</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详见附件：投标函</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