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美丽海口试点城市建设规划编制项目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HNHGT2025-127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海口市生态环境局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海南恒高泰项目管理咨询有限公司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海口市生态环境局</w:t>
      </w:r>
      <w:r>
        <w:rPr>
          <w:rFonts w:ascii="仿宋_GB2312" w:hAnsi="仿宋_GB2312" w:cs="仿宋_GB2312" w:eastAsia="仿宋_GB2312"/>
        </w:rPr>
        <w:t xml:space="preserve"> 的委托， </w:t>
      </w:r>
      <w:r>
        <w:rPr>
          <w:rFonts w:ascii="仿宋_GB2312" w:hAnsi="仿宋_GB2312" w:cs="仿宋_GB2312" w:eastAsia="仿宋_GB2312"/>
        </w:rPr>
        <w:t>海南恒高泰项目管理咨询有限公司</w:t>
      </w:r>
      <w:r>
        <w:rPr>
          <w:rFonts w:ascii="仿宋_GB2312" w:hAnsi="仿宋_GB2312" w:cs="仿宋_GB2312" w:eastAsia="仿宋_GB2312"/>
        </w:rPr>
        <w:t xml:space="preserve"> 对 </w:t>
      </w:r>
      <w:r>
        <w:rPr>
          <w:rFonts w:ascii="仿宋_GB2312" w:hAnsi="仿宋_GB2312" w:cs="仿宋_GB2312" w:eastAsia="仿宋_GB2312"/>
        </w:rPr>
        <w:t>美丽海口试点城市建设规划编制项目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HNHGT2025-127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美丽海口试点城市建设规划编制项目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2,402,400.00元</w:t>
      </w:r>
      <w:r>
        <w:rPr>
          <w:rFonts w:ascii="仿宋_GB2312" w:hAnsi="仿宋_GB2312" w:cs="仿宋_GB2312" w:eastAsia="仿宋_GB2312"/>
        </w:rPr>
        <w:t>贰佰肆拾万零贰仟肆佰元整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自合同签订之日起270日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1、政府采购活动前三年内无环保类行政处罚记录：按要求提供政府采购活动前三年内无环保类行政处罚记录声明函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无须到达线下开标现场，按照竞争性磋商公告及竞争性磋商文件的规定远程、按时参加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海口市生态环境局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海口市秀英区长滨路市政府第二办公区15号南楼6楼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0898-36659115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海南恒高泰项目管理咨询有限公司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海南省海口市海甸岛怡心路7号建安花园1#1305室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0898-66150556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采购包1：2,402,400.00元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从响应文件提交截止时间之日起60日历天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关于印发《招标代理服务收费管理暂行办法》的通知(计价格〔2002〕1980号)下浮39%收取人民币壹万伍仟玖佰捌拾贰元整（¥15982.00元），由代理机构向中标（成交）供应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线下开标现场，按照竞争性磋商公告及竞争性磋商文件的规定远程、按时参加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供应商在中标(成交)后需要融资时可以申请政府采购合同信用融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联系电话：0898-66150556</w:t>
      </w:r>
    </w:p>
    <w:p>
      <w:pPr>
        <w:pStyle w:val="null3"/>
        <w:jc w:val="left"/>
      </w:pPr>
      <w:r>
        <w:rPr>
          <w:rFonts w:ascii="仿宋_GB2312" w:hAnsi="仿宋_GB2312" w:cs="仿宋_GB2312" w:eastAsia="仿宋_GB2312"/>
        </w:rPr>
        <w:t>地址：海南省海口市海甸岛怡心路7号建安花园1#1305室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党的二十大报告明确指出，到</w:t>
      </w:r>
      <w:r>
        <w:rPr>
          <w:rFonts w:ascii="仿宋_GB2312" w:hAnsi="仿宋_GB2312" w:cs="仿宋_GB2312" w:eastAsia="仿宋_GB2312"/>
          <w:sz w:val="24"/>
        </w:rPr>
        <w:t>2035年我国生态环境要实现根本好转，美丽中国目标基本实现。2024年1月，《中共中央 国务院关于全面推进美丽中国建设的意见》正式发布，对全面推进美丽中国建设工作进行了系统部署，明确了总体要求、重点任务和重大举措。2025年1月，国务院办公厅转发了生态环境部《关于建设美丽中国先行区的实施意见》，进一步明确了美丽中国先行区建设的总体要求和重点任务，并提出分级分类建设先行区，以积累经验、树立标杆。同月，生态环境部等11个部门联合印发了《美丽城市建设实施方案》，详细阐述了推进美丽城市建设的目标、主要任务及推进机制，为各地推进美丽城市建设提供了清晰的施工图。同时2025年也是国家“十五五”生态环境保护规划编制的启动年。</w:t>
      </w:r>
    </w:p>
    <w:p>
      <w:pPr>
        <w:pStyle w:val="null3"/>
        <w:ind w:firstLine="480"/>
        <w:jc w:val="both"/>
      </w:pPr>
      <w:r>
        <w:rPr>
          <w:rFonts w:ascii="仿宋_GB2312" w:hAnsi="仿宋_GB2312" w:cs="仿宋_GB2312" w:eastAsia="仿宋_GB2312"/>
          <w:sz w:val="24"/>
        </w:rPr>
        <w:t>在加快建设人与自然和谐共生美丽中国的大背景下，中共海南省委</w:t>
      </w:r>
      <w:r>
        <w:rPr>
          <w:rFonts w:ascii="仿宋_GB2312" w:hAnsi="仿宋_GB2312" w:cs="仿宋_GB2312" w:eastAsia="仿宋_GB2312"/>
          <w:sz w:val="24"/>
        </w:rPr>
        <w:t>海南省人民政府印发了《谱写新征程美丽海南新篇章争当美丽中国示范样板实施方案》的通知，要求贯彻习 近 平 生 态 文 明 思想以及习 近 平 总 书 记关于海南生态环境保护工作的系列重要讲话和指示批示精神，落实美丽中国重大战略部署，坚持生态立省不动摇，谱写新征程美丽海南新篇章，争当美丽中国示范样板，形成一批具有全球影响力的实践样板。海口市作为海南省省会，是全省政治、经济、科技和文化中心，也是海南自贸港核心引领区。海口市在推进美丽城市建设中肩负着重要使命，不仅要提升自身的生态环境质量，还要为全省乃至全国提供可借鉴的经验模式。通过美丽城市的建设，可以吸引更多的绿色投资和技术资源，增强城市综合竞争力。</w:t>
      </w:r>
    </w:p>
    <w:p>
      <w:pPr>
        <w:pStyle w:val="null3"/>
        <w:ind w:firstLine="480"/>
        <w:jc w:val="both"/>
      </w:pPr>
      <w:r>
        <w:rPr>
          <w:rFonts w:ascii="仿宋_GB2312" w:hAnsi="仿宋_GB2312" w:cs="仿宋_GB2312" w:eastAsia="仿宋_GB2312"/>
          <w:sz w:val="24"/>
        </w:rPr>
        <w:t xml:space="preserve">  为做好美丽海口建设和</w:t>
      </w:r>
      <w:r>
        <w:rPr>
          <w:rFonts w:ascii="仿宋_GB2312" w:hAnsi="仿宋_GB2312" w:cs="仿宋_GB2312" w:eastAsia="仿宋_GB2312"/>
          <w:sz w:val="24"/>
        </w:rPr>
        <w:t>“十五五”生态环境保护工作，明确美丽海口建设成效和“十五五”期间的具体目标和主要任务，</w:t>
      </w:r>
      <w:r>
        <w:rPr>
          <w:rFonts w:ascii="仿宋_GB2312" w:hAnsi="仿宋_GB2312" w:cs="仿宋_GB2312" w:eastAsia="仿宋_GB2312"/>
          <w:sz w:val="24"/>
        </w:rPr>
        <w:t>本项目拟采购一家合格的供应商</w:t>
      </w:r>
      <w:r>
        <w:rPr>
          <w:rFonts w:ascii="仿宋_GB2312" w:hAnsi="仿宋_GB2312" w:cs="仿宋_GB2312" w:eastAsia="仿宋_GB2312"/>
          <w:sz w:val="24"/>
        </w:rPr>
        <w:t>根据有关安排和要求，开展美丽海口建设行动方案、</w:t>
      </w:r>
      <w:r>
        <w:rPr>
          <w:rFonts w:ascii="仿宋_GB2312" w:hAnsi="仿宋_GB2312" w:cs="仿宋_GB2312" w:eastAsia="仿宋_GB2312"/>
          <w:sz w:val="24"/>
        </w:rPr>
        <w:t>“十五五”生态环境保护规划编制工作</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2,402,400.00</w:t>
      </w:r>
    </w:p>
    <w:p>
      <w:pPr>
        <w:pStyle w:val="null3"/>
        <w:jc w:val="left"/>
      </w:pPr>
      <w:r>
        <w:rPr>
          <w:rFonts w:ascii="仿宋_GB2312" w:hAnsi="仿宋_GB2312" w:cs="仿宋_GB2312" w:eastAsia="仿宋_GB2312"/>
        </w:rPr>
        <w:t>采购包最高限价（元）: 2,402,400.00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C07019900-其他生态环境保护服务</w:t>
            </w:r>
          </w:p>
        </w:tc>
        <w:tc>
          <w:tcPr>
            <w:tcW w:type="dxa" w:w="831"/>
          </w:tcPr>
          <w:p>
            <w:pPr>
              <w:pStyle w:val="null3"/>
              <w:jc w:val="right"/>
            </w:pPr>
            <w:r>
              <w:rPr>
                <w:rFonts w:ascii="仿宋_GB2312" w:hAnsi="仿宋_GB2312" w:cs="仿宋_GB2312" w:eastAsia="仿宋_GB2312"/>
              </w:rPr>
              <w:t>1.43</w:t>
            </w:r>
          </w:p>
        </w:tc>
        <w:tc>
          <w:tcPr>
            <w:tcW w:type="dxa" w:w="831"/>
          </w:tcPr>
          <w:p>
            <w:pPr>
              <w:pStyle w:val="null3"/>
              <w:jc w:val="right"/>
            </w:pPr>
            <w:r>
              <w:rPr>
                <w:rFonts w:ascii="仿宋_GB2312" w:hAnsi="仿宋_GB2312" w:cs="仿宋_GB2312" w:eastAsia="仿宋_GB2312"/>
              </w:rPr>
              <w:t>2,402,400.00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C07019900-其他生态环境保护服务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标的名称：C07019900-其他生态环境保护服务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30" w:after="30"/>
              <w:jc w:val="both"/>
              <w:outlineLvl w:val="1"/>
            </w:pPr>
            <w:r>
              <w:rPr>
                <w:rFonts w:ascii="仿宋_GB2312" w:hAnsi="仿宋_GB2312" w:cs="仿宋_GB2312" w:eastAsia="仿宋_GB2312"/>
                <w:sz w:val="24"/>
                <w:b/>
              </w:rPr>
              <w:t>★</w:t>
            </w:r>
            <w:r>
              <w:rPr>
                <w:rFonts w:ascii="仿宋_GB2312" w:hAnsi="仿宋_GB2312" w:cs="仿宋_GB2312" w:eastAsia="仿宋_GB2312"/>
                <w:sz w:val="24"/>
                <w:b/>
              </w:rPr>
              <w:t>（一）项目内容</w:t>
            </w:r>
            <w:r>
              <w:rPr>
                <w:rFonts w:ascii="仿宋_GB2312" w:hAnsi="仿宋_GB2312" w:cs="仿宋_GB2312" w:eastAsia="仿宋_GB2312"/>
                <w:sz w:val="24"/>
                <w:b/>
              </w:rPr>
              <w:t>及要求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美丽海口建设战略规划</w:t>
            </w:r>
            <w:r>
              <w:rPr>
                <w:rFonts w:ascii="仿宋_GB2312" w:hAnsi="仿宋_GB2312" w:cs="仿宋_GB2312" w:eastAsia="仿宋_GB2312"/>
                <w:sz w:val="24"/>
                <w:b/>
              </w:rPr>
              <w:t>（</w:t>
            </w:r>
            <w:r>
              <w:rPr>
                <w:rFonts w:ascii="仿宋_GB2312" w:hAnsi="仿宋_GB2312" w:cs="仿宋_GB2312" w:eastAsia="仿宋_GB2312"/>
                <w:sz w:val="24"/>
                <w:b/>
              </w:rPr>
              <w:t>2025-2035年）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美丽海口建设的中长期生态环境形势分析和总体战略研究。预测海口市经济社会变化形势，针对产业绿色低碳转型、深入推进环境治理、生态保护修复、应对气候变化等领域工作，系统构建近、中、远期海口美丽城市建设的总体战略思路和中长期路线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2）美丽海口目标与评价指标体系研究。针对各项经济与环境指标，研究提出美丽海口建设的标志性、特征性指标，明确美丽海口建设的总体目标及2027、2030、2035阶段目标。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3）专题任务研究。分别从绿色低碳、环境优美、生态宜居、安全健康、智慧高效等方面，专章研究美丽海口建设重点任务。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基于专题研究成果，提炼形成美丽海口规划思路和框架。在深入开展实地调研和座谈基础上，明确海口市中长期各领域、各要素美丽建设的战略目标、战略路径、具体任务和有效措施，编制形成《美丽海口建设规划纲要（2025-2035年）》。</w:t>
            </w:r>
          </w:p>
          <w:p>
            <w:pPr>
              <w:pStyle w:val="null3"/>
              <w:ind w:firstLine="482"/>
              <w:jc w:val="both"/>
            </w:pPr>
            <w:r>
              <w:rPr>
                <w:rFonts w:ascii="仿宋_GB2312" w:hAnsi="仿宋_GB2312" w:cs="仿宋_GB2312" w:eastAsia="仿宋_GB2312"/>
                <w:sz w:val="24"/>
                <w:b/>
              </w:rPr>
              <w:t>2、美丽海口建设行动方案</w:t>
            </w:r>
            <w:r>
              <w:rPr>
                <w:rFonts w:ascii="仿宋_GB2312" w:hAnsi="仿宋_GB2312" w:cs="仿宋_GB2312" w:eastAsia="仿宋_GB2312"/>
                <w:sz w:val="24"/>
                <w:b/>
              </w:rPr>
              <w:t>（</w:t>
            </w:r>
            <w:r>
              <w:rPr>
                <w:rFonts w:ascii="仿宋_GB2312" w:hAnsi="仿宋_GB2312" w:cs="仿宋_GB2312" w:eastAsia="仿宋_GB2312"/>
                <w:sz w:val="24"/>
                <w:b/>
              </w:rPr>
              <w:t>2025-2027年）</w:t>
            </w:r>
          </w:p>
          <w:p>
            <w:pPr>
              <w:pStyle w:val="null3"/>
              <w:ind w:firstLine="480"/>
              <w:jc w:val="both"/>
            </w:pPr>
            <w:r>
              <w:rPr>
                <w:rFonts w:ascii="仿宋_GB2312" w:hAnsi="仿宋_GB2312" w:cs="仿宋_GB2312" w:eastAsia="仿宋_GB2312"/>
                <w:sz w:val="24"/>
              </w:rPr>
              <w:t>基于规划总体要求，系统谋划美丽海口</w:t>
            </w:r>
            <w:r>
              <w:rPr>
                <w:rFonts w:ascii="仿宋_GB2312" w:hAnsi="仿宋_GB2312" w:cs="仿宋_GB2312" w:eastAsia="仿宋_GB2312"/>
                <w:sz w:val="24"/>
              </w:rPr>
              <w:t>2025-2027年的重点任务和措施，编制形成目标明确、抓手突出的工程化、项目化、清单化的《美丽海口建设行动方案（2025-2027年）》，为美丽海口中长期战略目标的实现打下坚实的基础。</w:t>
            </w:r>
          </w:p>
          <w:p>
            <w:pPr>
              <w:pStyle w:val="null3"/>
              <w:ind w:firstLine="482"/>
              <w:jc w:val="both"/>
            </w:pPr>
            <w:r>
              <w:rPr>
                <w:rFonts w:ascii="仿宋_GB2312" w:hAnsi="仿宋_GB2312" w:cs="仿宋_GB2312" w:eastAsia="仿宋_GB2312"/>
                <w:sz w:val="24"/>
                <w:b/>
              </w:rPr>
              <w:t>3、美丽海口建设项目库</w:t>
            </w:r>
          </w:p>
          <w:p>
            <w:pPr>
              <w:pStyle w:val="null3"/>
              <w:ind w:firstLine="480"/>
              <w:jc w:val="both"/>
            </w:pPr>
            <w:r>
              <w:rPr>
                <w:rFonts w:ascii="仿宋_GB2312" w:hAnsi="仿宋_GB2312" w:cs="仿宋_GB2312" w:eastAsia="仿宋_GB2312"/>
                <w:sz w:val="24"/>
              </w:rPr>
              <w:t>梳理美丽海口建设规划和行动计划的近中远期任务措施，形成其框架体系，拟从绿色低碳、环境优美、生态宜居、安全健康、智慧高效等方面建设工程项目和管理项目库。</w:t>
            </w:r>
          </w:p>
          <w:p>
            <w:pPr>
              <w:pStyle w:val="null3"/>
              <w:ind w:firstLine="482"/>
              <w:jc w:val="both"/>
            </w:pPr>
            <w:r>
              <w:rPr>
                <w:rFonts w:ascii="仿宋_GB2312" w:hAnsi="仿宋_GB2312" w:cs="仿宋_GB2312" w:eastAsia="仿宋_GB2312"/>
                <w:sz w:val="24"/>
                <w:b/>
              </w:rPr>
              <w:t>4、美丽海口建设典型案例集</w:t>
            </w:r>
          </w:p>
          <w:p>
            <w:pPr>
              <w:pStyle w:val="null3"/>
              <w:ind w:firstLine="480"/>
              <w:jc w:val="both"/>
            </w:pPr>
            <w:r>
              <w:rPr>
                <w:rFonts w:ascii="仿宋_GB2312" w:hAnsi="仿宋_GB2312" w:cs="仿宋_GB2312" w:eastAsia="仿宋_GB2312"/>
                <w:sz w:val="24"/>
              </w:rPr>
              <w:t>围绕美丽海口绿色低碳、环境优美、生态宜居、安全健康、智慧高效等建设，优选典型案例，编制《美丽海口建设典型案例集》。</w:t>
            </w:r>
          </w:p>
          <w:p>
            <w:pPr>
              <w:pStyle w:val="null3"/>
              <w:ind w:firstLine="482"/>
              <w:jc w:val="both"/>
            </w:pPr>
            <w:r>
              <w:rPr>
                <w:rFonts w:ascii="仿宋_GB2312" w:hAnsi="仿宋_GB2312" w:cs="仿宋_GB2312" w:eastAsia="仿宋_GB2312"/>
                <w:sz w:val="24"/>
                <w:b/>
              </w:rPr>
              <w:t>5、海口市“十五五”生态环境保护规划</w:t>
            </w:r>
          </w:p>
          <w:p>
            <w:pPr>
              <w:pStyle w:val="null3"/>
              <w:ind w:firstLine="480"/>
              <w:jc w:val="both"/>
            </w:pPr>
            <w:r>
              <w:rPr>
                <w:rFonts w:ascii="仿宋_GB2312" w:hAnsi="仿宋_GB2312" w:cs="仿宋_GB2312" w:eastAsia="仿宋_GB2312"/>
                <w:sz w:val="24"/>
              </w:rPr>
              <w:t>在美丽海口建设战略规划的基础上，基于省</w:t>
            </w:r>
            <w:r>
              <w:rPr>
                <w:rFonts w:ascii="仿宋_GB2312" w:hAnsi="仿宋_GB2312" w:cs="仿宋_GB2312" w:eastAsia="仿宋_GB2312"/>
                <w:sz w:val="24"/>
              </w:rPr>
              <w:t>“十五五”生态环境保护规划和海口市“十五五”时期生态环境保护工作部署，系统谋划海口2026-2030年工作思路、重点任务和任务措施，编制形成《海口“十五五”生态环境保护规划（2026-2030年）》文本。</w:t>
            </w:r>
          </w:p>
          <w:p>
            <w:pPr>
              <w:pStyle w:val="null3"/>
              <w:spacing w:before="30" w:after="30"/>
              <w:jc w:val="both"/>
              <w:outlineLvl w:val="1"/>
            </w:pPr>
            <w:r>
              <w:rPr>
                <w:rFonts w:ascii="仿宋_GB2312" w:hAnsi="仿宋_GB2312" w:cs="仿宋_GB2312" w:eastAsia="仿宋_GB2312"/>
                <w:sz w:val="24"/>
                <w:b/>
              </w:rPr>
              <w:t>★</w:t>
            </w:r>
            <w:r>
              <w:rPr>
                <w:rFonts w:ascii="仿宋_GB2312" w:hAnsi="仿宋_GB2312" w:cs="仿宋_GB2312" w:eastAsia="仿宋_GB2312"/>
                <w:sz w:val="24"/>
                <w:b/>
              </w:rPr>
              <w:t>（二）成果要求</w:t>
            </w:r>
          </w:p>
          <w:p>
            <w:pPr>
              <w:pStyle w:val="null3"/>
              <w:ind w:firstLine="480"/>
              <w:jc w:val="both"/>
            </w:pPr>
            <w:r>
              <w:rPr>
                <w:rFonts w:ascii="仿宋_GB2312" w:hAnsi="仿宋_GB2312" w:cs="仿宋_GB2312" w:eastAsia="仿宋_GB2312"/>
                <w:sz w:val="24"/>
              </w:rPr>
              <w:t>1、美丽海口建设战略规划（2025-2035年）；</w:t>
            </w:r>
          </w:p>
          <w:p>
            <w:pPr>
              <w:pStyle w:val="null3"/>
              <w:ind w:firstLine="480"/>
              <w:jc w:val="both"/>
            </w:pPr>
            <w:r>
              <w:rPr>
                <w:rFonts w:ascii="仿宋_GB2312" w:hAnsi="仿宋_GB2312" w:cs="仿宋_GB2312" w:eastAsia="仿宋_GB2312"/>
                <w:sz w:val="24"/>
              </w:rPr>
              <w:t>2、美丽海口建设行动方案（2025-2027年）；</w:t>
            </w:r>
          </w:p>
          <w:p>
            <w:pPr>
              <w:pStyle w:val="null3"/>
              <w:ind w:firstLine="480"/>
              <w:jc w:val="both"/>
            </w:pPr>
            <w:r>
              <w:rPr>
                <w:rFonts w:ascii="仿宋_GB2312" w:hAnsi="仿宋_GB2312" w:cs="仿宋_GB2312" w:eastAsia="仿宋_GB2312"/>
                <w:sz w:val="24"/>
              </w:rPr>
              <w:t>3、美丽海口建设项目库；</w:t>
            </w:r>
          </w:p>
          <w:p>
            <w:pPr>
              <w:pStyle w:val="null3"/>
              <w:ind w:firstLine="480"/>
              <w:jc w:val="both"/>
            </w:pPr>
            <w:r>
              <w:rPr>
                <w:rFonts w:ascii="仿宋_GB2312" w:hAnsi="仿宋_GB2312" w:cs="仿宋_GB2312" w:eastAsia="仿宋_GB2312"/>
                <w:sz w:val="24"/>
              </w:rPr>
              <w:t>4、《美丽海口建设典型案例集》；</w:t>
            </w:r>
          </w:p>
          <w:p>
            <w:pPr>
              <w:pStyle w:val="null3"/>
              <w:ind w:firstLine="480"/>
              <w:jc w:val="both"/>
            </w:pPr>
            <w:r>
              <w:rPr>
                <w:rFonts w:ascii="仿宋_GB2312" w:hAnsi="仿宋_GB2312" w:cs="仿宋_GB2312" w:eastAsia="仿宋_GB2312"/>
                <w:sz w:val="24"/>
              </w:rPr>
              <w:t>5、开展一次美丽海口宣传活动；</w:t>
            </w:r>
          </w:p>
          <w:p>
            <w:pPr>
              <w:pStyle w:val="null3"/>
              <w:ind w:firstLine="480"/>
              <w:jc w:val="both"/>
            </w:pPr>
            <w:r>
              <w:rPr>
                <w:rFonts w:ascii="仿宋_GB2312" w:hAnsi="仿宋_GB2312" w:cs="仿宋_GB2312" w:eastAsia="仿宋_GB2312"/>
                <w:sz w:val="24"/>
              </w:rPr>
              <w:t>6、《海口“十五五”生态环境保护规划（2026-2030年）》文本。</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（三）</w:t>
            </w:r>
            <w:r>
              <w:rPr>
                <w:rFonts w:ascii="仿宋_GB2312" w:hAnsi="仿宋_GB2312" w:cs="仿宋_GB2312" w:eastAsia="仿宋_GB2312"/>
                <w:sz w:val="24"/>
                <w:b/>
              </w:rPr>
              <w:t>考核（验收）标准和方法</w:t>
            </w:r>
          </w:p>
          <w:p>
            <w:pPr>
              <w:pStyle w:val="null3"/>
              <w:jc w:val="both"/>
            </w:pPr>
            <w:r>
              <w:rPr>
                <w:rFonts w:ascii="仿宋_GB2312" w:hAnsi="仿宋_GB2312" w:cs="仿宋_GB2312" w:eastAsia="仿宋_GB2312"/>
                <w:sz w:val="24"/>
              </w:rPr>
              <w:t>提出美丽海口建设的阶段目标指标、基本思路和重大举措，形成美丽海口建设方案的框架体系和行动方案措施，确保各项目标任务和措施有力度、差别化、有亮点、可落地。提出海口市</w:t>
            </w:r>
            <w:r>
              <w:rPr>
                <w:rFonts w:ascii="仿宋_GB2312" w:hAnsi="仿宋_GB2312" w:cs="仿宋_GB2312" w:eastAsia="仿宋_GB2312"/>
                <w:sz w:val="24"/>
              </w:rPr>
              <w:t>“十五五”生态环境保护规划基本思路和规划文本。</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0" w:after="30"/>
              <w:jc w:val="both"/>
              <w:outlineLvl w:val="1"/>
            </w:pPr>
            <w:r>
              <w:rPr>
                <w:rFonts w:ascii="仿宋_GB2312" w:hAnsi="仿宋_GB2312" w:cs="仿宋_GB2312" w:eastAsia="仿宋_GB2312"/>
                <w:sz w:val="24"/>
                <w:b/>
              </w:rPr>
              <w:t>★</w:t>
            </w: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（一）服务标准：</w:t>
            </w:r>
            <w:r>
              <w:rPr>
                <w:rFonts w:ascii="仿宋_GB2312" w:hAnsi="仿宋_GB2312" w:cs="仿宋_GB2312" w:eastAsia="仿宋_GB2312"/>
                <w:sz w:val="24"/>
              </w:rPr>
              <w:t>符合国家、地方和行业的相关政策、法规。</w:t>
            </w:r>
          </w:p>
          <w:p>
            <w:pPr>
              <w:pStyle w:val="null3"/>
              <w:ind w:firstLine="482"/>
              <w:jc w:val="both"/>
            </w:pPr>
            <w:r>
              <w:rPr>
                <w:rFonts w:ascii="仿宋_GB2312" w:hAnsi="仿宋_GB2312" w:cs="仿宋_GB2312" w:eastAsia="仿宋_GB2312"/>
                <w:sz w:val="24"/>
                <w:b/>
              </w:rPr>
              <w:t>（二）合同履行期限、合同履行地点和方式（服务期限、地点及方式）</w:t>
            </w:r>
          </w:p>
          <w:p>
            <w:pPr>
              <w:pStyle w:val="null3"/>
              <w:ind w:firstLine="480"/>
              <w:jc w:val="both"/>
            </w:pPr>
            <w:r>
              <w:rPr>
                <w:rFonts w:ascii="仿宋_GB2312" w:hAnsi="仿宋_GB2312" w:cs="仿宋_GB2312" w:eastAsia="仿宋_GB2312"/>
                <w:sz w:val="24"/>
              </w:rPr>
              <w:t>1、合同履行期限（服务期限）：自合同签订之日起270日</w:t>
            </w:r>
          </w:p>
          <w:p>
            <w:pPr>
              <w:pStyle w:val="null3"/>
              <w:ind w:firstLine="480"/>
              <w:jc w:val="both"/>
            </w:pPr>
            <w:r>
              <w:rPr>
                <w:rFonts w:ascii="仿宋_GB2312" w:hAnsi="仿宋_GB2312" w:cs="仿宋_GB2312" w:eastAsia="仿宋_GB2312"/>
                <w:sz w:val="24"/>
              </w:rPr>
              <w:t>2、合同履行地点（服务地点）：采购人指定地点</w:t>
            </w:r>
          </w:p>
          <w:p>
            <w:pPr>
              <w:pStyle w:val="null3"/>
              <w:ind w:firstLine="480"/>
              <w:jc w:val="both"/>
            </w:pPr>
            <w:r>
              <w:rPr>
                <w:rFonts w:ascii="仿宋_GB2312" w:hAnsi="仿宋_GB2312" w:cs="仿宋_GB2312" w:eastAsia="仿宋_GB2312"/>
                <w:sz w:val="24"/>
              </w:rPr>
              <w:t>3、合同履行方式（服务方式）：按本竞争性磋商文件和成交供应商响应文件的内容实施。</w:t>
            </w:r>
          </w:p>
          <w:p>
            <w:pPr>
              <w:pStyle w:val="null3"/>
              <w:ind w:firstLine="482"/>
              <w:jc w:val="both"/>
            </w:pPr>
            <w:r>
              <w:rPr>
                <w:rFonts w:ascii="仿宋_GB2312" w:hAnsi="仿宋_GB2312" w:cs="仿宋_GB2312" w:eastAsia="仿宋_GB2312"/>
                <w:sz w:val="24"/>
                <w:b/>
              </w:rPr>
              <w:t>（三）付款时间、方式及条件：</w:t>
            </w:r>
            <w:r>
              <w:rPr>
                <w:rFonts w:ascii="仿宋_GB2312" w:hAnsi="仿宋_GB2312" w:cs="仿宋_GB2312" w:eastAsia="仿宋_GB2312"/>
                <w:sz w:val="24"/>
              </w:rPr>
              <w:t>分期付款，付款前，必须开具全额发票给予采购人；合同签订后，达到付款条件起</w:t>
            </w:r>
            <w:r>
              <w:rPr>
                <w:rFonts w:ascii="仿宋_GB2312" w:hAnsi="仿宋_GB2312" w:cs="仿宋_GB2312" w:eastAsia="仿宋_GB2312"/>
                <w:sz w:val="24"/>
              </w:rPr>
              <w:t>3个工作日内，支付合同总金额的30.00%；初稿编制完成后，达到付款条件起3个工作日内，支付合同总金额的40.00%；通过专家评审验收后，达到付款条件起3个工作日内，支付合同总金额的30.00%。</w:t>
            </w:r>
          </w:p>
          <w:p>
            <w:pPr>
              <w:pStyle w:val="null3"/>
              <w:ind w:firstLine="482"/>
              <w:jc w:val="both"/>
            </w:pPr>
            <w:r>
              <w:rPr>
                <w:rFonts w:ascii="仿宋_GB2312" w:hAnsi="仿宋_GB2312" w:cs="仿宋_GB2312" w:eastAsia="仿宋_GB2312"/>
                <w:sz w:val="24"/>
                <w:b/>
              </w:rPr>
              <w:t>（四）知识产权：</w:t>
            </w:r>
            <w:r>
              <w:rPr>
                <w:rFonts w:ascii="仿宋_GB2312" w:hAnsi="仿宋_GB2312" w:cs="仿宋_GB2312" w:eastAsia="仿宋_GB2312"/>
                <w:sz w:val="24"/>
              </w:rPr>
              <w:t>供应商</w:t>
            </w:r>
            <w:r>
              <w:rPr>
                <w:rFonts w:ascii="仿宋_GB2312" w:hAnsi="仿宋_GB2312" w:cs="仿宋_GB2312" w:eastAsia="仿宋_GB2312"/>
                <w:sz w:val="24"/>
              </w:rPr>
              <w:t>必须保证提供合法服务，服务成果拥有自主知识产权，确保不会侵犯第三方的专利权和设计权</w:t>
            </w:r>
            <w:r>
              <w:rPr>
                <w:rFonts w:ascii="仿宋_GB2312" w:hAnsi="仿宋_GB2312" w:cs="仿宋_GB2312" w:eastAsia="仿宋_GB2312"/>
                <w:sz w:val="24"/>
              </w:rPr>
              <w:t>等知识产权</w:t>
            </w:r>
            <w:r>
              <w:rPr>
                <w:rFonts w:ascii="仿宋_GB2312" w:hAnsi="仿宋_GB2312" w:cs="仿宋_GB2312" w:eastAsia="仿宋_GB2312"/>
                <w:sz w:val="24"/>
              </w:rPr>
              <w:t>。若任何第三方提出侵权指控或赔偿要求，必须与第三方交涉，并承担发生和可能发生的一切损失、费用和法律责任。项目完成后，所有成果的知识产权归</w:t>
            </w:r>
            <w:r>
              <w:rPr>
                <w:rFonts w:ascii="仿宋_GB2312" w:hAnsi="仿宋_GB2312" w:cs="仿宋_GB2312" w:eastAsia="仿宋_GB2312"/>
                <w:sz w:val="24"/>
              </w:rPr>
              <w:t>招标人</w:t>
            </w:r>
            <w:r>
              <w:rPr>
                <w:rFonts w:ascii="仿宋_GB2312" w:hAnsi="仿宋_GB2312" w:cs="仿宋_GB2312" w:eastAsia="仿宋_GB2312"/>
                <w:sz w:val="24"/>
              </w:rPr>
              <w:t>所有。</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项目的实质性要求：按本竞争性磋商文件要求和成交供应商响应文件内容实施。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合同的实质性条款：采购人与成交供应商响应文件的名称和住所、标的、数量、质量、价款或者报酬、履行期限及地点和方式、验收要求、违约责任、解决争议的方法等内容。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安全标准：符合国家、地方和行业的相关政策、法规。</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验收方法及标准：按本竞争性磋商文件要求和成交供应商响应文件的内容及国家、地方和行业的相关政策、法规实施。</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法律法规规定的强制性标准：无。</w:t>
            </w:r>
          </w:p>
          <w:p>
            <w:pPr>
              <w:pStyle w:val="null3"/>
              <w:ind w:firstLine="480"/>
              <w:jc w:val="both"/>
            </w:pPr>
            <w:r>
              <w:rPr>
                <w:rFonts w:ascii="仿宋_GB2312" w:hAnsi="仿宋_GB2312" w:cs="仿宋_GB2312" w:eastAsia="仿宋_GB2312"/>
                <w:sz w:val="24"/>
              </w:rPr>
              <w:t>6、其他未尽事宜以合同约定为准</w:t>
            </w:r>
            <w:r>
              <w:rPr>
                <w:rFonts w:ascii="仿宋_GB2312" w:hAnsi="仿宋_GB2312" w:cs="仿宋_GB2312" w:eastAsia="仿宋_GB2312"/>
                <w:sz w:val="24"/>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本项目预算金额及最高限价为</w:t>
      </w:r>
      <w:r>
        <w:rPr>
          <w:rFonts w:ascii="仿宋_GB2312" w:hAnsi="仿宋_GB2312" w:cs="仿宋_GB2312" w:eastAsia="仿宋_GB2312"/>
          <w:sz w:val="24"/>
        </w:rPr>
        <w:t>240.24</w:t>
      </w:r>
      <w:r>
        <w:rPr>
          <w:rFonts w:ascii="仿宋_GB2312" w:hAnsi="仿宋_GB2312" w:cs="仿宋_GB2312" w:eastAsia="仿宋_GB2312"/>
          <w:sz w:val="24"/>
        </w:rPr>
        <w:t>万元，供应商报价超过预算金额及最高限价的按无效响应处理。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（1）注：采购需求中标注“★”的内容（含小项）为实质性要求，供应商不响应或响应负偏离视为无效投标。 （2）供应商需针对本项目提供详细的“类似项目业绩”、“项目负责人”、“团队成员”、“供应商实力”、“项目理解和关键点分析”、“技术服务方案”、“质量保障方案”、“进度计划”、“保密制度及措施”等内容。</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供应商其他承诺及声明函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按要求提供政府采购活动前三年内无环保类行政处罚记录声明函</w:t>
            </w:r>
          </w:p>
        </w:tc>
        <w:tc>
          <w:tcPr>
            <w:tcW w:type="dxa" w:w="1661"/>
          </w:tcPr>
          <w:p>
            <w:pPr>
              <w:pStyle w:val="null3"/>
              <w:jc w:val="left"/>
            </w:pPr>
            <w:r>
              <w:rPr>
                <w:rFonts w:ascii="仿宋_GB2312" w:hAnsi="仿宋_GB2312" w:cs="仿宋_GB2312" w:eastAsia="仿宋_GB2312"/>
              </w:rPr>
              <w:t>供应商其他承诺及声明函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竞争性磋商响应函 供应商承诺函 供应商其他承诺及声明函 投标（响应）报价明细表 供应商应提交的相关证明材料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合同履行期限（服务期限）、合同履行地点（服务地点）须满足磋商文件要求。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磋商保证金缴纳证明材料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竞争性磋商响应函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技术部分43.00分</w:t>
            </w:r>
          </w:p>
          <w:p>
            <w:pPr>
              <w:pStyle w:val="null3"/>
              <w:jc w:val="left"/>
            </w:pPr>
            <w:r>
              <w:rPr>
                <w:rFonts w:ascii="仿宋_GB2312" w:hAnsi="仿宋_GB2312" w:cs="仿宋_GB2312" w:eastAsia="仿宋_GB2312"/>
              </w:rPr>
              <w:t>商务部分47.00分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项目理解和关键点分析</w:t>
            </w:r>
          </w:p>
        </w:tc>
        <w:tc>
          <w:tcPr>
            <w:tcW w:type="dxa" w:w="2492"/>
          </w:tcPr>
          <w:p>
            <w:pPr>
              <w:pStyle w:val="null3"/>
              <w:jc w:val="left"/>
            </w:pPr>
            <w:r>
              <w:rPr>
                <w:rFonts w:ascii="仿宋_GB2312" w:hAnsi="仿宋_GB2312" w:cs="仿宋_GB2312" w:eastAsia="仿宋_GB2312"/>
              </w:rPr>
              <w:t>根据供应商提供的项目理解和关键点分析（内容包括但不限于：针对美丽中国相关文件及政策和方案的理解及分析；结合项目背景，对本项目工作内容及关键点进行分析解读等）进行综合评审： （1）对项目要求理解正确，关键点分析科学合理、体现当地特色，完全符合项目实际情况，得8分； （2）对项目的理解和关键点分析有一定的针对性，但考虑问题不够全面，基本符合项目实际情况，得6分； （3）对项目的理解和关键点分析缺乏针对性，相关内容、考虑问题未充分针对本项目及地区特点，得4分。 （4）对项目的理解和关键点分析内容有缺、不合理，难以满足项目需求得2分。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492"/>
          </w:tcPr>
          <w:p>
            <w:pPr>
              <w:pStyle w:val="null3"/>
              <w:jc w:val="left"/>
            </w:pPr>
            <w:r>
              <w:rPr>
                <w:rFonts w:ascii="仿宋_GB2312" w:hAnsi="仿宋_GB2312" w:cs="仿宋_GB2312" w:eastAsia="仿宋_GB2312"/>
              </w:rPr>
              <w:t>根据供应商提供的技术服务方案（内容包括但不限于：针对美丽海口试点城市建设规划编制的服务思路、服务内容及流程、服务方法等）进行综合评审： （1）方案编制内容详细、考虑问题全面完整，科学合理，有针对性，实施流程规范程度较高，完全符合项目实际情况，得15分； （2）方案编制内容较详细、考虑问题较完整，有较强的针对性，较好符合项目实际情况，得12分 （3）方案具有一定的针对性，但编制内容、考虑问题不够全面，基本符合项目实际情况，得9分； （4）方案缺乏针对性，编制内容、考虑问题未充分针对本项目特点，得6分。 （5）方案编制内容有缺、不合理，难以满足项目需求得3分。 （6）不提供不得分。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492"/>
          </w:tcPr>
          <w:p>
            <w:pPr>
              <w:pStyle w:val="null3"/>
              <w:jc w:val="left"/>
            </w:pPr>
            <w:r>
              <w:rPr>
                <w:rFonts w:ascii="仿宋_GB2312" w:hAnsi="仿宋_GB2312" w:cs="仿宋_GB2312" w:eastAsia="仿宋_GB2312"/>
              </w:rPr>
              <w:t>根据供应商提供的质量保障方案（内容包括但不限于：针对美丽海口试点城市建设规划编制的质量保证措施等）进行综合评审： （1）保障措施内容详细、考虑问题全面完整，科学合理，有针对性，完全符合项目实际情况，得8分； （2）保障措施具有一定的针对性，但相关内容、考虑问题不够全面，基本符合项目实际情况，得6分； （3）保障措施缺乏针对性，相关内容、考虑问题未充分针对本项目特点，得4分。 （4）保障措施内容有缺、不合理，难以满足项目需求得2分。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进度计划</w:t>
            </w:r>
          </w:p>
        </w:tc>
        <w:tc>
          <w:tcPr>
            <w:tcW w:type="dxa" w:w="2492"/>
          </w:tcPr>
          <w:p>
            <w:pPr>
              <w:pStyle w:val="null3"/>
              <w:jc w:val="left"/>
            </w:pPr>
            <w:r>
              <w:rPr>
                <w:rFonts w:ascii="仿宋_GB2312" w:hAnsi="仿宋_GB2312" w:cs="仿宋_GB2312" w:eastAsia="仿宋_GB2312"/>
              </w:rPr>
              <w:t>根据供应商提供的进度计划（内容包括但不限于：针对美丽海口试点城市建设规划编制的进度安排，进度计划编制，关键节点的控制等）进行综合评审： （1）进度计划内容详细、考虑问题全面完整，科学合理，有针对性，完全符合项目实际情况，得8分； （2）进度计划具有一定的针对性，但考虑问题不够全面，基本符合项目实际情况，得6分； （3）进度计划缺乏针对性，考虑问题未充分针对本项目特点，得4分。 （4）进度计划内容有缺、不合理，难以满足项目需求得2分。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保密制度及措施</w:t>
            </w:r>
          </w:p>
        </w:tc>
        <w:tc>
          <w:tcPr>
            <w:tcW w:type="dxa" w:w="2492"/>
          </w:tcPr>
          <w:p>
            <w:pPr>
              <w:pStyle w:val="null3"/>
              <w:jc w:val="left"/>
            </w:pPr>
            <w:r>
              <w:rPr>
                <w:rFonts w:ascii="仿宋_GB2312" w:hAnsi="仿宋_GB2312" w:cs="仿宋_GB2312" w:eastAsia="仿宋_GB2312"/>
              </w:rPr>
              <w:t>根据供应商提供的保密制度及措施（内容包括但不限于：针对美丽海口试点城市建设规划编制的保密制度，资料保密管理措施，人员管理措施等）进行综合评审： （1）保密制度及措施内容详细、考虑问题全面完整，科学合理，有针对性，完全符合项目实际情况，得4分； （2）保密制度及措施具有一定的针对性，但相关内容、考虑问题不够全面，基本符合项目实际情况，得3分； （3）保密制度及措施缺乏针对性，相关内容、考虑问题未充分针对本项目特点，得2分。 （4）保密制度及措施内容有缺、不合理，难以满足项目需求得1分。 （5）不提供不得分。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2022年1月1日至今具有美丽中国建设规划编制或环境保护相关综合性规划编制等项目业绩或类似业绩的，每提供一项地市级业绩得2分，省级及以上得4分，最高得8分。注：需提供合同关键页(至少含封面、业绩规划编制所属地区、内容签订时间、盖章签字页)，时间以合同签订时间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1.具有相关专业正高级职称，得3分；具有相关专业高级职称，得1分，否则不得分。本项最高得3分。 2.获得过生态环境类国家科技进步奖得3分，否则不得分。本项最高得3分。 3.具有生态环境类国家注册咨询工程师证书得3分，否则不得分。本项最高得3分。 注：需提供项目负责人①身份证、职称证、其他有效证书或证明材料。②响应文件递交截止时间前三个月内任意一个月在本单位的社保缴纳证明扫描件加盖公章。③相关专业指环境类专业。</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团队成员</w:t>
            </w:r>
          </w:p>
        </w:tc>
        <w:tc>
          <w:tcPr>
            <w:tcW w:type="dxa" w:w="2492"/>
          </w:tcPr>
          <w:p>
            <w:pPr>
              <w:pStyle w:val="null3"/>
              <w:jc w:val="left"/>
            </w:pPr>
            <w:r>
              <w:rPr>
                <w:rFonts w:ascii="仿宋_GB2312" w:hAnsi="仿宋_GB2312" w:cs="仿宋_GB2312" w:eastAsia="仿宋_GB2312"/>
              </w:rPr>
              <w:t>项目团队成员(项目负责人除外，且同一人员不重复得分)中： 1.具有相关专业高级(或以上)职称的，每提供一人得1分； 2.具有相关专业中级职称和硕士学历的，每提供一人得0.5分。3.本项最高得12分。 注：需提供人员①身份证、职称证和学历证扫描件加盖公章。②响应文件递交截止时间前三个月内任意一个月在本单位的社保缴纳证明扫描件加盖公章。③相关专业指环境类专业。</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供应商实力</w:t>
            </w:r>
          </w:p>
        </w:tc>
        <w:tc>
          <w:tcPr>
            <w:tcW w:type="dxa" w:w="2492"/>
          </w:tcPr>
          <w:p>
            <w:pPr>
              <w:pStyle w:val="null3"/>
              <w:jc w:val="left"/>
            </w:pPr>
            <w:r>
              <w:rPr>
                <w:rFonts w:ascii="仿宋_GB2312" w:hAnsi="仿宋_GB2312" w:cs="仿宋_GB2312" w:eastAsia="仿宋_GB2312"/>
              </w:rPr>
              <w:t>1.具有质量管理体系认证证书，得3分； 2.具有环境管理体系认证证书的，得3分； 3.供应商2020年1月至今牵头编制过国家生态环境保护规划的，得3分； 4.获得过环境类科学技术进步奖或生态环境保护科学技术奖的，每提供一项省部级及以上奖项的得1分，最多得6分； 5.有环境类的省部级及以上重点实验室得3分； 6.本项最多得18分，未提供或不满足不得分。 注：需提供相关证明文件及相关获奖证书或获奖证明文件扫描件加盖公章，未提供不得分。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HNHGT2025-127</w:t>
      </w:r>
    </w:p>
    <w:p>
      <w:pPr>
        <w:pStyle w:val="null3"/>
        <w:jc w:val="left"/>
      </w:pPr>
      <w:r>
        <w:rPr>
          <w:rFonts w:ascii="仿宋_GB2312" w:hAnsi="仿宋_GB2312" w:cs="仿宋_GB2312" w:eastAsia="仿宋_GB2312"/>
        </w:rPr>
        <w:t>项目名称：</w:t>
      </w:r>
      <w:r>
        <w:rPr>
          <w:rFonts w:ascii="仿宋_GB2312" w:hAnsi="仿宋_GB2312" w:cs="仿宋_GB2312" w:eastAsia="仿宋_GB2312"/>
        </w:rPr>
        <w:t>美丽海口试点城市建设规划编制项目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美丽海口试点城市建设规划编制项目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合同履行期限（服务期限）</w:t>
            </w:r>
          </w:p>
        </w:tc>
        <w:tc>
          <w:tcPr>
            <w:tcW w:type="dxa" w:w="923"/>
          </w:tcPr>
          <w:p>
            <w:pPr>
              <w:pStyle w:val="null3"/>
              <w:jc w:val="left"/>
            </w:pPr>
            <w:r>
              <w:rPr>
                <w:rFonts w:ascii="仿宋_GB2312" w:hAnsi="仿宋_GB2312" w:cs="仿宋_GB2312" w:eastAsia="仿宋_GB2312"/>
              </w:rPr>
              <w:t xml:space="preserve"> 合同履行地点（服务地点）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C07019900-其他生态环境保护服务</w:t>
            </w:r>
          </w:p>
        </w:tc>
        <w:tc>
          <w:tcPr>
            <w:tcW w:type="dxa" w:w="923"/>
          </w:tcPr>
          <w:p>
            <w:pPr>
              <w:pStyle w:val="null3"/>
              <w:jc w:val="left"/>
            </w:pPr>
            <w:r>
              <w:rPr>
                <w:rFonts w:ascii="仿宋_GB2312" w:hAnsi="仿宋_GB2312" w:cs="仿宋_GB2312" w:eastAsia="仿宋_GB2312"/>
              </w:rPr>
              <w:t xml:space="preserve"> 1.43项</w:t>
            </w:r>
          </w:p>
        </w:tc>
        <w:tc>
          <w:tcPr>
            <w:tcW w:type="dxa" w:w="923"/>
          </w:tcPr>
          <w:p>
            <w:pPr>
              <w:pStyle w:val="null3"/>
              <w:jc w:val="left"/>
            </w:pPr>
            <w:r>
              <w:rPr>
                <w:rFonts w:ascii="仿宋_GB2312" w:hAnsi="仿宋_GB2312" w:cs="仿宋_GB2312" w:eastAsia="仿宋_GB2312"/>
              </w:rPr>
              <w:t xml:space="preserve"> 2402400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采购人指定地点</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详见附件：供应商其他承诺及声明函</w:t>
      </w:r>
    </w:p>
    <w:p>
      <w:pPr>
        <w:pStyle w:val="null3"/>
        <w:ind w:firstLine="960"/>
        <w:jc w:val="left"/>
      </w:pPr>
      <w:r>
        <w:rPr>
          <w:rFonts w:ascii="仿宋_GB2312" w:hAnsi="仿宋_GB2312" w:cs="仿宋_GB2312" w:eastAsia="仿宋_GB2312"/>
        </w:rPr>
        <w:t>详见附件：竞争性磋商响应函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