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2025年海口市60吨每日垃圾渗滤液污泥掺烧处理服务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HNHGT2025-128</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海口市城市管理局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海南恒高泰项目管理咨询有限公司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海口市城市管理局</w:t>
      </w:r>
      <w:r>
        <w:rPr>
          <w:rFonts w:ascii="仿宋_GB2312" w:hAnsi="仿宋_GB2312" w:cs="仿宋_GB2312" w:eastAsia="仿宋_GB2312"/>
        </w:rPr>
        <w:t xml:space="preserve"> 委托， </w:t>
      </w:r>
      <w:r>
        <w:rPr>
          <w:rFonts w:ascii="仿宋_GB2312" w:hAnsi="仿宋_GB2312" w:cs="仿宋_GB2312" w:eastAsia="仿宋_GB2312"/>
        </w:rPr>
        <w:t>海南恒高泰项目管理咨询有限公司</w:t>
      </w:r>
      <w:r>
        <w:rPr>
          <w:rFonts w:ascii="仿宋_GB2312" w:hAnsi="仿宋_GB2312" w:cs="仿宋_GB2312" w:eastAsia="仿宋_GB2312"/>
        </w:rPr>
        <w:t xml:space="preserve"> 对 </w:t>
      </w:r>
      <w:r>
        <w:rPr>
          <w:rFonts w:ascii="仿宋_GB2312" w:hAnsi="仿宋_GB2312" w:cs="仿宋_GB2312" w:eastAsia="仿宋_GB2312"/>
        </w:rPr>
        <w:t>2025年海口市60吨每日垃圾渗滤液污泥掺烧处理服务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HNHGT2025-128</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2025年海口市60吨每日垃圾渗滤液污泥掺烧处理服务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7,969,000.00元</w:t>
      </w:r>
      <w:r>
        <w:rPr>
          <w:rFonts w:ascii="仿宋_GB2312" w:hAnsi="仿宋_GB2312" w:cs="仿宋_GB2312" w:eastAsia="仿宋_GB2312"/>
        </w:rPr>
        <w:t>柒佰玖拾陆万玖仟元整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自合同签订之日起一年</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1、政府采购活动前三年内无环保类行政处罚记录：按招标文件要求提供政府采购活动前三年内无环保类行政处罚记录声明函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为远程不见面开标，投标人（供应商）无须到达线下开标现场，按照招标公告及招标文件的规定按时进行远程在线开标解密即可。（2）采购项目需要落实的政府采购政策：《政府采购促进中小企业发展管理办法》、《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 农业农村部 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3）请投标人（供应商）自行在海南省政府采购智慧云平台-办事指南查看相应的系统操作指南，严格按照操作指南要求进行系统操作； 投标人（供应商）使用交易系统遇到问题可致电技术支持：服务电话详见海南省政府采购智慧云平台门户网站（https://www.ccgp-hainan.gov.cn/）。</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海口市城市管理局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海口市秀英长滨三路9号市政府第二办公区15幢北楼4楼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570135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0898-68723517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海南恒高泰项目管理咨询有限公司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海南省海口市海甸岛怡心路7号建安花园1#1305室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0898-66150556</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采购包1：7,969,000.00元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从递交投标文件的截止之日起算60天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发改委文件《关于印发采购代理服务收费管理暂行办法的通知》（计价格〔2002〕1980号），根据项目采购代理机构遴选报价结果，向中标（成交）供应商收取采购代理服务费：人民币伍万伍仟伍佰叁拾元整（¥55530.00元），由代理机构向中标（成交）供应商一次性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供应商）无须到达线下开标现场，按照招标公告及招标文件的规定按时进行远程在线开标解密即可。（2）采购项目需要落实的政府采购政策：《政府采购促进中小企业发展管理办法》、《财政部 发展改革委 生态环境部 市场监管总局关于调整优化节能产品、环境标志产品政府采购执行机制的通知》、《关于促进残疾人就业政府采购政策的通知》、《财政部 司法部关于政府采购支持监狱企业发展有关问题的通知》、《关于政府采购支持绿色建材促进建筑品质提升试点工作的通知》、《财政部 农业农村部 国家乡村振兴局关于运用政府采购政策支持乡村产业振兴的通知》、《海南省财政厅关于印发《海南省绿色产品政府采购实施意见（试行）》的通知》、《海南省财政厅 海南省工业和信息化厅关于落实超常规举措加大对中小企业政府采购支持的通知》。（3）请投标人（供应商）自行在海南省政府采购智慧云平台-办事指南查看相应的系统操作指南，严格按照操作指南要求进行系统操作； 投标人（供应商）使用交易系统遇到问题可致电技术支持：服务电话详见海南省政府采购智慧云平台门户网站（https://www.ccgp-hainan.gov.cn/）。（4）政府采购合同信用融资：政府采购合同信用融资是银行机构以政府采购诚信考核和信用审查为基础，凭借中小企业取得并提供的政府采购合同，按优于—般中小企业贷款的利率直接向申请货款的中小企业发放货款的一种新融资方式。供应商在中标(成交)后需要融资时可以申请政府采购合同信用融资。（5）本招标文件《政府采购电子招标投标活动须知》一、电子投标文件的编制及报送要求的5.3项和《第二章 投标人须知》六、开 标的6.3项出现评审冲突时，以《第二章 投标人须知》六、开 标的6.3项为评审认定标准。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联系人：黎工</w:t>
      </w:r>
    </w:p>
    <w:p>
      <w:pPr>
        <w:pStyle w:val="null3"/>
        <w:jc w:val="left"/>
      </w:pPr>
      <w:r>
        <w:rPr>
          <w:rFonts w:ascii="仿宋_GB2312" w:hAnsi="仿宋_GB2312" w:cs="仿宋_GB2312" w:eastAsia="仿宋_GB2312"/>
        </w:rPr>
        <w:t>联系电话：0898-66150556</w:t>
      </w:r>
    </w:p>
    <w:p>
      <w:pPr>
        <w:pStyle w:val="null3"/>
        <w:jc w:val="left"/>
      </w:pPr>
      <w:r>
        <w:rPr>
          <w:rFonts w:ascii="仿宋_GB2312" w:hAnsi="仿宋_GB2312" w:cs="仿宋_GB2312" w:eastAsia="仿宋_GB2312"/>
        </w:rPr>
        <w:t>地址：海南省海口市海甸岛怡心路7号建安花园1#1305室</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color w:val="000000"/>
        </w:rPr>
        <w:t>为确保海口市颜春岭垃圾渗滤液处理项目所产生的污泥规范处置，提升污泥处理水平，保护生态环境，促进经济社会可持续发展，海口市城市管理局现启动日处理</w:t>
      </w:r>
      <w:r>
        <w:rPr>
          <w:rFonts w:ascii="仿宋_GB2312" w:hAnsi="仿宋_GB2312" w:cs="仿宋_GB2312" w:eastAsia="仿宋_GB2312"/>
          <w:sz w:val="28"/>
          <w:color w:val="000000"/>
        </w:rPr>
        <w:t>60吨垃圾渗滤液污泥掺烧服务项目的政府采购工作。</w:t>
      </w:r>
    </w:p>
    <w:p>
      <w:pPr>
        <w:pStyle w:val="null3"/>
        <w:ind w:firstLine="560"/>
        <w:jc w:val="left"/>
      </w:pPr>
      <w:r>
        <w:rPr>
          <w:rFonts w:ascii="仿宋_GB2312" w:hAnsi="仿宋_GB2312" w:cs="仿宋_GB2312" w:eastAsia="仿宋_GB2312"/>
          <w:sz w:val="28"/>
          <w:color w:val="000000"/>
        </w:rPr>
        <w:t>1、主要功能或目标：对海口市颜春岭渗滤液处理站产生的经初步脱水后含水率小于80%的垃圾渗滤液污泥进行掺烧处理。</w:t>
      </w:r>
    </w:p>
    <w:p>
      <w:pPr>
        <w:pStyle w:val="null3"/>
        <w:ind w:firstLine="560"/>
        <w:jc w:val="left"/>
      </w:pPr>
      <w:r>
        <w:rPr>
          <w:rFonts w:ascii="仿宋_GB2312" w:hAnsi="仿宋_GB2312" w:cs="仿宋_GB2312" w:eastAsia="仿宋_GB2312"/>
          <w:sz w:val="28"/>
          <w:color w:val="000000"/>
        </w:rPr>
        <w:t>2、需满足的要求：（1）本项目涉及的设施设备及服务均由中标方提供。（2）处理垃圾规模达到每日60吨，中标人处理设施环境质量标准和污染物排放标准严格执行项目环评批复提出的要求。（3）合同履行期限：自合同签订之日起一年。（4）处理量计量：计量采用中标人处理设施配套的地磅进行计量。（5）监管考核：采购人或其委托的第三方监管单位对中标人处理设施运营进行监管考核，形成监管考核月报作为付费依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7,969,000.00</w:t>
      </w:r>
    </w:p>
    <w:p>
      <w:pPr>
        <w:pStyle w:val="null3"/>
        <w:jc w:val="left"/>
      </w:pPr>
      <w:r>
        <w:rPr>
          <w:rFonts w:ascii="仿宋_GB2312" w:hAnsi="仿宋_GB2312" w:cs="仿宋_GB2312" w:eastAsia="仿宋_GB2312"/>
        </w:rPr>
        <w:t>采购包最高限价（元）: 7,969,000.00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2025年海口市60吨每日垃圾渗滤液污泥掺烧处理服务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7,969,000.00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2025年海口市60吨每日垃圾渗滤液污泥掺烧处理服务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7,969,000.00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标的名称：2025年海口市60吨每日垃圾渗滤液污泥掺烧处理服务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28"/>
                <w:b/>
              </w:rPr>
              <w:t>1</w:t>
            </w:r>
            <w:r>
              <w:rPr>
                <w:rFonts w:ascii="仿宋_GB2312" w:hAnsi="仿宋_GB2312" w:cs="仿宋_GB2312" w:eastAsia="仿宋_GB2312"/>
                <w:sz w:val="28"/>
                <w:b/>
              </w:rPr>
              <w:t>、</w:t>
            </w:r>
            <w:r>
              <w:rPr>
                <w:rFonts w:ascii="仿宋_GB2312" w:hAnsi="仿宋_GB2312" w:cs="仿宋_GB2312" w:eastAsia="仿宋_GB2312"/>
                <w:sz w:val="28"/>
                <w:b/>
              </w:rPr>
              <w:t>项目工艺要求</w:t>
            </w:r>
          </w:p>
          <w:p>
            <w:pPr>
              <w:pStyle w:val="null3"/>
              <w:ind w:firstLine="480"/>
              <w:jc w:val="left"/>
            </w:pPr>
            <w:r>
              <w:rPr>
                <w:rFonts w:ascii="仿宋_GB2312" w:hAnsi="仿宋_GB2312" w:cs="仿宋_GB2312" w:eastAsia="仿宋_GB2312"/>
                <w:sz w:val="28"/>
              </w:rPr>
              <w:t>1</w:t>
            </w:r>
            <w:r>
              <w:rPr>
                <w:rFonts w:ascii="仿宋_GB2312" w:hAnsi="仿宋_GB2312" w:cs="仿宋_GB2312" w:eastAsia="仿宋_GB2312"/>
                <w:sz w:val="28"/>
              </w:rPr>
              <w:t>.1工艺确定原则</w:t>
            </w:r>
          </w:p>
          <w:p>
            <w:pPr>
              <w:pStyle w:val="null3"/>
              <w:ind w:firstLine="480"/>
              <w:jc w:val="left"/>
            </w:pPr>
            <w:r>
              <w:rPr>
                <w:rFonts w:ascii="仿宋_GB2312" w:hAnsi="仿宋_GB2312" w:cs="仿宋_GB2312" w:eastAsia="仿宋_GB2312"/>
                <w:sz w:val="28"/>
              </w:rPr>
              <w:t>选择生活垃圾焚烧处理服务原则是：技术成熟，设备可靠，能适应海口市的</w:t>
            </w:r>
            <w:r>
              <w:rPr>
                <w:rFonts w:ascii="仿宋_GB2312" w:hAnsi="仿宋_GB2312" w:cs="仿宋_GB2312" w:eastAsia="仿宋_GB2312"/>
                <w:sz w:val="28"/>
              </w:rPr>
              <w:t>污泥</w:t>
            </w:r>
            <w:r>
              <w:rPr>
                <w:rFonts w:ascii="仿宋_GB2312" w:hAnsi="仿宋_GB2312" w:cs="仿宋_GB2312" w:eastAsia="仿宋_GB2312"/>
                <w:sz w:val="28"/>
              </w:rPr>
              <w:t>特性，满足环境保护要求。在选择过程中应着重考虑下列因素的影响：</w:t>
            </w:r>
          </w:p>
          <w:p>
            <w:pPr>
              <w:pStyle w:val="null3"/>
              <w:ind w:firstLine="480"/>
              <w:jc w:val="left"/>
            </w:pPr>
            <w:r>
              <w:rPr>
                <w:rFonts w:ascii="仿宋_GB2312" w:hAnsi="仿宋_GB2312" w:cs="仿宋_GB2312" w:eastAsia="仿宋_GB2312"/>
                <w:sz w:val="28"/>
              </w:rPr>
              <w:t>1.1.1</w:t>
            </w:r>
            <w:r>
              <w:rPr>
                <w:rFonts w:ascii="仿宋_GB2312" w:hAnsi="仿宋_GB2312" w:cs="仿宋_GB2312" w:eastAsia="仿宋_GB2312"/>
                <w:sz w:val="28"/>
              </w:rPr>
              <w:t>城市的城镇建设和社会发展对环境的要求</w:t>
            </w:r>
            <w:r>
              <w:rPr>
                <w:rFonts w:ascii="仿宋_GB2312" w:hAnsi="仿宋_GB2312" w:cs="仿宋_GB2312" w:eastAsia="仿宋_GB2312"/>
                <w:sz w:val="28"/>
              </w:rPr>
              <w:t>。</w:t>
            </w:r>
          </w:p>
          <w:p>
            <w:pPr>
              <w:pStyle w:val="null3"/>
              <w:ind w:firstLine="480"/>
              <w:jc w:val="left"/>
            </w:pPr>
            <w:r>
              <w:rPr>
                <w:rFonts w:ascii="仿宋_GB2312" w:hAnsi="仿宋_GB2312" w:cs="仿宋_GB2312" w:eastAsia="仿宋_GB2312"/>
                <w:sz w:val="28"/>
              </w:rPr>
              <w:t>1.1.2</w:t>
            </w:r>
            <w:r>
              <w:rPr>
                <w:rFonts w:ascii="仿宋_GB2312" w:hAnsi="仿宋_GB2312" w:cs="仿宋_GB2312" w:eastAsia="仿宋_GB2312"/>
                <w:sz w:val="28"/>
              </w:rPr>
              <w:t>城市生活垃圾物理和化学组成及变化趋势</w:t>
            </w:r>
            <w:r>
              <w:rPr>
                <w:rFonts w:ascii="仿宋_GB2312" w:hAnsi="仿宋_GB2312" w:cs="仿宋_GB2312" w:eastAsia="仿宋_GB2312"/>
                <w:sz w:val="28"/>
              </w:rPr>
              <w:t>。</w:t>
            </w:r>
          </w:p>
          <w:p>
            <w:pPr>
              <w:pStyle w:val="null3"/>
              <w:ind w:firstLine="480"/>
              <w:jc w:val="left"/>
            </w:pPr>
            <w:r>
              <w:rPr>
                <w:rFonts w:ascii="仿宋_GB2312" w:hAnsi="仿宋_GB2312" w:cs="仿宋_GB2312" w:eastAsia="仿宋_GB2312"/>
                <w:sz w:val="28"/>
              </w:rPr>
              <w:t>1.1.3</w:t>
            </w:r>
            <w:r>
              <w:rPr>
                <w:rFonts w:ascii="仿宋_GB2312" w:hAnsi="仿宋_GB2312" w:cs="仿宋_GB2312" w:eastAsia="仿宋_GB2312"/>
                <w:sz w:val="28"/>
              </w:rPr>
              <w:t>污泥</w:t>
            </w:r>
            <w:r>
              <w:rPr>
                <w:rFonts w:ascii="仿宋_GB2312" w:hAnsi="仿宋_GB2312" w:cs="仿宋_GB2312" w:eastAsia="仿宋_GB2312"/>
                <w:sz w:val="28"/>
              </w:rPr>
              <w:t>最终消纳场所的位置、地形、地质和水文地质条件</w:t>
            </w:r>
            <w:r>
              <w:rPr>
                <w:rFonts w:ascii="仿宋_GB2312" w:hAnsi="仿宋_GB2312" w:cs="仿宋_GB2312" w:eastAsia="仿宋_GB2312"/>
                <w:sz w:val="28"/>
              </w:rPr>
              <w:t>。</w:t>
            </w:r>
          </w:p>
          <w:p>
            <w:pPr>
              <w:pStyle w:val="null3"/>
              <w:ind w:firstLine="480"/>
              <w:jc w:val="left"/>
            </w:pPr>
            <w:r>
              <w:rPr>
                <w:rFonts w:ascii="仿宋_GB2312" w:hAnsi="仿宋_GB2312" w:cs="仿宋_GB2312" w:eastAsia="仿宋_GB2312"/>
                <w:sz w:val="28"/>
              </w:rPr>
              <w:t>1.1.4</w:t>
            </w:r>
            <w:r>
              <w:rPr>
                <w:rFonts w:ascii="仿宋_GB2312" w:hAnsi="仿宋_GB2312" w:cs="仿宋_GB2312" w:eastAsia="仿宋_GB2312"/>
                <w:sz w:val="28"/>
              </w:rPr>
              <w:t>技术与设备的可靠性和适应性</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1.2处理执行标准</w:t>
            </w:r>
          </w:p>
          <w:p>
            <w:pPr>
              <w:pStyle w:val="null3"/>
              <w:jc w:val="both"/>
            </w:pPr>
            <w:r>
              <w:rPr>
                <w:rFonts w:ascii="仿宋_GB2312" w:hAnsi="仿宋_GB2312" w:cs="仿宋_GB2312" w:eastAsia="仿宋_GB2312"/>
                <w:sz w:val="28"/>
              </w:rPr>
              <w:t>污泥处理过程中的运营质量必须符合海南省垃圾焚烧发电规范要求，机组烟气排放指标严格按照生活垃圾焚烧污染控制标准（</w:t>
            </w:r>
            <w:r>
              <w:rPr>
                <w:rFonts w:ascii="仿宋_GB2312" w:hAnsi="仿宋_GB2312" w:cs="仿宋_GB2312" w:eastAsia="仿宋_GB2312"/>
                <w:sz w:val="28"/>
              </w:rPr>
              <w:t>DB46/484-2019）标准达标排放。</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560"/>
              <w:jc w:val="left"/>
            </w:pPr>
            <w:r>
              <w:rPr>
                <w:rFonts w:ascii="仿宋_GB2312" w:hAnsi="仿宋_GB2312" w:cs="仿宋_GB2312" w:eastAsia="仿宋_GB2312"/>
                <w:sz w:val="28"/>
              </w:rPr>
              <w:t>★</w:t>
            </w:r>
            <w:r>
              <w:rPr>
                <w:rFonts w:ascii="仿宋_GB2312" w:hAnsi="仿宋_GB2312" w:cs="仿宋_GB2312" w:eastAsia="仿宋_GB2312"/>
                <w:sz w:val="28"/>
                <w:b/>
              </w:rPr>
              <w:t>2、应用标准及综合咨询依据</w:t>
            </w:r>
          </w:p>
          <w:p>
            <w:pPr>
              <w:pStyle w:val="null3"/>
              <w:ind w:firstLine="480"/>
              <w:jc w:val="left"/>
            </w:pPr>
            <w:r>
              <w:rPr>
                <w:rFonts w:ascii="仿宋_GB2312" w:hAnsi="仿宋_GB2312" w:cs="仿宋_GB2312" w:eastAsia="仿宋_GB2312"/>
                <w:sz w:val="28"/>
              </w:rPr>
              <w:t>2.1国家法律及标准及部委条例规章</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中华人民共和国固体废物污染环境防治法</w:t>
            </w:r>
            <w:r>
              <w:rPr>
                <w:rFonts w:ascii="仿宋_GB2312" w:hAnsi="仿宋_GB2312" w:cs="仿宋_GB2312" w:eastAsia="仿宋_GB2312"/>
                <w:sz w:val="28"/>
              </w:rPr>
              <w:t>》</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生活垃圾焚烧污染控制标准</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GB18485-2014）</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生活垃圾焚烧厂运行监管标准</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CJJ/Ｔ212-2015）</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生活垃圾焚烧厂运行维护与安全技术标准</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CJJ128-2017）</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生活垃圾焚烧处理工程技术规范</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CJJ90-2009）</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城市生活垃圾管理办法</w:t>
            </w:r>
            <w:r>
              <w:rPr>
                <w:rFonts w:ascii="仿宋_GB2312" w:hAnsi="仿宋_GB2312" w:cs="仿宋_GB2312" w:eastAsia="仿宋_GB2312"/>
                <w:sz w:val="28"/>
              </w:rPr>
              <w:t>》</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生活垃圾焚烧厂评价标准</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CJJ/T137-2019）</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城市生活垃圾焚烧处理工程项目建设标准》（建标〔</w:t>
            </w:r>
            <w:r>
              <w:rPr>
                <w:rFonts w:ascii="仿宋_GB2312" w:hAnsi="仿宋_GB2312" w:cs="仿宋_GB2312" w:eastAsia="仿宋_GB2312"/>
                <w:sz w:val="28"/>
              </w:rPr>
              <w:t>2001〕213号）</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污水综合排放标准</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GB8978）</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固定污染源排气中颗粒物测定和气态污染物采样方法</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GB/T16157）</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大气污染物综合排放标准</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GB16297）</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生活垃圾填埋场污染控制标准</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GB16889）</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危险废物焚烧污染控制标准</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GB18484）</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危险废物贮存污染控制标准</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GB18597）</w:t>
            </w:r>
          </w:p>
          <w:p>
            <w:pPr>
              <w:pStyle w:val="null3"/>
              <w:ind w:firstLine="480"/>
              <w:jc w:val="left"/>
            </w:pPr>
            <w:r>
              <w:rPr>
                <w:rFonts w:ascii="仿宋_GB2312" w:hAnsi="仿宋_GB2312" w:cs="仿宋_GB2312" w:eastAsia="仿宋_GB2312"/>
                <w:sz w:val="28"/>
              </w:rPr>
              <w:t>《</w:t>
            </w:r>
            <w:r>
              <w:rPr>
                <w:rFonts w:ascii="仿宋_GB2312" w:hAnsi="仿宋_GB2312" w:cs="仿宋_GB2312" w:eastAsia="仿宋_GB2312"/>
                <w:sz w:val="28"/>
              </w:rPr>
              <w:t>固体废物二噁英类的测定同位素稀释高分辨气相色谱</w:t>
            </w:r>
            <w:r>
              <w:rPr>
                <w:rFonts w:ascii="仿宋_GB2312" w:hAnsi="仿宋_GB2312" w:cs="仿宋_GB2312" w:eastAsia="仿宋_GB2312"/>
                <w:sz w:val="28"/>
              </w:rPr>
              <w:t>-高分辨质谱法</w:t>
            </w:r>
            <w:r>
              <w:rPr>
                <w:rFonts w:ascii="仿宋_GB2312" w:hAnsi="仿宋_GB2312" w:cs="仿宋_GB2312" w:eastAsia="仿宋_GB2312"/>
                <w:sz w:val="28"/>
              </w:rPr>
              <w:t>》</w:t>
            </w:r>
            <w:r>
              <w:rPr>
                <w:rFonts w:ascii="仿宋_GB2312" w:hAnsi="仿宋_GB2312" w:cs="仿宋_GB2312" w:eastAsia="仿宋_GB2312"/>
                <w:sz w:val="28"/>
              </w:rPr>
              <w:t>（</w:t>
            </w:r>
            <w:r>
              <w:rPr>
                <w:rFonts w:ascii="仿宋_GB2312" w:hAnsi="仿宋_GB2312" w:cs="仿宋_GB2312" w:eastAsia="仿宋_GB2312"/>
                <w:sz w:val="28"/>
              </w:rPr>
              <w:t>HJ77.3）</w:t>
            </w:r>
          </w:p>
          <w:p>
            <w:pPr>
              <w:pStyle w:val="null3"/>
              <w:ind w:firstLine="480"/>
              <w:jc w:val="left"/>
            </w:pPr>
            <w:r>
              <w:rPr>
                <w:rFonts w:ascii="仿宋_GB2312" w:hAnsi="仿宋_GB2312" w:cs="仿宋_GB2312" w:eastAsia="仿宋_GB2312"/>
                <w:sz w:val="28"/>
              </w:rPr>
              <w:t>2.2海南省及海口市部门规章及管理制度</w:t>
            </w:r>
          </w:p>
          <w:p>
            <w:pPr>
              <w:pStyle w:val="null3"/>
              <w:ind w:firstLine="480"/>
              <w:jc w:val="left"/>
            </w:pPr>
            <w:r>
              <w:rPr>
                <w:rFonts w:ascii="仿宋_GB2312" w:hAnsi="仿宋_GB2312" w:cs="仿宋_GB2312" w:eastAsia="仿宋_GB2312"/>
                <w:sz w:val="28"/>
              </w:rPr>
              <w:t>2.3项目特许经营协议合同</w:t>
            </w:r>
          </w:p>
          <w:p>
            <w:pPr>
              <w:pStyle w:val="null3"/>
              <w:ind w:firstLine="480"/>
              <w:jc w:val="left"/>
            </w:pPr>
            <w:r>
              <w:rPr>
                <w:rFonts w:ascii="仿宋_GB2312" w:hAnsi="仿宋_GB2312" w:cs="仿宋_GB2312" w:eastAsia="仿宋_GB2312"/>
                <w:sz w:val="28"/>
              </w:rPr>
              <w:t>2.4上述涉及的相关政策及标准和规范，在项目实施过程中如有废止或有替代标准的，则以现行的最新规定为准。</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28"/>
                <w:b/>
              </w:rPr>
              <w:t>3、污泥处理处理量核定</w:t>
            </w:r>
          </w:p>
          <w:p>
            <w:pPr>
              <w:pStyle w:val="null3"/>
              <w:jc w:val="both"/>
            </w:pPr>
            <w:r>
              <w:rPr>
                <w:rFonts w:ascii="仿宋_GB2312" w:hAnsi="仿宋_GB2312" w:cs="仿宋_GB2312" w:eastAsia="仿宋_GB2312"/>
                <w:sz w:val="28"/>
                <w:color w:val="000000"/>
              </w:rPr>
              <w:t>计量采用中标人处理设施配套的地磅进行计量</w:t>
            </w:r>
            <w:r>
              <w:rPr>
                <w:rFonts w:ascii="仿宋_GB2312" w:hAnsi="仿宋_GB2312" w:cs="仿宋_GB2312" w:eastAsia="仿宋_GB2312"/>
                <w:sz w:val="28"/>
              </w:rPr>
              <w:t>，三方（采购人、中标人、</w:t>
            </w:r>
            <w:r>
              <w:rPr>
                <w:rFonts w:ascii="仿宋_GB2312" w:hAnsi="仿宋_GB2312" w:cs="仿宋_GB2312" w:eastAsia="仿宋_GB2312"/>
                <w:sz w:val="28"/>
              </w:rPr>
              <w:t>海口市颜春岭垃圾渗滤液处理站</w:t>
            </w:r>
            <w:r>
              <w:rPr>
                <w:rFonts w:ascii="仿宋_GB2312" w:hAnsi="仿宋_GB2312" w:cs="仿宋_GB2312" w:eastAsia="仿宋_GB2312"/>
                <w:sz w:val="28"/>
              </w:rPr>
              <w:t>）对每</w:t>
            </w:r>
            <w:r>
              <w:rPr>
                <w:rFonts w:ascii="仿宋_GB2312" w:hAnsi="仿宋_GB2312" w:cs="仿宋_GB2312" w:eastAsia="仿宋_GB2312"/>
                <w:sz w:val="28"/>
              </w:rPr>
              <w:t>日过磅单进行核对，三方各持一联，采购人或其委托的第三方监管单位进行监督和收集。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28"/>
                <w:b/>
              </w:rPr>
              <w:t>1、合同履行期限、地点和方式（服务时间、地点和方式）</w:t>
            </w:r>
          </w:p>
          <w:p>
            <w:pPr>
              <w:pStyle w:val="null3"/>
              <w:ind w:firstLine="560"/>
              <w:jc w:val="left"/>
            </w:pPr>
            <w:r>
              <w:rPr>
                <w:rFonts w:ascii="仿宋_GB2312" w:hAnsi="仿宋_GB2312" w:cs="仿宋_GB2312" w:eastAsia="仿宋_GB2312"/>
                <w:sz w:val="28"/>
              </w:rPr>
              <w:t>1.1合同履行期限（服务时间）：自合同签订之日起一年</w:t>
            </w:r>
          </w:p>
          <w:p>
            <w:pPr>
              <w:pStyle w:val="null3"/>
              <w:ind w:firstLine="560"/>
              <w:jc w:val="left"/>
            </w:pPr>
            <w:r>
              <w:rPr>
                <w:rFonts w:ascii="仿宋_GB2312" w:hAnsi="仿宋_GB2312" w:cs="仿宋_GB2312" w:eastAsia="仿宋_GB2312"/>
                <w:sz w:val="28"/>
              </w:rPr>
              <w:t>1.2合同履行地点（服务地点）：采购人指定地点</w:t>
            </w:r>
          </w:p>
          <w:p>
            <w:pPr>
              <w:pStyle w:val="null3"/>
              <w:ind w:firstLine="560"/>
              <w:jc w:val="left"/>
            </w:pPr>
            <w:r>
              <w:rPr>
                <w:rFonts w:ascii="仿宋_GB2312" w:hAnsi="仿宋_GB2312" w:cs="仿宋_GB2312" w:eastAsia="仿宋_GB2312"/>
                <w:sz w:val="28"/>
              </w:rPr>
              <w:t>1.3合同履行方式（服务方式）：按本招标文件和中标人投标文件的内容实施。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28"/>
                <w:b/>
              </w:rPr>
              <w:t>2、付款时间、方式及条件</w:t>
            </w:r>
          </w:p>
          <w:p>
            <w:pPr>
              <w:pStyle w:val="null3"/>
              <w:ind w:firstLine="560"/>
              <w:jc w:val="left"/>
            </w:pPr>
            <w:r>
              <w:rPr>
                <w:rFonts w:ascii="仿宋_GB2312" w:hAnsi="仿宋_GB2312" w:cs="仿宋_GB2312" w:eastAsia="仿宋_GB2312"/>
                <w:sz w:val="28"/>
              </w:rPr>
              <w:t>2.1当月污泥处理服务费=当月结算污泥量×污泥处理服务单价。</w:t>
            </w:r>
          </w:p>
          <w:p>
            <w:pPr>
              <w:pStyle w:val="null3"/>
              <w:ind w:firstLine="560"/>
              <w:jc w:val="left"/>
            </w:pPr>
            <w:r>
              <w:rPr>
                <w:rFonts w:ascii="仿宋_GB2312" w:hAnsi="仿宋_GB2312" w:cs="仿宋_GB2312" w:eastAsia="仿宋_GB2312"/>
                <w:sz w:val="28"/>
              </w:rPr>
              <w:t>2.2污泥处理服务费的支付采取“每日计量、每月计费、每月支付”的办法，颜春岭污泥处理处置项目每个月结束后十个工作日内，中标人向采购人提交上个月污泥处理量及应付污泥服务费金额的结算单。</w:t>
            </w:r>
          </w:p>
          <w:p>
            <w:pPr>
              <w:pStyle w:val="null3"/>
              <w:ind w:firstLine="560"/>
              <w:jc w:val="left"/>
            </w:pPr>
            <w:r>
              <w:rPr>
                <w:rFonts w:ascii="仿宋_GB2312" w:hAnsi="仿宋_GB2312" w:cs="仿宋_GB2312" w:eastAsia="仿宋_GB2312"/>
                <w:sz w:val="28"/>
              </w:rPr>
              <w:t>2.3采购人收到结算单之日起十五个工作日内对中标人提供的结算单进行审核，如有异议应书面说明原因，并说明该结算单中无异议的部分，中标人根据采购人反馈的无异议金额开具税务发票。采购人在收到中标人提供的发票之日起三个工作日支付相应金额的污泥处理服务费。</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640"/>
              <w:jc w:val="left"/>
            </w:pPr>
            <w:r>
              <w:rPr>
                <w:rFonts w:ascii="仿宋_GB2312" w:hAnsi="仿宋_GB2312" w:cs="仿宋_GB2312" w:eastAsia="仿宋_GB2312"/>
                <w:sz w:val="32"/>
              </w:rPr>
              <w:t>★</w:t>
            </w:r>
            <w:r>
              <w:rPr>
                <w:rFonts w:ascii="仿宋_GB2312" w:hAnsi="仿宋_GB2312" w:cs="仿宋_GB2312" w:eastAsia="仿宋_GB2312"/>
                <w:sz w:val="28"/>
                <w:b/>
              </w:rPr>
              <w:t>3、</w:t>
            </w:r>
            <w:r>
              <w:rPr>
                <w:rFonts w:ascii="仿宋_GB2312" w:hAnsi="仿宋_GB2312" w:cs="仿宋_GB2312" w:eastAsia="仿宋_GB2312"/>
                <w:sz w:val="28"/>
                <w:b/>
              </w:rPr>
              <w:t>其他</w:t>
            </w:r>
          </w:p>
          <w:p>
            <w:pPr>
              <w:pStyle w:val="null3"/>
              <w:ind w:firstLine="560"/>
              <w:jc w:val="left"/>
            </w:pPr>
            <w:r>
              <w:rPr>
                <w:rFonts w:ascii="仿宋_GB2312" w:hAnsi="仿宋_GB2312" w:cs="仿宋_GB2312" w:eastAsia="仿宋_GB2312"/>
                <w:sz w:val="28"/>
              </w:rPr>
              <w:t>3.1</w:t>
            </w:r>
            <w:r>
              <w:rPr>
                <w:rFonts w:ascii="仿宋_GB2312" w:hAnsi="仿宋_GB2312" w:cs="仿宋_GB2312" w:eastAsia="仿宋_GB2312"/>
                <w:sz w:val="28"/>
              </w:rPr>
              <w:t>项目的实质性要求：按本招标文件要求和中标人投标文件内容实施。</w:t>
            </w:r>
          </w:p>
          <w:p>
            <w:pPr>
              <w:pStyle w:val="null3"/>
              <w:ind w:firstLine="560"/>
              <w:jc w:val="left"/>
            </w:pPr>
            <w:r>
              <w:rPr>
                <w:rFonts w:ascii="仿宋_GB2312" w:hAnsi="仿宋_GB2312" w:cs="仿宋_GB2312" w:eastAsia="仿宋_GB2312"/>
                <w:sz w:val="28"/>
              </w:rPr>
              <w:t>3.2</w:t>
            </w:r>
            <w:r>
              <w:rPr>
                <w:rFonts w:ascii="仿宋_GB2312" w:hAnsi="仿宋_GB2312" w:cs="仿宋_GB2312" w:eastAsia="仿宋_GB2312"/>
                <w:sz w:val="28"/>
              </w:rPr>
              <w:t>合同的实质性条款：采购人与中标人的名称和住所、标的、数量、质量、价款或者报酬、履行期限及地点和方式、验收要求、违约责任、解决争议的方法等内容。</w:t>
            </w:r>
          </w:p>
          <w:p>
            <w:pPr>
              <w:pStyle w:val="null3"/>
              <w:ind w:firstLine="560"/>
              <w:jc w:val="left"/>
            </w:pPr>
            <w:r>
              <w:rPr>
                <w:rFonts w:ascii="仿宋_GB2312" w:hAnsi="仿宋_GB2312" w:cs="仿宋_GB2312" w:eastAsia="仿宋_GB2312"/>
                <w:sz w:val="28"/>
              </w:rPr>
              <w:t>3.3</w:t>
            </w:r>
            <w:r>
              <w:rPr>
                <w:rFonts w:ascii="仿宋_GB2312" w:hAnsi="仿宋_GB2312" w:cs="仿宋_GB2312" w:eastAsia="仿宋_GB2312"/>
                <w:sz w:val="28"/>
              </w:rPr>
              <w:t>安全标准：符合国家、地方和行业的相关政策、法规。</w:t>
            </w:r>
          </w:p>
          <w:p>
            <w:pPr>
              <w:pStyle w:val="null3"/>
              <w:ind w:firstLine="560"/>
              <w:jc w:val="left"/>
            </w:pPr>
            <w:r>
              <w:rPr>
                <w:rFonts w:ascii="仿宋_GB2312" w:hAnsi="仿宋_GB2312" w:cs="仿宋_GB2312" w:eastAsia="仿宋_GB2312"/>
                <w:sz w:val="28"/>
              </w:rPr>
              <w:t>3.4</w:t>
            </w:r>
            <w:r>
              <w:rPr>
                <w:rFonts w:ascii="仿宋_GB2312" w:hAnsi="仿宋_GB2312" w:cs="仿宋_GB2312" w:eastAsia="仿宋_GB2312"/>
                <w:sz w:val="28"/>
              </w:rPr>
              <w:t>验收方法及标准：按本招标文件和投标文件的内容及国家、地方和行业的相关政策、法规实施。</w:t>
            </w:r>
          </w:p>
          <w:p>
            <w:pPr>
              <w:pStyle w:val="null3"/>
              <w:ind w:firstLine="560"/>
              <w:jc w:val="left"/>
            </w:pPr>
            <w:r>
              <w:rPr>
                <w:rFonts w:ascii="仿宋_GB2312" w:hAnsi="仿宋_GB2312" w:cs="仿宋_GB2312" w:eastAsia="仿宋_GB2312"/>
                <w:sz w:val="28"/>
              </w:rPr>
              <w:t>3.5</w:t>
            </w:r>
            <w:r>
              <w:rPr>
                <w:rFonts w:ascii="仿宋_GB2312" w:hAnsi="仿宋_GB2312" w:cs="仿宋_GB2312" w:eastAsia="仿宋_GB2312"/>
                <w:sz w:val="28"/>
              </w:rPr>
              <w:t>法律法规规定的强制性标准：无。</w:t>
            </w:r>
          </w:p>
          <w:p>
            <w:pPr>
              <w:pStyle w:val="null3"/>
              <w:ind w:firstLine="560"/>
              <w:jc w:val="left"/>
            </w:pPr>
            <w:r>
              <w:rPr>
                <w:rFonts w:ascii="仿宋_GB2312" w:hAnsi="仿宋_GB2312" w:cs="仿宋_GB2312" w:eastAsia="仿宋_GB2312"/>
                <w:sz w:val="28"/>
              </w:rPr>
              <w:t>3.6其他未尽事宜以合同约定为准</w:t>
            </w:r>
            <w:r>
              <w:rPr>
                <w:rFonts w:ascii="仿宋_GB2312" w:hAnsi="仿宋_GB2312" w:cs="仿宋_GB2312" w:eastAsia="仿宋_GB2312"/>
                <w:sz w:val="28"/>
              </w:rPr>
              <w:t>。</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32"/>
              </w:rPr>
              <w:t>★</w:t>
            </w:r>
            <w:r>
              <w:rPr>
                <w:rFonts w:ascii="仿宋_GB2312" w:hAnsi="仿宋_GB2312" w:cs="仿宋_GB2312" w:eastAsia="仿宋_GB2312"/>
                <w:sz w:val="28"/>
                <w:b/>
              </w:rPr>
              <w:t>4、本项目为单价招标（投标单价按投标报价总计÷2.19万吨（365天乘以60吨/日）计算），投标人投标单价超过最高单价限价363.88元/吨（含运费）和投标总价超过796.9万元的作为无效投标处理。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32"/>
              </w:rPr>
              <w:t>★</w:t>
            </w:r>
            <w:r>
              <w:rPr>
                <w:rFonts w:ascii="仿宋_GB2312" w:hAnsi="仿宋_GB2312" w:cs="仿宋_GB2312" w:eastAsia="仿宋_GB2312"/>
                <w:sz w:val="28"/>
                <w:b/>
              </w:rPr>
              <w:t>5、本项目按总价进行报价，但不以总价包干形式履约，投标总价作为投标人报价得分的依据，合同结算金额按中标单价乘以实际污泥处理量据实结算。</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32"/>
              </w:rPr>
              <w:t>★</w:t>
            </w:r>
            <w:r>
              <w:rPr>
                <w:rFonts w:ascii="仿宋_GB2312" w:hAnsi="仿宋_GB2312" w:cs="仿宋_GB2312" w:eastAsia="仿宋_GB2312"/>
                <w:sz w:val="28"/>
                <w:b/>
              </w:rPr>
              <w:t>6、采购人与中标人签订采购合同，以中标单价乘以实际污泥处理量据实结算。本项目预算金额作为合同累计结算金额的上限，当合同期内累计结算金额达到采购预算金额时视为服务期限届满。</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（1）采购需求中标注“★”的内容（含小项）为实质性要求，投标人不响应或响应负偏离视为无效投标。 （2）投标人需具有污泥处理服务项目业绩，并需针对本项目提供对工作重难点的理解和把握程度方案、处理工艺、投入本项目设施设备、人员配置、进度计划方案、应急处理方案、环境保护管理措施、服务质量保证方案。</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投标人其他承诺及声明函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投标人其他承诺及声明函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政府采购活动前三年内无环保类行政处罚记录</w:t>
            </w:r>
          </w:p>
        </w:tc>
        <w:tc>
          <w:tcPr>
            <w:tcW w:type="dxa" w:w="3322"/>
          </w:tcPr>
          <w:p>
            <w:pPr>
              <w:pStyle w:val="null3"/>
              <w:jc w:val="left"/>
            </w:pPr>
            <w:r>
              <w:rPr>
                <w:rFonts w:ascii="仿宋_GB2312" w:hAnsi="仿宋_GB2312" w:cs="仿宋_GB2312" w:eastAsia="仿宋_GB2312"/>
              </w:rPr>
              <w:t>按招标文件要求提供政府采购活动前三年内无环保类行政处罚记录声明函</w:t>
            </w:r>
          </w:p>
        </w:tc>
        <w:tc>
          <w:tcPr>
            <w:tcW w:type="dxa" w:w="1661"/>
          </w:tcPr>
          <w:p>
            <w:pPr>
              <w:pStyle w:val="null3"/>
              <w:jc w:val="left"/>
            </w:pPr>
            <w:r>
              <w:rPr>
                <w:rFonts w:ascii="仿宋_GB2312" w:hAnsi="仿宋_GB2312" w:cs="仿宋_GB2312" w:eastAsia="仿宋_GB2312"/>
              </w:rPr>
              <w:t>投标人其他承诺及声明函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“供应商资格要求”中要求的其他相关文件（若有） 商务响应表 投标（响应）报价明细表 开标（报价）一览表 投标函 自觉抵制政府采购领域商业贿赂行为承诺书 封面 法定代表人资格证明书或法定代表人授权委托书 技术响应表 投标人其他承诺及声明函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商务响应表 “供应商资格要求”中要求的其他相关文件（若有） 投标函 开标（报价）一览表 投标（响应）报价明细表 自觉抵制政府采购领域商业贿赂行为承诺书 法定代表人资格证明书或法定代表人授权委托书 封面 投标保证金缴纳证明材料 投标人其他承诺及声明函 技术响应表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技术部分80.00分</w:t>
            </w:r>
          </w:p>
          <w:p>
            <w:pPr>
              <w:pStyle w:val="null3"/>
              <w:jc w:val="both"/>
            </w:pPr>
            <w:r>
              <w:rPr>
                <w:rFonts w:ascii="仿宋_GB2312" w:hAnsi="仿宋_GB2312" w:cs="仿宋_GB2312" w:eastAsia="仿宋_GB2312"/>
              </w:rPr>
              <w:t>商务部分5.00分</w:t>
            </w:r>
          </w:p>
          <w:p>
            <w:pPr>
              <w:pStyle w:val="null3"/>
              <w:jc w:val="both"/>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对工作重难点的理解和把握程度方案</w:t>
            </w:r>
          </w:p>
        </w:tc>
        <w:tc>
          <w:tcPr>
            <w:tcW w:type="dxa" w:w="2492"/>
          </w:tcPr>
          <w:p>
            <w:pPr>
              <w:pStyle w:val="null3"/>
              <w:jc w:val="both"/>
            </w:pPr>
            <w:r>
              <w:rPr>
                <w:rFonts w:ascii="仿宋_GB2312" w:hAnsi="仿宋_GB2312" w:cs="仿宋_GB2312" w:eastAsia="仿宋_GB2312"/>
              </w:rPr>
              <w:t>根据投标人提供的对工作重难点的理解和把握程度方案（内容包括但不限于：对工作重难点的理解、对工作重难点的应对措施等）进行综合评审： （1）对项目要求理解正确，关键点分析科学合理、针对性强，应对措施符合项目实际情况，得5分。 （2）对工作重难点的理解和把握程度有一定的针对性，但考虑问题不够全面，应对措施基本符合项目实际情况，得4分。 （3）对工作重难点的理解和把握程度缺乏针对性，相关内容、考虑问题未充分针对本项目特点，得3分。 （4）对工作重难点的理解和把握程度内容有缺、不合理，难以满足项目需求得2分。 （5）不提供不得分。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其他证明材料（若有）</w:t>
            </w:r>
          </w:p>
        </w:tc>
      </w:tr>
      <w:tr>
        <w:tc>
          <w:tcPr>
            <w:tcW w:type="dxa" w:w="831"/>
            <w:vMerge/>
          </w:tcPr>
          <w:p/>
        </w:tc>
        <w:tc>
          <w:tcPr>
            <w:tcW w:type="dxa" w:w="1661"/>
          </w:tcPr>
          <w:p>
            <w:pPr>
              <w:pStyle w:val="null3"/>
              <w:jc w:val="both"/>
            </w:pPr>
            <w:r>
              <w:rPr>
                <w:rFonts w:ascii="仿宋_GB2312" w:hAnsi="仿宋_GB2312" w:cs="仿宋_GB2312" w:eastAsia="仿宋_GB2312"/>
              </w:rPr>
              <w:t>处理工艺</w:t>
            </w:r>
          </w:p>
        </w:tc>
        <w:tc>
          <w:tcPr>
            <w:tcW w:type="dxa" w:w="2492"/>
          </w:tcPr>
          <w:p>
            <w:pPr>
              <w:pStyle w:val="null3"/>
              <w:jc w:val="both"/>
            </w:pPr>
            <w:r>
              <w:rPr>
                <w:rFonts w:ascii="仿宋_GB2312" w:hAnsi="仿宋_GB2312" w:cs="仿宋_GB2312" w:eastAsia="仿宋_GB2312"/>
              </w:rPr>
              <w:t>根据投标人提供的处理工艺（内容包括但不限于：设计处理工艺、对主要关键技术要点详细说明等）进行综合评审： （1）处理工艺详细、全面，科学合理，有针对性，完全符合项目实际情况，得10分。 （2）处理工艺具有一定的针对性，但内容不够全面，基本符合项目实际情况，得7分。 （3）处理工艺缺乏针对性，适用性一般，得4分。 （4）处理工艺内容有缺、不合理，难以满足项目需求得1分。 （5）不提供不得分。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其他证明材料（若有）</w:t>
            </w:r>
          </w:p>
        </w:tc>
      </w:tr>
      <w:tr>
        <w:tc>
          <w:tcPr>
            <w:tcW w:type="dxa" w:w="831"/>
            <w:vMerge/>
          </w:tcPr>
          <w:p/>
        </w:tc>
        <w:tc>
          <w:tcPr>
            <w:tcW w:type="dxa" w:w="1661"/>
          </w:tcPr>
          <w:p>
            <w:pPr>
              <w:pStyle w:val="null3"/>
              <w:jc w:val="both"/>
            </w:pPr>
            <w:r>
              <w:rPr>
                <w:rFonts w:ascii="仿宋_GB2312" w:hAnsi="仿宋_GB2312" w:cs="仿宋_GB2312" w:eastAsia="仿宋_GB2312"/>
              </w:rPr>
              <w:t>投入本项目设施设备</w:t>
            </w:r>
          </w:p>
        </w:tc>
        <w:tc>
          <w:tcPr>
            <w:tcW w:type="dxa" w:w="2492"/>
          </w:tcPr>
          <w:p>
            <w:pPr>
              <w:pStyle w:val="null3"/>
              <w:jc w:val="both"/>
            </w:pPr>
            <w:r>
              <w:rPr>
                <w:rFonts w:ascii="仿宋_GB2312" w:hAnsi="仿宋_GB2312" w:cs="仿宋_GB2312" w:eastAsia="仿宋_GB2312"/>
              </w:rPr>
              <w:t>根据投标人提供的投入本项目设施设备（内容包括但不限于：设施设备清单及设施设备详细信息等）进行综合评审： （1）投入本项目设施设备详细、全面，科学合理，有针对性，完全符合项目实际情况，得10分。 （2）投入本项目设施设备具有一定的针对性，但相关设施设备不够全面，基本符合项目实际情况，得7分。 （3）投入本项目设施设备缺乏针对性，适用性一般，得4分。 （4）投入本项目设施设备内容有缺、不合理，难以满足项目需求得1分。 （5）不提供不得分。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其他证明材料（若有）</w:t>
            </w:r>
          </w:p>
        </w:tc>
      </w:tr>
      <w:tr>
        <w:tc>
          <w:tcPr>
            <w:tcW w:type="dxa" w:w="831"/>
            <w:vMerge/>
          </w:tcPr>
          <w:p/>
        </w:tc>
        <w:tc>
          <w:tcPr>
            <w:tcW w:type="dxa" w:w="1661"/>
          </w:tcPr>
          <w:p>
            <w:pPr>
              <w:pStyle w:val="null3"/>
              <w:jc w:val="both"/>
            </w:pPr>
            <w:r>
              <w:rPr>
                <w:rFonts w:ascii="仿宋_GB2312" w:hAnsi="仿宋_GB2312" w:cs="仿宋_GB2312" w:eastAsia="仿宋_GB2312"/>
              </w:rPr>
              <w:t>人员配置</w:t>
            </w:r>
          </w:p>
        </w:tc>
        <w:tc>
          <w:tcPr>
            <w:tcW w:type="dxa" w:w="2492"/>
          </w:tcPr>
          <w:p>
            <w:pPr>
              <w:pStyle w:val="null3"/>
              <w:jc w:val="both"/>
            </w:pPr>
            <w:r>
              <w:rPr>
                <w:rFonts w:ascii="仿宋_GB2312" w:hAnsi="仿宋_GB2312" w:cs="仿宋_GB2312" w:eastAsia="仿宋_GB2312"/>
              </w:rPr>
              <w:t>根据投标人提供的人员配置（内容包括但不限于：拟投入项目团队人员明细、人员资历及技术实力、相关服务经验等）进行综合评审： （1）团队成员组成结构完整、分工明确，资历、经验丰富，整体人员的技术实力强，得5分。 （2）团队成员组成结构完整、分工明确，资历、经验较丰富，整体人员的技术实力较强，得4分。 （3）团队人员组建基本完整、分工基本明确，资历、经验较差，技术实力较差，得3分。 （4）团队人员组建不完整、分工不明确，无资历、经验及技术实力，得2分。 （5）不提供不得分。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其他证明材料（若有）</w:t>
            </w:r>
          </w:p>
        </w:tc>
      </w:tr>
      <w:tr>
        <w:tc>
          <w:tcPr>
            <w:tcW w:type="dxa" w:w="831"/>
            <w:vMerge/>
          </w:tcPr>
          <w:p/>
        </w:tc>
        <w:tc>
          <w:tcPr>
            <w:tcW w:type="dxa" w:w="1661"/>
          </w:tcPr>
          <w:p>
            <w:pPr>
              <w:pStyle w:val="null3"/>
              <w:jc w:val="both"/>
            </w:pPr>
            <w:r>
              <w:rPr>
                <w:rFonts w:ascii="仿宋_GB2312" w:hAnsi="仿宋_GB2312" w:cs="仿宋_GB2312" w:eastAsia="仿宋_GB2312"/>
              </w:rPr>
              <w:t>进度计划方案</w:t>
            </w:r>
          </w:p>
        </w:tc>
        <w:tc>
          <w:tcPr>
            <w:tcW w:type="dxa" w:w="2492"/>
          </w:tcPr>
          <w:p>
            <w:pPr>
              <w:pStyle w:val="null3"/>
              <w:jc w:val="both"/>
            </w:pPr>
            <w:r>
              <w:rPr>
                <w:rFonts w:ascii="仿宋_GB2312" w:hAnsi="仿宋_GB2312" w:cs="仿宋_GB2312" w:eastAsia="仿宋_GB2312"/>
              </w:rPr>
              <w:t>根据投标人提供的进度计划方案（内容包括但不限于：关键线路、计划编制、关键节点的控制措施等）进行综合评审： （1）进度计划内容详细、考虑问题全面完整，科学合理，有针对性，完全符合项目实际情况，得5分。 （2）进度计划内容具有一定的针对性，但相关内容、考虑问题不够全面，基本符合项目实际情况，得4分。 （3）进度计划内容缺乏针对性，相关内容、考虑问题未充分针对本项目特点，得3分。 （4）进度计划内容有缺、不合理，难以满足项目需求得2分。 （5）不提供不得分。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其他证明材料（若有）</w:t>
            </w:r>
          </w:p>
        </w:tc>
      </w:tr>
      <w:tr>
        <w:tc>
          <w:tcPr>
            <w:tcW w:type="dxa" w:w="831"/>
            <w:vMerge/>
          </w:tcPr>
          <w:p/>
        </w:tc>
        <w:tc>
          <w:tcPr>
            <w:tcW w:type="dxa" w:w="1661"/>
          </w:tcPr>
          <w:p>
            <w:pPr>
              <w:pStyle w:val="null3"/>
              <w:jc w:val="both"/>
            </w:pPr>
            <w:r>
              <w:rPr>
                <w:rFonts w:ascii="仿宋_GB2312" w:hAnsi="仿宋_GB2312" w:cs="仿宋_GB2312" w:eastAsia="仿宋_GB2312"/>
              </w:rPr>
              <w:t>应急处理方案</w:t>
            </w:r>
          </w:p>
        </w:tc>
        <w:tc>
          <w:tcPr>
            <w:tcW w:type="dxa" w:w="2492"/>
          </w:tcPr>
          <w:p>
            <w:pPr>
              <w:pStyle w:val="null3"/>
              <w:jc w:val="both"/>
            </w:pPr>
            <w:r>
              <w:rPr>
                <w:rFonts w:ascii="仿宋_GB2312" w:hAnsi="仿宋_GB2312" w:cs="仿宋_GB2312" w:eastAsia="仿宋_GB2312"/>
              </w:rPr>
              <w:t>根据投标人提供的应急处理方案（内容包括但不限于：突发事件分析及应对措施、应急人员安排等）进行综合评审： （1）应急处理方案编制内容详细、考虑问题全面完整，科学合理，有针对性，实施流程规范程度较高，完全符合项目实际情况，得15分； （2）应急处理方案编制内容较详细、考虑问题较完整，有较强的针对性，较好符合项目实际情况，得12分 （3）应急处理方案编制内容具有一定的针对性，但考虑问题不够全面，基本符合项目实际情况，得9分； （4）应急处理方案编制内容缺乏针对性、考虑问题未充分针对本项目特点，得6分。 （5）应急处理方案编制内容有缺、不合理，难以满足项目需求得3分。 （6）不提供不得分。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其他证明材料（若有）</w:t>
            </w:r>
          </w:p>
        </w:tc>
      </w:tr>
      <w:tr>
        <w:tc>
          <w:tcPr>
            <w:tcW w:type="dxa" w:w="831"/>
            <w:vMerge/>
          </w:tcPr>
          <w:p/>
        </w:tc>
        <w:tc>
          <w:tcPr>
            <w:tcW w:type="dxa" w:w="1661"/>
          </w:tcPr>
          <w:p>
            <w:pPr>
              <w:pStyle w:val="null3"/>
              <w:jc w:val="both"/>
            </w:pPr>
            <w:r>
              <w:rPr>
                <w:rFonts w:ascii="仿宋_GB2312" w:hAnsi="仿宋_GB2312" w:cs="仿宋_GB2312" w:eastAsia="仿宋_GB2312"/>
              </w:rPr>
              <w:t>环境保护管理措施</w:t>
            </w:r>
          </w:p>
        </w:tc>
        <w:tc>
          <w:tcPr>
            <w:tcW w:type="dxa" w:w="2492"/>
          </w:tcPr>
          <w:p>
            <w:pPr>
              <w:pStyle w:val="null3"/>
              <w:jc w:val="both"/>
            </w:pPr>
            <w:r>
              <w:rPr>
                <w:rFonts w:ascii="仿宋_GB2312" w:hAnsi="仿宋_GB2312" w:cs="仿宋_GB2312" w:eastAsia="仿宋_GB2312"/>
              </w:rPr>
              <w:t>根据投标人提供的环境保护管理措施（内容包括但不限于：污泥处理工艺对环境保护管理的影响、保护措施等）进行综合评审： （1）环境保护管理措施编制内容详细、考虑问题全面完整，科学合理，有针对性，实施流程规范程度较高，完全符合项目实际情况，得15分； （2）环境保护管理措施编制内容较详细、考虑问题较完整，有较强的针对性，较好符合项目实际情况，得12分 （3）环境保护管理措施编制内容具有一定的针对性，但考虑问题不够全面，基本符合项目实际情况，得9分； （4）环境保护管理措施编制内容缺乏针对性、考虑问题未充分针对本项目特点，得6分。 （5）环境保护管理措施编制内容有缺、不合理，难以满足项目需求得3分。 （6）不提供不得分。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其他证明材料（若有）</w:t>
            </w:r>
          </w:p>
        </w:tc>
      </w:tr>
      <w:tr>
        <w:tc>
          <w:tcPr>
            <w:tcW w:type="dxa" w:w="831"/>
            <w:vMerge/>
          </w:tcPr>
          <w:p/>
        </w:tc>
        <w:tc>
          <w:tcPr>
            <w:tcW w:type="dxa" w:w="1661"/>
          </w:tcPr>
          <w:p>
            <w:pPr>
              <w:pStyle w:val="null3"/>
              <w:jc w:val="both"/>
            </w:pPr>
            <w:r>
              <w:rPr>
                <w:rFonts w:ascii="仿宋_GB2312" w:hAnsi="仿宋_GB2312" w:cs="仿宋_GB2312" w:eastAsia="仿宋_GB2312"/>
              </w:rPr>
              <w:t>服务质量保证方案</w:t>
            </w:r>
          </w:p>
        </w:tc>
        <w:tc>
          <w:tcPr>
            <w:tcW w:type="dxa" w:w="2492"/>
          </w:tcPr>
          <w:p>
            <w:pPr>
              <w:pStyle w:val="null3"/>
              <w:jc w:val="both"/>
            </w:pPr>
            <w:r>
              <w:rPr>
                <w:rFonts w:ascii="仿宋_GB2312" w:hAnsi="仿宋_GB2312" w:cs="仿宋_GB2312" w:eastAsia="仿宋_GB2312"/>
              </w:rPr>
              <w:t>根据投标人提供的服务质量保证方案（内容包括但不限于：服务管理目标、质量保证标准、质量管控机构、质量保证措施等）进行综合评审： （1）服务质量保证方案编制内容详细、考虑问题全面完整，科学合理，有针对性，实施流程规范程度较高，完全符合项目实际情况，得15分； （2）服务质量保证方案编制内容较详细、考虑问题较完整，有较强的针对性，较好符合项目实际情况，得12分 （3）服务质量保证方案编制内容具有一定的针对性，但考虑问题不够全面，基本符合项目实际情况，得9分； （4）服务质量保证方案编制内容缺乏针对性、考虑问题未充分针对本项目特点，得6分。 （5）服务质量保证方案编制内容有缺、不合理，难以满足项目需求得3分。 （6）不提供不得分。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其他证明材料（若有）</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投标人2022年1月1日至今（时间以合同签订的时间为准）承接过污泥处理服务项目业绩的，每提供一个得5分，本项满分5分。 证明材料：提供业绩合同扫描件加盖公章。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其他证明材料（若有）</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HNHGT2025-128</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2025年海口市60吨每日垃圾渗滤液污泥掺烧处理服务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2025年海口市60吨每日垃圾渗滤液污泥掺烧处理服务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合同履行期限（服务期限、服务时间）</w:t>
            </w:r>
          </w:p>
        </w:tc>
        <w:tc>
          <w:tcPr>
            <w:tcW w:type="dxa" w:w="1038"/>
          </w:tcPr>
          <w:p>
            <w:pPr>
              <w:pStyle w:val="null3"/>
              <w:jc w:val="left"/>
            </w:pPr>
            <w:r>
              <w:rPr>
                <w:rFonts w:ascii="仿宋_GB2312" w:hAnsi="仿宋_GB2312" w:cs="仿宋_GB2312" w:eastAsia="仿宋_GB2312"/>
              </w:rPr>
              <w:t xml:space="preserve"> /</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2025年海口市60吨每日垃圾渗滤液污泥掺烧处理服务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7969000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备注：本项目按总价进行报价，但不以总价包干形式履约，投标总价作为投标人报价得分的依据，合同结算金额按中标单价乘以实际污泥处理量据实结算。</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详见附件：商务响应表</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详见附件：“供应商资格要求”中要求的其他相关文件（若有）</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详见附件：其他证明材料（若有）</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详见附件：投标人其他承诺及声明函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