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医保支付方式改革（海南省医疗保障局DIP付费改革第三方购买服务二期项目）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HNZC2025-062-001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海南省医疗保障局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海南省医疗保障局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医保支付方式改革（海南省医疗保障局DIP付费改革第三方购买服务二期项目）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HNZC2025-062-001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医保支付方式改革（海南省医疗保障局DIP付费改革第三方购买服务二期项目）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4,901,600.00元</w:t>
      </w:r>
      <w:r>
        <w:rPr>
          <w:rFonts w:ascii="仿宋_GB2312" w:hAnsi="仿宋_GB2312" w:cs="仿宋_GB2312" w:eastAsia="仿宋_GB2312"/>
        </w:rPr>
        <w:t>肆佰玖拾万零壹仟陆佰元整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海南省医疗保障局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海南省海口市琼山区红城湖路100号省机关红城湖办公区11号楼北侧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0898-65395580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采购包1：4,901,600.00元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3.本项目专门面向中小企业采购，专门面向中小企业采购的项目，不再享受价格扣除优惠政策。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家医疗保障局关于印发DRG/DIP支付方式改革三年行动计划的通知》（医保发〔2021〕48号）、《国家医疗保障局办公室关于印发按病组和病种分值付费2.0版分组方案并深入推进相关工作的通知》（医保办发〔2024〕9号）等文件精神，海南省医保局制定了详细的DIP付费改革工作方案，并分阶段推进实施。</w:t>
      </w:r>
      <w:r>
        <w:br/>
      </w:r>
      <w:r>
        <w:rPr>
          <w:rFonts w:ascii="仿宋_GB2312" w:hAnsi="仿宋_GB2312" w:cs="仿宋_GB2312" w:eastAsia="仿宋_GB2312"/>
        </w:rPr>
        <w:t xml:space="preserve">       自国家医保局发布DRG/DIP支付方式改革三年行动计划以来，海南省医保局积极响应并稳步推进相关工作，旨在通过先进的支付方式改革优化医保基金的使用效率，提升医疗服务质量和可及性。经过海南省医保局DIP付费改革一期项目的开展，海南省DIP付费改革工作已取得初步成效，但仍需进一步延续和深化。为此，海南省医保局决定启动DIP付费改革第三方购买服务二期项目，以进一步推动改革进程，实现医保基金管理和医疗服务管理的双重提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4,901,600.00</w:t>
      </w:r>
    </w:p>
    <w:p>
      <w:pPr>
        <w:pStyle w:val="null3"/>
        <w:jc w:val="left"/>
      </w:pPr>
      <w:r>
        <w:rPr>
          <w:rFonts w:ascii="仿宋_GB2312" w:hAnsi="仿宋_GB2312" w:cs="仿宋_GB2312" w:eastAsia="仿宋_GB2312"/>
        </w:rPr>
        <w:t>采购包最高限价（元）: 4,901,600.00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4,901,600.00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一、服务目标</w:t>
            </w:r>
            <w:r>
              <w:br/>
            </w:r>
            <w:r>
              <w:rPr>
                <w:rFonts w:ascii="仿宋_GB2312" w:hAnsi="仿宋_GB2312" w:cs="仿宋_GB2312" w:eastAsia="仿宋_GB2312"/>
              </w:rPr>
              <w:t xml:space="preserve"> 健全海南医保支付机制和利益调控机制，实行精细化管理，激发医疗机构规范行为、控制成本、合理收治和转诊患者的内生动力，引导医疗资源合理配置和患者有序就医，支持建立分级诊疗模式和基层医疗卫生机构健康发展，切实保障广大参保人员基本医疗权益和医保制度长期可持续发展。</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（一）省级关键要素管理服务</w:t>
            </w:r>
            <w:r>
              <w:br/>
            </w:r>
            <w:r>
              <w:rPr>
                <w:rFonts w:ascii="仿宋_GB2312" w:hAnsi="仿宋_GB2312" w:cs="仿宋_GB2312" w:eastAsia="仿宋_GB2312"/>
              </w:rPr>
              <w:t xml:space="preserve"> 基于国家医保局下发的病种分值（DIP）付费最新版分组方案提供海南省DIP关键要素测算，包括：DIP新版分组方案测算、点值测算、医疗机构权重系数测算支持等服务，确保全省分组方案贴合实际情况，确保真实性、公平性、可持续性。</w:t>
            </w:r>
            <w:r>
              <w:br/>
            </w:r>
            <w:r>
              <w:rPr>
                <w:rFonts w:ascii="仿宋_GB2312" w:hAnsi="仿宋_GB2312" w:cs="仿宋_GB2312" w:eastAsia="仿宋_GB2312"/>
              </w:rPr>
              <w:t xml:space="preserve"> ①DIP新版分组方案测算</w:t>
            </w:r>
            <w:r>
              <w:br/>
            </w:r>
            <w:r>
              <w:rPr>
                <w:rFonts w:ascii="仿宋_GB2312" w:hAnsi="仿宋_GB2312" w:cs="仿宋_GB2312" w:eastAsia="仿宋_GB2312"/>
              </w:rPr>
              <w:t xml:space="preserve"> 以国家版DIP最新版技术规范为基础，对历史数据进行本地目录测算，通过统计学方法对于分组结果进行裁剪、聚类或者细分，形成初版本地版目录库。经全省范围内公开征集本地版目录库意见，充分协商研讨和科学论证，最终确定海南省统一新版DIP病种目录库。</w:t>
            </w:r>
            <w:r>
              <w:br/>
            </w:r>
            <w:r>
              <w:rPr>
                <w:rFonts w:ascii="仿宋_GB2312" w:hAnsi="仿宋_GB2312" w:cs="仿宋_GB2312" w:eastAsia="仿宋_GB2312"/>
              </w:rPr>
              <w:t xml:space="preserve"> ②点值测算</w:t>
            </w:r>
            <w:r>
              <w:br/>
            </w:r>
            <w:r>
              <w:rPr>
                <w:rFonts w:ascii="仿宋_GB2312" w:hAnsi="仿宋_GB2312" w:cs="仿宋_GB2312" w:eastAsia="仿宋_GB2312"/>
              </w:rPr>
              <w:t xml:space="preserve"> 通过年度医保可支付基金额、医保支付比例及DIP病例总分值计算分值点值，再根据每一个病种组合的分值形成支付标准，结合DIP辅助目录，对不同级别的医疗机构建立分值点值调节机制，依据医保目录以及不同人群的医保待遇政策，通过月度预付和年度考核清算等步骤兑现医保基金支付。</w:t>
            </w:r>
            <w:r>
              <w:br/>
            </w:r>
            <w:r>
              <w:rPr>
                <w:rFonts w:ascii="仿宋_GB2312" w:hAnsi="仿宋_GB2312" w:cs="仿宋_GB2312" w:eastAsia="仿宋_GB2312"/>
              </w:rPr>
              <w:t xml:space="preserve"> ③医疗机构权重系数测算支持</w:t>
            </w:r>
            <w:r>
              <w:br/>
            </w:r>
            <w:r>
              <w:rPr>
                <w:rFonts w:ascii="仿宋_GB2312" w:hAnsi="仿宋_GB2312" w:cs="仿宋_GB2312" w:eastAsia="仿宋_GB2312"/>
              </w:rPr>
              <w:t xml:space="preserve"> 根据海南省支付方式改革工作要求，结合实际数据对DIP付费定点医疗机构权重系数、医疗机构考核系数、医疗机构调节系数等进行测算支持，激励引导定点医疗机构良性发展。</w:t>
            </w:r>
            <w:r>
              <w:br/>
            </w:r>
            <w:r>
              <w:rPr>
                <w:rFonts w:ascii="仿宋_GB2312" w:hAnsi="仿宋_GB2312" w:cs="仿宋_GB2312" w:eastAsia="仿宋_GB2312"/>
              </w:rPr>
              <w:t xml:space="preserve"> （二）数据质量控制支撑服务</w:t>
            </w:r>
            <w:r>
              <w:br/>
            </w:r>
            <w:r>
              <w:rPr>
                <w:rFonts w:ascii="仿宋_GB2312" w:hAnsi="仿宋_GB2312" w:cs="仿宋_GB2312" w:eastAsia="仿宋_GB2312"/>
              </w:rPr>
              <w:t xml:space="preserve"> ①伴随支付方式改革持续深入推进，数据质量要求呈现出不断攀升的态势。在此宏观背景下，广泛收集融合国内先进经验、结合海南省本地支付改革的数据实际情况，全力构建适配本地的数据质控规则体系，推动数据质控规则从基础数据规则维度向临床内涵质控规则维度转变。着力提升结算清单填报质量，促进医疗机构临床路径的规范化与精细化管理。</w:t>
            </w:r>
            <w:r>
              <w:br/>
            </w:r>
            <w:r>
              <w:rPr>
                <w:rFonts w:ascii="仿宋_GB2312" w:hAnsi="仿宋_GB2312" w:cs="仿宋_GB2312" w:eastAsia="仿宋_GB2312"/>
              </w:rPr>
              <w:t xml:space="preserve"> ②应用DIP服务工具保障质控规则的自定义配置，持续开展面向经办机构、医疗机构的数据质控结果分析及反馈服务，指导医疗机构整改，做好数据质量支撑服务。</w:t>
            </w:r>
            <w:r>
              <w:br/>
            </w:r>
            <w:r>
              <w:rPr>
                <w:rFonts w:ascii="仿宋_GB2312" w:hAnsi="仿宋_GB2312" w:cs="仿宋_GB2312" w:eastAsia="仿宋_GB2312"/>
              </w:rPr>
              <w:t xml:space="preserve"> （三）支付改革政策优化服务</w:t>
            </w:r>
            <w:r>
              <w:br/>
            </w:r>
            <w:r>
              <w:rPr>
                <w:rFonts w:ascii="仿宋_GB2312" w:hAnsi="仿宋_GB2312" w:cs="仿宋_GB2312" w:eastAsia="仿宋_GB2312"/>
              </w:rPr>
              <w:t xml:space="preserve"> ①随着支付方式改革的继续推进和持续深化，定期开展政策实施效果反馈，积极收集海南省各市、县医保局的反馈意见，针对支付改革相关配套政策在实施过程中收集的相关问题，组织专家进行论证、讨论，综合专家意见对相关方案进行合理调整和修订，修订后及时面向全省公示发布。同时，协助草拟和修订省级政策措施的配套文件等。</w:t>
            </w:r>
            <w:r>
              <w:br/>
            </w:r>
            <w:r>
              <w:rPr>
                <w:rFonts w:ascii="仿宋_GB2312" w:hAnsi="仿宋_GB2312" w:cs="仿宋_GB2312" w:eastAsia="仿宋_GB2312"/>
              </w:rPr>
              <w:t xml:space="preserve"> ②针对海南省医保政策相关要求，参考国内成功经验，制定符合海南省实际情况的本地化门诊支付方式改革方案，对门诊付费改革数据处理、数据分析，并对门诊支付方式改革进行付费探索，协助省级统筹完成门诊支付方式改革政策落地。</w:t>
            </w:r>
            <w:r>
              <w:br/>
            </w:r>
            <w:r>
              <w:rPr>
                <w:rFonts w:ascii="仿宋_GB2312" w:hAnsi="仿宋_GB2312" w:cs="仿宋_GB2312" w:eastAsia="仿宋_GB2312"/>
              </w:rPr>
              <w:t xml:space="preserve"> ③结合海南省DIP支付方式改革推进进度和业务特点，参考国内成功经验，制定符合海南省实际情况的本地化中医优势病组，针对涉及到中医病组的医疗机构，建立符合中医药特点的海南省DIP支付方式与中医融合推进机制。</w:t>
            </w:r>
            <w:r>
              <w:br/>
            </w:r>
            <w:r>
              <w:rPr>
                <w:rFonts w:ascii="仿宋_GB2312" w:hAnsi="仿宋_GB2312" w:cs="仿宋_GB2312" w:eastAsia="仿宋_GB2312"/>
              </w:rPr>
              <w:t xml:space="preserve"> ④收集调研全省各级医疗机构精神类、康复类以及长期住院医疗服务的住院费用情况，分析各病种在各级医疗机构的分布及费用情况等，同时参考外省成功地市开展经验，制定契合海南省各统筹区的融合支析付可行性方案。</w:t>
            </w:r>
            <w:r>
              <w:br/>
            </w:r>
            <w:r>
              <w:rPr>
                <w:rFonts w:ascii="仿宋_GB2312" w:hAnsi="仿宋_GB2312" w:cs="仿宋_GB2312" w:eastAsia="仿宋_GB2312"/>
              </w:rPr>
              <w:t xml:space="preserve"> （四）业务培训及指导服务</w:t>
            </w:r>
            <w:r>
              <w:br/>
            </w:r>
            <w:r>
              <w:rPr>
                <w:rFonts w:ascii="仿宋_GB2312" w:hAnsi="仿宋_GB2312" w:cs="仿宋_GB2312" w:eastAsia="仿宋_GB2312"/>
              </w:rPr>
              <w:t xml:space="preserve"> ①培训服务</w:t>
            </w:r>
            <w:r>
              <w:br/>
            </w:r>
            <w:r>
              <w:rPr>
                <w:rFonts w:ascii="仿宋_GB2312" w:hAnsi="仿宋_GB2312" w:cs="仿宋_GB2312" w:eastAsia="仿宋_GB2312"/>
              </w:rPr>
              <w:t xml:space="preserve"> 为全省医保部门及医疗机构提供DIP咨询和培训服务。 组建培训专家团队，制定全省统一分组的培训方案，包括培训目标、培训计划和培训内容等，针对各市、县医疗保障局，经办机构及医疗机构支付方式改革相关负责人员，开展多种形式的最新政策解读、最新DIP分组方案等内容的知识培训。</w:t>
            </w:r>
            <w:r>
              <w:br/>
            </w:r>
            <w:r>
              <w:rPr>
                <w:rFonts w:ascii="仿宋_GB2312" w:hAnsi="仿宋_GB2312" w:cs="仿宋_GB2312" w:eastAsia="仿宋_GB2312"/>
              </w:rPr>
              <w:t xml:space="preserve"> ②违规监管指导服务</w:t>
            </w:r>
            <w:r>
              <w:br/>
            </w:r>
            <w:r>
              <w:rPr>
                <w:rFonts w:ascii="仿宋_GB2312" w:hAnsi="仿宋_GB2312" w:cs="仿宋_GB2312" w:eastAsia="仿宋_GB2312"/>
              </w:rPr>
              <w:t xml:space="preserve"> 继续发挥海南省二期平台智能监管模块功能，在业务开展过程中提出对相关系统功能优化建议，持续搭配线下的技术指导和对实现路径的探索和研究。为国家及省医保支付方式改革监管方面的平台做好支撑，在业务开展过程中提出对相关系统功能提出优化建议。</w:t>
            </w:r>
            <w:r>
              <w:br/>
            </w:r>
            <w:r>
              <w:rPr>
                <w:rFonts w:ascii="仿宋_GB2312" w:hAnsi="仿宋_GB2312" w:cs="仿宋_GB2312" w:eastAsia="仿宋_GB2312"/>
              </w:rPr>
              <w:t xml:space="preserve"> （五）支付过程管理服务</w:t>
            </w:r>
            <w:r>
              <w:br/>
            </w:r>
            <w:r>
              <w:rPr>
                <w:rFonts w:ascii="仿宋_GB2312" w:hAnsi="仿宋_GB2312" w:cs="仿宋_GB2312" w:eastAsia="仿宋_GB2312"/>
              </w:rPr>
              <w:t xml:space="preserve"> ①业务配置服务支撑。协助各经办单位在省医保信息平台DIP模块实现相关业务配置，包括但不限于核心要素配置（总额预算、点值、分组方案、医疗机构考核系数等）、月度年清政策配置（中医优势病种、基层病种、精神类疾病、特需服务项目补偿、乐城特许药械补偿、社会办医补偿、双侧补偿病例、国谈药补偿等政策），同时支持相关政策参数、算法动态调整，保障各级经办业务平稳顺利开展。</w:t>
            </w:r>
            <w:r>
              <w:br/>
            </w:r>
            <w:r>
              <w:rPr>
                <w:rFonts w:ascii="仿宋_GB2312" w:hAnsi="仿宋_GB2312" w:cs="仿宋_GB2312" w:eastAsia="仿宋_GB2312"/>
              </w:rPr>
              <w:t xml:space="preserve"> ②基金全流程管理。在省级统筹的宏观框架下，夯实过程管理，指导各市县医保部门强化医保基金“基金预拨付、月度预清算、年度清算”的结算支付全流程管理体系。面向全省各级经办机构与医疗机构，全面贯彻医保支付方式改革政策方向，解读支付参数算法，确保政策执行的一致性与准确性。同时协同各级经办机构，完成月度、年度结算数据报表及其他相关报告。</w:t>
            </w:r>
            <w:r>
              <w:br/>
            </w:r>
            <w:r>
              <w:rPr>
                <w:rFonts w:ascii="仿宋_GB2312" w:hAnsi="仿宋_GB2312" w:cs="仿宋_GB2312" w:eastAsia="仿宋_GB2312"/>
              </w:rPr>
              <w:t xml:space="preserve"> ③示范医院建设与评估。协助海南省医保局遴选在医保结算清单质量控制、病种结构优化调整、绩效管理等考核角度综合排名前列的医院，以示范促发展，调动定点医疗机构在支付方式改革中的积极性，促进医疗资源合理分配，更好体现医务人员劳务价值，推进支付方式改革工作纵深发展。</w:t>
            </w:r>
            <w:r>
              <w:br/>
            </w:r>
            <w:r>
              <w:rPr>
                <w:rFonts w:ascii="仿宋_GB2312" w:hAnsi="仿宋_GB2312" w:cs="仿宋_GB2312" w:eastAsia="仿宋_GB2312"/>
              </w:rPr>
              <w:t xml:space="preserve"> ④病案疑点数据初筛。进一步强化基金风险管理，依托DIP服务工具，配置相应项目合规、编码合规、入组合规、支付合规以及行为合规等维度的筛查规则，以围绕 DIP 结算方式潜在引发的各类违规行为为切入点，深入开展数据筛查与分析工作，精准定位异常病例，为海南省各级经办部门提供具有指向性的违规病例疑点数据支撑。</w:t>
            </w:r>
            <w:r>
              <w:br/>
            </w:r>
            <w:r>
              <w:rPr>
                <w:rFonts w:ascii="仿宋_GB2312" w:hAnsi="仿宋_GB2312" w:cs="仿宋_GB2312" w:eastAsia="仿宋_GB2312"/>
              </w:rPr>
              <w:t xml:space="preserve"> （六）DIP绩效评价服务</w:t>
            </w:r>
            <w:r>
              <w:br/>
            </w:r>
            <w:r>
              <w:rPr>
                <w:rFonts w:ascii="仿宋_GB2312" w:hAnsi="仿宋_GB2312" w:cs="仿宋_GB2312" w:eastAsia="仿宋_GB2312"/>
              </w:rPr>
              <w:t xml:space="preserve"> ①建立DIP指标评价体系，每年动态调整。定期开展DIP指标评价分析，按照省、市（县）维度，对医疗机构等级、医疗机构类别等维度进行横向和纵向分析，按月、季、年出具省级、各市（县）、全省各定点医疗机构绩效评价报告，报告包括但不限于数据质量、服务能力、服务效率、服务质量、基金治理情况的分析等。</w:t>
            </w:r>
            <w:r>
              <w:br/>
            </w:r>
            <w:r>
              <w:rPr>
                <w:rFonts w:ascii="仿宋_GB2312" w:hAnsi="仿宋_GB2312" w:cs="仿宋_GB2312" w:eastAsia="仿宋_GB2312"/>
              </w:rPr>
              <w:t xml:space="preserve"> ②使用DIP服务工具支撑开展海南省DIP指标绩效评价体系的构建，以满足年终清算及日常绩效评价管理需要，绩效评价结果可以与医疗机构考核、基金分配等相关联。</w:t>
            </w:r>
            <w:r>
              <w:br/>
            </w:r>
            <w:r>
              <w:rPr>
                <w:rFonts w:ascii="仿宋_GB2312" w:hAnsi="仿宋_GB2312" w:cs="仿宋_GB2312" w:eastAsia="仿宋_GB2312"/>
              </w:rPr>
              <w:t xml:space="preserve"> （七）DIP运行监测服务</w:t>
            </w:r>
            <w:r>
              <w:br/>
            </w:r>
            <w:r>
              <w:rPr>
                <w:rFonts w:ascii="仿宋_GB2312" w:hAnsi="仿宋_GB2312" w:cs="仿宋_GB2312" w:eastAsia="仿宋_GB2312"/>
              </w:rPr>
              <w:t xml:space="preserve"> ①建立运行监测指标体系。协助海南省医保局建立运行监测指标体系，全面了解全省医保支付方式改革的实际情况，全面准确掌握 DIP 实施中的结算情况、入组情况及医疗机构数据质量，以提升医保基金使用效率，优化资源配置，加强对医疗机构的管控，保证医保政策有效执行与持续优化。</w:t>
            </w:r>
            <w:r>
              <w:br/>
            </w:r>
            <w:r>
              <w:rPr>
                <w:rFonts w:ascii="仿宋_GB2312" w:hAnsi="仿宋_GB2312" w:cs="仿宋_GB2312" w:eastAsia="仿宋_GB2312"/>
              </w:rPr>
              <w:t xml:space="preserve"> 通过针对运行过程中的关键指标体系进行监测分析，使用DIP服务工具实现海南省DIP支付改革运行情况进行监测。</w:t>
            </w:r>
            <w:r>
              <w:br/>
            </w:r>
            <w:r>
              <w:rPr>
                <w:rFonts w:ascii="仿宋_GB2312" w:hAnsi="仿宋_GB2312" w:cs="仿宋_GB2312" w:eastAsia="仿宋_GB2312"/>
              </w:rPr>
              <w:t xml:space="preserve"> ②运行分析报告支撑服务。对全省DIP运行数据分析，包括但不限于结算清单质量、疾病收治结构、医疗机构诊疗行为、医疗服务质量、医疗服务效率等方面，对DIP病种趋势分析、DIP病种费用进行分析，并按半年度和年度形成分析报告。结合数据工作组工作相关要求，分别提供每月、季度、半年、年度对应指标数据分析及公示服务，配合全省医保部门完成数据发布活动，为数据工作组提供相关数据，开展数据分析，发现存在的不足和异常情况、基金监管疑似违规线索等，研判可能存在的问题。</w:t>
            </w:r>
            <w:r>
              <w:br/>
            </w:r>
            <w:r>
              <w:rPr>
                <w:rFonts w:ascii="仿宋_GB2312" w:hAnsi="仿宋_GB2312" w:cs="仿宋_GB2312" w:eastAsia="仿宋_GB2312"/>
              </w:rPr>
              <w:t xml:space="preserve"> （八）DIP系统运行支撑系统运营服务</w:t>
            </w:r>
            <w:r>
              <w:br/>
            </w:r>
            <w:r>
              <w:rPr>
                <w:rFonts w:ascii="仿宋_GB2312" w:hAnsi="仿宋_GB2312" w:cs="仿宋_GB2312" w:eastAsia="仿宋_GB2312"/>
              </w:rPr>
              <w:t xml:space="preserve"> ①在现有海南省DIP一期项目年终清算管理模块的基础上，持续提高信息化服务保障能力，以支撑中医优势病种、基层病种、精神类疾病、特需服务项目、乐城特许药械、社会办医补偿、双侧补偿病例、国谈药补偿等结算政策进一步适配应用。</w:t>
            </w:r>
            <w:r>
              <w:br/>
            </w:r>
            <w:r>
              <w:rPr>
                <w:rFonts w:ascii="仿宋_GB2312" w:hAnsi="仿宋_GB2312" w:cs="仿宋_GB2312" w:eastAsia="仿宋_GB2312"/>
              </w:rPr>
              <w:t xml:space="preserve"> ②支撑全国统一医保信息平台DIP功能模块日常运维工作，保障系统安全稳定运行，包括但不限于支持系统版本部署升级、功能测试联调、标准方案同步、质控分组、月度预结算、年终清算等系统保障工作。</w:t>
            </w:r>
            <w:r>
              <w:br/>
            </w:r>
            <w:r>
              <w:rPr>
                <w:rFonts w:ascii="仿宋_GB2312" w:hAnsi="仿宋_GB2312" w:cs="仿宋_GB2312" w:eastAsia="仿宋_GB2312"/>
              </w:rPr>
              <w:t xml:space="preserve"> ③支撑本地相关业务系统的对接联调、DIP核心数据归集、服务器漏洞整改、异常数据处理等信息化服务工作。</w:t>
            </w:r>
            <w:r>
              <w:br/>
            </w:r>
            <w:r>
              <w:rPr>
                <w:rFonts w:ascii="仿宋_GB2312" w:hAnsi="仿宋_GB2312" w:cs="仿宋_GB2312" w:eastAsia="仿宋_GB2312"/>
              </w:rPr>
              <w:t xml:space="preserve"> ④持续助力全省各医保单位的DIP支付改革运营数据提取、统计工作，包括但不限于推动医疗机构精细化管理，促进医疗机构注重学科建设、技术提升，助力分级诊疗等维度指标。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一、服务要求</w:t>
            </w:r>
            <w:r>
              <w:br/>
            </w:r>
            <w:r>
              <w:rPr>
                <w:rFonts w:ascii="仿宋_GB2312" w:hAnsi="仿宋_GB2312" w:cs="仿宋_GB2312" w:eastAsia="仿宋_GB2312"/>
              </w:rPr>
              <w:t xml:space="preserve">  （一）项目团队要求</w:t>
            </w:r>
            <w:r>
              <w:br/>
            </w:r>
            <w:r>
              <w:rPr>
                <w:rFonts w:ascii="仿宋_GB2312" w:hAnsi="仿宋_GB2312" w:cs="仿宋_GB2312" w:eastAsia="仿宋_GB2312"/>
              </w:rPr>
              <w:t xml:space="preserve">  供应商需提供不少于10人的项目团队，其中项目驻场人员不少于5人，驻场团队人员须配备涵盖医学或药学、计算机、统计学等相关专业背景，且要求项目团队熟悉海南省医保业务流程、政策及系统现状。在服务期内，驻场人员必须长驻服务现场处理问题或交流情况，具备专业咨询服务能力。</w:t>
            </w:r>
            <w:r>
              <w:br/>
            </w:r>
            <w:r>
              <w:rPr>
                <w:rFonts w:ascii="仿宋_GB2312" w:hAnsi="仿宋_GB2312" w:cs="仿宋_GB2312" w:eastAsia="仿宋_GB2312"/>
              </w:rPr>
              <w:t xml:space="preserve">  （二）服务期限要求</w:t>
            </w:r>
            <w:r>
              <w:br/>
            </w:r>
            <w:r>
              <w:rPr>
                <w:rFonts w:ascii="仿宋_GB2312" w:hAnsi="仿宋_GB2312" w:cs="仿宋_GB2312" w:eastAsia="仿宋_GB2312"/>
              </w:rPr>
              <w:t xml:space="preserve">  1、服务内容中：（一）省级关键要素管理、（二）数据质量控制服务、（三）支付改革政策优化服务、（四）政策咨询及培训服务、（五）支付过程管理服务等服务内容，服务期限：自合同签订之日起至2027年12月31日止；</w:t>
            </w:r>
            <w:r>
              <w:br/>
            </w:r>
            <w:r>
              <w:rPr>
                <w:rFonts w:ascii="仿宋_GB2312" w:hAnsi="仿宋_GB2312" w:cs="仿宋_GB2312" w:eastAsia="仿宋_GB2312"/>
              </w:rPr>
              <w:t xml:space="preserve">  2、服务内容中：（六）DIP绩效评价、（七）DIP运行监测服务中，咨询服务相关工作服务期限：自合同签订之日起至2027年12月31日，信息化工具支撑相关工作服务期限：自合同签订之日起至2026年12月31日止。</w:t>
            </w:r>
            <w:r>
              <w:br/>
            </w:r>
            <w:r>
              <w:rPr>
                <w:rFonts w:ascii="仿宋_GB2312" w:hAnsi="仿宋_GB2312" w:cs="仿宋_GB2312" w:eastAsia="仿宋_GB2312"/>
              </w:rPr>
              <w:t xml:space="preserve">  3、服务内容中：（八）DIP系统运行支撑系统运营服务内容，服务期限：自合同签订之日起至2026年12月31日止。</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（四）采购资金的支付方式、时间、条件：2025年签订合同后支付总金额40%；2026年计划支付总金额的50%；第三年项目验收合格后支付总金额10%。（具体细节以合同为准）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是否满足招标文件第三章采购需求书中带“★”的要求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商务部分55.00分</w:t>
            </w:r>
          </w:p>
          <w:p>
            <w:pPr>
              <w:pStyle w:val="null3"/>
              <w:jc w:val="both"/>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需求理解及分析</w:t>
            </w:r>
          </w:p>
        </w:tc>
        <w:tc>
          <w:tcPr>
            <w:tcW w:type="dxa" w:w="2492"/>
          </w:tcPr>
          <w:p>
            <w:pPr>
              <w:pStyle w:val="null3"/>
              <w:jc w:val="both"/>
            </w:pPr>
            <w:r>
              <w:rPr>
                <w:rFonts w:ascii="仿宋_GB2312" w:hAnsi="仿宋_GB2312" w:cs="仿宋_GB2312" w:eastAsia="仿宋_GB2312"/>
              </w:rPr>
              <w:t>根据投标人提供的针对本项目的需求理解及分析进行评审（包括但不限于①项目理解和项目所在地区现状的分析、②政策分析、项目的必要性分析、任务和要求、③对本项目重难点分析以及解决方案）： 本项满分6分，每缺少一项扣2分，每有一项内容存在缺陷的该项扣1分，未提供不得分。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省级关键要素管理方案</w:t>
            </w:r>
          </w:p>
        </w:tc>
        <w:tc>
          <w:tcPr>
            <w:tcW w:type="dxa" w:w="2492"/>
          </w:tcPr>
          <w:p>
            <w:pPr>
              <w:pStyle w:val="null3"/>
              <w:jc w:val="both"/>
            </w:pPr>
            <w:r>
              <w:rPr>
                <w:rFonts w:ascii="仿宋_GB2312" w:hAnsi="仿宋_GB2312" w:cs="仿宋_GB2312" w:eastAsia="仿宋_GB2312"/>
              </w:rPr>
              <w:t>根据投标人提供的针对本项目的省级关键要素管理方案进行评审（包括但不限于①服务流程设计、②组织管理、③风险及应对管理）：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数据质量控制服务方案</w:t>
            </w:r>
          </w:p>
        </w:tc>
        <w:tc>
          <w:tcPr>
            <w:tcW w:type="dxa" w:w="2492"/>
          </w:tcPr>
          <w:p>
            <w:pPr>
              <w:pStyle w:val="null3"/>
              <w:jc w:val="both"/>
            </w:pPr>
            <w:r>
              <w:rPr>
                <w:rFonts w:ascii="仿宋_GB2312" w:hAnsi="仿宋_GB2312" w:cs="仿宋_GB2312" w:eastAsia="仿宋_GB2312"/>
              </w:rPr>
              <w:t>根据投标人提供的针对本项目的数据质量控制服务方案进行评审（包括但不限于①服务流程设计、②组织管理、③风险及应对管理）：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支付改革政策优化服务方案</w:t>
            </w:r>
          </w:p>
        </w:tc>
        <w:tc>
          <w:tcPr>
            <w:tcW w:type="dxa" w:w="2492"/>
          </w:tcPr>
          <w:p>
            <w:pPr>
              <w:pStyle w:val="null3"/>
              <w:jc w:val="both"/>
            </w:pPr>
            <w:r>
              <w:rPr>
                <w:rFonts w:ascii="仿宋_GB2312" w:hAnsi="仿宋_GB2312" w:cs="仿宋_GB2312" w:eastAsia="仿宋_GB2312"/>
              </w:rPr>
              <w:t>根据投标人提供的针对本项目的支付改革政策优化服务方案进行评审（包括但不限于①服务流程设计、②组织管理、③风险及应对管理）：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政策咨询及培训服务方案</w:t>
            </w:r>
          </w:p>
        </w:tc>
        <w:tc>
          <w:tcPr>
            <w:tcW w:type="dxa" w:w="2492"/>
          </w:tcPr>
          <w:p>
            <w:pPr>
              <w:pStyle w:val="null3"/>
              <w:jc w:val="both"/>
            </w:pPr>
            <w:r>
              <w:rPr>
                <w:rFonts w:ascii="仿宋_GB2312" w:hAnsi="仿宋_GB2312" w:cs="仿宋_GB2312" w:eastAsia="仿宋_GB2312"/>
              </w:rPr>
              <w:t>根据投标人提供的针对本项目的政策咨询及培训服务方案进行评审（包括但不限于①服务流程设计、②组织管理、③风险及应对管理）：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支付过程管理服务方案</w:t>
            </w:r>
          </w:p>
        </w:tc>
        <w:tc>
          <w:tcPr>
            <w:tcW w:type="dxa" w:w="2492"/>
          </w:tcPr>
          <w:p>
            <w:pPr>
              <w:pStyle w:val="null3"/>
              <w:jc w:val="both"/>
            </w:pPr>
            <w:r>
              <w:rPr>
                <w:rFonts w:ascii="仿宋_GB2312" w:hAnsi="仿宋_GB2312" w:cs="仿宋_GB2312" w:eastAsia="仿宋_GB2312"/>
              </w:rPr>
              <w:t>根据投标人提供的针对本项目的支付过程管理服务方案进行评审（包括但不限于①服务流程设计、②组织管理、③风险及应对管理）：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DIP绩效评价服务方案</w:t>
            </w:r>
          </w:p>
        </w:tc>
        <w:tc>
          <w:tcPr>
            <w:tcW w:type="dxa" w:w="2492"/>
          </w:tcPr>
          <w:p>
            <w:pPr>
              <w:pStyle w:val="null3"/>
              <w:jc w:val="both"/>
            </w:pPr>
            <w:r>
              <w:rPr>
                <w:rFonts w:ascii="仿宋_GB2312" w:hAnsi="仿宋_GB2312" w:cs="仿宋_GB2312" w:eastAsia="仿宋_GB2312"/>
              </w:rPr>
              <w:t>根据投标人提供的针对本项目的DIP绩效评价服务方案进行评审（包括但不限于①服务流程设计、②组织管理、③风险及应对管理）： 本项满分6分，每缺少一项扣2分，每有一项内容存在缺陷的该项扣1分，未提供不得分。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DIP运行监测服务方案</w:t>
            </w:r>
          </w:p>
        </w:tc>
        <w:tc>
          <w:tcPr>
            <w:tcW w:type="dxa" w:w="2492"/>
          </w:tcPr>
          <w:p>
            <w:pPr>
              <w:pStyle w:val="null3"/>
              <w:jc w:val="both"/>
            </w:pPr>
            <w:r>
              <w:rPr>
                <w:rFonts w:ascii="仿宋_GB2312" w:hAnsi="仿宋_GB2312" w:cs="仿宋_GB2312" w:eastAsia="仿宋_GB2312"/>
              </w:rPr>
              <w:t>根据投标人提供的针对本项目的DIP运行监测服务方案进行评审（包括但不限于①服务流程设计、②组织管理、③风险及应对管理）：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DIP系统运行支撑系统运营服务方案</w:t>
            </w:r>
          </w:p>
        </w:tc>
        <w:tc>
          <w:tcPr>
            <w:tcW w:type="dxa" w:w="2492"/>
          </w:tcPr>
          <w:p>
            <w:pPr>
              <w:pStyle w:val="null3"/>
              <w:jc w:val="both"/>
            </w:pPr>
            <w:r>
              <w:rPr>
                <w:rFonts w:ascii="仿宋_GB2312" w:hAnsi="仿宋_GB2312" w:cs="仿宋_GB2312" w:eastAsia="仿宋_GB2312"/>
              </w:rPr>
              <w:t>根据投标人提供的针对本项目的DIP系统运行支撑系统运营服务方案进行评审（包括但不限于①服务流程设计、②组织管理、③风险及应对管理）： 本项满分3分，每缺少一项扣1分，每有一项内容存在缺陷的该项扣0.5分，未提供不得分。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供应商具有与本项目相关的软件著作权包括： ①核心要素管理类（关键字如DIP分组或DIP分值测算或DIP辅助目录管理）； ②数据质量控制类（关键字如数据质控或数据清洗）； ③支付过程管理类（关键字如DIP清算）； ④DIP运行监测类（关键字如DIP监测）； 每提供一类与服务内容相关的软件著作权证书得 3分，满分 12分，未提供不得分。（需提供软件著作权复印件； 自主知识产权名称与要求名称不必完全一致，用途一致或相近即可；加盖投标供应商公章）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业绩情况</w:t>
            </w:r>
          </w:p>
        </w:tc>
        <w:tc>
          <w:tcPr>
            <w:tcW w:type="dxa" w:w="2492"/>
          </w:tcPr>
          <w:p>
            <w:pPr>
              <w:pStyle w:val="null3"/>
              <w:jc w:val="both"/>
            </w:pPr>
            <w:r>
              <w:rPr>
                <w:rFonts w:ascii="仿宋_GB2312" w:hAnsi="仿宋_GB2312" w:cs="仿宋_GB2312" w:eastAsia="仿宋_GB2312"/>
              </w:rPr>
              <w:t>投标人2022年1月至今有实施部署过相关部门DIP功能模块的业绩或具有与本项目服务内容同类的项目业绩的，每提供一个符合要求的业绩得2分，满分12分，未提供得0分。 证明材料：提供合同复印件并加盖公章。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投标人拟派本项目的负责人具备： ①医学或药学或计算机或统计学本科及以上学位，得4分； ②曾参与过省级及以上医保相关部门支付方式改革的咨询服务项目，得5分。 证明材料：提供相关证书、经验的证明材料及及2025年任意一个月在本单位缴纳的社保记录证明复印件加盖公章，未提供不得分。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项目团队1</w:t>
            </w:r>
          </w:p>
        </w:tc>
        <w:tc>
          <w:tcPr>
            <w:tcW w:type="dxa" w:w="2492"/>
          </w:tcPr>
          <w:p>
            <w:pPr>
              <w:pStyle w:val="null3"/>
              <w:jc w:val="both"/>
            </w:pPr>
            <w:r>
              <w:rPr>
                <w:rFonts w:ascii="仿宋_GB2312" w:hAnsi="仿宋_GB2312" w:cs="仿宋_GB2312" w:eastAsia="仿宋_GB2312"/>
              </w:rPr>
              <w:t>投标人拟投入本项目的团队人员（除项目负责人外）具备： 医学或药学或计算机或统计学全日制本科及以上学位，每提供一个专业得2分，满分8分； 证明材料：提供相关证书及2025年任意一个月在本单位缴纳的社保记录证明复印件加盖公章，未提供不得分。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项目团队2</w:t>
            </w:r>
          </w:p>
        </w:tc>
        <w:tc>
          <w:tcPr>
            <w:tcW w:type="dxa" w:w="2492"/>
          </w:tcPr>
          <w:p>
            <w:pPr>
              <w:pStyle w:val="null3"/>
              <w:jc w:val="both"/>
            </w:pPr>
            <w:r>
              <w:rPr>
                <w:rFonts w:ascii="仿宋_GB2312" w:hAnsi="仿宋_GB2312" w:cs="仿宋_GB2312" w:eastAsia="仿宋_GB2312"/>
              </w:rPr>
              <w:t>投标人拟投入本项目的团队人员（除项目负责人外）具备：统计专业技术资格中级及以上证书或经济专业技术资格中级及以上证书； 每提供一人得1分，满分4分。 证明材料：提供相关证书及2025年任意一个月在本单位缴纳的社保记录证明复印件加盖公章，未提供不得分。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项目团队3</w:t>
            </w:r>
          </w:p>
        </w:tc>
        <w:tc>
          <w:tcPr>
            <w:tcW w:type="dxa" w:w="2492"/>
          </w:tcPr>
          <w:p>
            <w:pPr>
              <w:pStyle w:val="null3"/>
              <w:jc w:val="both"/>
            </w:pPr>
            <w:r>
              <w:rPr>
                <w:rFonts w:ascii="仿宋_GB2312" w:hAnsi="仿宋_GB2312" w:cs="仿宋_GB2312" w:eastAsia="仿宋_GB2312"/>
              </w:rPr>
              <w:t>投标人拟投入本项目的团队人员（除项目负责人外）曾参与过省级及以上医保相关部门支付方式改革的咨询服务项目，每提供一人得1分，满分10分。 证明材料：提供相关经验的证明材料及2025年任意一个月在本单位缴纳的社保记录证明复印件加盖公章，未提供不得分。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详见附件：医保支付方式改革(海南省医疗保障局DIP付费改革第三方购买服务二期项目)采购合同.docx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医保支付方式改革（海南省医疗保障局DIP付费改革第三方购买服务二期项目）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医保支付方式改革(海南省医疗保障局DIP付费改革第三方购买服务二期项目)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4901600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