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21F3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480" w:afterLines="200" w:line="24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bidi="ar"/>
        </w:rPr>
        <w:t>投标（响应）报价明细表</w:t>
      </w:r>
    </w:p>
    <w:p w14:paraId="678750FF">
      <w:pPr>
        <w:pStyle w:val="3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项目编号：[HNSS]20250600002[GK]</w:t>
      </w:r>
      <w:bookmarkStart w:id="2" w:name="_GoBack"/>
      <w:bookmarkEnd w:id="2"/>
    </w:p>
    <w:p w14:paraId="04D2DAF1">
      <w:pPr>
        <w:pStyle w:val="3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项目名称：三亚市崖州区南繁基地土壤改良项目（一期）</w:t>
      </w:r>
    </w:p>
    <w:p w14:paraId="01B082A5">
      <w:pPr>
        <w:pStyle w:val="3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报价单位：元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201"/>
        <w:gridCol w:w="1211"/>
        <w:gridCol w:w="1466"/>
        <w:gridCol w:w="1510"/>
        <w:gridCol w:w="1269"/>
        <w:gridCol w:w="1023"/>
      </w:tblGrid>
      <w:tr w14:paraId="210EC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40" w:type="dxa"/>
            <w:noWrap w:val="0"/>
            <w:vAlign w:val="center"/>
          </w:tcPr>
          <w:p w14:paraId="1AF194EA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bookmarkStart w:id="0" w:name="_Toc12536"/>
            <w:bookmarkStart w:id="1" w:name="_Toc4893"/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01" w:type="dxa"/>
            <w:noWrap w:val="0"/>
            <w:vAlign w:val="center"/>
          </w:tcPr>
          <w:p w14:paraId="5DB830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211" w:type="dxa"/>
            <w:noWrap w:val="0"/>
            <w:vAlign w:val="center"/>
          </w:tcPr>
          <w:p w14:paraId="626638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1466" w:type="dxa"/>
            <w:noWrap w:val="0"/>
            <w:vAlign w:val="center"/>
          </w:tcPr>
          <w:p w14:paraId="27B181BA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510" w:type="dxa"/>
            <w:noWrap w:val="0"/>
            <w:vAlign w:val="center"/>
          </w:tcPr>
          <w:p w14:paraId="322F7F1B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1269" w:type="dxa"/>
            <w:noWrap w:val="0"/>
            <w:vAlign w:val="center"/>
          </w:tcPr>
          <w:p w14:paraId="5E939F23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单项总价</w:t>
            </w:r>
          </w:p>
        </w:tc>
        <w:tc>
          <w:tcPr>
            <w:tcW w:w="1023" w:type="dxa"/>
            <w:noWrap w:val="0"/>
            <w:vAlign w:val="center"/>
          </w:tcPr>
          <w:p w14:paraId="38A198B0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AF9C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40" w:type="dxa"/>
            <w:noWrap w:val="0"/>
            <w:vAlign w:val="top"/>
          </w:tcPr>
          <w:p w14:paraId="01154D6C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201" w:type="dxa"/>
            <w:noWrap w:val="0"/>
            <w:vAlign w:val="top"/>
          </w:tcPr>
          <w:p w14:paraId="4344C503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211" w:type="dxa"/>
            <w:noWrap w:val="0"/>
            <w:vAlign w:val="top"/>
          </w:tcPr>
          <w:p w14:paraId="0B5C895E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466" w:type="dxa"/>
            <w:noWrap w:val="0"/>
            <w:vAlign w:val="top"/>
          </w:tcPr>
          <w:p w14:paraId="59B96F4F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7900F4F7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269" w:type="dxa"/>
            <w:noWrap w:val="0"/>
            <w:vAlign w:val="top"/>
          </w:tcPr>
          <w:p w14:paraId="408CB0D2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23" w:type="dxa"/>
            <w:noWrap w:val="0"/>
            <w:vAlign w:val="top"/>
          </w:tcPr>
          <w:p w14:paraId="554E3FEC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</w:tr>
      <w:tr w14:paraId="69053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40" w:type="dxa"/>
            <w:noWrap w:val="0"/>
            <w:vAlign w:val="top"/>
          </w:tcPr>
          <w:p w14:paraId="4B32666E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201" w:type="dxa"/>
            <w:noWrap w:val="0"/>
            <w:vAlign w:val="top"/>
          </w:tcPr>
          <w:p w14:paraId="128F962C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211" w:type="dxa"/>
            <w:noWrap w:val="0"/>
            <w:vAlign w:val="top"/>
          </w:tcPr>
          <w:p w14:paraId="77EA7EB0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466" w:type="dxa"/>
            <w:noWrap w:val="0"/>
            <w:vAlign w:val="top"/>
          </w:tcPr>
          <w:p w14:paraId="2C516FB2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10" w:type="dxa"/>
            <w:noWrap w:val="0"/>
            <w:vAlign w:val="top"/>
          </w:tcPr>
          <w:p w14:paraId="0A4A58B7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269" w:type="dxa"/>
            <w:noWrap w:val="0"/>
            <w:vAlign w:val="top"/>
          </w:tcPr>
          <w:p w14:paraId="21790C49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23" w:type="dxa"/>
            <w:noWrap w:val="0"/>
            <w:vAlign w:val="top"/>
          </w:tcPr>
          <w:p w14:paraId="5D460D09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</w:tr>
      <w:tr w14:paraId="78A97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40" w:type="dxa"/>
            <w:noWrap w:val="0"/>
            <w:vAlign w:val="center"/>
          </w:tcPr>
          <w:p w14:paraId="03B59120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388" w:type="dxa"/>
            <w:gridSpan w:val="4"/>
            <w:noWrap w:val="0"/>
            <w:vAlign w:val="center"/>
          </w:tcPr>
          <w:p w14:paraId="3F8FF04A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总价（元）</w:t>
            </w:r>
          </w:p>
        </w:tc>
        <w:tc>
          <w:tcPr>
            <w:tcW w:w="1269" w:type="dxa"/>
            <w:noWrap w:val="0"/>
            <w:vAlign w:val="top"/>
          </w:tcPr>
          <w:p w14:paraId="7D2281C8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23" w:type="dxa"/>
            <w:noWrap w:val="0"/>
            <w:vAlign w:val="top"/>
          </w:tcPr>
          <w:p w14:paraId="6C6A5E27">
            <w:pPr>
              <w:numPr>
                <w:ilvl w:val="0"/>
                <w:numId w:val="0"/>
              </w:numPr>
              <w:spacing w:after="0" w:line="240" w:lineRule="auto"/>
              <w:ind w:right="0" w:rightChars="0"/>
              <w:jc w:val="center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</w:rPr>
            </w:pPr>
          </w:p>
        </w:tc>
      </w:tr>
    </w:tbl>
    <w:p w14:paraId="79D9BE96">
      <w:pPr>
        <w:numPr>
          <w:ilvl w:val="0"/>
          <w:numId w:val="0"/>
        </w:numPr>
        <w:spacing w:after="0" w:line="240" w:lineRule="auto"/>
        <w:ind w:leftChars="0" w:right="0" w:rightChars="0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</w:p>
    <w:p w14:paraId="70E4EF7A">
      <w:pPr>
        <w:numPr>
          <w:ilvl w:val="0"/>
          <w:numId w:val="0"/>
        </w:numPr>
        <w:spacing w:after="0" w:line="360" w:lineRule="auto"/>
        <w:ind w:leftChars="0" w:right="0" w:rightChars="0"/>
        <w:jc w:val="left"/>
        <w:outlineLvl w:val="0"/>
        <w:rPr>
          <w:rFonts w:hint="eastAsia" w:ascii="仿宋" w:hAnsi="仿宋" w:eastAsia="仿宋" w:cs="仿宋"/>
          <w:color w:val="auto"/>
          <w:sz w:val="24"/>
          <w:szCs w:val="32"/>
        </w:rPr>
      </w:pPr>
      <w:r>
        <w:rPr>
          <w:rFonts w:hint="eastAsia" w:ascii="仿宋" w:hAnsi="仿宋" w:eastAsia="仿宋" w:cs="仿宋"/>
          <w:color w:val="auto"/>
          <w:sz w:val="24"/>
          <w:szCs w:val="32"/>
        </w:rPr>
        <w:t>注：“投标（响应）报价明细表”的投标报价合计应当与“开标</w:t>
      </w:r>
      <w:r>
        <w:rPr>
          <w:rFonts w:hint="eastAsia" w:ascii="仿宋" w:hAnsi="仿宋" w:eastAsia="仿宋" w:cs="仿宋"/>
          <w:color w:val="auto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32"/>
          <w:lang w:val="en-US" w:eastAsia="zh-CN"/>
        </w:rPr>
        <w:t>报价</w:t>
      </w:r>
      <w:r>
        <w:rPr>
          <w:rFonts w:hint="eastAsia" w:ascii="仿宋" w:hAnsi="仿宋" w:eastAsia="仿宋" w:cs="仿宋"/>
          <w:color w:val="auto"/>
          <w:sz w:val="24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32"/>
        </w:rPr>
        <w:t>一览表”的投标报价相等。</w:t>
      </w:r>
    </w:p>
    <w:p w14:paraId="7093D0DA">
      <w:pPr>
        <w:numPr>
          <w:ilvl w:val="0"/>
          <w:numId w:val="0"/>
        </w:numPr>
        <w:spacing w:after="0" w:line="360" w:lineRule="auto"/>
        <w:ind w:leftChars="0" w:right="0" w:rightChars="0"/>
        <w:jc w:val="center"/>
        <w:outlineLvl w:val="0"/>
        <w:rPr>
          <w:rFonts w:hint="eastAsia" w:ascii="仿宋" w:hAnsi="仿宋" w:eastAsia="仿宋" w:cs="仿宋"/>
          <w:color w:val="auto"/>
        </w:rPr>
      </w:pPr>
    </w:p>
    <w:p w14:paraId="4A08E980">
      <w:pPr>
        <w:widowControl/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 w:bidi="ar"/>
        </w:rPr>
      </w:pPr>
    </w:p>
    <w:p w14:paraId="2B4C5CD8">
      <w:pPr>
        <w:widowControl/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 w:bidi="ar"/>
        </w:rPr>
        <w:t>投标人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名称（加盖公章）：</w:t>
      </w:r>
    </w:p>
    <w:p w14:paraId="2B928C7B">
      <w:pPr>
        <w:widowControl/>
        <w:shd w:val="clear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bidi="ar"/>
        </w:rPr>
        <w:t>日期：    年    月    日</w:t>
      </w:r>
    </w:p>
    <w:p w14:paraId="4B05280C">
      <w:pPr>
        <w:numPr>
          <w:ilvl w:val="0"/>
          <w:numId w:val="0"/>
        </w:numPr>
        <w:spacing w:after="0" w:line="360" w:lineRule="auto"/>
        <w:ind w:leftChars="0" w:right="0" w:rightChars="0"/>
        <w:jc w:val="center"/>
        <w:outlineLvl w:val="0"/>
        <w:rPr>
          <w:rFonts w:hint="eastAsia" w:ascii="仿宋" w:hAnsi="仿宋" w:eastAsia="仿宋" w:cs="仿宋"/>
          <w:color w:val="auto"/>
        </w:rPr>
      </w:pPr>
    </w:p>
    <w:p w14:paraId="241326C6">
      <w:pPr>
        <w:numPr>
          <w:ilvl w:val="0"/>
          <w:numId w:val="0"/>
        </w:numPr>
        <w:spacing w:after="0" w:line="360" w:lineRule="auto"/>
        <w:ind w:leftChars="0" w:right="0" w:rightChars="0"/>
        <w:jc w:val="center"/>
        <w:outlineLvl w:val="0"/>
        <w:rPr>
          <w:rFonts w:hint="eastAsia" w:ascii="仿宋" w:hAnsi="仿宋" w:eastAsia="仿宋" w:cs="仿宋"/>
          <w:color w:val="auto"/>
        </w:rPr>
      </w:pPr>
    </w:p>
    <w:bookmarkEnd w:id="0"/>
    <w:bookmarkEnd w:id="1"/>
    <w:p w14:paraId="79C3C5C8">
      <w:pPr>
        <w:numPr>
          <w:ilvl w:val="0"/>
          <w:numId w:val="0"/>
        </w:numPr>
        <w:spacing w:after="0" w:line="360" w:lineRule="auto"/>
        <w:ind w:leftChars="0" w:right="0" w:rightChars="0"/>
        <w:jc w:val="center"/>
        <w:outlineLvl w:val="0"/>
        <w:rPr>
          <w:rFonts w:hint="eastAsia" w:ascii="仿宋" w:hAnsi="仿宋" w:eastAsia="仿宋" w:cs="仿宋"/>
          <w:color w:val="auto"/>
        </w:rPr>
      </w:pPr>
    </w:p>
    <w:p w14:paraId="769B6365">
      <w:pPr>
        <w:shd w:val="clear" w:color="auto" w:fill="auto"/>
        <w:spacing w:before="480" w:beforeLines="200" w:after="480" w:afterLines="200" w:line="48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bidi="ar"/>
        </w:rPr>
      </w:pPr>
    </w:p>
    <w:p w14:paraId="261C2DAE">
      <w:pPr>
        <w:numPr>
          <w:ilvl w:val="0"/>
          <w:numId w:val="0"/>
        </w:numPr>
        <w:shd w:val="clear" w:color="auto" w:fill="auto"/>
        <w:spacing w:line="360" w:lineRule="auto"/>
        <w:ind w:leftChars="0"/>
        <w:outlineLvl w:val="2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bidi="ar"/>
        </w:rPr>
      </w:pPr>
    </w:p>
    <w:p w14:paraId="4E4921E6">
      <w:pPr>
        <w:shd w:val="clear" w:color="auto" w:fil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500DC0ED">
      <w:pPr>
        <w:shd w:val="clear" w:color="auto" w:fill="auto"/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C5547"/>
    <w:rsid w:val="165F0C7D"/>
    <w:rsid w:val="1F8F25D3"/>
    <w:rsid w:val="2CDC497D"/>
    <w:rsid w:val="337B40DA"/>
    <w:rsid w:val="394144E6"/>
    <w:rsid w:val="3DBD6105"/>
    <w:rsid w:val="42561B49"/>
    <w:rsid w:val="426D4015"/>
    <w:rsid w:val="43FA70B2"/>
    <w:rsid w:val="47F44E19"/>
    <w:rsid w:val="4F602D94"/>
    <w:rsid w:val="51227BC4"/>
    <w:rsid w:val="5B8A416A"/>
    <w:rsid w:val="6B682445"/>
    <w:rsid w:val="70D678BE"/>
    <w:rsid w:val="7D2150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widowControl w:val="0"/>
      <w:spacing w:line="360" w:lineRule="auto"/>
      <w:jc w:val="center"/>
    </w:pPr>
    <w:rPr>
      <w:rFonts w:ascii="Cambria" w:hAnsi="Cambria" w:eastAsia="黑体" w:cs="Times New Roman"/>
      <w:kern w:val="2"/>
      <w:sz w:val="24"/>
      <w:szCs w:val="24"/>
      <w:lang w:val="en-US" w:eastAsia="zh-CN" w:bidi="ar-SA"/>
    </w:rPr>
  </w:style>
  <w:style w:type="paragraph" w:styleId="3">
    <w:name w:val="header"/>
    <w:basedOn w:val="1"/>
    <w:next w:val="2"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table" w:styleId="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152</Characters>
  <Lines>0</Lines>
  <Paragraphs>0</Paragraphs>
  <TotalTime>0</TotalTime>
  <ScaleCrop>false</ScaleCrop>
  <LinksUpToDate>false</LinksUpToDate>
  <CharactersWithSpaces>165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2025-02-13T13:52:00Z</dcterms:created>
  <dc:creator>HNSS</dc:creator>
  <cp:lastModifiedBy>chic chen</cp:lastModifiedBy>
  <dcterms:modified xsi:type="dcterms:W3CDTF">2025-06-17T05:35:49Z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eyJoZGlkIjoiMjMwMTdiNWM3MTVjODQyYzk1YmI1Njg3ZjAxMDcyMWUiLCJ1c2VySWQiOiIzODA1MzU0NzEifQ==</vt:lpwstr>
  </property>
  <property fmtid="{D5CDD505-2E9C-101B-9397-08002B2CF9AE}" pid="4" name="ICV">
    <vt:lpwstr>B8CAB5B548384810A09FA2B9364D4320_13</vt:lpwstr>
  </property>
</Properties>
</file>