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240788">
      <w:pPr>
        <w:jc w:val="center"/>
        <w:rPr>
          <w:rFonts w:hint="eastAsia" w:ascii="宋体" w:hAnsi="宋体" w:eastAsia="宋体" w:cs="宋体"/>
          <w:b/>
          <w:color w:val="auto"/>
          <w:spacing w:val="100"/>
          <w:sz w:val="36"/>
          <w:szCs w:val="36"/>
        </w:rPr>
      </w:pPr>
      <w:r>
        <w:rPr>
          <w:rFonts w:hint="eastAsia" w:ascii="宋体" w:hAnsi="宋体" w:eastAsia="宋体" w:cs="宋体"/>
          <w:b/>
          <w:color w:val="auto"/>
          <w:spacing w:val="100"/>
          <w:sz w:val="36"/>
          <w:szCs w:val="36"/>
        </w:rPr>
        <w:t>合同文本</w:t>
      </w:r>
    </w:p>
    <w:p w14:paraId="382BDAC6">
      <w:pPr>
        <w:rPr>
          <w:rFonts w:hint="eastAsia" w:ascii="宋体" w:hAnsi="宋体" w:eastAsia="宋体" w:cs="宋体"/>
          <w:color w:val="auto"/>
          <w:sz w:val="24"/>
          <w:szCs w:val="24"/>
        </w:rPr>
      </w:pPr>
    </w:p>
    <w:p w14:paraId="297B4FEC">
      <w:pPr>
        <w:pStyle w:val="21"/>
        <w:keepNext w:val="0"/>
        <w:keepLines w:val="0"/>
        <w:pageBreakBefore w:val="0"/>
        <w:numPr>
          <w:ilvl w:val="0"/>
          <w:numId w:val="0"/>
        </w:numPr>
        <w:tabs>
          <w:tab w:val="right" w:leader="dot" w:pos="9015"/>
        </w:tabs>
        <w:kinsoku/>
        <w:wordWrap/>
        <w:overflowPunct/>
        <w:topLinePunct w:val="0"/>
        <w:autoSpaceDE/>
        <w:autoSpaceDN/>
        <w:bidi w:val="0"/>
        <w:adjustRightInd/>
        <w:snapToGrid/>
        <w:spacing w:line="360" w:lineRule="auto"/>
        <w:ind w:left="-425" w:leftChars="0"/>
        <w:jc w:val="center"/>
        <w:textAlignment w:val="auto"/>
        <w:outlineLvl w:val="9"/>
        <w:rPr>
          <w:rFonts w:hint="eastAsia" w:ascii="宋体" w:hAnsi="宋体" w:eastAsia="宋体" w:cs="宋体"/>
          <w:b/>
          <w:bCs/>
          <w:color w:val="auto"/>
          <w:kern w:val="0"/>
          <w:sz w:val="40"/>
          <w:szCs w:val="40"/>
          <w:lang w:val="en-US" w:eastAsia="zh-CN" w:bidi="ar"/>
        </w:rPr>
      </w:pPr>
    </w:p>
    <w:p w14:paraId="53D7C121">
      <w:pPr>
        <w:pStyle w:val="21"/>
        <w:keepNext w:val="0"/>
        <w:keepLines w:val="0"/>
        <w:pageBreakBefore w:val="0"/>
        <w:numPr>
          <w:ilvl w:val="0"/>
          <w:numId w:val="0"/>
        </w:numPr>
        <w:tabs>
          <w:tab w:val="right" w:leader="dot" w:pos="9015"/>
        </w:tabs>
        <w:kinsoku/>
        <w:wordWrap/>
        <w:overflowPunct/>
        <w:topLinePunct w:val="0"/>
        <w:autoSpaceDE/>
        <w:autoSpaceDN/>
        <w:bidi w:val="0"/>
        <w:adjustRightInd/>
        <w:snapToGrid/>
        <w:spacing w:line="360" w:lineRule="auto"/>
        <w:ind w:left="-425" w:leftChars="0"/>
        <w:jc w:val="center"/>
        <w:textAlignment w:val="auto"/>
        <w:outlineLvl w:val="9"/>
        <w:rPr>
          <w:rFonts w:hint="eastAsia" w:ascii="宋体" w:hAnsi="宋体" w:eastAsia="宋体" w:cs="宋体"/>
          <w:b/>
          <w:bCs/>
          <w:color w:val="auto"/>
          <w:kern w:val="0"/>
          <w:sz w:val="40"/>
          <w:szCs w:val="40"/>
          <w:lang w:val="en-US" w:eastAsia="zh-CN" w:bidi="ar"/>
        </w:rPr>
      </w:pPr>
    </w:p>
    <w:p w14:paraId="170A4FE8">
      <w:pPr>
        <w:pStyle w:val="21"/>
        <w:keepNext w:val="0"/>
        <w:keepLines w:val="0"/>
        <w:pageBreakBefore w:val="0"/>
        <w:numPr>
          <w:ilvl w:val="0"/>
          <w:numId w:val="0"/>
        </w:numPr>
        <w:tabs>
          <w:tab w:val="right" w:leader="dot" w:pos="9015"/>
        </w:tabs>
        <w:kinsoku/>
        <w:wordWrap/>
        <w:overflowPunct/>
        <w:topLinePunct w:val="0"/>
        <w:autoSpaceDE/>
        <w:autoSpaceDN/>
        <w:bidi w:val="0"/>
        <w:adjustRightInd/>
        <w:snapToGrid/>
        <w:spacing w:line="360" w:lineRule="auto"/>
        <w:ind w:left="-425" w:leftChars="0"/>
        <w:jc w:val="center"/>
        <w:textAlignment w:val="auto"/>
        <w:outlineLvl w:val="9"/>
        <w:rPr>
          <w:rFonts w:hint="eastAsia" w:ascii="宋体" w:hAnsi="宋体" w:eastAsia="宋体" w:cs="宋体"/>
          <w:b/>
          <w:bCs/>
          <w:color w:val="auto"/>
          <w:kern w:val="0"/>
          <w:sz w:val="40"/>
          <w:szCs w:val="40"/>
          <w:lang w:val="en-US" w:eastAsia="zh-CN" w:bidi="ar"/>
        </w:rPr>
      </w:pPr>
    </w:p>
    <w:p w14:paraId="04549B0E">
      <w:pPr>
        <w:pStyle w:val="21"/>
        <w:keepNext w:val="0"/>
        <w:keepLines w:val="0"/>
        <w:pageBreakBefore w:val="0"/>
        <w:numPr>
          <w:ilvl w:val="0"/>
          <w:numId w:val="0"/>
        </w:numPr>
        <w:tabs>
          <w:tab w:val="right" w:leader="dot" w:pos="9015"/>
        </w:tabs>
        <w:kinsoku/>
        <w:wordWrap/>
        <w:overflowPunct/>
        <w:topLinePunct w:val="0"/>
        <w:autoSpaceDE/>
        <w:autoSpaceDN/>
        <w:bidi w:val="0"/>
        <w:adjustRightInd/>
        <w:snapToGrid/>
        <w:spacing w:line="360" w:lineRule="auto"/>
        <w:ind w:left="-425" w:leftChars="0"/>
        <w:jc w:val="center"/>
        <w:textAlignment w:val="auto"/>
        <w:outlineLvl w:val="9"/>
        <w:rPr>
          <w:rFonts w:hint="eastAsia" w:ascii="宋体" w:hAnsi="宋体" w:eastAsia="宋体" w:cs="宋体"/>
          <w:b/>
          <w:bCs/>
          <w:color w:val="auto"/>
          <w:kern w:val="0"/>
          <w:sz w:val="40"/>
          <w:szCs w:val="40"/>
          <w:lang w:val="en-US" w:eastAsia="zh-CN" w:bidi="ar"/>
        </w:rPr>
      </w:pPr>
    </w:p>
    <w:p w14:paraId="021CE8D5">
      <w:pPr>
        <w:pStyle w:val="21"/>
        <w:keepNext w:val="0"/>
        <w:keepLines w:val="0"/>
        <w:pageBreakBefore w:val="0"/>
        <w:numPr>
          <w:ilvl w:val="0"/>
          <w:numId w:val="0"/>
        </w:numPr>
        <w:tabs>
          <w:tab w:val="right" w:leader="dot" w:pos="9015"/>
        </w:tabs>
        <w:kinsoku/>
        <w:wordWrap/>
        <w:overflowPunct/>
        <w:topLinePunct w:val="0"/>
        <w:autoSpaceDE/>
        <w:autoSpaceDN/>
        <w:bidi w:val="0"/>
        <w:adjustRightInd/>
        <w:snapToGrid/>
        <w:spacing w:line="360" w:lineRule="auto"/>
        <w:ind w:left="-425" w:leftChars="0"/>
        <w:jc w:val="center"/>
        <w:textAlignment w:val="auto"/>
        <w:outlineLvl w:val="9"/>
        <w:rPr>
          <w:rFonts w:hint="eastAsia" w:ascii="宋体" w:hAnsi="宋体" w:eastAsia="宋体" w:cs="宋体"/>
          <w:b/>
          <w:bCs/>
          <w:color w:val="auto"/>
          <w:kern w:val="0"/>
          <w:sz w:val="40"/>
          <w:szCs w:val="40"/>
          <w:lang w:val="en-US" w:eastAsia="zh-CN" w:bidi="ar"/>
        </w:rPr>
      </w:pPr>
    </w:p>
    <w:p w14:paraId="48AE43DE">
      <w:pPr>
        <w:pStyle w:val="21"/>
        <w:keepNext w:val="0"/>
        <w:keepLines w:val="0"/>
        <w:pageBreakBefore w:val="0"/>
        <w:numPr>
          <w:ilvl w:val="0"/>
          <w:numId w:val="0"/>
        </w:numPr>
        <w:tabs>
          <w:tab w:val="right" w:leader="dot" w:pos="9015"/>
        </w:tabs>
        <w:kinsoku/>
        <w:wordWrap/>
        <w:overflowPunct/>
        <w:topLinePunct w:val="0"/>
        <w:autoSpaceDE/>
        <w:autoSpaceDN/>
        <w:bidi w:val="0"/>
        <w:adjustRightInd/>
        <w:snapToGrid/>
        <w:spacing w:line="360" w:lineRule="auto"/>
        <w:ind w:left="-425" w:leftChars="0"/>
        <w:jc w:val="center"/>
        <w:textAlignment w:val="auto"/>
        <w:outlineLvl w:val="9"/>
        <w:rPr>
          <w:rFonts w:hint="eastAsia" w:ascii="宋体" w:hAnsi="宋体" w:eastAsia="宋体" w:cs="宋体"/>
          <w:b/>
          <w:bCs/>
          <w:color w:val="auto"/>
          <w:kern w:val="0"/>
          <w:sz w:val="40"/>
          <w:szCs w:val="40"/>
          <w:lang w:val="en-US" w:eastAsia="zh-CN" w:bidi="ar"/>
        </w:rPr>
      </w:pPr>
    </w:p>
    <w:p w14:paraId="11AFD62F">
      <w:pPr>
        <w:pStyle w:val="21"/>
        <w:keepNext w:val="0"/>
        <w:keepLines w:val="0"/>
        <w:pageBreakBefore w:val="0"/>
        <w:numPr>
          <w:ilvl w:val="0"/>
          <w:numId w:val="0"/>
        </w:numPr>
        <w:tabs>
          <w:tab w:val="right" w:leader="dot" w:pos="9015"/>
        </w:tabs>
        <w:kinsoku/>
        <w:wordWrap/>
        <w:overflowPunct/>
        <w:topLinePunct w:val="0"/>
        <w:autoSpaceDE/>
        <w:autoSpaceDN/>
        <w:bidi w:val="0"/>
        <w:adjustRightInd/>
        <w:snapToGrid/>
        <w:spacing w:line="360" w:lineRule="auto"/>
        <w:ind w:left="-425" w:leftChars="0"/>
        <w:jc w:val="center"/>
        <w:textAlignment w:val="auto"/>
        <w:outlineLvl w:val="9"/>
        <w:rPr>
          <w:rFonts w:hint="eastAsia" w:ascii="宋体" w:hAnsi="宋体" w:eastAsia="宋体" w:cs="宋体"/>
          <w:b/>
          <w:bCs/>
          <w:color w:val="auto"/>
          <w:kern w:val="0"/>
          <w:sz w:val="40"/>
          <w:szCs w:val="40"/>
          <w:lang w:val="en-US" w:eastAsia="zh-CN" w:bidi="ar"/>
        </w:rPr>
      </w:pPr>
      <w:r>
        <w:rPr>
          <w:rFonts w:hint="eastAsia" w:ascii="宋体" w:hAnsi="宋体" w:eastAsia="宋体" w:cs="宋体"/>
          <w:b/>
          <w:bCs/>
          <w:color w:val="auto"/>
          <w:kern w:val="0"/>
          <w:sz w:val="40"/>
          <w:szCs w:val="40"/>
          <w:lang w:val="en-US" w:eastAsia="zh-CN" w:bidi="ar"/>
        </w:rPr>
        <w:t>三亚市崖州区南繁基地土壤改良项目（一期）</w:t>
      </w:r>
    </w:p>
    <w:p w14:paraId="5CCD2583">
      <w:pPr>
        <w:pStyle w:val="21"/>
        <w:keepNext w:val="0"/>
        <w:keepLines w:val="0"/>
        <w:pageBreakBefore w:val="0"/>
        <w:numPr>
          <w:ilvl w:val="0"/>
          <w:numId w:val="0"/>
        </w:numPr>
        <w:tabs>
          <w:tab w:val="right" w:leader="dot" w:pos="9015"/>
        </w:tabs>
        <w:kinsoku/>
        <w:wordWrap/>
        <w:overflowPunct/>
        <w:topLinePunct w:val="0"/>
        <w:autoSpaceDE/>
        <w:autoSpaceDN/>
        <w:bidi w:val="0"/>
        <w:adjustRightInd/>
        <w:snapToGrid/>
        <w:spacing w:line="360" w:lineRule="auto"/>
        <w:ind w:left="-425" w:leftChars="0"/>
        <w:jc w:val="center"/>
        <w:textAlignment w:val="auto"/>
        <w:outlineLvl w:val="9"/>
        <w:rPr>
          <w:rFonts w:hint="eastAsia" w:ascii="宋体" w:hAnsi="宋体" w:eastAsia="宋体" w:cs="宋体"/>
          <w:b/>
          <w:bCs/>
          <w:color w:val="auto"/>
          <w:kern w:val="0"/>
          <w:sz w:val="40"/>
          <w:szCs w:val="40"/>
          <w:lang w:val="en-US" w:eastAsia="zh-CN" w:bidi="ar"/>
        </w:rPr>
      </w:pPr>
      <w:r>
        <w:rPr>
          <w:rFonts w:hint="eastAsia" w:ascii="宋体" w:hAnsi="宋体" w:eastAsia="宋体" w:cs="宋体"/>
          <w:b/>
          <w:bCs/>
          <w:color w:val="auto"/>
          <w:kern w:val="0"/>
          <w:sz w:val="40"/>
          <w:szCs w:val="40"/>
          <w:lang w:val="en-US" w:eastAsia="zh-CN" w:bidi="ar"/>
        </w:rPr>
        <w:t>委托合同</w:t>
      </w:r>
    </w:p>
    <w:p w14:paraId="43D25023">
      <w:pPr>
        <w:pStyle w:val="21"/>
        <w:keepNext w:val="0"/>
        <w:keepLines w:val="0"/>
        <w:pageBreakBefore w:val="0"/>
        <w:numPr>
          <w:ilvl w:val="0"/>
          <w:numId w:val="0"/>
        </w:numPr>
        <w:tabs>
          <w:tab w:val="right" w:leader="dot" w:pos="9015"/>
        </w:tabs>
        <w:kinsoku/>
        <w:wordWrap/>
        <w:overflowPunct/>
        <w:topLinePunct w:val="0"/>
        <w:autoSpaceDE/>
        <w:autoSpaceDN/>
        <w:bidi w:val="0"/>
        <w:adjustRightInd/>
        <w:snapToGrid/>
        <w:spacing w:line="360" w:lineRule="auto"/>
        <w:ind w:left="-425" w:leftChars="0"/>
        <w:jc w:val="both"/>
        <w:textAlignment w:val="auto"/>
        <w:outlineLvl w:val="9"/>
        <w:rPr>
          <w:rFonts w:hint="eastAsia" w:ascii="宋体" w:hAnsi="宋体" w:eastAsia="宋体" w:cs="宋体"/>
          <w:color w:val="auto"/>
          <w:kern w:val="0"/>
          <w:sz w:val="36"/>
          <w:szCs w:val="36"/>
          <w:lang w:val="en-US" w:eastAsia="zh-CN" w:bidi="ar"/>
        </w:rPr>
      </w:pPr>
    </w:p>
    <w:p w14:paraId="68BA97D0">
      <w:pPr>
        <w:pStyle w:val="21"/>
        <w:keepNext w:val="0"/>
        <w:keepLines w:val="0"/>
        <w:pageBreakBefore w:val="0"/>
        <w:numPr>
          <w:ilvl w:val="0"/>
          <w:numId w:val="0"/>
        </w:numPr>
        <w:tabs>
          <w:tab w:val="right" w:leader="dot" w:pos="9015"/>
        </w:tabs>
        <w:kinsoku/>
        <w:wordWrap/>
        <w:overflowPunct/>
        <w:topLinePunct w:val="0"/>
        <w:autoSpaceDE/>
        <w:autoSpaceDN/>
        <w:bidi w:val="0"/>
        <w:adjustRightInd/>
        <w:snapToGrid/>
        <w:spacing w:line="360" w:lineRule="auto"/>
        <w:ind w:left="-425" w:leftChars="0"/>
        <w:jc w:val="both"/>
        <w:textAlignment w:val="auto"/>
        <w:outlineLvl w:val="9"/>
        <w:rPr>
          <w:rFonts w:hint="eastAsia" w:ascii="宋体" w:hAnsi="宋体" w:eastAsia="宋体" w:cs="宋体"/>
          <w:color w:val="auto"/>
          <w:kern w:val="0"/>
          <w:sz w:val="36"/>
          <w:szCs w:val="36"/>
          <w:lang w:val="en-US" w:eastAsia="zh-CN" w:bidi="ar"/>
        </w:rPr>
      </w:pPr>
    </w:p>
    <w:p w14:paraId="54FEDCEE">
      <w:pPr>
        <w:pStyle w:val="21"/>
        <w:keepNext w:val="0"/>
        <w:keepLines w:val="0"/>
        <w:pageBreakBefore w:val="0"/>
        <w:numPr>
          <w:ilvl w:val="0"/>
          <w:numId w:val="0"/>
        </w:numPr>
        <w:tabs>
          <w:tab w:val="right" w:leader="dot" w:pos="9015"/>
        </w:tabs>
        <w:kinsoku/>
        <w:wordWrap/>
        <w:overflowPunct/>
        <w:topLinePunct w:val="0"/>
        <w:autoSpaceDE/>
        <w:autoSpaceDN/>
        <w:bidi w:val="0"/>
        <w:adjustRightInd/>
        <w:snapToGrid/>
        <w:spacing w:line="360" w:lineRule="auto"/>
        <w:ind w:left="-425" w:leftChars="0"/>
        <w:jc w:val="both"/>
        <w:textAlignment w:val="auto"/>
        <w:outlineLvl w:val="9"/>
        <w:rPr>
          <w:rFonts w:hint="eastAsia" w:ascii="宋体" w:hAnsi="宋体" w:eastAsia="宋体" w:cs="宋体"/>
          <w:color w:val="auto"/>
          <w:kern w:val="0"/>
          <w:sz w:val="36"/>
          <w:szCs w:val="36"/>
          <w:lang w:val="en-US" w:eastAsia="zh-CN" w:bidi="ar"/>
        </w:rPr>
      </w:pPr>
    </w:p>
    <w:p w14:paraId="49313BFB">
      <w:pPr>
        <w:pStyle w:val="21"/>
        <w:keepNext w:val="0"/>
        <w:keepLines w:val="0"/>
        <w:pageBreakBefore w:val="0"/>
        <w:numPr>
          <w:ilvl w:val="0"/>
          <w:numId w:val="0"/>
        </w:numPr>
        <w:tabs>
          <w:tab w:val="right" w:leader="dot" w:pos="9015"/>
        </w:tabs>
        <w:kinsoku/>
        <w:wordWrap/>
        <w:overflowPunct/>
        <w:topLinePunct w:val="0"/>
        <w:autoSpaceDE/>
        <w:autoSpaceDN/>
        <w:bidi w:val="0"/>
        <w:adjustRightInd/>
        <w:snapToGrid/>
        <w:spacing w:line="720" w:lineRule="auto"/>
        <w:ind w:left="-425" w:leftChars="0" w:firstLine="720" w:firstLineChars="200"/>
        <w:jc w:val="both"/>
        <w:textAlignment w:val="auto"/>
        <w:outlineLvl w:val="9"/>
        <w:rPr>
          <w:rFonts w:hint="eastAsia" w:ascii="宋体" w:hAnsi="宋体" w:eastAsia="宋体" w:cs="宋体"/>
          <w:color w:val="auto"/>
          <w:kern w:val="0"/>
          <w:sz w:val="36"/>
          <w:szCs w:val="36"/>
          <w:lang w:val="en-US" w:eastAsia="zh-CN" w:bidi="ar"/>
        </w:rPr>
      </w:pPr>
    </w:p>
    <w:p w14:paraId="685AD54D">
      <w:pPr>
        <w:pStyle w:val="21"/>
        <w:keepNext w:val="0"/>
        <w:keepLines w:val="0"/>
        <w:pageBreakBefore w:val="0"/>
        <w:numPr>
          <w:ilvl w:val="0"/>
          <w:numId w:val="0"/>
        </w:numPr>
        <w:tabs>
          <w:tab w:val="right" w:leader="dot" w:pos="9015"/>
        </w:tabs>
        <w:kinsoku/>
        <w:wordWrap/>
        <w:overflowPunct/>
        <w:topLinePunct w:val="0"/>
        <w:autoSpaceDE/>
        <w:autoSpaceDN/>
        <w:bidi w:val="0"/>
        <w:adjustRightInd/>
        <w:snapToGrid/>
        <w:spacing w:line="720" w:lineRule="auto"/>
        <w:ind w:left="-425" w:leftChars="0" w:firstLine="720" w:firstLineChars="200"/>
        <w:jc w:val="both"/>
        <w:textAlignment w:val="auto"/>
        <w:outlineLvl w:val="9"/>
        <w:rPr>
          <w:rFonts w:hint="eastAsia" w:ascii="宋体" w:hAnsi="宋体" w:eastAsia="宋体" w:cs="宋体"/>
          <w:color w:val="auto"/>
          <w:kern w:val="0"/>
          <w:sz w:val="36"/>
          <w:szCs w:val="36"/>
          <w:lang w:val="en-US" w:eastAsia="zh-CN" w:bidi="ar"/>
        </w:rPr>
      </w:pPr>
    </w:p>
    <w:p w14:paraId="2651CD9A">
      <w:pPr>
        <w:pStyle w:val="21"/>
        <w:keepNext w:val="0"/>
        <w:keepLines w:val="0"/>
        <w:pageBreakBefore w:val="0"/>
        <w:numPr>
          <w:ilvl w:val="0"/>
          <w:numId w:val="0"/>
        </w:numPr>
        <w:tabs>
          <w:tab w:val="right" w:leader="dot" w:pos="9015"/>
        </w:tabs>
        <w:kinsoku/>
        <w:wordWrap/>
        <w:overflowPunct/>
        <w:topLinePunct w:val="0"/>
        <w:autoSpaceDE/>
        <w:autoSpaceDN/>
        <w:bidi w:val="0"/>
        <w:adjustRightInd/>
        <w:snapToGrid/>
        <w:spacing w:line="720" w:lineRule="auto"/>
        <w:ind w:left="-425" w:leftChars="0" w:firstLine="720" w:firstLineChars="200"/>
        <w:jc w:val="both"/>
        <w:textAlignment w:val="auto"/>
        <w:outlineLvl w:val="9"/>
        <w:rPr>
          <w:rFonts w:hint="eastAsia" w:ascii="宋体" w:hAnsi="宋体" w:eastAsia="宋体" w:cs="宋体"/>
          <w:color w:val="auto"/>
          <w:kern w:val="0"/>
          <w:sz w:val="36"/>
          <w:szCs w:val="36"/>
          <w:lang w:val="en-US" w:eastAsia="zh-CN" w:bidi="ar"/>
        </w:rPr>
      </w:pPr>
      <w:bookmarkStart w:id="0" w:name="_Toc29997"/>
      <w:r>
        <w:rPr>
          <w:rFonts w:hint="eastAsia" w:ascii="宋体" w:hAnsi="宋体" w:eastAsia="宋体" w:cs="宋体"/>
          <w:color w:val="auto"/>
          <w:kern w:val="0"/>
          <w:sz w:val="36"/>
          <w:szCs w:val="36"/>
          <w:lang w:val="en-US" w:eastAsia="zh-CN" w:bidi="ar"/>
        </w:rPr>
        <w:t>甲方：</w:t>
      </w:r>
      <w:bookmarkEnd w:id="0"/>
      <w:r>
        <w:rPr>
          <w:rFonts w:hint="eastAsia" w:ascii="宋体" w:hAnsi="宋体" w:eastAsia="宋体" w:cs="宋体"/>
          <w:color w:val="auto"/>
          <w:kern w:val="0"/>
          <w:sz w:val="36"/>
          <w:szCs w:val="36"/>
          <w:lang w:val="en-US" w:eastAsia="zh-CN" w:bidi="ar"/>
        </w:rPr>
        <w:t>三亚市崖州区农业农村局</w:t>
      </w:r>
    </w:p>
    <w:p w14:paraId="72FA9317">
      <w:pPr>
        <w:pStyle w:val="21"/>
        <w:keepNext w:val="0"/>
        <w:keepLines w:val="0"/>
        <w:pageBreakBefore w:val="0"/>
        <w:numPr>
          <w:ilvl w:val="0"/>
          <w:numId w:val="0"/>
        </w:numPr>
        <w:tabs>
          <w:tab w:val="right" w:leader="dot" w:pos="9015"/>
        </w:tabs>
        <w:kinsoku/>
        <w:wordWrap/>
        <w:overflowPunct/>
        <w:topLinePunct w:val="0"/>
        <w:autoSpaceDE/>
        <w:autoSpaceDN/>
        <w:bidi w:val="0"/>
        <w:adjustRightInd/>
        <w:snapToGrid/>
        <w:spacing w:line="720" w:lineRule="auto"/>
        <w:ind w:left="-425" w:leftChars="0" w:firstLine="720" w:firstLineChars="200"/>
        <w:jc w:val="both"/>
        <w:textAlignment w:val="auto"/>
        <w:outlineLvl w:val="9"/>
        <w:rPr>
          <w:rFonts w:hint="eastAsia" w:ascii="宋体" w:hAnsi="宋体" w:eastAsia="宋体" w:cs="宋体"/>
          <w:color w:val="auto"/>
          <w:kern w:val="0"/>
          <w:sz w:val="36"/>
          <w:szCs w:val="36"/>
          <w:lang w:val="en-US" w:eastAsia="zh-CN" w:bidi="ar"/>
        </w:rPr>
      </w:pPr>
      <w:bookmarkStart w:id="1" w:name="_Toc24629"/>
      <w:r>
        <w:rPr>
          <w:rFonts w:hint="eastAsia" w:ascii="宋体" w:hAnsi="宋体" w:eastAsia="宋体" w:cs="宋体"/>
          <w:color w:val="auto"/>
          <w:kern w:val="0"/>
          <w:sz w:val="36"/>
          <w:szCs w:val="36"/>
          <w:lang w:val="en-US" w:eastAsia="zh-CN" w:bidi="ar"/>
        </w:rPr>
        <w:t>乙方：</w:t>
      </w:r>
      <w:bookmarkEnd w:id="1"/>
    </w:p>
    <w:p w14:paraId="64AAAD81">
      <w:pPr>
        <w:pStyle w:val="21"/>
        <w:keepNext w:val="0"/>
        <w:keepLines w:val="0"/>
        <w:pageBreakBefore w:val="0"/>
        <w:numPr>
          <w:ilvl w:val="0"/>
          <w:numId w:val="0"/>
        </w:numPr>
        <w:tabs>
          <w:tab w:val="right" w:leader="dot" w:pos="9015"/>
        </w:tabs>
        <w:kinsoku/>
        <w:wordWrap/>
        <w:overflowPunct/>
        <w:topLinePunct w:val="0"/>
        <w:autoSpaceDE/>
        <w:autoSpaceDN/>
        <w:bidi w:val="0"/>
        <w:adjustRightInd/>
        <w:snapToGrid/>
        <w:spacing w:line="720" w:lineRule="auto"/>
        <w:ind w:left="-425" w:leftChars="0" w:firstLine="720" w:firstLineChars="200"/>
        <w:jc w:val="center"/>
        <w:textAlignment w:val="auto"/>
        <w:outlineLvl w:val="9"/>
        <w:rPr>
          <w:rFonts w:hint="eastAsia" w:ascii="宋体" w:hAnsi="宋体" w:eastAsia="宋体" w:cs="宋体"/>
          <w:color w:val="auto"/>
          <w:kern w:val="0"/>
          <w:sz w:val="36"/>
          <w:szCs w:val="36"/>
          <w:lang w:val="en-US" w:eastAsia="zh-CN" w:bidi="ar"/>
        </w:rPr>
      </w:pPr>
      <w:bookmarkStart w:id="2" w:name="_Toc13343"/>
      <w:r>
        <w:rPr>
          <w:rFonts w:hint="eastAsia" w:ascii="宋体" w:hAnsi="宋体" w:eastAsia="宋体" w:cs="宋体"/>
          <w:color w:val="auto"/>
          <w:kern w:val="0"/>
          <w:sz w:val="36"/>
          <w:szCs w:val="36"/>
          <w:lang w:val="en-US" w:eastAsia="zh-CN" w:bidi="ar"/>
        </w:rPr>
        <w:t>签订地点：海南省三亚市</w:t>
      </w:r>
      <w:bookmarkEnd w:id="2"/>
    </w:p>
    <w:p w14:paraId="26D958A6">
      <w:pPr>
        <w:rPr>
          <w:rFonts w:hint="eastAsia" w:ascii="宋体" w:hAnsi="宋体" w:eastAsia="宋体" w:cs="宋体"/>
          <w:b/>
          <w:bCs/>
          <w:color w:val="auto"/>
          <w:spacing w:val="1"/>
          <w:sz w:val="32"/>
          <w:szCs w:val="32"/>
          <w:lang w:eastAsia="zh-CN"/>
        </w:rPr>
      </w:pPr>
      <w:r>
        <w:rPr>
          <w:rFonts w:hint="eastAsia" w:ascii="宋体" w:hAnsi="宋体" w:eastAsia="宋体" w:cs="宋体"/>
          <w:b/>
          <w:bCs/>
          <w:color w:val="auto"/>
          <w:spacing w:val="1"/>
          <w:sz w:val="32"/>
          <w:szCs w:val="32"/>
          <w:lang w:eastAsia="zh-CN"/>
        </w:rPr>
        <w:br w:type="page"/>
      </w:r>
    </w:p>
    <w:p w14:paraId="368C1DA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color w:val="auto"/>
          <w:spacing w:val="1"/>
          <w:sz w:val="32"/>
          <w:szCs w:val="32"/>
          <w:lang w:eastAsia="zh-CN"/>
        </w:rPr>
      </w:pPr>
      <w:r>
        <w:rPr>
          <w:rFonts w:hint="eastAsia" w:ascii="宋体" w:hAnsi="宋体" w:eastAsia="宋体" w:cs="宋体"/>
          <w:b/>
          <w:bCs/>
          <w:color w:val="auto"/>
          <w:spacing w:val="1"/>
          <w:sz w:val="32"/>
          <w:szCs w:val="32"/>
          <w:lang w:eastAsia="zh-CN"/>
        </w:rPr>
        <w:t>三亚市崖州区南繁基地土壤改良项目（一期）</w:t>
      </w:r>
    </w:p>
    <w:p w14:paraId="18B1C6A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sz w:val="32"/>
          <w:szCs w:val="32"/>
          <w:lang w:val="en-US" w:eastAsia="zh-CN"/>
        </w:rPr>
      </w:pPr>
      <w:r>
        <w:rPr>
          <w:rFonts w:hint="eastAsia" w:ascii="宋体" w:hAnsi="宋体" w:eastAsia="宋体" w:cs="宋体"/>
          <w:b/>
          <w:bCs/>
          <w:color w:val="auto"/>
          <w:spacing w:val="1"/>
          <w:sz w:val="32"/>
          <w:szCs w:val="32"/>
          <w:lang w:val="en-US" w:eastAsia="zh-CN"/>
        </w:rPr>
        <w:t>委托合同</w:t>
      </w:r>
    </w:p>
    <w:p w14:paraId="484C0C4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13" w:beforeLines="100" w:beforeAutospacing="0" w:after="0" w:afterAutospacing="0" w:line="360" w:lineRule="auto"/>
        <w:ind w:left="0" w:right="0" w:firstLine="420" w:firstLineChars="200"/>
        <w:textAlignment w:val="baseline"/>
        <w:rPr>
          <w:rFonts w:hint="eastAsia" w:ascii="宋体" w:hAnsi="宋体" w:eastAsia="宋体" w:cs="宋体"/>
          <w:i w:val="0"/>
          <w:iCs w:val="0"/>
          <w:caps w:val="0"/>
          <w:color w:val="auto"/>
          <w:spacing w:val="0"/>
          <w:sz w:val="21"/>
          <w:szCs w:val="21"/>
          <w:highlight w:val="none"/>
          <w:u w:val="single"/>
        </w:rPr>
      </w:pPr>
      <w:r>
        <w:rPr>
          <w:rFonts w:hint="eastAsia" w:ascii="宋体" w:hAnsi="宋体" w:eastAsia="宋体" w:cs="宋体"/>
          <w:i w:val="0"/>
          <w:iCs w:val="0"/>
          <w:caps w:val="0"/>
          <w:color w:val="auto"/>
          <w:spacing w:val="0"/>
          <w:sz w:val="21"/>
          <w:szCs w:val="21"/>
          <w:highlight w:val="none"/>
          <w:shd w:val="clear" w:color="auto" w:fill="FFFFFF"/>
          <w:vertAlign w:val="baseline"/>
        </w:rPr>
        <w:t>甲方</w:t>
      </w: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w:t>
      </w:r>
      <w:r>
        <w:rPr>
          <w:rFonts w:hint="eastAsia" w:ascii="宋体" w:hAnsi="宋体" w:eastAsia="宋体" w:cs="宋体"/>
          <w:i w:val="0"/>
          <w:iCs w:val="0"/>
          <w:caps w:val="0"/>
          <w:color w:val="auto"/>
          <w:spacing w:val="0"/>
          <w:sz w:val="21"/>
          <w:szCs w:val="21"/>
          <w:highlight w:val="none"/>
          <w:shd w:val="clear" w:color="auto" w:fill="FFFFFF"/>
          <w:vertAlign w:val="baseline"/>
        </w:rPr>
        <w:t>委托方</w:t>
      </w: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w:t>
      </w:r>
      <w:r>
        <w:rPr>
          <w:rFonts w:hint="eastAsia" w:ascii="宋体" w:hAnsi="宋体" w:eastAsia="宋体" w:cs="宋体"/>
          <w:i w:val="0"/>
          <w:iCs w:val="0"/>
          <w:caps w:val="0"/>
          <w:color w:val="auto"/>
          <w:spacing w:val="0"/>
          <w:sz w:val="21"/>
          <w:szCs w:val="21"/>
          <w:highlight w:val="none"/>
          <w:shd w:val="clear" w:color="auto" w:fill="FFFFFF"/>
          <w:vertAlign w:val="baseline"/>
        </w:rPr>
        <w:t>：</w:t>
      </w:r>
      <w:r>
        <w:rPr>
          <w:rFonts w:hint="eastAsia" w:ascii="宋体" w:hAnsi="宋体" w:eastAsia="宋体" w:cs="宋体"/>
          <w:i w:val="0"/>
          <w:iCs w:val="0"/>
          <w:caps w:val="0"/>
          <w:color w:val="auto"/>
          <w:spacing w:val="0"/>
          <w:sz w:val="21"/>
          <w:szCs w:val="21"/>
          <w:highlight w:val="none"/>
          <w:u w:val="single"/>
          <w:shd w:val="clear" w:color="auto" w:fill="FFFFFF"/>
          <w:vertAlign w:val="baseline"/>
          <w:lang w:val="en-US" w:eastAsia="zh-CN"/>
        </w:rPr>
        <w:t xml:space="preserve">             </w:t>
      </w:r>
    </w:p>
    <w:p w14:paraId="4251E366">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Lines="10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sz w:val="21"/>
          <w:szCs w:val="21"/>
          <w:highlight w:val="none"/>
          <w:u w:val="single"/>
          <w:shd w:val="clear" w:color="auto" w:fill="FFFFFF"/>
          <w:vertAlign w:val="baseline"/>
          <w:lang w:val="en-US" w:eastAsia="zh-CN"/>
        </w:rPr>
      </w:pPr>
      <w:r>
        <w:rPr>
          <w:rFonts w:hint="eastAsia" w:ascii="宋体" w:hAnsi="宋体" w:eastAsia="宋体" w:cs="宋体"/>
          <w:i w:val="0"/>
          <w:iCs w:val="0"/>
          <w:caps w:val="0"/>
          <w:color w:val="auto"/>
          <w:spacing w:val="0"/>
          <w:sz w:val="21"/>
          <w:szCs w:val="21"/>
          <w:highlight w:val="none"/>
          <w:u w:val="none"/>
          <w:shd w:val="clear" w:color="auto" w:fill="FFFFFF"/>
          <w:vertAlign w:val="baseline"/>
        </w:rPr>
        <w:t>乙方</w:t>
      </w:r>
      <w:r>
        <w:rPr>
          <w:rFonts w:hint="eastAsia" w:ascii="宋体" w:hAnsi="宋体" w:eastAsia="宋体" w:cs="宋体"/>
          <w:i w:val="0"/>
          <w:iCs w:val="0"/>
          <w:caps w:val="0"/>
          <w:color w:val="auto"/>
          <w:spacing w:val="0"/>
          <w:sz w:val="21"/>
          <w:szCs w:val="21"/>
          <w:highlight w:val="none"/>
          <w:u w:val="none"/>
          <w:shd w:val="clear" w:color="auto" w:fill="FFFFFF"/>
          <w:vertAlign w:val="baseline"/>
          <w:lang w:eastAsia="zh-CN"/>
        </w:rPr>
        <w:t>（</w:t>
      </w:r>
      <w:r>
        <w:rPr>
          <w:rFonts w:hint="eastAsia" w:ascii="宋体" w:hAnsi="宋体" w:eastAsia="宋体" w:cs="宋体"/>
          <w:i w:val="0"/>
          <w:iCs w:val="0"/>
          <w:caps w:val="0"/>
          <w:color w:val="auto"/>
          <w:spacing w:val="0"/>
          <w:sz w:val="21"/>
          <w:szCs w:val="21"/>
          <w:highlight w:val="none"/>
          <w:shd w:val="clear" w:color="auto" w:fill="FFFFFF"/>
          <w:vertAlign w:val="baseline"/>
        </w:rPr>
        <w:t>受托方</w:t>
      </w:r>
      <w:r>
        <w:rPr>
          <w:rFonts w:hint="eastAsia" w:ascii="宋体" w:hAnsi="宋体" w:eastAsia="宋体" w:cs="宋体"/>
          <w:i w:val="0"/>
          <w:iCs w:val="0"/>
          <w:caps w:val="0"/>
          <w:color w:val="auto"/>
          <w:spacing w:val="0"/>
          <w:sz w:val="21"/>
          <w:szCs w:val="21"/>
          <w:highlight w:val="none"/>
          <w:u w:val="none"/>
          <w:shd w:val="clear" w:color="auto" w:fill="FFFFFF"/>
          <w:vertAlign w:val="baseline"/>
          <w:lang w:eastAsia="zh-CN"/>
        </w:rPr>
        <w:t>）</w:t>
      </w:r>
      <w:r>
        <w:rPr>
          <w:rFonts w:hint="eastAsia" w:ascii="宋体" w:hAnsi="宋体" w:eastAsia="宋体" w:cs="宋体"/>
          <w:i w:val="0"/>
          <w:iCs w:val="0"/>
          <w:caps w:val="0"/>
          <w:color w:val="auto"/>
          <w:spacing w:val="0"/>
          <w:sz w:val="21"/>
          <w:szCs w:val="21"/>
          <w:highlight w:val="none"/>
          <w:shd w:val="clear" w:color="auto" w:fill="FFFFFF"/>
          <w:vertAlign w:val="baseline"/>
        </w:rPr>
        <w:t>：</w:t>
      </w:r>
      <w:r>
        <w:rPr>
          <w:rFonts w:hint="eastAsia" w:ascii="宋体" w:hAnsi="宋体" w:eastAsia="宋体" w:cs="宋体"/>
          <w:i w:val="0"/>
          <w:iCs w:val="0"/>
          <w:caps w:val="0"/>
          <w:color w:val="auto"/>
          <w:spacing w:val="0"/>
          <w:sz w:val="21"/>
          <w:szCs w:val="21"/>
          <w:highlight w:val="none"/>
          <w:u w:val="single"/>
          <w:shd w:val="clear" w:color="auto" w:fill="FFFFFF"/>
          <w:vertAlign w:val="baseline"/>
          <w:lang w:val="en-US" w:eastAsia="zh-CN"/>
        </w:rPr>
        <w:t xml:space="preserve">             </w:t>
      </w:r>
    </w:p>
    <w:p w14:paraId="139A0DD3">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sz w:val="21"/>
          <w:szCs w:val="21"/>
          <w:highlight w:val="none"/>
          <w:shd w:val="clear" w:color="auto" w:fill="FFFFFF"/>
          <w:vertAlign w:val="baseline"/>
          <w:lang w:eastAsia="zh-CN"/>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甲、</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乙双方</w:t>
      </w:r>
      <w:r>
        <w:rPr>
          <w:rFonts w:hint="eastAsia" w:ascii="宋体" w:hAnsi="宋体" w:eastAsia="宋体" w:cs="宋体"/>
          <w:i w:val="0"/>
          <w:iCs w:val="0"/>
          <w:caps w:val="0"/>
          <w:color w:val="auto"/>
          <w:spacing w:val="0"/>
          <w:sz w:val="21"/>
          <w:szCs w:val="21"/>
          <w:highlight w:val="none"/>
          <w:shd w:val="clear" w:color="auto" w:fill="FFFFFF"/>
          <w:vertAlign w:val="baseline"/>
        </w:rPr>
        <w:t>根据《中华人民共和国政府采购法》、《中华人民共和国民法典》</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等有关</w:t>
      </w:r>
      <w:r>
        <w:rPr>
          <w:rFonts w:hint="eastAsia" w:ascii="宋体" w:hAnsi="宋体" w:eastAsia="宋体" w:cs="宋体"/>
          <w:i w:val="0"/>
          <w:iCs w:val="0"/>
          <w:caps w:val="0"/>
          <w:color w:val="auto"/>
          <w:spacing w:val="0"/>
          <w:sz w:val="21"/>
          <w:szCs w:val="21"/>
          <w:highlight w:val="none"/>
          <w:shd w:val="clear" w:color="auto" w:fill="FFFFFF"/>
          <w:vertAlign w:val="baseline"/>
        </w:rPr>
        <w:t>法律</w:t>
      </w: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w:t>
      </w:r>
      <w:r>
        <w:rPr>
          <w:rFonts w:hint="eastAsia" w:ascii="宋体" w:hAnsi="宋体" w:eastAsia="宋体" w:cs="宋体"/>
          <w:i w:val="0"/>
          <w:iCs w:val="0"/>
          <w:caps w:val="0"/>
          <w:color w:val="auto"/>
          <w:spacing w:val="0"/>
          <w:sz w:val="21"/>
          <w:szCs w:val="21"/>
          <w:highlight w:val="none"/>
          <w:shd w:val="clear" w:color="auto" w:fill="FFFFFF"/>
          <w:vertAlign w:val="baseline"/>
        </w:rPr>
        <w:t>法规及</w:t>
      </w:r>
      <w:r>
        <w:rPr>
          <w:rFonts w:hint="eastAsia" w:ascii="宋体" w:hAnsi="宋体" w:eastAsia="宋体" w:cs="宋体"/>
          <w:bCs/>
          <w:color w:val="auto"/>
          <w:kern w:val="2"/>
          <w:sz w:val="21"/>
          <w:szCs w:val="21"/>
          <w:highlight w:val="none"/>
          <w:u w:val="single"/>
          <w:lang w:val="en-US" w:eastAsia="zh-CN" w:bidi="ar-SA"/>
        </w:rPr>
        <w:t>三亚市崖州区南繁基地土壤改良项目（一期）</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（项目编号：</w:t>
      </w:r>
      <w:r>
        <w:rPr>
          <w:rFonts w:hint="eastAsia" w:ascii="宋体" w:hAnsi="宋体" w:eastAsia="宋体" w:cs="宋体"/>
          <w:i w:val="0"/>
          <w:iCs w:val="0"/>
          <w:caps w:val="0"/>
          <w:color w:val="auto"/>
          <w:spacing w:val="0"/>
          <w:sz w:val="21"/>
          <w:szCs w:val="21"/>
          <w:highlight w:val="none"/>
          <w:u w:val="single"/>
          <w:shd w:val="clear" w:color="auto" w:fill="FFFFFF"/>
          <w:vertAlign w:val="baseline"/>
          <w:lang w:val="en-US" w:eastAsia="zh-CN"/>
        </w:rPr>
        <w:t>[HNSS]20250600002[GK]</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）的采购结果</w:t>
      </w:r>
      <w:r>
        <w:rPr>
          <w:rFonts w:hint="eastAsia" w:ascii="宋体" w:hAnsi="宋体" w:eastAsia="宋体" w:cs="宋体"/>
          <w:i w:val="0"/>
          <w:iCs w:val="0"/>
          <w:caps w:val="0"/>
          <w:color w:val="auto"/>
          <w:spacing w:val="0"/>
          <w:sz w:val="21"/>
          <w:szCs w:val="21"/>
          <w:highlight w:val="none"/>
          <w:shd w:val="clear" w:color="auto" w:fill="FFFFFF"/>
          <w:vertAlign w:val="baseline"/>
        </w:rPr>
        <w:t>，</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在平等、自愿、公平和诚实信用的基础上，双方同意签订以下合同条款，以便双方共同遵守、履行合同</w:t>
      </w:r>
      <w:r>
        <w:rPr>
          <w:rFonts w:hint="eastAsia" w:ascii="宋体" w:hAnsi="宋体" w:eastAsia="宋体" w:cs="宋体"/>
          <w:i w:val="0"/>
          <w:iCs w:val="0"/>
          <w:caps w:val="0"/>
          <w:color w:val="auto"/>
          <w:spacing w:val="0"/>
          <w:sz w:val="21"/>
          <w:szCs w:val="21"/>
          <w:highlight w:val="none"/>
          <w:shd w:val="clear" w:color="auto" w:fill="FFFFFF"/>
          <w:vertAlign w:val="baseline"/>
          <w:lang w:eastAsia="zh-CN"/>
        </w:rPr>
        <w:t>。</w:t>
      </w:r>
    </w:p>
    <w:p w14:paraId="5272AA56">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baseline"/>
        <w:rPr>
          <w:rFonts w:hint="eastAsia" w:ascii="宋体" w:hAnsi="宋体" w:eastAsia="宋体" w:cs="宋体"/>
          <w:b/>
          <w:bCs/>
          <w:i w:val="0"/>
          <w:iCs w:val="0"/>
          <w:caps w:val="0"/>
          <w:color w:val="auto"/>
          <w:spacing w:val="0"/>
          <w:sz w:val="24"/>
          <w:szCs w:val="24"/>
          <w:highlight w:val="none"/>
          <w:lang w:val="en-US" w:eastAsia="zh-CN"/>
        </w:rPr>
      </w:pPr>
      <w:r>
        <w:rPr>
          <w:rFonts w:hint="eastAsia" w:ascii="宋体" w:hAnsi="宋体" w:eastAsia="宋体" w:cs="宋体"/>
          <w:b/>
          <w:bCs/>
          <w:i w:val="0"/>
          <w:iCs w:val="0"/>
          <w:caps w:val="0"/>
          <w:color w:val="auto"/>
          <w:spacing w:val="0"/>
          <w:kern w:val="0"/>
          <w:sz w:val="24"/>
          <w:szCs w:val="24"/>
          <w:lang w:val="en-US" w:eastAsia="zh-CN" w:bidi="ar"/>
        </w:rPr>
        <w:t>第一条</w:t>
      </w:r>
      <w:r>
        <w:rPr>
          <w:rFonts w:hint="eastAsia" w:ascii="宋体" w:hAnsi="宋体" w:eastAsia="宋体" w:cs="宋体"/>
          <w:b/>
          <w:bCs/>
          <w:i w:val="0"/>
          <w:iCs w:val="0"/>
          <w:caps w:val="0"/>
          <w:color w:val="auto"/>
          <w:spacing w:val="0"/>
          <w:sz w:val="24"/>
          <w:szCs w:val="24"/>
          <w:highlight w:val="none"/>
          <w:lang w:val="en-US" w:eastAsia="zh-CN"/>
        </w:rPr>
        <w:t>合同文件的组成</w:t>
      </w:r>
    </w:p>
    <w:p w14:paraId="2EBDC216">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 xml:space="preserve">1.下列文件为本合同不可分割部分： </w:t>
      </w:r>
    </w:p>
    <w:p w14:paraId="2D55BD1F">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（1）招标文件（含招标文件的澄清、修改等）。</w:t>
      </w:r>
    </w:p>
    <w:p w14:paraId="5BE442A7">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（2）乙方的投标文件（含乙方在招投标过程中所作的其它承诺、声明、书面澄清等）。</w:t>
      </w:r>
    </w:p>
    <w:p w14:paraId="2349B8BB">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（3）中标通知书。</w:t>
      </w:r>
    </w:p>
    <w:p w14:paraId="19A01634">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baseline"/>
        <w:rPr>
          <w:rFonts w:hint="eastAsia" w:ascii="宋体" w:hAnsi="宋体" w:eastAsia="宋体" w:cs="宋体"/>
          <w:b/>
          <w:bCs/>
          <w:i w:val="0"/>
          <w:iCs w:val="0"/>
          <w:caps w:val="0"/>
          <w:color w:val="auto"/>
          <w:spacing w:val="0"/>
          <w:sz w:val="24"/>
          <w:szCs w:val="24"/>
          <w:highlight w:val="none"/>
          <w:lang w:val="en-US" w:eastAsia="zh-CN"/>
        </w:rPr>
      </w:pPr>
      <w:r>
        <w:rPr>
          <w:rFonts w:hint="eastAsia" w:ascii="宋体" w:hAnsi="宋体" w:eastAsia="宋体" w:cs="宋体"/>
          <w:b/>
          <w:bCs/>
          <w:i w:val="0"/>
          <w:iCs w:val="0"/>
          <w:caps w:val="0"/>
          <w:color w:val="auto"/>
          <w:spacing w:val="0"/>
          <w:kern w:val="0"/>
          <w:sz w:val="24"/>
          <w:szCs w:val="24"/>
          <w:lang w:val="en-US" w:eastAsia="zh-CN" w:bidi="ar"/>
        </w:rPr>
        <w:t>第二条</w:t>
      </w:r>
      <w:r>
        <w:rPr>
          <w:rFonts w:hint="eastAsia" w:ascii="宋体" w:hAnsi="宋体" w:eastAsia="宋体" w:cs="宋体"/>
          <w:b/>
          <w:bCs/>
          <w:i w:val="0"/>
          <w:iCs w:val="0"/>
          <w:caps w:val="0"/>
          <w:color w:val="auto"/>
          <w:spacing w:val="0"/>
          <w:sz w:val="24"/>
          <w:szCs w:val="24"/>
          <w:highlight w:val="none"/>
          <w:lang w:val="en-US" w:eastAsia="zh-CN"/>
        </w:rPr>
        <w:t>委托服务内容</w:t>
      </w:r>
    </w:p>
    <w:p w14:paraId="66FE861F">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u w:val="singl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u w:val="single"/>
          <w:shd w:val="clear" w:color="auto" w:fill="FFFFFF"/>
          <w:vertAlign w:val="baseline"/>
          <w:lang w:val="en-US" w:eastAsia="zh-CN" w:bidi="ar-SA"/>
        </w:rPr>
        <w:t xml:space="preserve">                                                  </w:t>
      </w:r>
    </w:p>
    <w:p w14:paraId="3D1FD06C">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baseline"/>
        <w:rPr>
          <w:rFonts w:hint="eastAsia" w:ascii="宋体" w:hAnsi="宋体" w:eastAsia="宋体" w:cs="宋体"/>
          <w:b/>
          <w:bCs/>
          <w:i w:val="0"/>
          <w:iCs w:val="0"/>
          <w:caps w:val="0"/>
          <w:color w:val="auto"/>
          <w:spacing w:val="0"/>
          <w:sz w:val="24"/>
          <w:szCs w:val="24"/>
          <w:highlight w:val="none"/>
          <w:lang w:val="en-US" w:eastAsia="zh-CN"/>
        </w:rPr>
      </w:pPr>
      <w:r>
        <w:rPr>
          <w:rFonts w:hint="eastAsia" w:ascii="宋体" w:hAnsi="宋体" w:eastAsia="宋体" w:cs="宋体"/>
          <w:b/>
          <w:bCs/>
          <w:i w:val="0"/>
          <w:iCs w:val="0"/>
          <w:caps w:val="0"/>
          <w:color w:val="auto"/>
          <w:spacing w:val="0"/>
          <w:kern w:val="0"/>
          <w:sz w:val="24"/>
          <w:szCs w:val="24"/>
          <w:lang w:val="en-US" w:eastAsia="zh-CN" w:bidi="ar"/>
        </w:rPr>
        <w:t>第三条</w:t>
      </w:r>
      <w:r>
        <w:rPr>
          <w:rFonts w:hint="eastAsia" w:ascii="宋体" w:hAnsi="宋体" w:eastAsia="宋体" w:cs="宋体"/>
          <w:b/>
          <w:bCs/>
          <w:i w:val="0"/>
          <w:iCs w:val="0"/>
          <w:caps w:val="0"/>
          <w:color w:val="auto"/>
          <w:spacing w:val="0"/>
          <w:sz w:val="24"/>
          <w:szCs w:val="24"/>
          <w:highlight w:val="none"/>
          <w:lang w:val="en-US" w:eastAsia="zh-CN"/>
        </w:rPr>
        <w:t>服务地点、期限</w:t>
      </w:r>
    </w:p>
    <w:p w14:paraId="06378A69">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u w:val="singl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u w:val="none"/>
          <w:shd w:val="clear" w:color="auto" w:fill="FFFFFF"/>
          <w:vertAlign w:val="baseline"/>
          <w:lang w:val="en-US" w:eastAsia="zh-CN" w:bidi="ar-SA"/>
        </w:rPr>
        <w:t>1.服务地点：</w:t>
      </w:r>
      <w:r>
        <w:rPr>
          <w:rFonts w:hint="eastAsia" w:ascii="宋体" w:hAnsi="宋体" w:eastAsia="宋体" w:cs="宋体"/>
          <w:i w:val="0"/>
          <w:iCs w:val="0"/>
          <w:caps w:val="0"/>
          <w:color w:val="auto"/>
          <w:spacing w:val="0"/>
          <w:kern w:val="0"/>
          <w:sz w:val="21"/>
          <w:szCs w:val="21"/>
          <w:highlight w:val="none"/>
          <w:u w:val="single"/>
          <w:shd w:val="clear" w:color="auto" w:fill="FFFFFF"/>
          <w:vertAlign w:val="baseline"/>
          <w:lang w:val="en-US" w:eastAsia="zh-CN" w:bidi="ar-SA"/>
        </w:rPr>
        <w:t>三亚市崖州区国家南繁科研育种基地。</w:t>
      </w:r>
    </w:p>
    <w:p w14:paraId="4250B018">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u w:val="none"/>
          <w:shd w:val="clear" w:color="auto" w:fill="FFFFFF"/>
          <w:vertAlign w:val="baseline"/>
          <w:lang w:val="en-US" w:eastAsia="zh-CN" w:bidi="ar-SA"/>
        </w:rPr>
        <w:t>2.服务期限：</w:t>
      </w:r>
      <w:r>
        <w:rPr>
          <w:rFonts w:hint="eastAsia" w:ascii="宋体" w:hAnsi="宋体" w:eastAsia="宋体" w:cs="宋体"/>
          <w:i w:val="0"/>
          <w:iCs w:val="0"/>
          <w:caps w:val="0"/>
          <w:color w:val="auto"/>
          <w:spacing w:val="0"/>
          <w:kern w:val="0"/>
          <w:sz w:val="21"/>
          <w:szCs w:val="21"/>
          <w:highlight w:val="none"/>
          <w:u w:val="single"/>
          <w:shd w:val="clear" w:color="auto" w:fill="FFFFFF"/>
          <w:vertAlign w:val="baseline"/>
          <w:lang w:val="en-US" w:eastAsia="zh-CN" w:bidi="ar-SA"/>
        </w:rPr>
        <w:t>自</w:t>
      </w:r>
      <w:r>
        <w:rPr>
          <w:rFonts w:hint="eastAsia" w:ascii="宋体" w:hAnsi="宋体" w:eastAsia="宋体" w:cs="宋体"/>
          <w:color w:val="auto"/>
          <w:kern w:val="0"/>
          <w:sz w:val="21"/>
          <w:szCs w:val="21"/>
          <w:highlight w:val="white"/>
          <w:u w:val="single"/>
          <w:lang w:val="en-US" w:eastAsia="zh-CN" w:bidi="ar"/>
        </w:rPr>
        <w:t>合同签订之日起90日历天</w:t>
      </w:r>
      <w:r>
        <w:rPr>
          <w:rFonts w:hint="eastAsia" w:ascii="宋体" w:hAnsi="宋体" w:eastAsia="宋体" w:cs="宋体"/>
          <w:color w:val="auto"/>
          <w:kern w:val="0"/>
          <w:sz w:val="21"/>
          <w:szCs w:val="21"/>
          <w:highlight w:val="none"/>
          <w:u w:val="single"/>
          <w:shd w:val="clear" w:color="auto" w:fill="FFFFFF"/>
          <w:lang w:val="en-US" w:eastAsia="zh-CN"/>
        </w:rPr>
        <w:t>。</w:t>
      </w: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 xml:space="preserve"> </w:t>
      </w:r>
    </w:p>
    <w:p w14:paraId="4CB1F7A3">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baseline"/>
        <w:rPr>
          <w:rFonts w:hint="eastAsia" w:ascii="宋体" w:hAnsi="宋体" w:eastAsia="宋体" w:cs="宋体"/>
          <w:b/>
          <w:bCs/>
          <w:i w:val="0"/>
          <w:iCs w:val="0"/>
          <w:caps w:val="0"/>
          <w:color w:val="auto"/>
          <w:spacing w:val="0"/>
          <w:sz w:val="24"/>
          <w:szCs w:val="24"/>
          <w:highlight w:val="none"/>
          <w:lang w:val="en-US" w:eastAsia="zh-CN"/>
        </w:rPr>
      </w:pPr>
      <w:r>
        <w:rPr>
          <w:rFonts w:hint="eastAsia" w:ascii="宋体" w:hAnsi="宋体" w:eastAsia="宋体" w:cs="宋体"/>
          <w:b/>
          <w:bCs/>
          <w:i w:val="0"/>
          <w:iCs w:val="0"/>
          <w:caps w:val="0"/>
          <w:color w:val="auto"/>
          <w:spacing w:val="0"/>
          <w:kern w:val="0"/>
          <w:sz w:val="24"/>
          <w:szCs w:val="24"/>
          <w:lang w:val="en-US" w:eastAsia="zh-CN" w:bidi="ar"/>
        </w:rPr>
        <w:t>第四条</w:t>
      </w:r>
      <w:r>
        <w:rPr>
          <w:rFonts w:hint="eastAsia" w:ascii="宋体" w:hAnsi="宋体" w:eastAsia="宋体" w:cs="宋体"/>
          <w:b/>
          <w:bCs/>
          <w:i w:val="0"/>
          <w:iCs w:val="0"/>
          <w:caps w:val="0"/>
          <w:color w:val="auto"/>
          <w:spacing w:val="0"/>
          <w:sz w:val="24"/>
          <w:szCs w:val="24"/>
          <w:highlight w:val="none"/>
          <w:lang w:val="en-US" w:eastAsia="zh-CN"/>
        </w:rPr>
        <w:t>服务方式</w:t>
      </w:r>
    </w:p>
    <w:p w14:paraId="0A967AF8">
      <w:pPr>
        <w:pStyle w:val="11"/>
        <w:keepNext w:val="0"/>
        <w:keepLines w:val="0"/>
        <w:widowControl/>
        <w:suppressLineNumbers w:val="0"/>
        <w:spacing w:before="0" w:beforeAutospacing="0" w:after="0" w:afterAutospacing="0" w:line="360" w:lineRule="auto"/>
        <w:ind w:left="0" w:right="0" w:firstLine="420" w:firstLineChars="200"/>
        <w:jc w:val="left"/>
        <w:outlineLvl w:val="9"/>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本项目采取全包干的方式，即任务包干、经费包干、人员设备包干、作业安全包干。乙方按照甲方的服务要求和标准组织服务工作，并接受甲方的监督、检查、指导。</w:t>
      </w:r>
    </w:p>
    <w:p w14:paraId="67A90505">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baseline"/>
        <w:rPr>
          <w:rFonts w:hint="eastAsia" w:ascii="宋体" w:hAnsi="宋体" w:eastAsia="宋体" w:cs="宋体"/>
          <w:b/>
          <w:bCs/>
          <w:i w:val="0"/>
          <w:iCs w:val="0"/>
          <w:caps w:val="0"/>
          <w:color w:val="auto"/>
          <w:spacing w:val="0"/>
          <w:sz w:val="24"/>
          <w:szCs w:val="24"/>
          <w:highlight w:val="none"/>
          <w:lang w:val="en-US" w:eastAsia="zh-CN"/>
        </w:rPr>
      </w:pPr>
      <w:r>
        <w:rPr>
          <w:rFonts w:hint="eastAsia" w:ascii="宋体" w:hAnsi="宋体" w:eastAsia="宋体" w:cs="宋体"/>
          <w:b/>
          <w:bCs/>
          <w:i w:val="0"/>
          <w:iCs w:val="0"/>
          <w:caps w:val="0"/>
          <w:color w:val="auto"/>
          <w:spacing w:val="0"/>
          <w:kern w:val="0"/>
          <w:sz w:val="24"/>
          <w:szCs w:val="24"/>
          <w:lang w:val="en-US" w:eastAsia="zh-CN" w:bidi="ar"/>
        </w:rPr>
        <w:t>第五条</w:t>
      </w:r>
      <w:r>
        <w:rPr>
          <w:rFonts w:hint="eastAsia" w:ascii="宋体" w:hAnsi="宋体" w:eastAsia="宋体" w:cs="宋体"/>
          <w:b/>
          <w:bCs/>
          <w:i w:val="0"/>
          <w:iCs w:val="0"/>
          <w:caps w:val="0"/>
          <w:color w:val="auto"/>
          <w:spacing w:val="0"/>
          <w:sz w:val="24"/>
          <w:szCs w:val="24"/>
          <w:highlight w:val="none"/>
          <w:lang w:val="en-US" w:eastAsia="zh-CN"/>
        </w:rPr>
        <w:t>合同价款及支付</w:t>
      </w:r>
    </w:p>
    <w:p w14:paraId="08340D88">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1.本合同金额(含税)为：¥</w:t>
      </w:r>
      <w:r>
        <w:rPr>
          <w:rFonts w:hint="eastAsia" w:ascii="宋体" w:hAnsi="宋体" w:eastAsia="宋体" w:cs="宋体"/>
          <w:i w:val="0"/>
          <w:iCs w:val="0"/>
          <w:caps w:val="0"/>
          <w:color w:val="auto"/>
          <w:spacing w:val="0"/>
          <w:kern w:val="0"/>
          <w:sz w:val="21"/>
          <w:szCs w:val="21"/>
          <w:highlight w:val="none"/>
          <w:u w:val="single"/>
          <w:shd w:val="clear" w:color="auto" w:fill="FFFFFF"/>
          <w:vertAlign w:val="baseline"/>
          <w:lang w:val="en-US" w:eastAsia="zh-CN" w:bidi="ar-SA"/>
        </w:rPr>
        <w:t xml:space="preserve">     </w:t>
      </w:r>
      <w:r>
        <w:rPr>
          <w:rFonts w:hint="eastAsia" w:ascii="宋体" w:hAnsi="宋体" w:eastAsia="宋体" w:cs="宋体"/>
          <w:i w:val="0"/>
          <w:iCs w:val="0"/>
          <w:caps w:val="0"/>
          <w:color w:val="auto"/>
          <w:spacing w:val="0"/>
          <w:kern w:val="0"/>
          <w:sz w:val="21"/>
          <w:szCs w:val="21"/>
          <w:highlight w:val="none"/>
          <w:u w:val="none"/>
          <w:shd w:val="clear" w:color="auto" w:fill="FFFFFF"/>
          <w:vertAlign w:val="baseline"/>
          <w:lang w:val="en-US" w:eastAsia="zh-CN" w:bidi="ar-SA"/>
        </w:rPr>
        <w:t>(大写：</w:t>
      </w:r>
      <w:r>
        <w:rPr>
          <w:rFonts w:hint="eastAsia" w:ascii="宋体" w:hAnsi="宋体" w:eastAsia="宋体" w:cs="宋体"/>
          <w:i w:val="0"/>
          <w:iCs w:val="0"/>
          <w:caps w:val="0"/>
          <w:color w:val="auto"/>
          <w:spacing w:val="0"/>
          <w:kern w:val="0"/>
          <w:sz w:val="21"/>
          <w:szCs w:val="21"/>
          <w:highlight w:val="none"/>
          <w:u w:val="single"/>
          <w:shd w:val="clear" w:color="auto" w:fill="FFFFFF"/>
          <w:vertAlign w:val="baseline"/>
          <w:lang w:val="en-US" w:eastAsia="zh-CN" w:bidi="ar-SA"/>
        </w:rPr>
        <w:t xml:space="preserve">        </w:t>
      </w: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)，单价为</w:t>
      </w:r>
      <w:r>
        <w:rPr>
          <w:rFonts w:hint="eastAsia" w:ascii="宋体" w:hAnsi="宋体" w:eastAsia="宋体" w:cs="宋体"/>
          <w:i w:val="0"/>
          <w:iCs w:val="0"/>
          <w:caps w:val="0"/>
          <w:color w:val="auto"/>
          <w:spacing w:val="0"/>
          <w:kern w:val="0"/>
          <w:sz w:val="21"/>
          <w:szCs w:val="21"/>
          <w:highlight w:val="none"/>
          <w:u w:val="single"/>
          <w:shd w:val="clear" w:color="auto" w:fill="FFFFFF"/>
          <w:vertAlign w:val="baseline"/>
          <w:lang w:val="en-US" w:eastAsia="zh-CN" w:bidi="ar-SA"/>
        </w:rPr>
        <w:t xml:space="preserve">        元/亩</w:t>
      </w: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w:t>
      </w:r>
    </w:p>
    <w:p w14:paraId="3C41AC81">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 xml:space="preserve">2.本项目合同款项以人民币转账方式支付。 </w:t>
      </w:r>
    </w:p>
    <w:p w14:paraId="1B7A2C3A">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 xml:space="preserve">3.付款进度和方式：第一期：本合同签订并生效后采购人向中标供应商支付合同金额的40%作为预付款。第二期：中标供应商撒播有机肥结束后，采购人向中标供应商支付合同金额的20%。第三期：中标供应商完成全部任务指标，且采购人验收通过后，采购人向中标供应商支付合同金额的20%。第四期：采购人完成项目审核结算后，按照最终审核结算金额支付剩余款项。          </w:t>
      </w:r>
    </w:p>
    <w:p w14:paraId="3352AB3A">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 xml:space="preserve">4.乙方应于甲方支付上述费用前，向甲方提交符合甲方要求的等额、真实、正规、合法、有效的增值税普通发票，否则甲方有权拒绝付款，并且不承担任何逾期付款的违约责任。 </w:t>
      </w:r>
    </w:p>
    <w:p w14:paraId="123F39DE">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5.因本项目的资金来源于政府财政性资金，故甲、乙双方对本合同的付款条件达成共识并做出如下约定：政府财政性资金拨付</w:t>
      </w:r>
      <w:bookmarkStart w:id="3" w:name="_GoBack"/>
      <w:bookmarkEnd w:id="3"/>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延迟而导致甲方不能按照合同的约定及时向乙方支付合同价款时，不构成甲方的违约行为，乙方不得因此追究甲方违约责任。</w:t>
      </w:r>
    </w:p>
    <w:p w14:paraId="79B3736F">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baseline"/>
        <w:rPr>
          <w:rFonts w:hint="eastAsia" w:ascii="宋体" w:hAnsi="宋体" w:eastAsia="宋体" w:cs="宋体"/>
          <w:b/>
          <w:bCs/>
          <w:i w:val="0"/>
          <w:iCs w:val="0"/>
          <w:caps w:val="0"/>
          <w:color w:val="auto"/>
          <w:spacing w:val="0"/>
          <w:sz w:val="24"/>
          <w:szCs w:val="24"/>
          <w:highlight w:val="none"/>
          <w:lang w:val="en-US" w:eastAsia="zh-CN"/>
        </w:rPr>
      </w:pPr>
      <w:r>
        <w:rPr>
          <w:rFonts w:hint="eastAsia" w:ascii="宋体" w:hAnsi="宋体" w:eastAsia="宋体" w:cs="宋体"/>
          <w:b/>
          <w:bCs/>
          <w:i w:val="0"/>
          <w:iCs w:val="0"/>
          <w:caps w:val="0"/>
          <w:color w:val="auto"/>
          <w:spacing w:val="0"/>
          <w:kern w:val="0"/>
          <w:sz w:val="24"/>
          <w:szCs w:val="24"/>
          <w:lang w:val="en-US" w:eastAsia="zh-CN" w:bidi="ar"/>
        </w:rPr>
        <w:t>第六条</w:t>
      </w:r>
      <w:r>
        <w:rPr>
          <w:rFonts w:hint="eastAsia" w:ascii="宋体" w:hAnsi="宋体" w:eastAsia="宋体" w:cs="宋体"/>
          <w:b/>
          <w:bCs/>
          <w:i w:val="0"/>
          <w:iCs w:val="0"/>
          <w:caps w:val="0"/>
          <w:color w:val="auto"/>
          <w:spacing w:val="0"/>
          <w:sz w:val="24"/>
          <w:szCs w:val="24"/>
          <w:highlight w:val="none"/>
          <w:lang w:val="en-US" w:eastAsia="zh-CN"/>
        </w:rPr>
        <w:t>履约验收</w:t>
      </w:r>
    </w:p>
    <w:p w14:paraId="428CCE50">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1.履约验收主体：甲方</w:t>
      </w:r>
    </w:p>
    <w:p w14:paraId="784E19A3">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2.履约验收时间：乙方完成甲方委托的全部工作后提出验收申请，由甲方组织验收。</w:t>
      </w:r>
    </w:p>
    <w:p w14:paraId="42E39534">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3.验收内容：按照《海南省政府采购履约验收管理暂行办法》琼财采规〔2023〕16 号）的要求及招标文件、投标文件与政府采购合同条款的要求进行验收。</w:t>
      </w:r>
    </w:p>
    <w:p w14:paraId="24C5475F">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4.验收程序：（1）组建验收小组；（2）归集验收依据；（3）制定验收方案；（4）验收实施；（5）出具验收意见。</w:t>
      </w:r>
    </w:p>
    <w:p w14:paraId="6719B81B">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5.验收标准：合格</w:t>
      </w:r>
    </w:p>
    <w:p w14:paraId="0B6A55B2">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6.履约验收的其他事项：甲、乙双方如对质量要求和技术指标的约定标准有相互抵触或异议的事项，由甲方在招标文件及乙方的投标文件中按质量要求和技术指标比较优胜的原则确定该项的验收标准。。</w:t>
      </w:r>
    </w:p>
    <w:p w14:paraId="5D6BC801">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baseline"/>
        <w:rPr>
          <w:rFonts w:hint="eastAsia" w:ascii="宋体" w:hAnsi="宋体" w:eastAsia="宋体" w:cs="宋体"/>
          <w:b/>
          <w:bCs/>
          <w:i w:val="0"/>
          <w:iCs w:val="0"/>
          <w:caps w:val="0"/>
          <w:color w:val="auto"/>
          <w:spacing w:val="0"/>
          <w:sz w:val="24"/>
          <w:szCs w:val="24"/>
          <w:highlight w:val="none"/>
          <w:lang w:val="en-US" w:eastAsia="zh-CN"/>
        </w:rPr>
      </w:pPr>
      <w:r>
        <w:rPr>
          <w:rFonts w:hint="eastAsia" w:ascii="宋体" w:hAnsi="宋体" w:eastAsia="宋体" w:cs="宋体"/>
          <w:b/>
          <w:bCs/>
          <w:i w:val="0"/>
          <w:iCs w:val="0"/>
          <w:caps w:val="0"/>
          <w:color w:val="auto"/>
          <w:spacing w:val="0"/>
          <w:kern w:val="0"/>
          <w:sz w:val="24"/>
          <w:szCs w:val="24"/>
          <w:lang w:val="en-US" w:eastAsia="zh-CN" w:bidi="ar"/>
        </w:rPr>
        <w:t>第七条</w:t>
      </w:r>
      <w:r>
        <w:rPr>
          <w:rFonts w:hint="eastAsia" w:ascii="宋体" w:hAnsi="宋体" w:eastAsia="宋体" w:cs="宋体"/>
          <w:b/>
          <w:bCs/>
          <w:i w:val="0"/>
          <w:iCs w:val="0"/>
          <w:caps w:val="0"/>
          <w:color w:val="auto"/>
          <w:spacing w:val="0"/>
          <w:sz w:val="24"/>
          <w:szCs w:val="24"/>
          <w:highlight w:val="none"/>
          <w:lang w:val="en-US" w:eastAsia="zh-CN"/>
        </w:rPr>
        <w:t xml:space="preserve">甲方的权利和义务 </w:t>
      </w:r>
    </w:p>
    <w:p w14:paraId="122413CE">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 xml:space="preserve">1.甲方应按合同约定的时间及方式向乙方支付合同价款。 </w:t>
      </w:r>
    </w:p>
    <w:p w14:paraId="02B17366">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2.甲方有权对乙方提供的服务提出要求、建议和思路，并监督执行的全过程，对于甲方在合理范围内提出的整改要求，乙方应积极配合实施。</w:t>
      </w:r>
    </w:p>
    <w:p w14:paraId="6907365B">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3.甲方有权对乙方进行定时或不定时的监督检查，及时纠正项目实施过程中出现的各种问题。并要求乙方提供工作记录和相关工作资料，并要求乙方对工作过程进行建档备案，建立健全完整的档案体系。</w:t>
      </w:r>
    </w:p>
    <w:p w14:paraId="16B4A268">
      <w:pPr>
        <w:pStyle w:val="11"/>
        <w:keepNext w:val="0"/>
        <w:keepLines w:val="0"/>
        <w:widowControl/>
        <w:suppressLineNumbers w:val="0"/>
        <w:spacing w:before="0" w:beforeAutospacing="0" w:after="0" w:afterAutospacing="0" w:line="360" w:lineRule="auto"/>
        <w:ind w:left="0" w:right="0" w:firstLine="420" w:firstLineChars="200"/>
        <w:jc w:val="left"/>
        <w:outlineLvl w:val="9"/>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4.甲方应与乙方积极配合，对乙方工作成果进行检验、验收。 </w:t>
      </w:r>
    </w:p>
    <w:p w14:paraId="11FD9655">
      <w:pPr>
        <w:pStyle w:val="11"/>
        <w:keepNext w:val="0"/>
        <w:keepLines w:val="0"/>
        <w:widowControl/>
        <w:suppressLineNumbers w:val="0"/>
        <w:spacing w:before="0" w:beforeAutospacing="0" w:after="0" w:afterAutospacing="0" w:line="360" w:lineRule="auto"/>
        <w:ind w:left="0" w:right="0" w:firstLine="420" w:firstLineChars="200"/>
        <w:jc w:val="left"/>
        <w:outlineLvl w:val="9"/>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5.甲方有权要求乙方提供本合同项下相关服务。</w:t>
      </w:r>
    </w:p>
    <w:p w14:paraId="65470383">
      <w:pPr>
        <w:pStyle w:val="11"/>
        <w:keepNext w:val="0"/>
        <w:keepLines w:val="0"/>
        <w:widowControl/>
        <w:suppressLineNumbers w:val="0"/>
        <w:spacing w:before="0" w:beforeAutospacing="0" w:after="0" w:afterAutospacing="0" w:line="360" w:lineRule="auto"/>
        <w:ind w:left="0" w:right="0" w:firstLine="420" w:firstLineChars="200"/>
        <w:jc w:val="left"/>
        <w:outlineLvl w:val="9"/>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6.甲方有权要求乙方撤换员工，通常此员工是已被甲方证实行为不检或不适宜继续执行工作，乙方必须根据甲方指示无条件马上安排替换及填补空缺。</w:t>
      </w:r>
    </w:p>
    <w:p w14:paraId="35675578">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baseline"/>
        <w:rPr>
          <w:rFonts w:hint="eastAsia" w:ascii="宋体" w:hAnsi="宋体" w:eastAsia="宋体" w:cs="宋体"/>
          <w:b/>
          <w:bCs/>
          <w:i w:val="0"/>
          <w:iCs w:val="0"/>
          <w:caps w:val="0"/>
          <w:color w:val="auto"/>
          <w:spacing w:val="0"/>
          <w:sz w:val="24"/>
          <w:szCs w:val="24"/>
          <w:highlight w:val="none"/>
          <w:lang w:val="en-US" w:eastAsia="zh-CN"/>
        </w:rPr>
      </w:pPr>
      <w:r>
        <w:rPr>
          <w:rFonts w:hint="eastAsia" w:ascii="宋体" w:hAnsi="宋体" w:eastAsia="宋体" w:cs="宋体"/>
          <w:b/>
          <w:bCs/>
          <w:i w:val="0"/>
          <w:iCs w:val="0"/>
          <w:caps w:val="0"/>
          <w:color w:val="auto"/>
          <w:spacing w:val="0"/>
          <w:kern w:val="0"/>
          <w:sz w:val="24"/>
          <w:szCs w:val="24"/>
          <w:lang w:val="en-US" w:eastAsia="zh-CN" w:bidi="ar"/>
        </w:rPr>
        <w:t>第八条</w:t>
      </w:r>
      <w:r>
        <w:rPr>
          <w:rFonts w:hint="eastAsia" w:ascii="宋体" w:hAnsi="宋体" w:eastAsia="宋体" w:cs="宋体"/>
          <w:b/>
          <w:bCs/>
          <w:i w:val="0"/>
          <w:iCs w:val="0"/>
          <w:caps w:val="0"/>
          <w:color w:val="auto"/>
          <w:spacing w:val="0"/>
          <w:sz w:val="24"/>
          <w:szCs w:val="24"/>
          <w:highlight w:val="none"/>
          <w:lang w:val="en-US" w:eastAsia="zh-CN"/>
        </w:rPr>
        <w:t xml:space="preserve">乙方的权利和义务 </w:t>
      </w:r>
    </w:p>
    <w:p w14:paraId="7536FBE3">
      <w:pPr>
        <w:pStyle w:val="11"/>
        <w:keepNext w:val="0"/>
        <w:keepLines w:val="0"/>
        <w:widowControl/>
        <w:suppressLineNumbers w:val="0"/>
        <w:spacing w:before="0" w:beforeAutospacing="0" w:after="0" w:afterAutospacing="0" w:line="360" w:lineRule="auto"/>
        <w:ind w:left="0" w:right="0" w:firstLine="420" w:firstLineChars="200"/>
        <w:jc w:val="left"/>
        <w:outlineLvl w:val="9"/>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1.乙方应按照本合同约定配备足够人员为甲方提供绿色防控技术服务，遵守甲方的各项规章制度、操作规程，勤勉尽责地完成甲方交给的工作任务。</w:t>
      </w:r>
    </w:p>
    <w:p w14:paraId="182371C2">
      <w:pPr>
        <w:pStyle w:val="11"/>
        <w:keepNext w:val="0"/>
        <w:keepLines w:val="0"/>
        <w:widowControl/>
        <w:suppressLineNumbers w:val="0"/>
        <w:spacing w:before="0" w:beforeAutospacing="0" w:after="0" w:afterAutospacing="0" w:line="360" w:lineRule="auto"/>
        <w:ind w:left="0" w:right="0" w:firstLine="420" w:firstLineChars="200"/>
        <w:jc w:val="left"/>
        <w:outlineLvl w:val="9"/>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2.乙方承接甲方业务后，在合同工作范围内的人员分配自理，安全责任自负，甲方可进行监督并提出工作要求。</w:t>
      </w:r>
    </w:p>
    <w:p w14:paraId="1F79754E">
      <w:pPr>
        <w:pStyle w:val="11"/>
        <w:keepNext w:val="0"/>
        <w:keepLines w:val="0"/>
        <w:widowControl/>
        <w:suppressLineNumbers w:val="0"/>
        <w:spacing w:before="0" w:beforeAutospacing="0" w:after="0" w:afterAutospacing="0" w:line="360" w:lineRule="auto"/>
        <w:ind w:left="0" w:right="0" w:firstLine="420" w:firstLineChars="200"/>
        <w:jc w:val="left"/>
        <w:outlineLvl w:val="9"/>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乙方在提供服务的过程中，应当采取有效的安全防护设施、保障工作人员的人身和财产安全，并不得对甲方、乙方人员及第三人造成人身和财产损害，如果发生前述人身和财产损害，由乙方自行承担，与甲方无关。如因此导致甲方被追究责任的，由乙方负责处理，或甲方处理后有权要求乙方赔偿由此支出的相关费用。</w:t>
      </w:r>
    </w:p>
    <w:p w14:paraId="0627D7B9">
      <w:pPr>
        <w:pStyle w:val="11"/>
        <w:keepNext w:val="0"/>
        <w:keepLines w:val="0"/>
        <w:widowControl/>
        <w:suppressLineNumbers w:val="0"/>
        <w:spacing w:before="0" w:beforeAutospacing="0" w:after="0" w:afterAutospacing="0" w:line="360" w:lineRule="auto"/>
        <w:ind w:left="0" w:right="0" w:firstLine="420" w:firstLineChars="200"/>
        <w:jc w:val="left"/>
        <w:outlineLvl w:val="9"/>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4.乙方保证履约过程所使用的材料、设备、设施及技术不存在质量问题及权利瑕疵，并及时清运合同履行期间产生的垃圾。</w:t>
      </w:r>
    </w:p>
    <w:p w14:paraId="109D30E1">
      <w:pPr>
        <w:pStyle w:val="11"/>
        <w:keepNext w:val="0"/>
        <w:keepLines w:val="0"/>
        <w:widowControl/>
        <w:suppressLineNumbers w:val="0"/>
        <w:spacing w:before="0" w:beforeAutospacing="0" w:after="0" w:afterAutospacing="0" w:line="360" w:lineRule="auto"/>
        <w:ind w:left="0" w:right="0" w:firstLine="420" w:firstLineChars="200"/>
        <w:jc w:val="left"/>
        <w:outlineLvl w:val="9"/>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5.乙方不得将其在本合同项下的权利义务全部或者部分转让给第三方。</w:t>
      </w:r>
    </w:p>
    <w:p w14:paraId="20E6BC79">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baseline"/>
        <w:rPr>
          <w:rFonts w:hint="eastAsia" w:ascii="宋体" w:hAnsi="宋体" w:eastAsia="宋体" w:cs="宋体"/>
          <w:b/>
          <w:bCs/>
          <w:i w:val="0"/>
          <w:iCs w:val="0"/>
          <w:caps w:val="0"/>
          <w:color w:val="auto"/>
          <w:spacing w:val="0"/>
          <w:sz w:val="24"/>
          <w:szCs w:val="24"/>
          <w:highlight w:val="none"/>
          <w:lang w:val="en-US" w:eastAsia="zh-CN"/>
        </w:rPr>
      </w:pPr>
      <w:r>
        <w:rPr>
          <w:rFonts w:hint="eastAsia" w:ascii="宋体" w:hAnsi="宋体" w:eastAsia="宋体" w:cs="宋体"/>
          <w:b/>
          <w:bCs/>
          <w:i w:val="0"/>
          <w:iCs w:val="0"/>
          <w:caps w:val="0"/>
          <w:color w:val="auto"/>
          <w:spacing w:val="0"/>
          <w:kern w:val="0"/>
          <w:sz w:val="24"/>
          <w:szCs w:val="24"/>
          <w:lang w:val="en-US" w:eastAsia="zh-CN" w:bidi="ar"/>
        </w:rPr>
        <w:t>第九条</w:t>
      </w:r>
      <w:r>
        <w:rPr>
          <w:rFonts w:hint="eastAsia" w:ascii="宋体" w:hAnsi="宋体" w:eastAsia="宋体" w:cs="宋体"/>
          <w:b/>
          <w:bCs/>
          <w:i w:val="0"/>
          <w:iCs w:val="0"/>
          <w:caps w:val="0"/>
          <w:color w:val="auto"/>
          <w:spacing w:val="0"/>
          <w:sz w:val="24"/>
          <w:szCs w:val="24"/>
          <w:highlight w:val="none"/>
          <w:lang w:val="en-US" w:eastAsia="zh-CN"/>
        </w:rPr>
        <w:t xml:space="preserve">不可抗力 </w:t>
      </w:r>
    </w:p>
    <w:p w14:paraId="1E7D0DB4">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 xml:space="preserve">1.在合同有效期内，任何一方因不可抗力事件（“不可抗力”是指本合同各方不能合理控制、不可预见或即使预见亦无法避免的事件。该事件包括但不限于政府政策调整、地震、台风、洪水、火灾、瘟疫、战争、其他类似事件等因素。）导致不能履行合同，则合同履行期可延长，其延长期与不可抗力影响期相同。 </w:t>
      </w:r>
    </w:p>
    <w:p w14:paraId="0CDA5C6A">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 xml:space="preserve">2.如发生不可抗力事件，遭受该事件的一方应在72小时内通知对方，提供证明文件说明有关事件的细节和不能履行或部分不能履行或需延迟履行本合同的原因。双方应在协商一致的基础上决定是否延期履行本合同或终止本合同。 </w:t>
      </w:r>
    </w:p>
    <w:p w14:paraId="78721159">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3.当事人迟延履行后发生不可抗力的，不能免除责任。</w:t>
      </w:r>
    </w:p>
    <w:p w14:paraId="6A39C721">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baseline"/>
        <w:rPr>
          <w:rFonts w:hint="eastAsia" w:ascii="宋体" w:hAnsi="宋体" w:eastAsia="宋体" w:cs="宋体"/>
          <w:b/>
          <w:bCs/>
          <w:i w:val="0"/>
          <w:iCs w:val="0"/>
          <w:caps w:val="0"/>
          <w:color w:val="auto"/>
          <w:spacing w:val="0"/>
          <w:sz w:val="24"/>
          <w:szCs w:val="24"/>
          <w:highlight w:val="none"/>
          <w:lang w:val="en-US" w:eastAsia="zh-CN"/>
        </w:rPr>
      </w:pPr>
      <w:r>
        <w:rPr>
          <w:rFonts w:hint="eastAsia" w:ascii="宋体" w:hAnsi="宋体" w:eastAsia="宋体" w:cs="宋体"/>
          <w:b/>
          <w:bCs/>
          <w:i w:val="0"/>
          <w:iCs w:val="0"/>
          <w:caps w:val="0"/>
          <w:color w:val="auto"/>
          <w:spacing w:val="0"/>
          <w:kern w:val="0"/>
          <w:sz w:val="24"/>
          <w:szCs w:val="24"/>
          <w:lang w:val="en-US" w:eastAsia="zh-CN" w:bidi="ar"/>
        </w:rPr>
        <w:t>第十条</w:t>
      </w:r>
      <w:r>
        <w:rPr>
          <w:rFonts w:hint="eastAsia" w:ascii="宋体" w:hAnsi="宋体" w:eastAsia="宋体" w:cs="宋体"/>
          <w:b/>
          <w:bCs/>
          <w:i w:val="0"/>
          <w:iCs w:val="0"/>
          <w:caps w:val="0"/>
          <w:color w:val="auto"/>
          <w:spacing w:val="0"/>
          <w:sz w:val="24"/>
          <w:szCs w:val="24"/>
          <w:highlight w:val="none"/>
          <w:lang w:val="en-US" w:eastAsia="zh-CN"/>
        </w:rPr>
        <w:t xml:space="preserve">违约责任 </w:t>
      </w:r>
    </w:p>
    <w:p w14:paraId="0FF40755">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1.甲方无正当理由拒绝接受服务，到期拒付服务款项的，甲方每逾期一日，则按当期未支付服务费用的万分之三向乙方支付违约金。违约金最高不超过当期应付服务费的10%。如甲方已按照行政审批流程办理请款手续，则不视为甲方违约。</w:t>
      </w:r>
    </w:p>
    <w:p w14:paraId="47D65520">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2.乙方不得将其在本合同项下的权利义务全部或者部分转让给第三方，否则，甲方有权解除合同，乙方须按照合同总价款的</w:t>
      </w:r>
      <w:r>
        <w:rPr>
          <w:rFonts w:hint="eastAsia" w:ascii="宋体" w:hAnsi="宋体" w:eastAsia="宋体" w:cs="宋体"/>
          <w:i w:val="0"/>
          <w:iCs w:val="0"/>
          <w:caps w:val="0"/>
          <w:color w:val="auto"/>
          <w:spacing w:val="0"/>
          <w:kern w:val="0"/>
          <w:sz w:val="21"/>
          <w:szCs w:val="21"/>
          <w:highlight w:val="none"/>
          <w:u w:val="single"/>
          <w:shd w:val="clear" w:color="auto" w:fill="FFFFFF"/>
          <w:vertAlign w:val="baseline"/>
          <w:lang w:val="en-US" w:eastAsia="zh-CN" w:bidi="ar-SA"/>
        </w:rPr>
        <w:t xml:space="preserve">   </w:t>
      </w: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‰向甲方支付违约金。</w:t>
      </w:r>
    </w:p>
    <w:p w14:paraId="148D34AD">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3.如因乙方工作人员在履行职务过程中的疏忽、失职、过错等故意或者过失原因给甲方造成损失或侵害，包括但不限于甲方本身的财产损失、由此而导致的对任何第三方的法律责任等，乙方对此均应承担全部的赔偿责任。</w:t>
      </w:r>
    </w:p>
    <w:p w14:paraId="19E11BDC">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4.乙方如未按合同约定履行合同义务，乙方应按甲方通知要求整改，经整改3次后仍不能达标的，甲方有权解除合同并且乙方须按合同总价款的</w:t>
      </w:r>
      <w:r>
        <w:rPr>
          <w:rFonts w:hint="eastAsia" w:ascii="宋体" w:hAnsi="宋体" w:eastAsia="宋体" w:cs="宋体"/>
          <w:i w:val="0"/>
          <w:iCs w:val="0"/>
          <w:caps w:val="0"/>
          <w:color w:val="auto"/>
          <w:spacing w:val="0"/>
          <w:kern w:val="0"/>
          <w:sz w:val="21"/>
          <w:szCs w:val="21"/>
          <w:highlight w:val="none"/>
          <w:u w:val="single"/>
          <w:shd w:val="clear" w:color="auto" w:fill="FFFFFF"/>
          <w:vertAlign w:val="baseline"/>
          <w:lang w:val="en-US" w:eastAsia="zh-CN" w:bidi="ar-SA"/>
        </w:rPr>
        <w:t xml:space="preserve">   </w:t>
      </w: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‰向甲方支付违约金。</w:t>
      </w:r>
    </w:p>
    <w:p w14:paraId="466CA115">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5.本合同约定的赔偿金、违约金等可从甲方应付合同款中直接扣除。</w:t>
      </w:r>
    </w:p>
    <w:p w14:paraId="016AF174">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baseline"/>
        <w:rPr>
          <w:rFonts w:hint="eastAsia" w:ascii="宋体" w:hAnsi="宋体" w:eastAsia="宋体" w:cs="宋体"/>
          <w:b/>
          <w:bCs/>
          <w:i w:val="0"/>
          <w:iCs w:val="0"/>
          <w:caps w:val="0"/>
          <w:color w:val="auto"/>
          <w:spacing w:val="0"/>
          <w:sz w:val="24"/>
          <w:szCs w:val="24"/>
          <w:highlight w:val="none"/>
          <w:lang w:val="en-US" w:eastAsia="zh-CN"/>
        </w:rPr>
      </w:pPr>
      <w:r>
        <w:rPr>
          <w:rFonts w:hint="eastAsia" w:ascii="宋体" w:hAnsi="宋体" w:eastAsia="宋体" w:cs="宋体"/>
          <w:b/>
          <w:bCs/>
          <w:i w:val="0"/>
          <w:iCs w:val="0"/>
          <w:caps w:val="0"/>
          <w:color w:val="auto"/>
          <w:spacing w:val="0"/>
          <w:kern w:val="0"/>
          <w:sz w:val="24"/>
          <w:szCs w:val="24"/>
          <w:lang w:val="en-US" w:eastAsia="zh-CN" w:bidi="ar"/>
        </w:rPr>
        <w:t>第十一条</w:t>
      </w:r>
      <w:r>
        <w:rPr>
          <w:rFonts w:hint="eastAsia" w:ascii="宋体" w:hAnsi="宋体" w:eastAsia="宋体" w:cs="宋体"/>
          <w:b/>
          <w:bCs/>
          <w:i w:val="0"/>
          <w:iCs w:val="0"/>
          <w:caps w:val="0"/>
          <w:color w:val="auto"/>
          <w:spacing w:val="0"/>
          <w:sz w:val="24"/>
          <w:szCs w:val="24"/>
          <w:highlight w:val="none"/>
          <w:lang w:val="en-US" w:eastAsia="zh-CN"/>
        </w:rPr>
        <w:t xml:space="preserve">争议解决方式 </w:t>
      </w:r>
    </w:p>
    <w:p w14:paraId="374F25AA">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 xml:space="preserve">甲、乙双方在履行合同时发生争议，应本着友好的态度协商解决；协商不成的，任何一方均可向甲方所在地人民法院提起诉讼。在法院审理期间，除提交法院审理的事项外，合同其它事项和条款仍应继续履行。 </w:t>
      </w:r>
    </w:p>
    <w:p w14:paraId="3500510F">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baseline"/>
        <w:rPr>
          <w:rFonts w:hint="eastAsia" w:ascii="宋体" w:hAnsi="宋体" w:eastAsia="宋体" w:cs="宋体"/>
          <w:b/>
          <w:bCs/>
          <w:i w:val="0"/>
          <w:iCs w:val="0"/>
          <w:caps w:val="0"/>
          <w:color w:val="auto"/>
          <w:spacing w:val="0"/>
          <w:sz w:val="24"/>
          <w:szCs w:val="24"/>
          <w:highlight w:val="none"/>
          <w:lang w:val="en-US" w:eastAsia="zh-CN"/>
        </w:rPr>
      </w:pPr>
      <w:r>
        <w:rPr>
          <w:rFonts w:hint="eastAsia" w:ascii="宋体" w:hAnsi="宋体" w:eastAsia="宋体" w:cs="宋体"/>
          <w:b/>
          <w:bCs/>
          <w:i w:val="0"/>
          <w:iCs w:val="0"/>
          <w:caps w:val="0"/>
          <w:color w:val="auto"/>
          <w:spacing w:val="0"/>
          <w:kern w:val="0"/>
          <w:sz w:val="24"/>
          <w:szCs w:val="24"/>
          <w:lang w:val="en-US" w:eastAsia="zh-CN" w:bidi="ar"/>
        </w:rPr>
        <w:t>第十二条</w:t>
      </w:r>
      <w:r>
        <w:rPr>
          <w:rFonts w:hint="eastAsia" w:ascii="宋体" w:hAnsi="宋体" w:eastAsia="宋体" w:cs="宋体"/>
          <w:b/>
          <w:bCs/>
          <w:i w:val="0"/>
          <w:iCs w:val="0"/>
          <w:caps w:val="0"/>
          <w:color w:val="auto"/>
          <w:spacing w:val="0"/>
          <w:sz w:val="24"/>
          <w:szCs w:val="24"/>
          <w:highlight w:val="none"/>
          <w:lang w:val="en-US" w:eastAsia="zh-CN"/>
        </w:rPr>
        <w:t xml:space="preserve">合同终止 </w:t>
      </w:r>
    </w:p>
    <w:p w14:paraId="0B518C00">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 xml:space="preserve">1.合同期满或合同正常履行完毕，本合同自然终止。 </w:t>
      </w:r>
    </w:p>
    <w:p w14:paraId="2F5083AB">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2.在合同履行过程中，合同签订时所依据的客观事实发生重大改变，或因不可抗力致使委托项目不能实现的情况下，致使协议无法正常履行，经甲、乙双方协商一致，可以解除本合同，自双方达成解除合同的书面协议之日起，本合同解除。</w:t>
      </w:r>
    </w:p>
    <w:p w14:paraId="291CFC93">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3.因一方严重违约导致对方解除本合同的，自解除合同一方发出的解除合同通知书送达违约方之日起，本合同解除。</w:t>
      </w:r>
    </w:p>
    <w:p w14:paraId="7973C8AE">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82" w:firstLineChars="200"/>
        <w:textAlignment w:val="baseline"/>
        <w:rPr>
          <w:rFonts w:hint="eastAsia" w:ascii="宋体" w:hAnsi="宋体" w:eastAsia="宋体" w:cs="宋体"/>
          <w:b/>
          <w:bCs/>
          <w:i w:val="0"/>
          <w:iCs w:val="0"/>
          <w:caps w:val="0"/>
          <w:color w:val="auto"/>
          <w:spacing w:val="0"/>
          <w:sz w:val="24"/>
          <w:szCs w:val="24"/>
          <w:highlight w:val="none"/>
          <w:lang w:val="en-US" w:eastAsia="zh-CN"/>
        </w:rPr>
      </w:pPr>
      <w:r>
        <w:rPr>
          <w:rFonts w:hint="eastAsia" w:ascii="宋体" w:hAnsi="宋体" w:eastAsia="宋体" w:cs="宋体"/>
          <w:b/>
          <w:bCs/>
          <w:i w:val="0"/>
          <w:iCs w:val="0"/>
          <w:caps w:val="0"/>
          <w:color w:val="auto"/>
          <w:spacing w:val="0"/>
          <w:kern w:val="0"/>
          <w:sz w:val="24"/>
          <w:szCs w:val="24"/>
          <w:lang w:val="en-US" w:eastAsia="zh-CN" w:bidi="ar"/>
        </w:rPr>
        <w:t>第十三条</w:t>
      </w:r>
      <w:r>
        <w:rPr>
          <w:rFonts w:hint="eastAsia" w:ascii="宋体" w:hAnsi="宋体" w:eastAsia="宋体" w:cs="宋体"/>
          <w:b/>
          <w:bCs/>
          <w:i w:val="0"/>
          <w:iCs w:val="0"/>
          <w:caps w:val="0"/>
          <w:color w:val="auto"/>
          <w:spacing w:val="0"/>
          <w:sz w:val="24"/>
          <w:szCs w:val="24"/>
          <w:highlight w:val="none"/>
          <w:lang w:val="en-US" w:eastAsia="zh-CN"/>
        </w:rPr>
        <w:t>合同生效及其他约定</w:t>
      </w:r>
    </w:p>
    <w:p w14:paraId="15AAF787">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 xml:space="preserve">1.本合同自甲乙双方签字盖章之日起生效。 </w:t>
      </w:r>
    </w:p>
    <w:p w14:paraId="2D89D266">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 xml:space="preserve">2.本合同一式柒份,甲方持叁份，乙方持叁份,三亚市崖州区财政局持壹份,每份均具有同等法律效力。本合同附件与本合同具有同等法律效力。 </w:t>
      </w:r>
    </w:p>
    <w:p w14:paraId="551DB4B9">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3.本合同如有未尽事宜，双方可另行签订补充协议，有关协议及双方认可的传真、会议纪要等均为本合同组成部分，与本合同具有同等法律效力。</w:t>
      </w:r>
    </w:p>
    <w:p w14:paraId="34C53C23">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p>
    <w:p w14:paraId="56DC9C29">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 xml:space="preserve">甲方（盖章）：                         乙方（盖章）：                </w:t>
      </w:r>
    </w:p>
    <w:p w14:paraId="5D9970C0">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 xml:space="preserve">法定代表人或授权代表人                 法定代表人或授权代表人   </w:t>
      </w:r>
    </w:p>
    <w:p w14:paraId="04D8872A">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 xml:space="preserve">签字或盖章：                           签字或盖章：            </w:t>
      </w:r>
    </w:p>
    <w:p w14:paraId="72BEB722">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 xml:space="preserve">地址：                                 地址：                                                                                      </w:t>
      </w:r>
    </w:p>
    <w:p w14:paraId="2C9FA5B9">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联系人：                               联系人：</w:t>
      </w:r>
    </w:p>
    <w:p w14:paraId="6800C081">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联系电话：                             联系电话：</w:t>
      </w:r>
    </w:p>
    <w:p w14:paraId="6EE57B2E">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ar-SA"/>
        </w:rPr>
        <w:t>签订日期：    年    月    日           签订日期：    年    月    日</w:t>
      </w:r>
    </w:p>
    <w:p w14:paraId="5B0FC69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宋体" w:hAnsi="宋体" w:eastAsia="宋体" w:cs="宋体"/>
          <w:color w:val="auto"/>
          <w:sz w:val="28"/>
          <w:szCs w:val="28"/>
        </w:rPr>
      </w:pPr>
    </w:p>
    <w:sectPr>
      <w:footerReference r:id="rId3" w:type="default"/>
      <w:pgSz w:w="11906" w:h="16838"/>
      <w:pgMar w:top="1417" w:right="1417" w:bottom="1417" w:left="141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DFKai-SB">
    <w:altName w:val="Microsoft JhengHei Light"/>
    <w:panose1 w:val="03000509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94CF7">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E249AD">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3E249AD">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A138C5"/>
    <w:multiLevelType w:val="multilevel"/>
    <w:tmpl w:val="2DA138C5"/>
    <w:lvl w:ilvl="0" w:tentative="0">
      <w:start w:val="1"/>
      <w:numFmt w:val="decimal"/>
      <w:lvlText w:val="%1"/>
      <w:lvlJc w:val="left"/>
      <w:pPr>
        <w:tabs>
          <w:tab w:val="left" w:pos="432"/>
        </w:tabs>
        <w:ind w:left="432" w:hanging="432"/>
      </w:pPr>
      <w:rPr>
        <w:rFonts w:hint="eastAsia" w:ascii="Times New Roman" w:hAnsi="Times New Roman" w:cs="Times New Roman"/>
        <w:i w:val="0"/>
        <w:iCs w:val="0"/>
        <w:caps w:val="0"/>
        <w:smallCaps w:val="0"/>
        <w:strike w:val="0"/>
        <w:dstrike w:val="0"/>
        <w:vanish w:val="0"/>
        <w:spacing w:val="0"/>
        <w:position w:val="0"/>
        <w:u w:val="none"/>
        <w:vertAlign w:val="baseline"/>
      </w:rPr>
    </w:lvl>
    <w:lvl w:ilvl="1" w:tentative="0">
      <w:start w:val="1"/>
      <w:numFmt w:val="decimal"/>
      <w:isLg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1716"/>
        </w:tabs>
        <w:ind w:left="1716"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pStyle w:val="5"/>
      <w:lvlText w:val="%1.%2.%3.%4.%5.%6"/>
      <w:lvlJc w:val="left"/>
      <w:pPr>
        <w:tabs>
          <w:tab w:val="left" w:pos="2429"/>
        </w:tabs>
        <w:ind w:left="2429"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941552"/>
    <w:rsid w:val="01B15B16"/>
    <w:rsid w:val="03A852C7"/>
    <w:rsid w:val="0449381C"/>
    <w:rsid w:val="05031C1C"/>
    <w:rsid w:val="093C0882"/>
    <w:rsid w:val="0DF37C28"/>
    <w:rsid w:val="0E2872D6"/>
    <w:rsid w:val="0F1B4006"/>
    <w:rsid w:val="0F2E3D3A"/>
    <w:rsid w:val="146D70B2"/>
    <w:rsid w:val="189015C1"/>
    <w:rsid w:val="1890336F"/>
    <w:rsid w:val="1A473F02"/>
    <w:rsid w:val="1D0D02A2"/>
    <w:rsid w:val="1E58492F"/>
    <w:rsid w:val="1F7D3FCB"/>
    <w:rsid w:val="200F54C2"/>
    <w:rsid w:val="208C6282"/>
    <w:rsid w:val="216103BD"/>
    <w:rsid w:val="2A826C42"/>
    <w:rsid w:val="2B487382"/>
    <w:rsid w:val="2C02237E"/>
    <w:rsid w:val="2EF62E88"/>
    <w:rsid w:val="30DD0CC4"/>
    <w:rsid w:val="32E620B2"/>
    <w:rsid w:val="37E503C1"/>
    <w:rsid w:val="3B941552"/>
    <w:rsid w:val="3D3B2FFA"/>
    <w:rsid w:val="3F0062A9"/>
    <w:rsid w:val="3FC96FE3"/>
    <w:rsid w:val="433504EC"/>
    <w:rsid w:val="44D7195B"/>
    <w:rsid w:val="45555D13"/>
    <w:rsid w:val="4799373F"/>
    <w:rsid w:val="49555444"/>
    <w:rsid w:val="4D3B0DF4"/>
    <w:rsid w:val="512D31F3"/>
    <w:rsid w:val="57B97330"/>
    <w:rsid w:val="5BC13E2E"/>
    <w:rsid w:val="62543D44"/>
    <w:rsid w:val="62911A2D"/>
    <w:rsid w:val="63D84B97"/>
    <w:rsid w:val="66241825"/>
    <w:rsid w:val="66C76051"/>
    <w:rsid w:val="67917B37"/>
    <w:rsid w:val="6A1D46AF"/>
    <w:rsid w:val="6BF57FEE"/>
    <w:rsid w:val="74D84FF7"/>
    <w:rsid w:val="763553D2"/>
    <w:rsid w:val="7A7A7813"/>
    <w:rsid w:val="7A8B3F40"/>
    <w:rsid w:val="7B237F37"/>
    <w:rsid w:val="7C8C0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4"/>
    <w:qFormat/>
    <w:uiPriority w:val="9"/>
    <w:pPr>
      <w:keepNext/>
      <w:keepLines/>
      <w:spacing w:before="100" w:beforeLines="0" w:beforeAutospacing="1" w:after="100" w:afterLines="0" w:afterAutospacing="1" w:line="360" w:lineRule="auto"/>
      <w:outlineLvl w:val="1"/>
    </w:pPr>
    <w:rPr>
      <w:rFonts w:ascii="Arial" w:hAnsi="Arial" w:eastAsia="黑体"/>
      <w:b/>
      <w:bCs/>
      <w:sz w:val="36"/>
      <w:szCs w:val="32"/>
    </w:rPr>
  </w:style>
  <w:style w:type="paragraph" w:styleId="5">
    <w:name w:val="heading 6"/>
    <w:basedOn w:val="1"/>
    <w:next w:val="1"/>
    <w:qFormat/>
    <w:uiPriority w:val="0"/>
    <w:pPr>
      <w:keepNext/>
      <w:keepLines/>
      <w:numPr>
        <w:ilvl w:val="5"/>
        <w:numId w:val="1"/>
      </w:numPr>
      <w:spacing w:before="240" w:after="64" w:line="320" w:lineRule="auto"/>
      <w:ind w:firstLineChars="0"/>
      <w:outlineLvl w:val="5"/>
    </w:pPr>
    <w:rPr>
      <w:rFonts w:ascii="Arial" w:hAnsi="Arial" w:eastAsia="黑体"/>
      <w:b/>
      <w:bCs/>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next w:val="1"/>
    <w:unhideWhenUsed/>
    <w:qFormat/>
    <w:uiPriority w:val="99"/>
    <w:pPr>
      <w:adjustRightInd w:val="0"/>
      <w:ind w:firstLine="420"/>
      <w:jc w:val="left"/>
      <w:textAlignment w:val="baseline"/>
    </w:pPr>
    <w:rPr>
      <w:rFonts w:eastAsia="楷体_GB2312"/>
      <w:sz w:val="24"/>
      <w:szCs w:val="20"/>
    </w:rPr>
  </w:style>
  <w:style w:type="paragraph" w:styleId="6">
    <w:name w:val="caption"/>
    <w:basedOn w:val="1"/>
    <w:next w:val="1"/>
    <w:qFormat/>
    <w:uiPriority w:val="0"/>
    <w:rPr>
      <w:rFonts w:ascii="Arial" w:hAnsi="Arial" w:eastAsia="黑体"/>
      <w:sz w:val="20"/>
    </w:rPr>
  </w:style>
  <w:style w:type="paragraph" w:styleId="7">
    <w:name w:val="Body Text"/>
    <w:basedOn w:val="1"/>
    <w:next w:val="1"/>
    <w:qFormat/>
    <w:uiPriority w:val="0"/>
    <w:pPr>
      <w:widowControl w:val="0"/>
      <w:autoSpaceDE w:val="0"/>
      <w:autoSpaceDN w:val="0"/>
      <w:adjustRightInd/>
      <w:snapToGrid/>
      <w:spacing w:after="0"/>
    </w:pPr>
    <w:rPr>
      <w:rFonts w:ascii="宋体" w:hAnsi="宋体" w:eastAsia="宋体" w:cs="宋体"/>
      <w:sz w:val="24"/>
      <w:szCs w:val="24"/>
      <w:lang w:eastAsia="en-US"/>
    </w:rPr>
  </w:style>
  <w:style w:type="paragraph" w:styleId="8">
    <w:name w:val="Body Text Indent"/>
    <w:basedOn w:val="1"/>
    <w:qFormat/>
    <w:uiPriority w:val="99"/>
    <w:pPr>
      <w:autoSpaceDE w:val="0"/>
      <w:autoSpaceDN w:val="0"/>
      <w:ind w:left="181" w:firstLine="539"/>
    </w:pPr>
  </w:style>
  <w:style w:type="paragraph" w:styleId="9">
    <w:name w:val="footer"/>
    <w:basedOn w:val="1"/>
    <w:unhideWhenUsed/>
    <w:qFormat/>
    <w:uiPriority w:val="0"/>
    <w:pPr>
      <w:tabs>
        <w:tab w:val="center" w:pos="4153"/>
        <w:tab w:val="right" w:pos="8306"/>
      </w:tabs>
      <w:snapToGrid w:val="0"/>
      <w:jc w:val="left"/>
    </w:pPr>
    <w:rPr>
      <w:sz w:val="18"/>
    </w:rPr>
  </w:style>
  <w:style w:type="paragraph" w:styleId="10">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11">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2">
    <w:name w:val="Body Text First Indent 2"/>
    <w:basedOn w:val="8"/>
    <w:qFormat/>
    <w:uiPriority w:val="99"/>
    <w:pPr>
      <w:autoSpaceDE/>
      <w:autoSpaceDN/>
      <w:spacing w:after="120" w:line="240" w:lineRule="auto"/>
      <w:ind w:left="480" w:leftChars="200" w:firstLine="210" w:firstLineChars="100"/>
      <w:jc w:val="left"/>
    </w:pPr>
    <w:rPr>
      <w:rFonts w:ascii="DFKai-SB" w:eastAsia="DFKai-SB"/>
      <w:kern w:val="0"/>
      <w:sz w:val="28"/>
      <w:szCs w:val="24"/>
      <w:lang w:eastAsia="zh-TW"/>
    </w:rPr>
  </w:style>
  <w:style w:type="paragraph" w:customStyle="1" w:styleId="15">
    <w:name w:val="表格内容"/>
    <w:qFormat/>
    <w:uiPriority w:val="0"/>
    <w:pPr>
      <w:adjustRightInd w:val="0"/>
      <w:snapToGrid w:val="0"/>
      <w:jc w:val="center"/>
      <w:textAlignment w:val="center"/>
    </w:pPr>
    <w:rPr>
      <w:rFonts w:ascii="Times New Roman" w:hAnsi="Times New Roman" w:eastAsia="宋体" w:cs="Times New Roman"/>
      <w:kern w:val="2"/>
      <w:sz w:val="21"/>
      <w:szCs w:val="21"/>
      <w:lang w:val="en-US" w:eastAsia="zh-CN" w:bidi="ar-SA"/>
    </w:rPr>
  </w:style>
  <w:style w:type="paragraph" w:customStyle="1" w:styleId="16">
    <w:name w:val="图片与表格标题"/>
    <w:basedOn w:val="5"/>
    <w:next w:val="1"/>
    <w:qFormat/>
    <w:uiPriority w:val="0"/>
    <w:pPr>
      <w:keepNext w:val="0"/>
      <w:numPr>
        <w:ilvl w:val="0"/>
        <w:numId w:val="0"/>
      </w:numPr>
      <w:tabs>
        <w:tab w:val="clear" w:pos="2429"/>
      </w:tabs>
      <w:spacing w:line="319" w:lineRule="auto"/>
      <w:jc w:val="center"/>
    </w:pPr>
    <w:rPr>
      <w:rFonts w:ascii="Times New Roman" w:hAnsi="Times New Roman" w:eastAsia="宋体"/>
    </w:rPr>
  </w:style>
  <w:style w:type="character" w:customStyle="1" w:styleId="17">
    <w:name w:val="fontstyle01"/>
    <w:basedOn w:val="14"/>
    <w:qFormat/>
    <w:uiPriority w:val="0"/>
    <w:rPr>
      <w:rFonts w:hint="default" w:ascii="仿宋" w:hAnsi="仿宋"/>
      <w:color w:val="000000"/>
      <w:sz w:val="28"/>
      <w:szCs w:val="28"/>
    </w:rPr>
  </w:style>
  <w:style w:type="paragraph" w:styleId="18">
    <w:name w:val="List Paragraph"/>
    <w:basedOn w:val="1"/>
    <w:qFormat/>
    <w:uiPriority w:val="34"/>
    <w:pPr>
      <w:ind w:firstLine="420" w:firstLineChars="200"/>
    </w:pPr>
  </w:style>
  <w:style w:type="paragraph" w:customStyle="1" w:styleId="19">
    <w:name w:val="表格五中"/>
    <w:qFormat/>
    <w:uiPriority w:val="0"/>
    <w:pPr>
      <w:adjustRightInd w:val="0"/>
      <w:snapToGrid w:val="0"/>
      <w:spacing w:line="240" w:lineRule="atLeast"/>
      <w:jc w:val="center"/>
    </w:pPr>
    <w:rPr>
      <w:rFonts w:ascii="Times New Roman" w:hAnsi="Times New Roman" w:eastAsia="宋体" w:cs="Times New Roman"/>
      <w:sz w:val="21"/>
      <w:lang w:val="en-US" w:eastAsia="zh-CN" w:bidi="ar-SA"/>
    </w:rPr>
  </w:style>
  <w:style w:type="paragraph" w:customStyle="1" w:styleId="20">
    <w:name w:val="表格"/>
    <w:qFormat/>
    <w:uiPriority w:val="0"/>
    <w:pPr>
      <w:adjustRightInd w:val="0"/>
      <w:snapToGrid w:val="0"/>
      <w:spacing w:line="240" w:lineRule="atLeast"/>
      <w:jc w:val="center"/>
    </w:pPr>
    <w:rPr>
      <w:rFonts w:ascii="Times New Roman" w:hAnsi="Times New Roman" w:eastAsia="宋体" w:cs="Times New Roman"/>
      <w:sz w:val="24"/>
      <w:lang w:val="en-US" w:eastAsia="zh-CN" w:bidi="ar-SA"/>
    </w:rPr>
  </w:style>
  <w:style w:type="paragraph" w:customStyle="1" w:styleId="21">
    <w:name w:val="WPSOffice手动目录 2"/>
    <w:qFormat/>
    <w:uiPriority w:val="0"/>
    <w:pPr>
      <w:ind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2965</Words>
  <Characters>3038</Characters>
  <Lines>0</Lines>
  <Paragraphs>0</Paragraphs>
  <TotalTime>3</TotalTime>
  <ScaleCrop>false</ScaleCrop>
  <LinksUpToDate>false</LinksUpToDate>
  <CharactersWithSpaces>3484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2025-03-03T13:14:00Z</dcterms:created>
  <dc:creator>车志伟</dc:creator>
  <cp:lastModifiedBy>chic chen</cp:lastModifiedBy>
  <dcterms:modified xsi:type="dcterms:W3CDTF">2025-06-17T09:33:14Z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40F1D89046D946A083967A28C6335A85_13</vt:lpwstr>
  </property>
  <property fmtid="{D5CDD505-2E9C-101B-9397-08002B2CF9AE}" pid="4" name="KSOTemplateDocerSaveRecord">
    <vt:lpwstr>eyJoZGlkIjoiMjMwMTdiNWM3MTVjODQyYzk1YmI1Njg3ZjAxMDcyMWUiLCJ1c2VySWQiOiIzODA1MzU0NzEifQ==</vt:lpwstr>
  </property>
</Properties>
</file>