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宋体" w:hAnsi="宋体" w:cs="Lucida Sans Unicode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  <w:highlight w:val="none"/>
          <w:lang w:val="en-US" w:eastAsia="zh-CN"/>
        </w:rPr>
        <w:t>商务</w:t>
      </w:r>
      <w:r>
        <w:rPr>
          <w:rFonts w:hint="eastAsia" w:ascii="宋体" w:hAnsi="宋体" w:cs="Lucida Sans Unicode"/>
          <w:b/>
          <w:color w:val="auto"/>
          <w:sz w:val="44"/>
          <w:szCs w:val="44"/>
          <w:highlight w:val="none"/>
        </w:rPr>
        <w:t>响应表</w:t>
      </w:r>
    </w:p>
    <w:p>
      <w:pPr>
        <w:snapToGrid w:val="0"/>
        <w:ind w:firstLine="446" w:firstLineChars="148"/>
        <w:jc w:val="center"/>
        <w:rPr>
          <w:rFonts w:ascii="宋体" w:hAnsi="宋体"/>
          <w:b/>
          <w:color w:val="auto"/>
          <w:sz w:val="30"/>
          <w:szCs w:val="30"/>
          <w:highlight w:val="none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说明：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必须仔细阅读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招标文件“第三章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采购需求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”要求在《商务响应表》中需要进行响应的商务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条款，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并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对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上述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商务条款的响应情况逐项列入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，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以及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对其响应情况进行说明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未列入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的视作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不响应。</w:t>
      </w:r>
    </w:p>
    <w:p>
      <w:pPr>
        <w:spacing w:line="360" w:lineRule="auto"/>
        <w:ind w:firstLine="482" w:firstLineChars="200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必须根据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标的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的实际情况如实填写，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评标委员会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如发现有虚假描述的，该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作无效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处理。</w:t>
      </w:r>
    </w:p>
    <w:tbl>
      <w:tblPr>
        <w:tblStyle w:val="3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eastAsia="zh-CN"/>
              </w:rPr>
              <w:t>标的</w:t>
            </w: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eastAsia="zh-CN"/>
              </w:rPr>
              <w:t>招标文件</w:t>
            </w: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响应情况说明（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vAlign w:val="center"/>
          </w:tcPr>
          <w:p>
            <w:pPr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 xml:space="preserve">   3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color w:val="auto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</w:tbl>
    <w:p>
      <w:pPr>
        <w:spacing w:line="360" w:lineRule="auto"/>
        <w:ind w:firstLine="360" w:firstLineChars="200"/>
        <w:rPr>
          <w:rFonts w:ascii="宋体" w:hAnsi="宋体"/>
          <w:color w:val="auto"/>
          <w:sz w:val="18"/>
          <w:szCs w:val="18"/>
          <w:highlight w:val="none"/>
        </w:rPr>
      </w:pPr>
      <w:r>
        <w:rPr>
          <w:rFonts w:hint="eastAsia" w:ascii="宋体" w:hAnsi="宋体"/>
          <w:color w:val="auto"/>
          <w:sz w:val="18"/>
          <w:szCs w:val="18"/>
          <w:highlight w:val="none"/>
        </w:rPr>
        <w:t xml:space="preserve">              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注：1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此表为表样，行数可自行添加，但表式不变。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ab/>
      </w:r>
    </w:p>
    <w:p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2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招标文件“第三章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采购需求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”未要求在该表中进行响应的商务条款，投标人无需填写；可是，投标人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根据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项目情况需要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添加的设备、材料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、服务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等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请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列出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" w:eastAsia="zh-CN"/>
        </w:rPr>
        <w:t>，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但不作为无效投标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的依据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3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请在“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商务响应情况描述” 中列出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标的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的详细参数情况。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4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“响应情况说明”应按下列规定填写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对招标文件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商务条款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的响应情况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：优于的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视为正偏离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，填写“＋”；符合的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视为满足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，填写“=”；低于的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视为负偏离或不满足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，填写“-”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；如不按规定填写或不填写的，均视为不响应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5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招标文件有标注“★”条款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的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为实质性条款，若有任何一条负偏离或不满足则导致投标无效。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非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“★”号条款未响应或不满足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（负偏离）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，将根据评审要求影响其得分，但不作为无效投标条款。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</w:p>
    <w:p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全称（公章）：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C9533C"/>
    <w:rsid w:val="13DA7422"/>
    <w:rsid w:val="42C9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2025-07-02T07:21:00Z</dcterms:created>
  <dc:creator>Administrator</dc:creator>
  <cp:lastModifiedBy>Administrator</cp:lastModifiedBy>
  <dcterms:modified xsi:type="dcterms:W3CDTF">2025-07-02T07:21:11Z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