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360" w:lineRule="auto"/>
        <w:ind w:firstLine="0" w:firstLineChars="0"/>
        <w:jc w:val="center"/>
        <w:textAlignment w:val="baseline"/>
        <w:outlineLvl w:val="9"/>
        <w:rPr>
          <w:rFonts w:hint="eastAsia" w:ascii="Times New Roman" w:hAnsi="Times New Roman" w:eastAsia="黑体" w:cs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28"/>
          <w:szCs w:val="28"/>
          <w:highlight w:val="none"/>
        </w:rPr>
        <w:t>分项报价明细表</w:t>
      </w:r>
    </w:p>
    <w:p>
      <w:pPr>
        <w:spacing w:line="360" w:lineRule="auto"/>
        <w:jc w:val="both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项目名称：</w:t>
      </w:r>
    </w:p>
    <w:p>
      <w:pPr>
        <w:spacing w:line="360" w:lineRule="auto"/>
        <w:jc w:val="both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招标编号：</w:t>
      </w:r>
    </w:p>
    <w:p>
      <w:pPr>
        <w:spacing w:line="360" w:lineRule="auto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包号：包</w:t>
      </w:r>
    </w:p>
    <w:p>
      <w:pPr>
        <w:jc w:val="center"/>
        <w:rPr>
          <w:rFonts w:ascii="仿宋" w:hAnsi="仿宋" w:eastAsia="仿宋" w:cs="仿宋"/>
          <w:b/>
          <w:bCs/>
          <w:color w:val="auto"/>
          <w:sz w:val="24"/>
          <w:highlight w:val="none"/>
        </w:rPr>
      </w:pPr>
    </w:p>
    <w:tbl>
      <w:tblPr>
        <w:tblStyle w:val="3"/>
        <w:tblW w:w="96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958"/>
        <w:gridCol w:w="1369"/>
        <w:gridCol w:w="994"/>
        <w:gridCol w:w="994"/>
        <w:gridCol w:w="1181"/>
        <w:gridCol w:w="975"/>
        <w:gridCol w:w="985"/>
        <w:gridCol w:w="10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序号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品名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名称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生产厂商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val="en-US" w:eastAsia="zh-CN"/>
              </w:rPr>
              <w:t>原产地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品牌规格型号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数量/单位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单价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val="en-US" w:eastAsia="zh-CN"/>
              </w:rPr>
              <w:t>元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>）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单项总价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val="en-US" w:eastAsia="zh-CN"/>
              </w:rPr>
              <w:t>元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>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...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5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  <w:t>总价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val="en-US" w:eastAsia="zh-CN"/>
              </w:rPr>
              <w:t>元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  <w:lang w:eastAsia="zh-CN"/>
              </w:rPr>
              <w:t>）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pacing w:val="-3"/>
                <w:sz w:val="21"/>
                <w:szCs w:val="21"/>
                <w:highlight w:val="none"/>
                <w:shd w:val="clear" w:color="auto" w:fill="FFFFFE"/>
              </w:rPr>
            </w:pPr>
          </w:p>
        </w:tc>
      </w:tr>
    </w:tbl>
    <w:p>
      <w:pPr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投标单位：（公章）</w:t>
      </w:r>
    </w:p>
    <w:p>
      <w:pPr>
        <w:bidi w:val="0"/>
        <w:rPr>
          <w:color w:val="auto"/>
          <w:highlight w:val="none"/>
        </w:rPr>
      </w:pP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法定代表人（或授权代理人）：（签字或盖章）</w:t>
      </w:r>
    </w:p>
    <w:p>
      <w:pPr>
        <w:bidi w:val="0"/>
        <w:rPr>
          <w:color w:val="auto"/>
          <w:highlight w:val="none"/>
        </w:rPr>
      </w:pPr>
    </w:p>
    <w:p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日期：年月日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注: 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①投标人必须按“分项报价明细表”的格式详细报出投标总价的各个组成部分的报价，否则作无效投标处理。</w:t>
      </w:r>
    </w:p>
    <w:p>
      <w:pPr>
        <w:bidi w:val="0"/>
        <w:rPr>
          <w:rFonts w:ascii="仿宋" w:hAnsi="仿宋" w:eastAsia="仿宋" w:cs="仿宋"/>
          <w:bCs w:val="0"/>
          <w:color w:val="auto"/>
          <w:szCs w:val="24"/>
          <w:highlight w:val="none"/>
        </w:rPr>
      </w:pPr>
      <w:r>
        <w:rPr>
          <w:rFonts w:hint="eastAsia"/>
          <w:color w:val="auto"/>
          <w:highlight w:val="none"/>
        </w:rPr>
        <w:t>②“分项报价明细表”各分项报价合计应当与“开标一览表”报价合计相等。</w:t>
      </w:r>
      <w:bookmarkStart w:id="0" w:name="_bookmark64"/>
      <w:bookmarkEnd w:id="0"/>
      <w:bookmarkStart w:id="1" w:name="_bookmark66"/>
      <w:bookmarkEnd w:id="1"/>
      <w:bookmarkStart w:id="2" w:name="_bookmark65"/>
      <w:bookmarkEnd w:id="2"/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1939D6"/>
    <w:rsid w:val="13DA7422"/>
    <w:rsid w:val="5019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2025-07-02T07:01:00Z</dcterms:created>
  <dc:creator>Administrator</dc:creator>
  <cp:lastModifiedBy>Administrator</cp:lastModifiedBy>
  <dcterms:modified xsi:type="dcterms:W3CDTF">2025-07-02T07:01:57Z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