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default" w:ascii="宋体" w:hAnsi="宋体" w:eastAsia="宋体" w:cs="宋体"/>
          <w:b/>
          <w:color w:val="auto"/>
          <w:sz w:val="30"/>
          <w:szCs w:val="30"/>
          <w:highlight w:val="none"/>
          <w:lang w:val="en-US" w:eastAsia="zh-CN"/>
        </w:rPr>
      </w:pPr>
      <w:bookmarkStart w:id="0" w:name="_Toc24752"/>
      <w:bookmarkStart w:id="1" w:name="_Toc31815"/>
      <w:bookmarkStart w:id="2" w:name="_Toc17041"/>
      <w:r>
        <w:rPr>
          <w:rFonts w:hint="eastAsia" w:ascii="宋体" w:hAnsi="宋体" w:cs="宋体"/>
          <w:b/>
          <w:color w:val="auto"/>
          <w:sz w:val="30"/>
          <w:szCs w:val="30"/>
          <w:highlight w:val="none"/>
          <w:lang w:val="en-US" w:eastAsia="zh-CN"/>
        </w:rPr>
        <w:t>采购需求</w:t>
      </w:r>
      <w:bookmarkEnd w:id="0"/>
    </w:p>
    <w:p>
      <w:pPr>
        <w:spacing w:line="360" w:lineRule="auto"/>
        <w:outlineLvl w:val="1"/>
        <w:rPr>
          <w:rFonts w:ascii="宋体" w:hAnsi="宋体" w:cs="宋体"/>
          <w:b/>
          <w:color w:val="auto"/>
          <w:sz w:val="30"/>
          <w:szCs w:val="30"/>
          <w:highlight w:val="none"/>
        </w:rPr>
      </w:pPr>
      <w:bookmarkStart w:id="3" w:name="_Toc22394"/>
      <w:r>
        <w:rPr>
          <w:rFonts w:hint="eastAsia" w:ascii="宋体" w:hAnsi="宋体" w:cs="宋体"/>
          <w:b/>
          <w:bCs/>
          <w:color w:val="auto"/>
          <w:kern w:val="0"/>
          <w:sz w:val="24"/>
          <w:highlight w:val="none"/>
          <w:shd w:val="clear" w:color="auto" w:fill="FFFFFF"/>
        </w:rPr>
        <w:t>★</w:t>
      </w:r>
      <w:r>
        <w:rPr>
          <w:rFonts w:hint="eastAsia" w:ascii="宋体" w:hAnsi="宋体" w:cs="宋体"/>
          <w:b/>
          <w:color w:val="auto"/>
          <w:sz w:val="30"/>
          <w:szCs w:val="30"/>
          <w:highlight w:val="none"/>
        </w:rPr>
        <w:t>一、商务要求</w:t>
      </w:r>
      <w:bookmarkEnd w:id="1"/>
      <w:bookmarkEnd w:id="2"/>
      <w:bookmarkEnd w:id="3"/>
    </w:p>
    <w:p>
      <w:pPr>
        <w:pStyle w:val="6"/>
        <w:jc w:val="left"/>
        <w:outlineLvl w:val="3"/>
        <w:rPr>
          <w:rFonts w:ascii="宋体" w:hAnsi="宋体" w:cs="宋体"/>
          <w:color w:val="auto"/>
          <w:sz w:val="28"/>
          <w:szCs w:val="28"/>
          <w:highlight w:val="none"/>
        </w:rPr>
      </w:pPr>
      <w:r>
        <w:rPr>
          <w:rFonts w:hint="eastAsia" w:ascii="宋体" w:hAnsi="宋体" w:eastAsia="宋体" w:cs="宋体"/>
          <w:color w:val="auto"/>
          <w:kern w:val="2"/>
          <w:sz w:val="28"/>
          <w:szCs w:val="28"/>
          <w:highlight w:val="none"/>
          <w:lang w:val="en-US" w:eastAsia="zh-CN" w:bidi="ar-SA"/>
        </w:rPr>
        <w:t>1、交付时间：合同生效之日起，国产产品30天（日历天）内，进口产品120（日历天）内完成交货、安装、调试、提供相应技术服务，保证项目交付采购人验收通过。</w:t>
      </w:r>
    </w:p>
    <w:p>
      <w:pPr>
        <w:spacing w:line="360" w:lineRule="auto"/>
        <w:ind w:left="560" w:hanging="560" w:hangingChars="200"/>
        <w:outlineLvl w:val="3"/>
        <w:rPr>
          <w:rFonts w:ascii="宋体" w:hAnsi="宋体" w:cs="宋体"/>
          <w:color w:val="auto"/>
          <w:sz w:val="28"/>
          <w:szCs w:val="28"/>
          <w:highlight w:val="none"/>
        </w:rPr>
      </w:pPr>
      <w:r>
        <w:rPr>
          <w:rFonts w:hint="eastAsia" w:ascii="宋体" w:hAnsi="宋体" w:cs="宋体"/>
          <w:color w:val="auto"/>
          <w:sz w:val="28"/>
          <w:szCs w:val="28"/>
          <w:highlight w:val="none"/>
        </w:rPr>
        <w:t>2、交付地点：用户指定地点。</w:t>
      </w:r>
    </w:p>
    <w:p>
      <w:pPr>
        <w:spacing w:line="360" w:lineRule="auto"/>
        <w:ind w:left="2" w:leftChars="1"/>
        <w:outlineLvl w:val="3"/>
        <w:rPr>
          <w:rFonts w:ascii="宋体" w:hAnsi="宋体" w:cs="宋体"/>
          <w:color w:val="auto"/>
          <w:sz w:val="28"/>
          <w:szCs w:val="28"/>
          <w:highlight w:val="none"/>
        </w:rPr>
      </w:pPr>
      <w:r>
        <w:rPr>
          <w:rFonts w:hint="eastAsia" w:ascii="宋体" w:hAnsi="宋体" w:cs="宋体"/>
          <w:color w:val="auto"/>
          <w:sz w:val="28"/>
          <w:szCs w:val="28"/>
          <w:highlight w:val="none"/>
        </w:rPr>
        <w:t>3、交付要求：免费送至用户指定地点。</w:t>
      </w:r>
    </w:p>
    <w:p>
      <w:pPr>
        <w:spacing w:line="360" w:lineRule="auto"/>
        <w:outlineLvl w:val="3"/>
        <w:rPr>
          <w:rFonts w:ascii="宋体" w:hAnsi="宋体" w:cs="宋体"/>
          <w:color w:val="auto"/>
          <w:sz w:val="28"/>
          <w:szCs w:val="28"/>
          <w:highlight w:val="none"/>
        </w:rPr>
      </w:pPr>
      <w:r>
        <w:rPr>
          <w:rFonts w:hint="eastAsia" w:ascii="宋体" w:hAnsi="宋体" w:cs="宋体"/>
          <w:color w:val="auto"/>
          <w:sz w:val="28"/>
          <w:szCs w:val="28"/>
          <w:highlight w:val="none"/>
        </w:rPr>
        <w:t>4、采购资金的支付方式、时间、条件：</w:t>
      </w:r>
    </w:p>
    <w:p>
      <w:pPr>
        <w:spacing w:line="360" w:lineRule="auto"/>
        <w:outlineLvl w:val="3"/>
        <w:rPr>
          <w:rFonts w:ascii="宋体" w:hAnsi="宋体" w:cs="宋体"/>
          <w:color w:val="auto"/>
          <w:sz w:val="28"/>
          <w:szCs w:val="28"/>
          <w:highlight w:val="none"/>
        </w:rPr>
      </w:pPr>
      <w:r>
        <w:rPr>
          <w:rFonts w:hint="eastAsia" w:ascii="宋体" w:hAnsi="宋体" w:cs="宋体"/>
          <w:color w:val="auto"/>
          <w:sz w:val="28"/>
          <w:szCs w:val="28"/>
          <w:highlight w:val="none"/>
        </w:rPr>
        <w:t>4.1若中标产品为国产产品时，采用以下方式：采购人收到本合同约定的所有货物并验收合格，取得中标供应商开具的合法有效的增值税专用发票后</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个工作日内</w:t>
      </w:r>
      <w:r>
        <w:rPr>
          <w:rFonts w:hint="eastAsia" w:ascii="宋体" w:hAnsi="宋体" w:cs="宋体"/>
          <w:color w:val="auto"/>
          <w:sz w:val="28"/>
          <w:szCs w:val="28"/>
          <w:highlight w:val="none"/>
        </w:rPr>
        <w:t>，按合同约定金额付款。</w:t>
      </w:r>
    </w:p>
    <w:p>
      <w:pPr>
        <w:spacing w:line="360" w:lineRule="auto"/>
        <w:outlineLvl w:val="3"/>
        <w:rPr>
          <w:rFonts w:ascii="宋体" w:hAnsi="宋体" w:cs="宋体"/>
          <w:bCs/>
          <w:color w:val="auto"/>
          <w:sz w:val="28"/>
          <w:szCs w:val="28"/>
          <w:highlight w:val="none"/>
        </w:rPr>
      </w:pPr>
      <w:r>
        <w:rPr>
          <w:rFonts w:hint="eastAsia" w:ascii="宋体" w:hAnsi="宋体" w:cs="宋体"/>
          <w:color w:val="auto"/>
          <w:sz w:val="28"/>
          <w:szCs w:val="28"/>
          <w:highlight w:val="none"/>
        </w:rPr>
        <w:t>4.2若中标产品为进口产品时，采用以下方式：本合同生效后，采购人应在</w:t>
      </w:r>
      <w:r>
        <w:rPr>
          <w:rFonts w:hint="default" w:ascii="宋体" w:hAnsi="宋体" w:cs="宋体"/>
          <w:color w:val="auto"/>
          <w:sz w:val="28"/>
          <w:szCs w:val="28"/>
          <w:highlight w:val="none"/>
          <w:lang w:val="en-US"/>
        </w:rPr>
        <w:t>10</w:t>
      </w:r>
      <w:r>
        <w:rPr>
          <w:rFonts w:hint="eastAsia" w:ascii="宋体" w:hAnsi="宋体" w:cs="宋体"/>
          <w:color w:val="auto"/>
          <w:sz w:val="28"/>
          <w:szCs w:val="28"/>
          <w:highlight w:val="none"/>
        </w:rPr>
        <w:t>个工作日内向外贸代理服务机构支付合同总金额的30%的预付款；采购人收到本合同约定的所有货物并验收合格，取得外贸代理服务机构开具的合法有效的代理服务费和货物销售增值税发票后</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个工作日内</w:t>
      </w:r>
      <w:r>
        <w:rPr>
          <w:rFonts w:hint="eastAsia" w:ascii="宋体" w:hAnsi="宋体" w:cs="宋体"/>
          <w:color w:val="auto"/>
          <w:sz w:val="28"/>
          <w:szCs w:val="28"/>
          <w:highlight w:val="none"/>
        </w:rPr>
        <w:t>，向外贸代理服务机构支付合同总金额的70%。</w:t>
      </w:r>
    </w:p>
    <w:p>
      <w:pPr>
        <w:spacing w:line="360" w:lineRule="auto"/>
        <w:outlineLvl w:val="3"/>
        <w:rPr>
          <w:rFonts w:ascii="宋体" w:hAnsi="宋体" w:cs="宋体"/>
          <w:bCs/>
          <w:color w:val="auto"/>
          <w:sz w:val="28"/>
          <w:szCs w:val="28"/>
          <w:highlight w:val="none"/>
        </w:rPr>
      </w:pPr>
      <w:r>
        <w:rPr>
          <w:rFonts w:hint="eastAsia" w:ascii="宋体" w:hAnsi="宋体" w:cs="宋体"/>
          <w:bCs/>
          <w:color w:val="auto"/>
          <w:sz w:val="28"/>
          <w:szCs w:val="28"/>
          <w:highlight w:val="none"/>
        </w:rPr>
        <w:t>5、验收要求：按标书技术参数和国家行业标准进行验收。</w:t>
      </w:r>
    </w:p>
    <w:p>
      <w:pPr>
        <w:spacing w:line="360" w:lineRule="auto"/>
        <w:outlineLvl w:val="3"/>
        <w:rPr>
          <w:rFonts w:ascii="宋体" w:hAnsi="宋体" w:cs="宋体"/>
          <w:color w:val="auto"/>
          <w:sz w:val="28"/>
          <w:szCs w:val="28"/>
          <w:highlight w:val="none"/>
        </w:rPr>
      </w:pPr>
      <w:r>
        <w:rPr>
          <w:rFonts w:hint="eastAsia" w:ascii="宋体" w:hAnsi="宋体" w:cs="宋体"/>
          <w:color w:val="auto"/>
          <w:sz w:val="28"/>
          <w:szCs w:val="28"/>
          <w:highlight w:val="none"/>
        </w:rPr>
        <w:t>6、售后服务要求：</w:t>
      </w:r>
    </w:p>
    <w:p>
      <w:pPr>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6.1 设备按原厂商标准提供质保服务，质量保证期为自货物通过最终验收起不少于1年；</w:t>
      </w:r>
    </w:p>
    <w:p>
      <w:pPr>
        <w:spacing w:line="360" w:lineRule="auto"/>
        <w:rPr>
          <w:rFonts w:hint="eastAsia" w:ascii="宋体" w:hAnsi="宋体" w:cs="宋体"/>
          <w:color w:val="auto"/>
          <w:sz w:val="28"/>
          <w:szCs w:val="28"/>
          <w:highlight w:val="none"/>
        </w:rPr>
      </w:pPr>
      <w:r>
        <w:rPr>
          <w:rFonts w:hint="eastAsia" w:ascii="宋体" w:hAnsi="宋体" w:cs="宋体"/>
          <w:color w:val="auto"/>
          <w:sz w:val="28"/>
          <w:szCs w:val="28"/>
          <w:highlight w:val="none"/>
        </w:rPr>
        <w:t>6.2提供5×8小时上门保修，免费更换全部配件；提供7×24小时技术支持和服务，2小时内作出实质性响应，对重大问题提供现场技术支持，24小时内到达指定现场。问题解决后24小时内，提交问题处理报告，说明问题种类、问题原因、问题解决中使用的方法及造成的损失等情况，3年内定期回访每年不少于2次，免费提供技术培训，并提供需方要求的所有培训资料，所有设备超过质量保证期后，三年内维修只收取零部件成本费。</w:t>
      </w:r>
    </w:p>
    <w:p>
      <w:pPr>
        <w:spacing w:line="360" w:lineRule="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7、进口仪器设备</w:t>
      </w:r>
    </w:p>
    <w:p>
      <w:pPr>
        <w:spacing w:line="360" w:lineRule="auto"/>
        <w:ind w:firstLine="560" w:firstLineChars="20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根据《海南大学免税进口科教用品管理办法（试行）》（海大办[2022]3号）要求：</w:t>
      </w:r>
    </w:p>
    <w:p>
      <w:pPr>
        <w:spacing w:line="360" w:lineRule="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中标后（1）进口仪器设备的外贸代理服务机构必须由采购人从已遴选的名册中确定，中标人不能自行委托。</w:t>
      </w:r>
    </w:p>
    <w:p>
      <w:pPr>
        <w:spacing w:line="360" w:lineRule="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（2）投标价格中包含应付给外贸代理服务机构的外贸代理服务费，具体代理进口服务费率见合同。</w:t>
      </w:r>
    </w:p>
    <w:p>
      <w:pPr>
        <w:spacing w:line="360" w:lineRule="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备注：代理进口服务费应当包含在投标人所投进口产品货物报价中，投标人应当充分考虑报价。采购人后续不承担任何费用。</w:t>
      </w:r>
    </w:p>
    <w:p>
      <w:pPr>
        <w:spacing w:line="360" w:lineRule="auto"/>
        <w:rPr>
          <w:rFonts w:hint="eastAsia" w:ascii="宋体" w:hAnsi="宋体" w:eastAsia="宋体" w:cs="宋体"/>
          <w:color w:val="auto"/>
          <w:sz w:val="28"/>
          <w:szCs w:val="28"/>
          <w:highlight w:val="none"/>
          <w:lang w:val="en-US" w:eastAsia="zh-CN"/>
        </w:rPr>
      </w:pPr>
    </w:p>
    <w:p>
      <w:pPr>
        <w:spacing w:line="360" w:lineRule="auto"/>
        <w:outlineLvl w:val="1"/>
        <w:rPr>
          <w:rFonts w:hint="eastAsia" w:ascii="宋体" w:hAnsi="宋体"/>
          <w:b/>
          <w:color w:val="auto"/>
          <w:sz w:val="30"/>
          <w:szCs w:val="30"/>
          <w:highlight w:val="none"/>
        </w:rPr>
      </w:pPr>
      <w:bookmarkStart w:id="4" w:name="_Toc6688"/>
      <w:bookmarkStart w:id="5" w:name="_Toc4331"/>
    </w:p>
    <w:p>
      <w:pPr>
        <w:spacing w:line="360" w:lineRule="auto"/>
        <w:outlineLvl w:val="1"/>
        <w:rPr>
          <w:rFonts w:hint="eastAsia" w:ascii="宋体" w:hAnsi="宋体"/>
          <w:b/>
          <w:color w:val="auto"/>
          <w:sz w:val="30"/>
          <w:szCs w:val="30"/>
          <w:highlight w:val="none"/>
        </w:rPr>
      </w:pPr>
    </w:p>
    <w:p>
      <w:pPr>
        <w:spacing w:line="360" w:lineRule="auto"/>
        <w:outlineLvl w:val="1"/>
        <w:rPr>
          <w:rFonts w:hint="eastAsia" w:ascii="宋体" w:hAnsi="宋体"/>
          <w:b/>
          <w:color w:val="auto"/>
          <w:sz w:val="30"/>
          <w:szCs w:val="30"/>
          <w:highlight w:val="none"/>
        </w:rPr>
      </w:pPr>
    </w:p>
    <w:p>
      <w:pPr>
        <w:spacing w:line="360" w:lineRule="auto"/>
        <w:outlineLvl w:val="1"/>
        <w:rPr>
          <w:rFonts w:hint="eastAsia" w:ascii="宋体" w:hAnsi="宋体"/>
          <w:b/>
          <w:color w:val="auto"/>
          <w:sz w:val="30"/>
          <w:szCs w:val="30"/>
          <w:highlight w:val="none"/>
        </w:rPr>
      </w:pPr>
    </w:p>
    <w:p>
      <w:pPr>
        <w:spacing w:line="360" w:lineRule="auto"/>
        <w:outlineLvl w:val="1"/>
        <w:rPr>
          <w:rFonts w:hint="eastAsia" w:ascii="宋体" w:hAnsi="宋体"/>
          <w:b/>
          <w:color w:val="auto"/>
          <w:sz w:val="30"/>
          <w:szCs w:val="30"/>
          <w:highlight w:val="none"/>
        </w:rPr>
      </w:pPr>
    </w:p>
    <w:p>
      <w:pPr>
        <w:spacing w:line="360" w:lineRule="auto"/>
        <w:outlineLvl w:val="1"/>
        <w:rPr>
          <w:rFonts w:hint="eastAsia" w:ascii="宋体" w:hAnsi="宋体"/>
          <w:b/>
          <w:color w:val="auto"/>
          <w:sz w:val="30"/>
          <w:szCs w:val="30"/>
          <w:highlight w:val="none"/>
        </w:rPr>
      </w:pPr>
    </w:p>
    <w:p>
      <w:pPr>
        <w:spacing w:line="360" w:lineRule="auto"/>
        <w:outlineLvl w:val="1"/>
        <w:rPr>
          <w:rFonts w:hint="eastAsia" w:ascii="宋体" w:hAnsi="宋体"/>
          <w:b/>
          <w:color w:val="auto"/>
          <w:sz w:val="30"/>
          <w:szCs w:val="30"/>
          <w:highlight w:val="none"/>
        </w:rPr>
      </w:pPr>
    </w:p>
    <w:p>
      <w:pPr>
        <w:spacing w:line="360" w:lineRule="auto"/>
        <w:outlineLvl w:val="1"/>
        <w:rPr>
          <w:rFonts w:ascii="宋体" w:hAnsi="宋体"/>
          <w:b/>
          <w:color w:val="auto"/>
          <w:sz w:val="30"/>
          <w:szCs w:val="30"/>
          <w:highlight w:val="none"/>
        </w:rPr>
      </w:pPr>
      <w:bookmarkStart w:id="6" w:name="_Toc669"/>
      <w:r>
        <w:rPr>
          <w:rFonts w:hint="eastAsia" w:ascii="宋体" w:hAnsi="宋体"/>
          <w:b/>
          <w:color w:val="auto"/>
          <w:sz w:val="30"/>
          <w:szCs w:val="30"/>
          <w:highlight w:val="none"/>
        </w:rPr>
        <w:t>二、</w:t>
      </w:r>
      <w:r>
        <w:rPr>
          <w:rFonts w:hint="eastAsia"/>
          <w:b/>
          <w:color w:val="auto"/>
          <w:sz w:val="32"/>
          <w:szCs w:val="32"/>
          <w:highlight w:val="none"/>
        </w:rPr>
        <w:t>技术要求</w:t>
      </w:r>
      <w:r>
        <w:rPr>
          <w:rFonts w:hint="eastAsia" w:ascii="宋体" w:hAnsi="宋体"/>
          <w:b/>
          <w:color w:val="auto"/>
          <w:sz w:val="30"/>
          <w:szCs w:val="30"/>
          <w:highlight w:val="none"/>
        </w:rPr>
        <w:t>：</w:t>
      </w:r>
      <w:bookmarkEnd w:id="4"/>
      <w:bookmarkEnd w:id="5"/>
      <w:bookmarkEnd w:id="6"/>
    </w:p>
    <w:p>
      <w:pPr>
        <w:spacing w:line="360" w:lineRule="auto"/>
        <w:rPr>
          <w:rFonts w:ascii="宋体" w:hAnsi="宋体"/>
          <w:color w:val="auto"/>
          <w:sz w:val="28"/>
          <w:szCs w:val="28"/>
          <w:highlight w:val="none"/>
        </w:rPr>
      </w:pPr>
    </w:p>
    <w:p>
      <w:pPr>
        <w:spacing w:line="360" w:lineRule="auto"/>
        <w:jc w:val="center"/>
        <w:outlineLvl w:val="2"/>
        <w:rPr>
          <w:rFonts w:ascii="宋体" w:hAnsi="宋体" w:cs="宋体"/>
          <w:b/>
          <w:bCs/>
          <w:color w:val="auto"/>
          <w:sz w:val="30"/>
          <w:szCs w:val="30"/>
          <w:highlight w:val="none"/>
        </w:rPr>
      </w:pPr>
      <w:bookmarkStart w:id="7" w:name="_Toc25187"/>
      <w:r>
        <w:rPr>
          <w:rFonts w:hint="eastAsia" w:ascii="宋体" w:hAnsi="宋体" w:cs="宋体"/>
          <w:b/>
          <w:bCs/>
          <w:color w:val="auto"/>
          <w:sz w:val="30"/>
          <w:szCs w:val="30"/>
          <w:highlight w:val="none"/>
        </w:rPr>
        <w:t>采购清单表</w:t>
      </w:r>
      <w:bookmarkEnd w:id="7"/>
    </w:p>
    <w:tbl>
      <w:tblPr>
        <w:tblStyle w:val="4"/>
        <w:tblW w:w="7997"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427"/>
        <w:gridCol w:w="1794"/>
        <w:gridCol w:w="600"/>
        <w:gridCol w:w="659"/>
        <w:gridCol w:w="2061"/>
        <w:gridCol w:w="1228"/>
        <w:gridCol w:w="1228"/>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86" w:hRule="atLeast"/>
        </w:trPr>
        <w:tc>
          <w:tcPr>
            <w:tcW w:w="427" w:type="dxa"/>
            <w:tcBorders>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kern w:val="0"/>
                <w:sz w:val="24"/>
                <w:highlight w:val="none"/>
                <w:u w:val="none"/>
              </w:rPr>
              <w:t>序号</w:t>
            </w:r>
          </w:p>
        </w:tc>
        <w:tc>
          <w:tcPr>
            <w:tcW w:w="1794" w:type="dxa"/>
            <w:tcBorders>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sz w:val="24"/>
                <w:highlight w:val="none"/>
                <w:u w:val="none"/>
              </w:rPr>
              <w:t>采购品目名称</w:t>
            </w:r>
          </w:p>
        </w:tc>
        <w:tc>
          <w:tcPr>
            <w:tcW w:w="600" w:type="dxa"/>
            <w:tcBorders>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kern w:val="0"/>
                <w:sz w:val="24"/>
                <w:highlight w:val="none"/>
                <w:u w:val="none"/>
              </w:rPr>
              <w:t>单位</w:t>
            </w:r>
          </w:p>
        </w:tc>
        <w:tc>
          <w:tcPr>
            <w:tcW w:w="659" w:type="dxa"/>
            <w:tcBorders>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kern w:val="0"/>
                <w:sz w:val="24"/>
                <w:highlight w:val="none"/>
                <w:u w:val="none"/>
              </w:rPr>
              <w:t>数量</w:t>
            </w:r>
          </w:p>
        </w:tc>
        <w:tc>
          <w:tcPr>
            <w:tcW w:w="2061" w:type="dxa"/>
            <w:tcBorders>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kern w:val="0"/>
                <w:sz w:val="24"/>
                <w:highlight w:val="none"/>
                <w:u w:val="none"/>
              </w:rPr>
              <w:t>预算单价（单价限价）（元）</w:t>
            </w:r>
          </w:p>
        </w:tc>
        <w:tc>
          <w:tcPr>
            <w:tcW w:w="1228" w:type="dxa"/>
            <w:tcBorders>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cs="宋体"/>
                <w:color w:val="auto"/>
                <w:kern w:val="0"/>
                <w:sz w:val="24"/>
                <w:highlight w:val="none"/>
                <w:u w:val="none"/>
              </w:rPr>
            </w:pPr>
            <w:r>
              <w:rPr>
                <w:rFonts w:hint="eastAsia" w:ascii="宋体" w:hAnsi="宋体" w:cs="宋体"/>
                <w:color w:val="auto"/>
                <w:kern w:val="0"/>
                <w:sz w:val="24"/>
                <w:highlight w:val="none"/>
                <w:u w:val="none"/>
              </w:rPr>
              <w:t>是否接受进口</w:t>
            </w:r>
          </w:p>
          <w:p>
            <w:pPr>
              <w:widowControl/>
              <w:spacing w:line="360" w:lineRule="auto"/>
              <w:jc w:val="center"/>
              <w:textAlignment w:val="center"/>
              <w:rPr>
                <w:rFonts w:ascii="宋体" w:hAnsi="宋体" w:cs="宋体"/>
                <w:color w:val="auto"/>
                <w:kern w:val="0"/>
                <w:sz w:val="24"/>
                <w:highlight w:val="none"/>
                <w:u w:val="none"/>
              </w:rPr>
            </w:pPr>
            <w:r>
              <w:rPr>
                <w:rFonts w:hint="eastAsia" w:ascii="宋体" w:hAnsi="宋体" w:cs="宋体"/>
                <w:color w:val="auto"/>
                <w:kern w:val="0"/>
                <w:sz w:val="24"/>
                <w:highlight w:val="none"/>
                <w:u w:val="none"/>
              </w:rPr>
              <w:t>设备投标</w:t>
            </w:r>
          </w:p>
        </w:tc>
        <w:tc>
          <w:tcPr>
            <w:tcW w:w="1228" w:type="dxa"/>
            <w:tcBorders>
              <w:left w:val="single" w:color="000000" w:sz="4" w:space="0"/>
              <w:bottom w:val="single" w:color="000000" w:sz="4" w:space="0"/>
            </w:tcBorders>
            <w:vAlign w:val="center"/>
          </w:tcPr>
          <w:p>
            <w:pPr>
              <w:widowControl/>
              <w:spacing w:line="360" w:lineRule="auto"/>
              <w:jc w:val="center"/>
              <w:textAlignment w:val="center"/>
              <w:rPr>
                <w:rFonts w:ascii="宋体" w:hAnsi="宋体" w:cs="宋体"/>
                <w:color w:val="auto"/>
                <w:kern w:val="0"/>
                <w:sz w:val="24"/>
                <w:highlight w:val="none"/>
                <w:u w:val="none"/>
              </w:rPr>
            </w:pPr>
            <w:r>
              <w:rPr>
                <w:rFonts w:hint="eastAsia" w:ascii="宋体" w:hAnsi="宋体" w:cs="宋体"/>
                <w:color w:val="auto"/>
                <w:kern w:val="0"/>
                <w:sz w:val="24"/>
                <w:highlight w:val="none"/>
                <w:u w:val="none"/>
              </w:rPr>
              <w:t>是否核心</w:t>
            </w:r>
          </w:p>
          <w:p>
            <w:pPr>
              <w:widowControl/>
              <w:spacing w:line="360" w:lineRule="auto"/>
              <w:jc w:val="center"/>
              <w:textAlignment w:val="center"/>
              <w:rPr>
                <w:rFonts w:ascii="宋体" w:hAnsi="宋体" w:cs="宋体"/>
                <w:color w:val="auto"/>
                <w:kern w:val="0"/>
                <w:sz w:val="24"/>
                <w:highlight w:val="none"/>
                <w:u w:val="none"/>
              </w:rPr>
            </w:pPr>
            <w:r>
              <w:rPr>
                <w:rFonts w:hint="eastAsia" w:ascii="宋体" w:hAnsi="宋体" w:cs="宋体"/>
                <w:color w:val="auto"/>
                <w:kern w:val="0"/>
                <w:sz w:val="24"/>
                <w:highlight w:val="none"/>
                <w:u w:val="none"/>
              </w:rPr>
              <w:t>产品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286" w:hRule="atLeast"/>
        </w:trPr>
        <w:tc>
          <w:tcPr>
            <w:tcW w:w="427"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kern w:val="0"/>
                <w:sz w:val="24"/>
                <w:highlight w:val="none"/>
                <w:u w:val="none"/>
              </w:rPr>
              <w:t>1</w:t>
            </w:r>
          </w:p>
        </w:tc>
        <w:tc>
          <w:tcPr>
            <w:tcW w:w="1794"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sz w:val="24"/>
                <w:highlight w:val="none"/>
                <w:u w:val="none"/>
                <w:lang w:val="en-US" w:eastAsia="zh-CN"/>
              </w:rPr>
              <w:t>高分辨正置激光扫描共聚焦显微镜</w:t>
            </w:r>
          </w:p>
        </w:tc>
        <w:tc>
          <w:tcPr>
            <w:tcW w:w="600"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sz w:val="24"/>
                <w:highlight w:val="none"/>
                <w:u w:val="none"/>
              </w:rPr>
              <w:t>套</w:t>
            </w:r>
          </w:p>
        </w:tc>
        <w:tc>
          <w:tcPr>
            <w:tcW w:w="659"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rPr>
                <w:rFonts w:ascii="宋体" w:hAnsi="宋体" w:cs="宋体"/>
                <w:color w:val="auto"/>
                <w:sz w:val="24"/>
                <w:highlight w:val="none"/>
                <w:u w:val="none"/>
              </w:rPr>
            </w:pPr>
            <w:r>
              <w:rPr>
                <w:rFonts w:hint="eastAsia" w:ascii="宋体" w:hAnsi="宋体" w:cs="宋体"/>
                <w:color w:val="auto"/>
                <w:sz w:val="24"/>
                <w:highlight w:val="none"/>
                <w:u w:val="none"/>
              </w:rPr>
              <w:t>1</w:t>
            </w:r>
          </w:p>
        </w:tc>
        <w:tc>
          <w:tcPr>
            <w:tcW w:w="2061"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rPr>
                <w:rFonts w:hint="default" w:ascii="宋体" w:hAnsi="宋体" w:eastAsia="宋体" w:cs="宋体"/>
                <w:color w:val="auto"/>
                <w:sz w:val="24"/>
                <w:highlight w:val="none"/>
                <w:u w:val="none"/>
                <w:lang w:val="en-US" w:eastAsia="zh-CN"/>
              </w:rPr>
            </w:pPr>
            <w:r>
              <w:rPr>
                <w:rFonts w:hint="eastAsia" w:ascii="宋体" w:hAnsi="宋体" w:cs="宋体"/>
                <w:color w:val="auto"/>
                <w:sz w:val="24"/>
                <w:highlight w:val="none"/>
                <w:u w:val="none"/>
                <w:lang w:val="en-US" w:eastAsia="zh-CN"/>
              </w:rPr>
              <w:t>3100000</w:t>
            </w:r>
          </w:p>
        </w:tc>
        <w:tc>
          <w:tcPr>
            <w:tcW w:w="1228"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rPr>
                <w:rFonts w:ascii="宋体" w:hAnsi="宋体" w:cs="宋体"/>
                <w:color w:val="auto"/>
                <w:kern w:val="0"/>
                <w:sz w:val="24"/>
                <w:highlight w:val="none"/>
                <w:u w:val="none"/>
              </w:rPr>
            </w:pPr>
            <w:r>
              <w:rPr>
                <w:rFonts w:hint="eastAsia" w:ascii="宋体" w:hAnsi="宋体" w:cs="宋体"/>
                <w:color w:val="auto"/>
                <w:kern w:val="0"/>
                <w:sz w:val="24"/>
                <w:highlight w:val="none"/>
                <w:u w:val="none"/>
              </w:rPr>
              <w:t>是</w:t>
            </w:r>
          </w:p>
        </w:tc>
        <w:tc>
          <w:tcPr>
            <w:tcW w:w="1228" w:type="dxa"/>
            <w:tcBorders>
              <w:top w:val="single" w:color="000000" w:sz="4" w:space="0"/>
              <w:lef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highlight w:val="none"/>
                <w:u w:val="none"/>
                <w:lang w:val="en-US" w:eastAsia="zh-CN"/>
              </w:rPr>
            </w:pPr>
            <w:r>
              <w:rPr>
                <w:rFonts w:hint="eastAsia" w:ascii="宋体" w:hAnsi="宋体" w:cs="宋体"/>
                <w:color w:val="auto"/>
                <w:kern w:val="0"/>
                <w:sz w:val="24"/>
                <w:highlight w:val="none"/>
                <w:u w:val="none"/>
                <w:lang w:val="en-US" w:eastAsia="zh-CN"/>
              </w:rPr>
              <w:t>是</w:t>
            </w:r>
          </w:p>
        </w:tc>
      </w:tr>
    </w:tbl>
    <w:p>
      <w:pPr>
        <w:rPr>
          <w:rFonts w:ascii="宋体" w:hAnsi="宋体" w:cs="宋体"/>
          <w:bCs/>
          <w:color w:val="auto"/>
          <w:sz w:val="28"/>
          <w:szCs w:val="28"/>
          <w:highlight w:val="none"/>
        </w:rPr>
      </w:pPr>
      <w:r>
        <w:rPr>
          <w:rFonts w:hint="eastAsia" w:ascii="宋体" w:hAnsi="宋体" w:cs="宋体"/>
          <w:bCs/>
          <w:color w:val="auto"/>
          <w:sz w:val="28"/>
          <w:szCs w:val="28"/>
          <w:highlight w:val="none"/>
        </w:rPr>
        <w:t>★注：1.投标人报价如超过此最高限价及单价限价的，将作为无效投标处理。</w:t>
      </w:r>
    </w:p>
    <w:p>
      <w:pPr>
        <w:rPr>
          <w:rFonts w:ascii="宋体" w:hAnsi="宋体" w:cs="宋体"/>
          <w:bCs/>
          <w:color w:val="auto"/>
          <w:sz w:val="28"/>
          <w:szCs w:val="28"/>
          <w:highlight w:val="none"/>
        </w:rPr>
      </w:pPr>
      <w:r>
        <w:rPr>
          <w:rFonts w:hint="eastAsia" w:ascii="宋体" w:hAnsi="宋体" w:cs="宋体"/>
          <w:bCs/>
          <w:color w:val="auto"/>
          <w:sz w:val="28"/>
          <w:szCs w:val="28"/>
          <w:highlight w:val="none"/>
        </w:rPr>
        <w:t>2.本标包的所有产品均不接受定制产品投标，否则将作为无效投标处理。</w:t>
      </w:r>
    </w:p>
    <w:p>
      <w:pPr>
        <w:spacing w:line="360" w:lineRule="auto"/>
        <w:rPr>
          <w:rFonts w:ascii="宋体" w:hAnsi="宋体" w:cs="宋体"/>
          <w:bCs/>
          <w:color w:val="auto"/>
          <w:sz w:val="28"/>
          <w:szCs w:val="28"/>
          <w:highlight w:val="none"/>
        </w:rPr>
      </w:pPr>
    </w:p>
    <w:p>
      <w:pPr>
        <w:pStyle w:val="2"/>
        <w:rPr>
          <w:rFonts w:ascii="宋体" w:hAnsi="宋体" w:cs="宋体"/>
          <w:bCs/>
          <w:color w:val="auto"/>
          <w:sz w:val="28"/>
          <w:szCs w:val="28"/>
          <w:highlight w:val="none"/>
        </w:rPr>
      </w:pPr>
    </w:p>
    <w:p>
      <w:pPr>
        <w:pStyle w:val="2"/>
        <w:rPr>
          <w:color w:val="auto"/>
          <w:highlight w:val="none"/>
        </w:rPr>
      </w:pPr>
    </w:p>
    <w:p>
      <w:pPr>
        <w:spacing w:line="360" w:lineRule="auto"/>
        <w:jc w:val="left"/>
        <w:rPr>
          <w:rFonts w:ascii="宋体" w:hAnsi="宋体"/>
          <w:b/>
          <w:color w:val="auto"/>
          <w:sz w:val="44"/>
          <w:szCs w:val="44"/>
          <w:highlight w:val="none"/>
        </w:rPr>
      </w:pPr>
    </w:p>
    <w:p>
      <w:pPr>
        <w:spacing w:line="360" w:lineRule="auto"/>
        <w:jc w:val="left"/>
        <w:rPr>
          <w:rFonts w:ascii="宋体" w:hAnsi="宋体"/>
          <w:b/>
          <w:color w:val="auto"/>
          <w:sz w:val="44"/>
          <w:szCs w:val="44"/>
          <w:highlight w:val="none"/>
        </w:rPr>
      </w:pPr>
    </w:p>
    <w:p>
      <w:pPr>
        <w:spacing w:line="360" w:lineRule="auto"/>
        <w:jc w:val="left"/>
        <w:rPr>
          <w:rFonts w:ascii="宋体" w:hAnsi="宋体"/>
          <w:b/>
          <w:color w:val="auto"/>
          <w:sz w:val="44"/>
          <w:szCs w:val="44"/>
          <w:highlight w:val="none"/>
        </w:rPr>
      </w:pPr>
    </w:p>
    <w:p>
      <w:pPr>
        <w:spacing w:line="360" w:lineRule="auto"/>
        <w:jc w:val="left"/>
        <w:rPr>
          <w:rFonts w:ascii="宋体" w:hAnsi="宋体"/>
          <w:b/>
          <w:color w:val="auto"/>
          <w:sz w:val="44"/>
          <w:szCs w:val="44"/>
          <w:highlight w:val="none"/>
        </w:rPr>
      </w:pPr>
    </w:p>
    <w:p>
      <w:pPr>
        <w:spacing w:line="360" w:lineRule="auto"/>
        <w:jc w:val="left"/>
        <w:rPr>
          <w:rFonts w:ascii="宋体" w:hAnsi="宋体"/>
          <w:b/>
          <w:color w:val="auto"/>
          <w:sz w:val="44"/>
          <w:szCs w:val="44"/>
          <w:highlight w:val="none"/>
        </w:rPr>
      </w:pPr>
    </w:p>
    <w:p>
      <w:pPr>
        <w:spacing w:line="360" w:lineRule="auto"/>
        <w:jc w:val="left"/>
        <w:rPr>
          <w:rFonts w:ascii="宋体" w:hAnsi="宋体"/>
          <w:b/>
          <w:color w:val="auto"/>
          <w:sz w:val="44"/>
          <w:szCs w:val="44"/>
          <w:highlight w:val="none"/>
        </w:rPr>
      </w:pPr>
    </w:p>
    <w:p>
      <w:pPr>
        <w:spacing w:line="360" w:lineRule="auto"/>
        <w:jc w:val="center"/>
        <w:outlineLvl w:val="2"/>
        <w:rPr>
          <w:rFonts w:ascii="宋体" w:hAnsi="宋体" w:cs="宋体"/>
          <w:b/>
          <w:color w:val="auto"/>
          <w:sz w:val="28"/>
          <w:szCs w:val="28"/>
          <w:highlight w:val="none"/>
        </w:rPr>
      </w:pPr>
      <w:bookmarkStart w:id="8" w:name="_Toc12403"/>
      <w:r>
        <w:rPr>
          <w:rFonts w:hint="eastAsia" w:ascii="宋体" w:hAnsi="宋体" w:cs="宋体"/>
          <w:b/>
          <w:color w:val="auto"/>
          <w:sz w:val="28"/>
          <w:szCs w:val="28"/>
          <w:highlight w:val="none"/>
        </w:rPr>
        <w:t>参考配置及技术要求</w:t>
      </w:r>
      <w:bookmarkEnd w:id="8"/>
    </w:p>
    <w:p>
      <w:pPr>
        <w:keepNext w:val="0"/>
        <w:keepLines w:val="0"/>
        <w:pageBreakBefore w:val="0"/>
        <w:widowControl w:val="0"/>
        <w:numPr>
          <w:ilvl w:val="-1"/>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cs="宋体"/>
          <w:b/>
          <w:bCs/>
          <w:color w:val="auto"/>
          <w:kern w:val="0"/>
          <w:sz w:val="24"/>
          <w:highlight w:val="none"/>
          <w:shd w:val="clear" w:color="auto" w:fill="FFFFFF"/>
        </w:rPr>
        <w:t>★</w:t>
      </w:r>
      <w:r>
        <w:rPr>
          <w:rFonts w:hint="eastAsia" w:ascii="宋体" w:hAnsi="宋体" w:cs="宋体"/>
          <w:b/>
          <w:bCs/>
          <w:color w:val="auto"/>
          <w:kern w:val="0"/>
          <w:sz w:val="24"/>
          <w:highlight w:val="none"/>
          <w:shd w:val="clear" w:color="auto" w:fill="FFFFFF"/>
          <w:lang w:val="en-US" w:eastAsia="zh-CN"/>
        </w:rPr>
        <w:t>一、</w:t>
      </w:r>
      <w:r>
        <w:rPr>
          <w:rFonts w:hint="eastAsia" w:ascii="宋体" w:hAnsi="宋体" w:eastAsia="宋体" w:cs="宋体"/>
          <w:b/>
          <w:bCs/>
          <w:color w:val="auto"/>
          <w:sz w:val="28"/>
          <w:szCs w:val="28"/>
          <w:highlight w:val="none"/>
          <w:lang w:val="en-US" w:eastAsia="zh-CN"/>
        </w:rPr>
        <w:t>配置</w:t>
      </w:r>
      <w:r>
        <w:rPr>
          <w:rFonts w:hint="eastAsia" w:ascii="宋体" w:hAnsi="宋体" w:eastAsia="宋体" w:cs="宋体"/>
          <w:b w:val="0"/>
          <w:bCs w:val="0"/>
          <w:color w:val="auto"/>
          <w:sz w:val="28"/>
          <w:szCs w:val="28"/>
          <w:highlight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全电动正置显微镜主机 1 套；</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长寿命固体激光器 1 套；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高性能物镜 1 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4.高灵敏度荧光检测器 3 个；</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5.透射光检测器 1 个；</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6.荧光光源 1 套；</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7.荧光滤片 5 套；</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8.工作站 1 套；</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9.防震台 1 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eastAsia="宋体" w:cs="宋体"/>
          <w:b/>
          <w:bCs/>
          <w:color w:val="auto"/>
          <w:sz w:val="28"/>
          <w:szCs w:val="28"/>
          <w:highlight w:val="none"/>
          <w:lang w:val="en-US" w:eastAsia="zh-CN"/>
        </w:rPr>
        <w:t>主要技术参数</w:t>
      </w:r>
      <w:r>
        <w:rPr>
          <w:rFonts w:hint="eastAsia" w:ascii="宋体" w:hAnsi="宋体" w:eastAsia="宋体" w:cs="宋体"/>
          <w:b w:val="0"/>
          <w:b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kern w:val="0"/>
          <w:sz w:val="28"/>
          <w:szCs w:val="28"/>
          <w:highlight w:val="none"/>
        </w:rPr>
      </w:pPr>
      <w:r>
        <w:rPr>
          <w:rFonts w:hint="eastAsia" w:ascii="宋体" w:hAnsi="宋体" w:eastAsia="宋体" w:cs="宋体"/>
          <w:b/>
          <w:bCs/>
          <w:color w:val="auto"/>
          <w:sz w:val="28"/>
          <w:szCs w:val="28"/>
          <w:highlight w:val="none"/>
          <w:lang w:val="en-US" w:eastAsia="zh-CN"/>
        </w:rPr>
        <w:t>1.</w:t>
      </w:r>
      <w:r>
        <w:rPr>
          <w:rFonts w:hint="eastAsia" w:ascii="宋体" w:hAnsi="宋体" w:cs="宋体"/>
          <w:color w:val="auto"/>
          <w:kern w:val="0"/>
          <w:sz w:val="28"/>
          <w:szCs w:val="28"/>
          <w:highlight w:val="none"/>
        </w:rPr>
        <w:t>激光器部分：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1.1激光器：采用单模保偏光纤，能量动态范围 ≥10000:1；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1.1.1固态激光器405nm：额定功率≥15mW，出光纤口功率≥5mW；； 1.1.2固态激光器488nm：额定功率≥25mW, 出光纤口功率≥10mW；1.1.3固态激光器561nm：额定功率≥25mW, 出光纤口功率≥10mW； 1.1.4固态激光器640nm：额定功率≥15mW, 出光纤口功率≥5mW。</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扫描模块：</w:t>
      </w:r>
    </w:p>
    <w:p>
      <w:pPr>
        <w:keepNext w:val="0"/>
        <w:keepLines w:val="0"/>
        <w:pageBreakBefore w:val="0"/>
        <w:widowControl w:val="0"/>
        <w:numPr>
          <w:ilvl w:val="1"/>
          <w:numId w:val="2"/>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扫描、检测单元与显微镜一体化设计，内置检测器与扫描头直接耦合，无光纤连接。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2.2共聚焦针孔采用复消色差校正，调节范围0.2-10AU（Airy Unit）。 2.3 检测器数量：光谱型荧光检测器≥3个，透射光检测器≥1个。▲2.4 主分光镜：采用≤15°小角度入射技术，杂散背景激光压制效率≥99.9999% （OD≥6），可有效压制激光背景信号。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 可灵活地向所选通道内进行光谱分光，最小光谱检测范围（光谱分辨率）≤1.1nm。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 扫描振镜X、Y方向扫描振镜数量≤2个，减少激发荧光信号的折射损失，采用超快线扫及帧飞回技术。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 扫描头绝对线性扫描运动，保证激光在每个点驻留时间相同，保证定量实验结果的准确性，且回转时间短，&gt;85%的帧时间（frame time）有效地用于图像采样：≥1 μs像素停留时间，512x512分辨率成像条件下，单幅成像时间≤0.32 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 在实时扫描预览方式下（扫描过程中），均可以进行左右360°任意旋转扫描线的方向，同时可以变倍以及移动扫描区域的中心。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 扫描光学变倍：最小变倍扫描系数≤0.5x，且变倍连续可调。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★2.10 单个非拼图扫描视野的最大扫描分辨率≥6000 x 6000像素。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2.11 在非共振扫描模式下，逐行扫描可同时满足以下扫描速度指标：≥8幅/秒（512x512像素）、≥60幅/秒（512x64像素）、≥220幅/秒（512x16像素）。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2.12一次实验中单次扫描可以实现≥3个荧光检测通道同时成像。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▲2.13 光谱扫描成像：两个检测器平行扫描完成光谱成像，扫描过程无荧光信号损失；最小光谱检测范围（光谱分辨率）≤1.1nm；可根据结果做线性光谱拆分，去除自发荧光及荧光串扰。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cs="宋体"/>
          <w:b w:val="0"/>
          <w:bCs w:val="0"/>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 xml:space="preserve"> 扫描成像视场数≥20mm。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 xml:space="preserve"> 一个可用于明场的透射光检测通道。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cs="宋体"/>
          <w:b w:val="0"/>
          <w:bCs w:val="0"/>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 xml:space="preserve"> 具有实时电子组件(real-time electronics)：控制显微镜、激光器、扫描模块和其他附件；通过实时电路进行数据采集和同步管理：过量采样读取逻辑电路，用以获得最佳灵敏度；数据在实时电路与用户计算机之间通过进行交换，在采集图像的同时可进行数据在线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超高分辨率部分：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3.1超高分辨率多通道成像：所有通道支持光谱分光，可以灵活选择荧光收集波段，光谱精度≤1.1nm。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3.2超高分辨率成像可使用激光器波段：405nm， 488nm， 561nm 和640nm，同时超分辨率成像通道≥3个。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3.3荧光样品制备：无需选择特定的荧光标记物，常规的激光共聚焦样品都可以进行超高分辨率成像。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 超高分辨率成像深度：同一样品具有与共聚焦相同的超高分辨率成像深度。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 超高分辨率模块： 使用超分辨率模块的达到XY方向分辨率≤120nm。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显微镜主机：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 研究型全电动正置显微镜。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▲4.2 高效率V型光路设计，齐焦距离≤45mm，显微镜内置电动调焦驱动马达。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 光学系统：具有无限远色差反差双重校正(IC²S)光学系统，确保图像高的色彩还原度、高的对比度和高的反差效果。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▲4.4电动扫描台：扫描台移动范围≥130mm×85mm；最大速度≥25mm/s,精度≤0.1微米。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4.5显微镜主机内置电动调焦驱动马达，调焦最小步进精度≤15nm。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4.6复消色差荧光光路。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 多功能长工作距离电动聚光镜，NA≥0.9。</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4.8目镜一对：10X，视场数≥23。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4.9电动物镜转盘。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▲4.10 物镜：10x干镜，数值孔径≥0.45；20x干镜，数值孔径≥0.8；40x 干镜，数值孔径≥0.95；40x水镜，数值孔径≥1.1，同时满足工作距离≥620微米；60x或63x油镜，数值孔径≥1.4，同时满足工作距离≥190微米。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4.11通过TFT电子触控屏系统控制显微镜并显示工作状态。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4.12配有专业共聚焦显微镜系统气垫式主动防震装置。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软件部分及图像工作站：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 智能化光路设置：通过选择样品的染料标记，提供3种光路配置模式，一键自动设置所有的光路。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 时间序列模块：用于设置及自动随时间获取动态图像。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 光谱扫描及拆分功能：可以去除自发荧光，及荧光串扰。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 景深扩展模块：用于全景深图像叠加运算和展示。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5.5 共定位分析模块：对多通道荧光图像中两个通道之间的共定位进行定量分析。包括共定位系数，曼德尔系数，皮尔森系数等。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 图像反卷积处理功能：提供≥3种图像反卷积（Deconvolution）方式用于图像处理，提高图像的信噪比、对比度和分辨率。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 同步数据处理模块：可在图像拍摄的同时实时传输数据并做图像处理，支持多种模式的图像处理。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 图像分析功能：具备直方图分析和任意线的序列测量，长度、角度、面积、强度等的测量；定量的共定位分析；可根据要求编辑测量程序，对自定义的类和子类进行图像分割、计数和面积、强度等的测量，并将结果以表格、列表和散点图/直方图形式显示；可进行批量图像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 图像与视频导入/导出：适用于所有常见的文件格式（如：JPEG, BMP, TIFF, BigTIFF, PNG, WDP, SUR, AVI, WMF, MOV, OME-TIF, ZVI）。</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5.10裁剪功能，灵活地选择扫描区域。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5.11</w:t>
      </w:r>
      <w:r>
        <w:rPr>
          <w:rFonts w:hint="eastAsia" w:ascii="宋体" w:hAnsi="宋体" w:eastAsia="宋体" w:cs="宋体"/>
          <w:color w:val="auto"/>
          <w:sz w:val="28"/>
          <w:szCs w:val="28"/>
          <w:highlight w:val="none"/>
        </w:rPr>
        <w:t>再次调用</w:t>
      </w:r>
      <w:r>
        <w:rPr>
          <w:rFonts w:hint="eastAsia" w:ascii="宋体" w:hAnsi="宋体" w:eastAsia="宋体" w:cs="宋体"/>
          <w:b w:val="0"/>
          <w:bCs w:val="0"/>
          <w:color w:val="auto"/>
          <w:sz w:val="28"/>
          <w:szCs w:val="28"/>
          <w:highlight w:val="none"/>
          <w:lang w:val="en-US" w:eastAsia="zh-CN"/>
        </w:rPr>
        <w:t>功能：再次调用存储在每张图像里的所有的拍照参数来重现实验及进行精确对比。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5.12自动聚焦模块：自动寻找样品中的最佳聚焦位置，适用于透射光、反射光和荧光。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5.13三维采集模块：用于设置及自动获取Z轴三维图像，包括起始点/终止点和中心点两种采集模式。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5.14“Z轴”深度补偿功能：自动补偿由于样品深度增加造成的信号衰减。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5.15多位点及大视野拼图模块：可对任意形状的预设区域进行拼图扫描以及根据位点列表进行多点成像，支持聚焦校正地图、拼接以及阴影校正；支持自定义多孔板及各种样品载具规格，多种模式设定获取图像的多个位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5.16动态聚焦地图功能：通过多焦点三维位置（Support Points）拟合的聚焦地图实现样品大视野拼图，可解决因样品不平、皿底缺陷或者热效应引起的图像采集过程中聚焦不准的情况，实现完美聚焦；适用于多种成像方式（明场、荧光等），并兼容玻底皿与塑料皿。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5.17高动态范围成像：通过自动采集和组合不同激发强度的图像，获取具有扩展动态范围的图像。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5.18 交互式漂白：在进行图像采集的同时（包括连续扫描和时间序列实验），通过鼠标点击对指定任意区域进行漂白。适用于主动光活化实验、光转化实验或者快速光漂白实验等。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5.19图像分析模块：创建自动测量程序，图像分割，强度测量，批处理功能等，可通过附加功能（边缘、算术、形态学分割、二进制等)扩展图像分析的能力。除了经典的分割方法，机器学习的模型也可以用于图像分割。可对图像面积、周长、中心点坐标等几何形状参数和荧光强度参数进行测量，用户也可自定义测量参数。数据以表格、列表和散点图/直方图、热图等方式显示，表格、图表和图像可以交互链接，以便用户查看数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5.20细胞计数:提供简单、自动化的图像分析工作流程，用于对生物样品中荧光标记的细胞核进行计数，允许自动监测细胞数量及增殖过程，可测量细胞核的数量、密度，以及平均强度和平均面积。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5.21三维图像处理：3D和4D图像渲染，有≥4种渲染方式（阴影、表面、透明及最大强度投影）并可进行不同渲染方式的结合（如透明结合表面渲染）；可实现三维空间的距离和角度测量；自定义式的3D和4D视频制作与导出。可在同一界面下同时进行2D和3D图像可视化，可以在显示3D渲染效果的同时显示单层2D图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5.22三维图像分模块： 3D图像分析，可采用经典的分割方法或机器学习的模型。可对图像几何形状参数和荧光强度参数进行测量，用户也可自定义测量参数。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▲5.23提供≥5套原厂的离线图像处理软件 ：用于查看该设备拍摄的显微图像，调节对比度，对图像添加标尺及标注；可进行常见的文件格式的数据导入/导出（如：JPEG, BMP, TIFF, BigTIFF, PNG, WDP, SUR, AVI, WMF, MOV, OME-TIF, ZVI）；具有≥1种二维图像去模糊功能，可利用二维去模糊算法进行图像质量优化；可对3D数据进行3D渲染并导出3D渲染视频；可实现2D数据关联；可展示正交图像，展示XY/YZ/XZ的任一切面层，并创建任一切面层图像；具有交互测量工具，可自定义测量参数，形成测量工作流，可对轮廓、曲线、面积、灰度等值进行测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5.24原装图像工作站一套：经共聚焦厂家验证其稳定性和匹配性。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5.25工作站硬件配置不低于以下要求：≥4核处理器，主频≥3.0GHz，≥512 G SSD高速硬盘以及≥12TB SATA 7200 rpm硬盘，≥64GB内存，DVD刻录机，≥32英寸液晶显示器，分辨率≥3840 × 2160，Windows 10 Ultimate x64操作系统。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5.26 生理学分析模块：用于离子浓度分析，可在图像拍摄的同时实时传输数据并做图像处理，支持多种模式的图像处理。具有图形化的感兴趣区域荧光强度平均值分析，实时或在扫描完成后显示和计算离子浓度。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5.27荧光共振能量转移（FRET）分析：获取和分析使用</w:t>
      </w:r>
      <w:r>
        <w:rPr>
          <w:rFonts w:hint="default" w:ascii="宋体" w:hAnsi="宋体" w:eastAsia="宋体" w:cs="宋体"/>
          <w:b w:val="0"/>
          <w:bCs w:val="0"/>
          <w:color w:val="auto"/>
          <w:sz w:val="28"/>
          <w:szCs w:val="28"/>
          <w:highlight w:val="none"/>
          <w:lang w:val="en-US" w:eastAsia="zh-CN"/>
        </w:rPr>
        <w:t>Youvan</w:t>
      </w:r>
      <w:r>
        <w:rPr>
          <w:rFonts w:hint="eastAsia" w:ascii="宋体" w:hAnsi="宋体" w:eastAsia="宋体" w:cs="宋体"/>
          <w:b w:val="0"/>
          <w:bCs w:val="0"/>
          <w:color w:val="auto"/>
          <w:sz w:val="28"/>
          <w:szCs w:val="28"/>
          <w:highlight w:val="none"/>
          <w:lang w:val="en-US" w:eastAsia="zh-CN"/>
        </w:rPr>
        <w:t>方法、</w:t>
      </w:r>
      <w:r>
        <w:rPr>
          <w:rFonts w:hint="default" w:ascii="宋体" w:hAnsi="宋体" w:eastAsia="宋体" w:cs="宋体"/>
          <w:b w:val="0"/>
          <w:bCs w:val="0"/>
          <w:color w:val="auto"/>
          <w:sz w:val="28"/>
          <w:szCs w:val="28"/>
          <w:highlight w:val="none"/>
          <w:lang w:val="en-US" w:eastAsia="zh-CN"/>
        </w:rPr>
        <w:t>Gordon方</w:t>
      </w:r>
      <w:r>
        <w:rPr>
          <w:rFonts w:hint="eastAsia" w:ascii="宋体" w:hAnsi="宋体" w:eastAsia="宋体" w:cs="宋体"/>
          <w:b w:val="0"/>
          <w:bCs w:val="0"/>
          <w:color w:val="auto"/>
          <w:sz w:val="28"/>
          <w:szCs w:val="28"/>
          <w:highlight w:val="none"/>
          <w:lang w:val="en-US" w:eastAsia="zh-CN"/>
        </w:rPr>
        <w:t>法和Xia方法的敏化发射</w:t>
      </w:r>
      <w:bookmarkStart w:id="9" w:name="_GoBack"/>
      <w:bookmarkEnd w:id="9"/>
      <w:r>
        <w:rPr>
          <w:rFonts w:hint="eastAsia" w:ascii="宋体" w:hAnsi="宋体" w:eastAsia="宋体" w:cs="宋体"/>
          <w:b w:val="0"/>
          <w:bCs w:val="0"/>
          <w:color w:val="auto"/>
          <w:sz w:val="28"/>
          <w:szCs w:val="28"/>
          <w:highlight w:val="none"/>
          <w:lang w:val="en-US" w:eastAsia="zh-CN"/>
        </w:rPr>
        <w:t>以及受体光漂白FRET。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5.28 荧光漂白后恢复（FRAP）效率分析：获取和分析原始的FRAP曲线和根据原始曲线提供的参数得到拟合曲线。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.为保证货物质量和售后服务，要求提供厂家或者国内总代理商针对本项目的授权书及售后服务承诺书。</w:t>
      </w:r>
    </w:p>
    <w:p>
      <w:pPr>
        <w:rPr>
          <w:color w:val="auto"/>
          <w:highlight w:val="none"/>
        </w:rPr>
      </w:pPr>
    </w:p>
    <w:p>
      <w:pPr>
        <w:rPr>
          <w:color w:val="auto"/>
          <w:highlight w:val="none"/>
        </w:rPr>
      </w:pPr>
    </w:p>
    <w:p>
      <w:pPr>
        <w:rPr>
          <w:color w:val="auto"/>
          <w:highlight w:val="none"/>
        </w:rPr>
      </w:pPr>
    </w:p>
    <w:p>
      <w:pPr>
        <w:spacing w:line="360" w:lineRule="auto"/>
        <w:rPr>
          <w:rFonts w:ascii="宋体" w:hAnsi="宋体" w:cs="宋体"/>
          <w:color w:val="auto"/>
          <w:sz w:val="24"/>
          <w:highlight w:val="none"/>
        </w:rPr>
      </w:pPr>
      <w:r>
        <w:rPr>
          <w:rFonts w:hint="eastAsia" w:ascii="宋体" w:hAnsi="宋体" w:cs="宋体"/>
          <w:b/>
          <w:color w:val="auto"/>
          <w:sz w:val="24"/>
          <w:highlight w:val="none"/>
        </w:rPr>
        <w:t>说明：</w:t>
      </w:r>
      <w:r>
        <w:rPr>
          <w:rFonts w:hint="eastAsia" w:ascii="宋体" w:hAnsi="宋体" w:cs="宋体"/>
          <w:bCs/>
          <w:color w:val="auto"/>
          <w:sz w:val="24"/>
          <w:highlight w:val="none"/>
        </w:rPr>
        <w:t>第</w:t>
      </w:r>
      <w:r>
        <w:rPr>
          <w:rFonts w:hint="eastAsia" w:ascii="宋体" w:hAnsi="宋体" w:cs="宋体"/>
          <w:bCs/>
          <w:color w:val="auto"/>
          <w:sz w:val="24"/>
          <w:highlight w:val="none"/>
          <w:lang w:val="en-US" w:eastAsia="zh-CN"/>
        </w:rPr>
        <w:t>三</w:t>
      </w:r>
      <w:r>
        <w:rPr>
          <w:rFonts w:hint="eastAsia" w:ascii="宋体" w:hAnsi="宋体" w:cs="宋体"/>
          <w:bCs/>
          <w:color w:val="auto"/>
          <w:sz w:val="24"/>
          <w:highlight w:val="none"/>
        </w:rPr>
        <w:t>章</w:t>
      </w:r>
      <w:r>
        <w:rPr>
          <w:rFonts w:hint="eastAsia" w:ascii="宋体" w:hAnsi="宋体" w:cs="宋体"/>
          <w:bCs/>
          <w:color w:val="auto"/>
          <w:sz w:val="24"/>
          <w:highlight w:val="none"/>
          <w:lang w:val="en-US" w:eastAsia="zh-CN"/>
        </w:rPr>
        <w:t>采购需求</w:t>
      </w:r>
      <w:r>
        <w:rPr>
          <w:rFonts w:hint="eastAsia" w:ascii="宋体" w:hAnsi="宋体" w:cs="宋体"/>
          <w:bCs/>
          <w:color w:val="auto"/>
          <w:sz w:val="24"/>
          <w:highlight w:val="none"/>
        </w:rPr>
        <w:t>中的</w:t>
      </w:r>
      <w:r>
        <w:rPr>
          <w:rFonts w:hint="eastAsia" w:ascii="宋体" w:hAnsi="宋体" w:cs="宋体"/>
          <w:color w:val="auto"/>
          <w:sz w:val="24"/>
          <w:highlight w:val="none"/>
        </w:rPr>
        <w:t>指标按重要性分为“★”和“▲”。“★”代表实质性指标，不满足该指标项将不能通过符合性审查，“▲”则代表重要指标,不满足将在技术评分中作相应扣分。</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5B288"/>
    <w:multiLevelType w:val="multilevel"/>
    <w:tmpl w:val="1095B288"/>
    <w:lvl w:ilvl="0" w:tentative="0">
      <w:start w:val="2"/>
      <w:numFmt w:val="decimal"/>
      <w:lvlText w:val="%1."/>
      <w:lvlJc w:val="left"/>
      <w:pPr>
        <w:tabs>
          <w:tab w:val="left" w:pos="312"/>
        </w:tabs>
      </w:p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21974F4F"/>
    <w:multiLevelType w:val="singleLevel"/>
    <w:tmpl w:val="21974F4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5505A"/>
    <w:rsid w:val="07E5505A"/>
    <w:rsid w:val="13DA7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Unicode MS" w:hAnsi="Arial Unicode MS" w:eastAsia="Cambria Math"/>
      <w:b/>
      <w:bCs/>
      <w:kern w:val="2"/>
      <w:sz w:val="32"/>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5">
    <w:name w:val="样式1"/>
    <w:basedOn w:val="1"/>
    <w:qFormat/>
    <w:uiPriority w:val="0"/>
    <w:rPr>
      <w:rFonts w:ascii="Calibri" w:hAnsi="Calibri" w:eastAsia="宋体" w:cs="Times New Roman"/>
      <w:sz w:val="4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2025-07-02T07:49:00Z</dcterms:created>
  <dc:creator>Administrator</dc:creator>
  <cp:lastModifiedBy>Administrator</cp:lastModifiedBy>
  <dcterms:modified xsi:type="dcterms:W3CDTF">2025-07-02T07:49:54Z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