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海口市公办寄宿制中小学校热水洗浴供应项目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HNHGT2025-137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海口市教育综合服务中心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海南恒高泰项目管理咨询有限公司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海口市教育综合服务中心</w:t>
      </w:r>
      <w:r>
        <w:rPr>
          <w:rFonts w:ascii="仿宋_GB2312" w:hAnsi="仿宋_GB2312" w:cs="仿宋_GB2312" w:eastAsia="仿宋_GB2312"/>
        </w:rPr>
        <w:t xml:space="preserve"> 委托， </w:t>
      </w:r>
      <w:r>
        <w:rPr>
          <w:rFonts w:ascii="仿宋_GB2312" w:hAnsi="仿宋_GB2312" w:cs="仿宋_GB2312" w:eastAsia="仿宋_GB2312"/>
        </w:rPr>
        <w:t>海南恒高泰项目管理咨询有限公司</w:t>
      </w:r>
      <w:r>
        <w:rPr>
          <w:rFonts w:ascii="仿宋_GB2312" w:hAnsi="仿宋_GB2312" w:cs="仿宋_GB2312" w:eastAsia="仿宋_GB2312"/>
        </w:rPr>
        <w:t xml:space="preserve"> 对 </w:t>
      </w:r>
      <w:r>
        <w:rPr>
          <w:rFonts w:ascii="仿宋_GB2312" w:hAnsi="仿宋_GB2312" w:cs="仿宋_GB2312" w:eastAsia="仿宋_GB2312"/>
        </w:rPr>
        <w:t>海口市公办寄宿制中小学校热水洗浴供应项目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HNHGT2025-137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海口市公办寄宿制中小学校热水洗浴供应项目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10,589,466.67元</w:t>
      </w:r>
      <w:r>
        <w:rPr>
          <w:rFonts w:ascii="仿宋_GB2312" w:hAnsi="仿宋_GB2312" w:cs="仿宋_GB2312" w:eastAsia="仿宋_GB2312"/>
        </w:rPr>
        <w:t>壹仟零伍拾捌万玖仟肆佰陆拾陆元陆角柒分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自合同签订生效之日起60天内完成供货及安装调试。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1、政府采购活动前三年内无环保类行政处罚记录：按招标文件要求提供政府采购活动前三年内无环保类行政处罚记录声明函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海口市教育综合服务中心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海甸岛三西路15号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0898-66293139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海南恒高泰项目管理咨询有限公司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海南省海口市海甸岛怡心路7号建安花园1#1305室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0898-66150556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采购包1：10,589,466.67元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中标人开具合同结算总金额3%的银行保函作为项目履约保证金，有效期（保证期间）为5年。中标人应确保银行保函的真实性和有效性，若因中标人原因导致银行保函失效或无法兑现，中标人应立即向采购人支付等额的履约保证金，并承担由此产生的一切法律责任。</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预算审核书审定的采购代理服务费的标准向中标（成交）供应商收取，本项目采购代理服务费为人民币伍万肆仟零伍拾元伍角壹分（¥54050.51），在中标（成交）供应商领取中标（成交）通知书前，由代理机构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4）政府采购合同信用融资：政府采购合同信用融资是银行机构以政府采购诚信考核和信用审查为基础，凭借中小企业取得并提供的政府采购合同，按优于—般中小企业贷款的利率直接向申请货款的中小企业发放货款的一种新融资方式。供应商在中标(成交)后需要融资时可以申请政府采购合同信用融资。（5）本招标文件《政府采购电子招标投标活动须知》一、电子投标文件的编制及报送要求的5.3项和《第二章 投标人须知》六、开 标的6.3项出现评审冲突时，以《第二章 投标人须知》六、开 标的6.3项为评审认定标准。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联系人：黎工</w:t>
      </w:r>
    </w:p>
    <w:p>
      <w:pPr>
        <w:pStyle w:val="null3"/>
        <w:jc w:val="left"/>
      </w:pPr>
      <w:r>
        <w:rPr>
          <w:rFonts w:ascii="仿宋_GB2312" w:hAnsi="仿宋_GB2312" w:cs="仿宋_GB2312" w:eastAsia="仿宋_GB2312"/>
        </w:rPr>
        <w:t>联系电话：0898-66150556</w:t>
      </w:r>
    </w:p>
    <w:p>
      <w:pPr>
        <w:pStyle w:val="null3"/>
        <w:jc w:val="left"/>
      </w:pPr>
      <w:r>
        <w:rPr>
          <w:rFonts w:ascii="仿宋_GB2312" w:hAnsi="仿宋_GB2312" w:cs="仿宋_GB2312" w:eastAsia="仿宋_GB2312"/>
        </w:rPr>
        <w:t>地址：海南省海口市海甸岛怡心路7号建安花园1#1305室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“采购需求（项目概况）”</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10,589,466.67</w:t>
      </w:r>
    </w:p>
    <w:p>
      <w:pPr>
        <w:pStyle w:val="null3"/>
        <w:jc w:val="left"/>
      </w:pPr>
      <w:r>
        <w:rPr>
          <w:rFonts w:ascii="仿宋_GB2312" w:hAnsi="仿宋_GB2312" w:cs="仿宋_GB2312" w:eastAsia="仿宋_GB2312"/>
        </w:rPr>
        <w:t>采购包最高限价（元）: 10,589,466.67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A02061899-其他生活用电器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10,589,466.67</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A02061899-其他生活用电器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10,589,466.67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标的名称：A02061899-其他生活用电器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详见附件“采购需求（技术和服务要求）的技术参数要求”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详见附件</w:t>
            </w:r>
            <w:r>
              <w:rPr>
                <w:rFonts w:ascii="仿宋_GB2312" w:hAnsi="仿宋_GB2312" w:cs="仿宋_GB2312" w:eastAsia="仿宋_GB2312"/>
                <w:sz w:val="21"/>
              </w:rPr>
              <w:t>“采购需求（商务要求）”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（1）采购需求标注“★”的内容（含小项）为实质性要求，投标人不响应或响应负偏离视为无效投标。 （2）投标人需针对本项目提供详细的技术要求响应程度、项目整体实施方案、供货安装方案、质量保证方案、售后服务方案等内容。</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按招标文件要求提供政府采购活动前三年内无环保类行政处罚记录声明函</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合同履行期限（交付期）、合同履行地点（交付地点）须满足招标文件要求。</w:t>
            </w:r>
          </w:p>
        </w:tc>
        <w:tc>
          <w:tcPr>
            <w:tcW w:type="dxa" w:w="1661"/>
          </w:tcPr>
          <w:p>
            <w:pPr>
              <w:pStyle w:val="null3"/>
              <w:jc w:val="left"/>
            </w:pPr>
            <w:r>
              <w:rPr>
                <w:rFonts w:ascii="仿宋_GB2312" w:hAnsi="仿宋_GB2312" w:cs="仿宋_GB2312" w:eastAsia="仿宋_GB2312"/>
              </w:rPr>
              <w:t>开标（报价）一览表 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商务应答表 供应商应提交的相关证明材料 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技术要求响应程度（未标注“▲”一般性指标）</w:t>
            </w:r>
          </w:p>
        </w:tc>
        <w:tc>
          <w:tcPr>
            <w:tcW w:type="dxa" w:w="2492"/>
          </w:tcPr>
          <w:p>
            <w:pPr>
              <w:pStyle w:val="null3"/>
              <w:jc w:val="both"/>
            </w:pPr>
            <w:r>
              <w:rPr>
                <w:rFonts w:ascii="仿宋_GB2312" w:hAnsi="仿宋_GB2312" w:cs="仿宋_GB2312" w:eastAsia="仿宋_GB2312"/>
              </w:rPr>
              <w:t>投标人提供的技术参数（未标注“▲”一般性指标）响应完全满足或优于采购需求的技术参数（未标注“▲”一般性指标）要求的得满分，满分15分。 （1）技术参数要求除标注“▲”之外，未有任何标识的为一般性指标，每有一项不满足的扣0.1分，共150条，最多扣15分。 注： 1.技术参数每项条款号以阿拉伯数字表示，如1、2、3，（1）、（2）、（3）……。 2.技术参数中要求提供证明材料的，投标人应提供符合要求的证明材料，并且证明材料中需呈现相应的参数功能，若不能提供符合要求的证明材料，将被视为负偏离并扣分。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技术要求响应程度（标注“▲”重要指标）</w:t>
            </w:r>
          </w:p>
        </w:tc>
        <w:tc>
          <w:tcPr>
            <w:tcW w:type="dxa" w:w="2492"/>
          </w:tcPr>
          <w:p>
            <w:pPr>
              <w:pStyle w:val="null3"/>
              <w:jc w:val="both"/>
            </w:pPr>
            <w:r>
              <w:rPr>
                <w:rFonts w:ascii="仿宋_GB2312" w:hAnsi="仿宋_GB2312" w:cs="仿宋_GB2312" w:eastAsia="仿宋_GB2312"/>
              </w:rPr>
              <w:t>投标人提供的技术参数（标注“▲”重要指标）响应完全满足或优于采购需求的技术参数（标注“▲”重要指标）要求的得满分，满分19分。 （1）技术参数要求标注“▲”为重要指标，每有一项“▲”不满足的扣1分，共19条，最多扣19分。 注： 1.技术参数每项条款号以阿拉伯数字表示，如1、2、3，（1）、（2）、（3）……。 2.技术参数中要求提供证明材料的，投标人应提供符合要求的证明材料，并且证明材料中需呈现相应的参数功能，若不能提供符合要求的证明材料，将被视为负偏离并扣分。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根据投标人提交的项目整体实施方案进行综合评审，方案应包含但不限于：①项目实施计划；②实施进度；③人员管理及技术保障等内容。 1、评标委员会成员对其上述内容进行评议，满分9分，每缺少1项内容扣3分； 2、在投标人已提供上述内容的基础上，每1小项存在一处缺陷（缺陷是指：内容与采购需求毫无关联、内容不符合项目实际要求、缺乏规范性和可操作性、前后相互矛盾、缺少关键节点等）的扣1分，扣完为止；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根据投标人提交的质量保证方案进行综合评审，方案应包含但不限于：①质量保证措施；②质量管理体系；③质量保证范围及质量保证承诺等内容。 1、评标委员会成员对其上述内容进行评议，满分9分，每缺少1项内容扣3分； 2、在投标人已提供上述内容的基础上，每1小项存在一处缺陷（缺陷是指：内容与采购需求毫无关联、内容不符合项目实际要求、缺乏规范性和可操作性、前后相互矛盾、缺少关键节点等）的扣1分，扣完为止；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根据投标人提交的售后服务方案进行综合评审，方案应包含但不限于：①售后服务措施及售后服务承诺；②售后响应时间及客户反馈渠道；③故障处理办法等内容。 1、评标委员会成员对其上述内容进行评议，满分9分，每缺少1项内容扣3分； 2、在投标人已提供上述内容的基础上，每1小项存在一处缺陷（缺陷是指：内容与采购需求毫无关联、内容不符合项目实际要求、缺乏规范性和可操作性、前后相互矛盾、缺少关键节点等）的扣1分，扣完为止；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根据投标人提交的供货安装方案进行综合评审，方案应包含但不限于：①总体供货流程；②货物的包装、运输、装卸及存放；③安装流程、规范及调试措施等内容。 1、评标委员会成员对其上述内容进行评议，满分9分，每缺少1项内容扣3分； 2、在投标人已提供上述内容的基础上，每1小项存在一处缺陷（缺陷是指：内容与采购需求毫无关联、内容不符合项目实际要求、缺乏规范性和可操作性、前后相互矛盾、缺少关键节点等）的扣1分，扣完为止；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HNHGT2025-137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海口市公办寄宿制中小学校热水洗浴供应项目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海口市公办寄宿制中小学校热水洗浴供应项目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合同履行期限（交付期）</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A02061899-其他生活用电器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10589466.67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详见附件：投标人其他承诺及声明函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