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三亚市崖州区2025年南繁基地地力提升项目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三亚市崖州区2025年南繁基地地力提升项目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[HNSS]20250600001[GK]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三亚市崖州区2025年南繁基地地力提升项目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5,000,000.00元</w:t>
      </w:r>
      <w:r>
        <w:rPr>
          <w:rFonts w:ascii="仿宋_GB2312" w:hAnsi="仿宋_GB2312" w:cs="仿宋_GB2312" w:eastAsia="仿宋_GB2312"/>
        </w:rPr>
        <w:t>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未被列入失信被执行人名单、重大税收违法失信主体，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2023年实施方案》（三府办〔2023〕181号），中标（成交）供应商可凭借与采购单位签订的政府采购合同，向开展政府采购合同融资业务的银行和金融机构申请信用贷款。 3.本项目采用远程不见面方式（供应商无需到现场）。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三亚市崖州区琼粤科技合作城A4栋3楼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0898-88820921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代理服务费收费标准：以37600.00元收取招标代理费，中标（成交）供应商领取成交通知书时，招标代理机构向中标（成交）供应商一次性收取代理费用。 收款人名称：海南赛尚招标代理有限公司 开户银行：中国银行股份有限公司三亚分行亚北支行 账 号：266283860033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（一）项目背景</w:t>
      </w:r>
    </w:p>
    <w:p>
      <w:pPr>
        <w:pStyle w:val="null3"/>
        <w:jc w:val="left"/>
      </w:pPr>
      <w:r>
        <w:rPr>
          <w:rFonts w:ascii="仿宋_GB2312" w:hAnsi="仿宋_GB2312" w:cs="仿宋_GB2312" w:eastAsia="仿宋_GB2312"/>
        </w:rPr>
        <w:t>《中共中央 国务院关于做好2022年全面推进乡村振兴重点工作的意见》特别强调推进农业农村绿色发展，对此提出了一系列具体措施和要求，其中包括加强农业面源污染综合治理，建设国家农业绿色发展先行区，开展农业绿色发展情况评价等措施。</w:t>
      </w:r>
    </w:p>
    <w:p>
      <w:pPr>
        <w:pStyle w:val="null3"/>
        <w:jc w:val="left"/>
      </w:pPr>
      <w:r>
        <w:rPr>
          <w:rFonts w:ascii="仿宋_GB2312" w:hAnsi="仿宋_GB2312" w:cs="仿宋_GB2312" w:eastAsia="仿宋_GB2312"/>
        </w:rPr>
        <w:t>2023年农业农村部印发《国家农业绿色发展先行区整建制全要素全链条推进农业面源污染综合防治实施方案》，指出要持续推进化肥减量增效，建立健全主要农作物氮肥施用定额管理制度，引导农民把施肥量控制在合理区间。发展绿肥种植、增施有机肥、生物固氮，打造新技术、新肥料、新装备“三新”集成配套典型，推进化肥多元替代。</w:t>
      </w:r>
    </w:p>
    <w:p>
      <w:pPr>
        <w:pStyle w:val="null3"/>
        <w:jc w:val="left"/>
      </w:pPr>
      <w:r>
        <w:rPr>
          <w:rFonts w:ascii="仿宋_GB2312" w:hAnsi="仿宋_GB2312" w:cs="仿宋_GB2312" w:eastAsia="仿宋_GB2312"/>
        </w:rPr>
        <w:t>全国农技中心发布的《2023年化肥减量化技术方案》明确指出，要综合考虑作物养分需求和区域资源特点，统筹利用多种养分来源，引导农民种植绿肥、积造农家肥、施用微生物肥料等，与配方肥、专用肥、缓释肥等施用相结合，替代部分化肥投入，促进作物养分均衡，并就种植绿肥提出了详细的指导意见。</w:t>
      </w:r>
    </w:p>
    <w:p>
      <w:pPr>
        <w:pStyle w:val="null3"/>
        <w:jc w:val="left"/>
      </w:pPr>
      <w:r>
        <w:rPr>
          <w:rFonts w:ascii="仿宋_GB2312" w:hAnsi="仿宋_GB2312" w:cs="仿宋_GB2312" w:eastAsia="仿宋_GB2312"/>
        </w:rPr>
        <w:t>三亚市位于海南省最南端，素有“天然大温室”之称，是我国最重要的冬季瓜菜生产基地之一，为全国“菜篮子”工程建设及海南农村经济发展做出了重要贡献。崖州区隶属于海南省三亚市，是三亚市最大的农业区，也是南繁育种基地核心区，崖州区始终秉持“绿水青山就是金山银山”的发展理念，发展生态循环农业，制定绿色生产施肥用药技术标准，实施农田绿肥还田深耕提升地力项目。崖州区坚持“热带特色高效”的主攻方向，致力于打造热带特色高效农业王牌，积极创建农业绿色发展先行先试支撑体系建设试点区，建设农产品质量安全示范区，扎实推进农业生产方式转变，着力打造农业绿色发展的海南样板。</w:t>
      </w:r>
    </w:p>
    <w:p>
      <w:pPr>
        <w:pStyle w:val="null3"/>
        <w:jc w:val="left"/>
      </w:pPr>
      <w:r>
        <w:rPr>
          <w:rFonts w:ascii="仿宋_GB2312" w:hAnsi="仿宋_GB2312" w:cs="仿宋_GB2312" w:eastAsia="仿宋_GB2312"/>
        </w:rPr>
        <w:t>（二）项目建设的必要性</w:t>
      </w:r>
    </w:p>
    <w:p>
      <w:pPr>
        <w:pStyle w:val="null3"/>
        <w:jc w:val="left"/>
      </w:pPr>
      <w:r>
        <w:rPr>
          <w:rFonts w:ascii="仿宋_GB2312" w:hAnsi="仿宋_GB2312" w:cs="仿宋_GB2312" w:eastAsia="仿宋_GB2312"/>
        </w:rPr>
        <w:t>2020年中央经济工作会议和中央农村工作会议重点提到，要解决好种子和耕地问题，落实藏粮于地、藏粮于技战略。农业可持续发展以改善土壤环境质量为核心，健康的土壤才能种植出绿色优质的瓜菜产品，健康的土壤也是国家南繁硅谷建设的基础条件，为保障崖州区冬季瓜菜的增产增效及产品质量安全，保持南繁基地的可持续发展，实施地力提升和土壤改良工程是当务之急，需坚持预防为主、保护优先、风险管控的总方针，促进土壤资源永续利用。</w:t>
      </w:r>
    </w:p>
    <w:p>
      <w:pPr>
        <w:pStyle w:val="null3"/>
        <w:jc w:val="left"/>
      </w:pPr>
      <w:r>
        <w:rPr>
          <w:rFonts w:ascii="仿宋_GB2312" w:hAnsi="仿宋_GB2312" w:cs="仿宋_GB2312" w:eastAsia="仿宋_GB2312"/>
        </w:rPr>
        <w:t>（1）基础地力不高</w:t>
      </w:r>
    </w:p>
    <w:p>
      <w:pPr>
        <w:pStyle w:val="null3"/>
        <w:jc w:val="left"/>
      </w:pPr>
      <w:r>
        <w:rPr>
          <w:rFonts w:ascii="仿宋_GB2312" w:hAnsi="仿宋_GB2312" w:cs="仿宋_GB2312" w:eastAsia="仿宋_GB2312"/>
        </w:rPr>
        <w:t>耕地质量不容乐观。崖州区地处热带，土壤以沙土为主，有机质本不易积累，本身供肥能力弱，保肥能力差，加上多年连作，复种指数高，偏施化肥，导致土壤有机质含量越来越贫乏，根据相关检测数据，崖州区土壤有机质平均含量为16.9g/kg左右，在2%以下，处于普遍缺乏或极缺乏状态，增肥不增产及土传病害多发，影响作物产量和品质，威胁农业的持续发展。</w:t>
      </w:r>
    </w:p>
    <w:p>
      <w:pPr>
        <w:pStyle w:val="null3"/>
        <w:jc w:val="left"/>
      </w:pPr>
      <w:r>
        <w:rPr>
          <w:rFonts w:ascii="仿宋_GB2312" w:hAnsi="仿宋_GB2312" w:cs="仿宋_GB2312" w:eastAsia="仿宋_GB2312"/>
        </w:rPr>
        <w:t>（2）耕地养分失衡</w:t>
      </w:r>
    </w:p>
    <w:p>
      <w:pPr>
        <w:pStyle w:val="null3"/>
        <w:jc w:val="left"/>
      </w:pPr>
      <w:r>
        <w:rPr>
          <w:rFonts w:ascii="仿宋_GB2312" w:hAnsi="仿宋_GB2312" w:cs="仿宋_GB2312" w:eastAsia="仿宋_GB2312"/>
        </w:rPr>
        <w:t>基于较好的温光及自然资源，崖州区土地的复种指数逐年增大，耕地长期处于超负荷的生产和养分入不敷出的状态。长期以来，在农业施肥结构上存在不合理性，测土配方体系建设不健全，重化肥、重尿素，轻磷钾肥，重大量元素，轻中微量元素，导致耕地土壤养分失衡加剧，土壤表现为磷过量，而氮和钾相对不足，其中土壤碱解氮含量达到46 mg/kg左右，仍然处于缺乏状态（＜60 mg/kg），限制作物产量的增加以及品质的提高。</w:t>
      </w:r>
    </w:p>
    <w:p>
      <w:pPr>
        <w:pStyle w:val="null3"/>
        <w:jc w:val="left"/>
      </w:pPr>
      <w:r>
        <w:rPr>
          <w:rFonts w:ascii="仿宋_GB2312" w:hAnsi="仿宋_GB2312" w:cs="仿宋_GB2312" w:eastAsia="仿宋_GB2312"/>
        </w:rPr>
        <w:t>（3）土壤整体偏酸</w:t>
      </w:r>
    </w:p>
    <w:p>
      <w:pPr>
        <w:pStyle w:val="null3"/>
        <w:jc w:val="left"/>
      </w:pPr>
      <w:r>
        <w:rPr>
          <w:rFonts w:ascii="仿宋_GB2312" w:hAnsi="仿宋_GB2312" w:cs="仿宋_GB2312" w:eastAsia="仿宋_GB2312"/>
        </w:rPr>
        <w:t>崖州区土壤pH值平均为5.76，呈弱酸性。降水量大而集中的淋溶作用造成钙、镁、钾等碱性盐基离子大量流失是崖州区土壤酸化的根本原因；土壤有机质减少、中微量元素缺乏使耕地土壤养分失衡是造成崖州区土壤酸化的主要原因；长期大量施用化肥（主要是铵态氮肥）是造成崖州区土壤酸化的重要原因。</w:t>
      </w:r>
    </w:p>
    <w:p>
      <w:pPr>
        <w:pStyle w:val="null3"/>
        <w:jc w:val="left"/>
      </w:pPr>
      <w:r>
        <w:rPr>
          <w:rFonts w:ascii="仿宋_GB2312" w:hAnsi="仿宋_GB2312" w:cs="仿宋_GB2312" w:eastAsia="仿宋_GB2312"/>
        </w:rPr>
        <w:t>（4）微生物区系恶化</w:t>
      </w:r>
    </w:p>
    <w:p>
      <w:pPr>
        <w:pStyle w:val="null3"/>
        <w:jc w:val="left"/>
      </w:pPr>
      <w:r>
        <w:rPr>
          <w:rFonts w:ascii="仿宋_GB2312" w:hAnsi="仿宋_GB2312" w:cs="仿宋_GB2312" w:eastAsia="仿宋_GB2312"/>
        </w:rPr>
        <w:t>由于崖州区连年种植同一类瓜菜，加之化肥农药的过量使用、土壤偏酸和有机质降低等综合因素导致土壤微生物区系恶化，土壤中细菌、放线菌减少，真菌和线虫等增多，连作障碍问题逐年加重，出现了根结线虫病、枯萎病等土传性病害，同时也出现营养不良、果实畸形等生理性病害，严重影响了农产品的产量、品质和商品价值。</w:t>
      </w:r>
    </w:p>
    <w:p>
      <w:pPr>
        <w:pStyle w:val="null3"/>
        <w:jc w:val="left"/>
      </w:pPr>
      <w:r>
        <w:rPr>
          <w:rFonts w:ascii="仿宋_GB2312" w:hAnsi="仿宋_GB2312" w:cs="仿宋_GB2312" w:eastAsia="仿宋_GB2312"/>
        </w:rPr>
        <w:t>（5）农业面源污染</w:t>
      </w:r>
    </w:p>
    <w:p>
      <w:pPr>
        <w:pStyle w:val="null3"/>
        <w:jc w:val="left"/>
      </w:pPr>
      <w:r>
        <w:rPr>
          <w:rFonts w:ascii="仿宋_GB2312" w:hAnsi="仿宋_GB2312" w:cs="仿宋_GB2312" w:eastAsia="仿宋_GB2312"/>
        </w:rPr>
        <w:t>崖州区因气候原因，一般6月份水稻收获后，由于夏季多台风暴雨，农田基本抛荒，导致杂草丛生、病虫滋生，冬季瓜果蔬菜及南繁作物种植前，大量使用除草剂，导致土壤和水体污染严重。</w:t>
      </w:r>
    </w:p>
    <w:p>
      <w:pPr>
        <w:pStyle w:val="null3"/>
        <w:jc w:val="left"/>
      </w:pPr>
      <w:r>
        <w:rPr>
          <w:rFonts w:ascii="仿宋_GB2312" w:hAnsi="仿宋_GB2312" w:cs="仿宋_GB2312" w:eastAsia="仿宋_GB2312"/>
        </w:rPr>
        <w:t>由于农民耕作缺乏科学指导，且为了追求短期农作物增产增收效益，过分依赖化学肥料和化学农药。据《三亚市2023年统计年鉴》，2022年，三亚市农用化肥使用量（实物量）平均为45393吨，农药使用量平均为2334吨，远远高于我国施肥和用药的平均水平，尤其在南繁作物种植过程中，磷肥用量过高，大量残留在土壤中，夏季暴雨过后，磷素随雨水进入沟渠河流，造成地表水面源污染。过量施肥用药使得土壤酸化及加重有机质的流失，影响农产品质量和产量，同时造成水体富营养化，污染环境。</w:t>
      </w:r>
    </w:p>
    <w:p>
      <w:pPr>
        <w:pStyle w:val="null3"/>
        <w:jc w:val="left"/>
      </w:pPr>
      <w:r>
        <w:rPr>
          <w:rFonts w:ascii="仿宋_GB2312" w:hAnsi="仿宋_GB2312" w:cs="仿宋_GB2312" w:eastAsia="仿宋_GB2312"/>
        </w:rPr>
        <w:t>农业生产中，由于化肥和农药的过量使用，种植农户习惯把使用后的农药瓶、袋、秧盘等废弃物随意丢弃田间地头或沟渠边，成为农业面源污染的重要来源，严重影响农业生态环境和农产品质量安全。</w:t>
      </w:r>
    </w:p>
    <w:p>
      <w:pPr>
        <w:pStyle w:val="null3"/>
        <w:jc w:val="left"/>
      </w:pPr>
      <w:r>
        <w:rPr>
          <w:rFonts w:ascii="仿宋_GB2312" w:hAnsi="仿宋_GB2312" w:cs="仿宋_GB2312" w:eastAsia="仿宋_GB2312"/>
        </w:rPr>
        <w:t>地膜覆盖能够降低农业成本，提高农业产出，在经济利益的驱使下，地膜被大规模地应用于瓜菜种植等农业生产。但是农民缺乏对地膜残留危害的正确认识，地膜回收又费钱费力，随着地膜的连年使用以及不健全的回收体系，导致了严重的“白色污染”，从而引起土壤质量和作物产量下降。</w:t>
      </w:r>
    </w:p>
    <w:p>
      <w:pPr>
        <w:pStyle w:val="null3"/>
        <w:jc w:val="left"/>
      </w:pPr>
      <w:r>
        <w:rPr>
          <w:rFonts w:ascii="仿宋_GB2312" w:hAnsi="仿宋_GB2312" w:cs="仿宋_GB2312" w:eastAsia="仿宋_GB2312"/>
        </w:rPr>
        <w:t>（三）总体方案</w:t>
      </w:r>
    </w:p>
    <w:p>
      <w:pPr>
        <w:pStyle w:val="null3"/>
        <w:jc w:val="left"/>
      </w:pPr>
      <w:r>
        <w:rPr>
          <w:rFonts w:ascii="仿宋_GB2312" w:hAnsi="仿宋_GB2312" w:cs="仿宋_GB2312" w:eastAsia="仿宋_GB2312"/>
        </w:rPr>
        <w:t>项目将实现“两个分区”布局，即田菁轻简化种植示范引领区（9800亩）和绿肥提质增效核心试验区（200亩）。具体方案分布见表1-1：</w:t>
      </w:r>
    </w:p>
    <w:p>
      <w:pPr>
        <w:pStyle w:val="null3"/>
        <w:jc w:val="left"/>
      </w:pPr>
      <w:r>
        <w:drawing>
          <wp:inline distT="0" distR="0" distB="0" distL="0">
            <wp:extent cx="5274310" cy="319035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190351"/>
                    </a:xfrm>
                    <a:prstGeom prst="rect">
                      <a:avLst/>
                    </a:prstGeom>
                  </pic:spPr>
                </pic:pic>
              </a:graphicData>
            </a:graphic>
          </wp:inline>
        </w:drawing>
      </w:r>
    </w:p>
    <w:p>
      <w:pPr>
        <w:pStyle w:val="null3"/>
        <w:jc w:val="left"/>
      </w:pPr>
      <w:r>
        <w:rPr>
          <w:rFonts w:ascii="仿宋_GB2312" w:hAnsi="仿宋_GB2312" w:cs="仿宋_GB2312" w:eastAsia="仿宋_GB2312"/>
        </w:rPr>
        <w:t>田菁轻简化种植示范引领区的建设将围绕轻简化、可推广性以及高产栽培（提高还田时的鲜青生物量）为目标，以石灰改良酸性土壤、全程机械化、合理水肥管理和绿肥全量还田为主要举措。</w:t>
      </w:r>
    </w:p>
    <w:p>
      <w:pPr>
        <w:pStyle w:val="null3"/>
        <w:jc w:val="left"/>
      </w:pPr>
      <w:r>
        <w:rPr>
          <w:rFonts w:ascii="仿宋_GB2312" w:hAnsi="仿宋_GB2312" w:cs="仿宋_GB2312" w:eastAsia="仿宋_GB2312"/>
        </w:rPr>
        <w:t>绿肥提质增效核心试验区建设将以大区种植及管理形式开展试验，以田菁根瘤菌接种、酸性土壤改良剂以及田菁专用型腐熟剂应用为主要试验内容。</w:t>
      </w:r>
    </w:p>
    <w:p>
      <w:pPr>
        <w:pStyle w:val="null3"/>
        <w:jc w:val="left"/>
      </w:pPr>
      <w:r>
        <w:rPr>
          <w:rFonts w:ascii="仿宋_GB2312" w:hAnsi="仿宋_GB2312" w:cs="仿宋_GB2312" w:eastAsia="仿宋_GB2312"/>
        </w:rPr>
        <w:t>（四）预期目标</w:t>
      </w:r>
    </w:p>
    <w:p>
      <w:pPr>
        <w:pStyle w:val="null3"/>
        <w:jc w:val="left"/>
      </w:pPr>
      <w:r>
        <w:rPr>
          <w:rFonts w:ascii="仿宋_GB2312" w:hAnsi="仿宋_GB2312" w:cs="仿宋_GB2312" w:eastAsia="仿宋_GB2312"/>
        </w:rPr>
        <w:t>打造10000亩绿肥高产技术种植示范基地。通过10000亩绿肥播种、管理和粉碎还田，全面推进耕地地力提升行动，为恢复发展绿肥应用提供轻简化种植技术示范样板，为下一步耕地地力提升奠定工作基础。</w:t>
      </w:r>
    </w:p>
    <w:p>
      <w:pPr>
        <w:pStyle w:val="null3"/>
        <w:jc w:val="left"/>
      </w:pPr>
      <w:r>
        <w:rPr>
          <w:rFonts w:ascii="仿宋_GB2312" w:hAnsi="仿宋_GB2312" w:cs="仿宋_GB2312" w:eastAsia="仿宋_GB2312"/>
        </w:rPr>
        <w:t>土壤肥力检测。提供绿肥种植前和绿肥还田后分别开展土壤检测，检测指标包括氮、磷、钾、有机质含量、pH等指标，提供第三方土壤检测报告和专家施肥建议各1份，用以指导农户科学合理施肥。</w:t>
      </w:r>
    </w:p>
    <w:p>
      <w:pPr>
        <w:pStyle w:val="null3"/>
        <w:jc w:val="left"/>
      </w:pPr>
      <w:r>
        <w:rPr>
          <w:rFonts w:ascii="仿宋_GB2312" w:hAnsi="仿宋_GB2312" w:cs="仿宋_GB2312" w:eastAsia="仿宋_GB2312"/>
        </w:rPr>
        <w:t>召开现场会。组织召开土壤地力提升技术现场观摩会，通过演示绿肥粉碎还田，推广绿肥粉碎还田技术，引导百姓减少化肥施用量，提高耕地质量。通过媒体宣传，调动农户夏季撂荒土地的利用积极性，提升土壤地力，促进农民增收。</w:t>
      </w:r>
    </w:p>
    <w:p>
      <w:pPr>
        <w:pStyle w:val="null3"/>
        <w:jc w:val="left"/>
      </w:pPr>
      <w:r>
        <w:rPr>
          <w:rFonts w:ascii="仿宋_GB2312" w:hAnsi="仿宋_GB2312" w:cs="仿宋_GB2312" w:eastAsia="仿宋_GB2312"/>
        </w:rPr>
        <w:t>经过改良，项目区域内土壤在原有基础上：pH提升0.3-0.5，土壤有机质含量提升5%以上，减少杂草滋生和除草剂使用，提高土壤有机质含量，改善土壤物理、化学、生物环境，降低农田氮磷面源污染风险，促进土壤可持续发展。</w:t>
      </w:r>
    </w:p>
    <w:p>
      <w:pPr>
        <w:pStyle w:val="null3"/>
        <w:jc w:val="left"/>
      </w:pPr>
      <w:r>
        <w:rPr>
          <w:rFonts w:ascii="仿宋_GB2312" w:hAnsi="仿宋_GB2312" w:cs="仿宋_GB2312" w:eastAsia="仿宋_GB2312"/>
        </w:rPr>
        <w:t>社会效益：本项目劳务务工，优先使用崖州区的脱贫户、监测户及重点调查户。</w:t>
      </w:r>
    </w:p>
    <w:p>
      <w:pPr>
        <w:pStyle w:val="null3"/>
        <w:jc w:val="left"/>
      </w:pPr>
      <w:r>
        <w:rPr>
          <w:rFonts w:ascii="仿宋_GB2312" w:hAnsi="仿宋_GB2312" w:cs="仿宋_GB2312" w:eastAsia="仿宋_GB2312"/>
        </w:rPr>
        <w:t>服务对象满意度调查。由三亚市崖州区农业农村局抽查绿肥项目农户满意度调查结果（抽查方式含电话抽查和现场抽查等），要求服务对象满意度不低于90%。</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C09010500-农业资源与环境保护服务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C09010500-农业资源与环境保护服务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标的名称：C09010500-农业资源与环境保护服务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土壤监测</w:t>
            </w:r>
          </w:p>
          <w:p>
            <w:pPr>
              <w:pStyle w:val="null3"/>
              <w:jc w:val="left"/>
            </w:pPr>
            <w:r>
              <w:rPr>
                <w:rFonts w:ascii="仿宋_GB2312" w:hAnsi="仿宋_GB2312" w:cs="仿宋_GB2312" w:eastAsia="仿宋_GB2312"/>
              </w:rPr>
              <w:t>（一）土壤采样</w:t>
            </w:r>
          </w:p>
          <w:p>
            <w:pPr>
              <w:pStyle w:val="null3"/>
              <w:jc w:val="left"/>
            </w:pPr>
            <w:r>
              <w:rPr>
                <w:rFonts w:ascii="仿宋_GB2312" w:hAnsi="仿宋_GB2312" w:cs="仿宋_GB2312" w:eastAsia="仿宋_GB2312"/>
              </w:rPr>
              <w:t>土壤共采样两次，采样时间分别为：前茬作物收获后至整地种植绿肥前，以及绿肥全量还田后至冬季瓜菜或南繁作物种植前这两个时间段。每次采集混合土样个数为：田菁轻简化种植示范引领区98个，平均每100亩取一混合样；绿肥提质增效核心试验区3个，即每个试验大区取样。土壤样品待室内风干、磨碎后进行相关项目分析测定。</w:t>
            </w:r>
          </w:p>
          <w:p>
            <w:pPr>
              <w:pStyle w:val="null3"/>
              <w:jc w:val="left"/>
            </w:pPr>
            <w:r>
              <w:rPr>
                <w:rFonts w:ascii="仿宋_GB2312" w:hAnsi="仿宋_GB2312" w:cs="仿宋_GB2312" w:eastAsia="仿宋_GB2312"/>
              </w:rPr>
              <w:t>（二）土壤分析</w:t>
            </w:r>
          </w:p>
          <w:p>
            <w:pPr>
              <w:pStyle w:val="null3"/>
              <w:jc w:val="left"/>
            </w:pPr>
            <w:r>
              <w:rPr>
                <w:rFonts w:ascii="仿宋_GB2312" w:hAnsi="仿宋_GB2312" w:cs="仿宋_GB2312" w:eastAsia="仿宋_GB2312"/>
              </w:rPr>
              <w:t>土壤检测指标项目主要有全氮、全磷、全钾、碱解氮、有效磷、速效钾、有机质、pH等。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田菁轻简化种植示范引领区</w:t>
            </w:r>
          </w:p>
          <w:p>
            <w:pPr>
              <w:pStyle w:val="null3"/>
              <w:jc w:val="left"/>
            </w:pPr>
            <w:r>
              <w:rPr>
                <w:rFonts w:ascii="仿宋_GB2312" w:hAnsi="仿宋_GB2312" w:cs="仿宋_GB2312" w:eastAsia="仿宋_GB2312"/>
              </w:rPr>
              <w:t>打造田菁规模化、轻简化种植示范引领区，科学配置田菁水肥药的田间管理，集成并示范推广石灰改良酸性土壤、全程机械化和绿肥全量还田技术，优化田菁种植体系，形成田菁轻简化、标准化的种植方式。</w:t>
            </w:r>
          </w:p>
          <w:p>
            <w:pPr>
              <w:pStyle w:val="null3"/>
              <w:jc w:val="left"/>
            </w:pPr>
            <w:r>
              <w:rPr>
                <w:rFonts w:ascii="仿宋_GB2312" w:hAnsi="仿宋_GB2312" w:cs="仿宋_GB2312" w:eastAsia="仿宋_GB2312"/>
              </w:rPr>
              <w:t>（一）种植前准备</w:t>
            </w:r>
          </w:p>
          <w:p>
            <w:pPr>
              <w:pStyle w:val="null3"/>
              <w:jc w:val="left"/>
            </w:pPr>
            <w:r>
              <w:rPr>
                <w:rFonts w:ascii="仿宋_GB2312" w:hAnsi="仿宋_GB2312" w:cs="仿宋_GB2312" w:eastAsia="仿宋_GB2312"/>
              </w:rPr>
              <w:t>1.田块详细信息采集</w:t>
            </w:r>
          </w:p>
          <w:p>
            <w:pPr>
              <w:pStyle w:val="null3"/>
              <w:jc w:val="left"/>
            </w:pPr>
            <w:r>
              <w:rPr>
                <w:rFonts w:ascii="仿宋_GB2312" w:hAnsi="仿宋_GB2312" w:cs="仿宋_GB2312" w:eastAsia="仿宋_GB2312"/>
              </w:rPr>
              <w:t>根据项目实施需要，在组织单位协助下，与地块所在乡镇和村组建立联系，请各村委会相关同志陪同实施小组工作人员对地块进行信息收集，摸清各地块使用人，协助解决可能存在的矛盾及纠纷，并协助后续材料施用及管理工作。</w:t>
            </w:r>
          </w:p>
          <w:p>
            <w:pPr>
              <w:pStyle w:val="null3"/>
              <w:jc w:val="left"/>
            </w:pPr>
            <w:r>
              <w:rPr>
                <w:rFonts w:ascii="仿宋_GB2312" w:hAnsi="仿宋_GB2312" w:cs="仿宋_GB2312" w:eastAsia="仿宋_GB2312"/>
              </w:rPr>
              <w:t>2.劳动力准备</w:t>
            </w:r>
          </w:p>
          <w:p>
            <w:pPr>
              <w:pStyle w:val="null3"/>
              <w:jc w:val="left"/>
            </w:pPr>
            <w:r>
              <w:rPr>
                <w:rFonts w:ascii="仿宋_GB2312" w:hAnsi="仿宋_GB2312" w:cs="仿宋_GB2312" w:eastAsia="仿宋_GB2312"/>
              </w:rPr>
              <w:t>机耕队员优先为项目区本地农民（优先使用崖州区的脱贫户、监测户及重点调查户）；雇请并吸收项目所在村及周边村农民（优先使用崖州区的脱贫户、监测户及重点调查户）加入，重点解决部分相对困难家庭的阶段性就业问题，且保证人员工资不低于当地平均水平。</w:t>
            </w:r>
          </w:p>
          <w:p>
            <w:pPr>
              <w:pStyle w:val="null3"/>
              <w:jc w:val="left"/>
            </w:pPr>
            <w:r>
              <w:rPr>
                <w:rFonts w:ascii="仿宋_GB2312" w:hAnsi="仿宋_GB2312" w:cs="仿宋_GB2312" w:eastAsia="仿宋_GB2312"/>
              </w:rPr>
              <w:t>3.物资准备</w:t>
            </w:r>
          </w:p>
          <w:p>
            <w:pPr>
              <w:pStyle w:val="null3"/>
              <w:jc w:val="left"/>
            </w:pPr>
            <w:r>
              <w:rPr>
                <w:rFonts w:ascii="仿宋_GB2312" w:hAnsi="仿宋_GB2312" w:cs="仿宋_GB2312" w:eastAsia="仿宋_GB2312"/>
              </w:rPr>
              <w:t>开展石灰、种子、化肥和农药等物资的采购、调运及仓储事宜，保证项目实施物资供应及时和充足。同时做好手套、帽子等劳保用品的采购。项目设立专人统一管理，并负责建立物资采购、进库、出库及使用的全程管理档案。</w:t>
            </w:r>
          </w:p>
          <w:p>
            <w:pPr>
              <w:pStyle w:val="null3"/>
              <w:jc w:val="left"/>
            </w:pPr>
            <w:r>
              <w:rPr>
                <w:rFonts w:ascii="仿宋_GB2312" w:hAnsi="仿宋_GB2312" w:cs="仿宋_GB2312" w:eastAsia="仿宋_GB2312"/>
              </w:rPr>
              <w:t>4.机械及器具准备</w:t>
            </w:r>
          </w:p>
          <w:p>
            <w:pPr>
              <w:pStyle w:val="null3"/>
              <w:jc w:val="left"/>
            </w:pPr>
            <w:r>
              <w:rPr>
                <w:rFonts w:ascii="仿宋_GB2312" w:hAnsi="仿宋_GB2312" w:cs="仿宋_GB2312" w:eastAsia="仿宋_GB2312"/>
              </w:rPr>
              <w:t>应确保机械数量及人员充足，以保证项目能够快速、高效的实施。主要机械有：石灰撒施机、无人机、镇压机械、拖拉机、绿肥粉碎翻青联合机械等。统一负责绿肥的播前整地至统一切碎还田的全过程机械化。</w:t>
            </w:r>
          </w:p>
          <w:p>
            <w:pPr>
              <w:pStyle w:val="null3"/>
              <w:jc w:val="left"/>
            </w:pPr>
            <w:r>
              <w:rPr>
                <w:rFonts w:ascii="仿宋_GB2312" w:hAnsi="仿宋_GB2312" w:cs="仿宋_GB2312" w:eastAsia="仿宋_GB2312"/>
              </w:rPr>
              <w:t>（二）种植方案</w:t>
            </w:r>
          </w:p>
          <w:p>
            <w:pPr>
              <w:pStyle w:val="null3"/>
              <w:jc w:val="left"/>
            </w:pPr>
            <w:r>
              <w:rPr>
                <w:rFonts w:ascii="仿宋_GB2312" w:hAnsi="仿宋_GB2312" w:cs="仿宋_GB2312" w:eastAsia="仿宋_GB2312"/>
              </w:rPr>
              <w:t>1.机械撒施石灰</w:t>
            </w:r>
          </w:p>
          <w:p>
            <w:pPr>
              <w:pStyle w:val="null3"/>
              <w:jc w:val="left"/>
            </w:pPr>
            <w:r>
              <w:rPr>
                <w:rFonts w:ascii="仿宋_GB2312" w:hAnsi="仿宋_GB2312" w:cs="仿宋_GB2312" w:eastAsia="仿宋_GB2312"/>
              </w:rPr>
              <w:t>依据模型计算石灰石粉、生石灰等不同类型碱性物料的施用量，施用量设计以调控土壤pH提升0.3为目标，综合考虑当地土壤类型、有机质含量、石灰种类等因素。同时鉴于物资采购的实效性，本项目选用生石灰，每亩施用量为50kg。种植前采用机械撒施的方式，将石灰均匀地撒施在土壤表面，然后进行翻耕混匀。</w:t>
            </w:r>
          </w:p>
          <w:p>
            <w:pPr>
              <w:pStyle w:val="null3"/>
              <w:jc w:val="left"/>
            </w:pPr>
            <w:r>
              <w:rPr>
                <w:rFonts w:ascii="仿宋_GB2312" w:hAnsi="仿宋_GB2312" w:cs="仿宋_GB2312" w:eastAsia="仿宋_GB2312"/>
              </w:rPr>
              <w:t>2.选地与整地</w:t>
            </w:r>
          </w:p>
          <w:p>
            <w:pPr>
              <w:pStyle w:val="null3"/>
              <w:jc w:val="left"/>
            </w:pPr>
            <w:r>
              <w:rPr>
                <w:rFonts w:ascii="仿宋_GB2312" w:hAnsi="仿宋_GB2312" w:cs="仿宋_GB2312" w:eastAsia="仿宋_GB2312"/>
              </w:rPr>
              <w:t>选择地势平整，排灌系统良好的地块。前茬作物收获后，及时机械化秸秆粉碎还田。</w:t>
            </w:r>
          </w:p>
          <w:p>
            <w:pPr>
              <w:pStyle w:val="null3"/>
              <w:jc w:val="left"/>
            </w:pPr>
            <w:r>
              <w:rPr>
                <w:rFonts w:ascii="仿宋_GB2312" w:hAnsi="仿宋_GB2312" w:cs="仿宋_GB2312" w:eastAsia="仿宋_GB2312"/>
              </w:rPr>
              <w:t>3.种植准备</w:t>
            </w:r>
          </w:p>
          <w:p>
            <w:pPr>
              <w:pStyle w:val="null3"/>
              <w:jc w:val="left"/>
            </w:pPr>
            <w:r>
              <w:rPr>
                <w:rFonts w:ascii="仿宋_GB2312" w:hAnsi="仿宋_GB2312" w:cs="仿宋_GB2312" w:eastAsia="仿宋_GB2312"/>
              </w:rPr>
              <w:t>（1）品种选择</w:t>
            </w:r>
          </w:p>
          <w:p>
            <w:pPr>
              <w:pStyle w:val="null3"/>
              <w:jc w:val="left"/>
            </w:pPr>
            <w:r>
              <w:rPr>
                <w:rFonts w:ascii="仿宋_GB2312" w:hAnsi="仿宋_GB2312" w:cs="仿宋_GB2312" w:eastAsia="仿宋_GB2312"/>
              </w:rPr>
              <w:t>选用经国家登记过的适宜当地种植的品种。选用植株高大、分枝多，茎叶量大的早熟品种。</w:t>
            </w:r>
          </w:p>
          <w:p>
            <w:pPr>
              <w:pStyle w:val="null3"/>
              <w:jc w:val="left"/>
            </w:pPr>
            <w:r>
              <w:rPr>
                <w:rFonts w:ascii="仿宋_GB2312" w:hAnsi="仿宋_GB2312" w:cs="仿宋_GB2312" w:eastAsia="仿宋_GB2312"/>
              </w:rPr>
              <w:t>（2）种子质量</w:t>
            </w:r>
          </w:p>
          <w:p>
            <w:pPr>
              <w:pStyle w:val="null3"/>
              <w:jc w:val="left"/>
            </w:pPr>
            <w:r>
              <w:rPr>
                <w:rFonts w:ascii="仿宋_GB2312" w:hAnsi="仿宋_GB2312" w:cs="仿宋_GB2312" w:eastAsia="仿宋_GB2312"/>
              </w:rPr>
              <w:t>生产用田菁种子质量应满足：符合国家种植生产质量要求。</w:t>
            </w:r>
          </w:p>
          <w:p>
            <w:pPr>
              <w:pStyle w:val="null3"/>
              <w:jc w:val="left"/>
            </w:pPr>
            <w:r>
              <w:rPr>
                <w:rFonts w:ascii="仿宋_GB2312" w:hAnsi="仿宋_GB2312" w:cs="仿宋_GB2312" w:eastAsia="仿宋_GB2312"/>
              </w:rPr>
              <w:t>4.播种</w:t>
            </w:r>
          </w:p>
          <w:p>
            <w:pPr>
              <w:pStyle w:val="null3"/>
              <w:jc w:val="left"/>
            </w:pPr>
            <w:r>
              <w:rPr>
                <w:rFonts w:ascii="仿宋_GB2312" w:hAnsi="仿宋_GB2312" w:cs="仿宋_GB2312" w:eastAsia="仿宋_GB2312"/>
              </w:rPr>
              <w:t>（1）播种时间</w:t>
            </w:r>
          </w:p>
          <w:p>
            <w:pPr>
              <w:pStyle w:val="null3"/>
              <w:jc w:val="left"/>
            </w:pPr>
            <w:r>
              <w:rPr>
                <w:rFonts w:ascii="仿宋_GB2312" w:hAnsi="仿宋_GB2312" w:cs="仿宋_GB2312" w:eastAsia="仿宋_GB2312"/>
              </w:rPr>
              <w:t>根据前茬作物收获情况，以及下一茬作物的种植要求，以及田菁在旱季或者低温季节生长缓慢的特性，一般建议在7-8月的雨季来临前播种。</w:t>
            </w:r>
          </w:p>
          <w:p>
            <w:pPr>
              <w:pStyle w:val="null3"/>
              <w:jc w:val="left"/>
            </w:pPr>
            <w:r>
              <w:rPr>
                <w:rFonts w:ascii="仿宋_GB2312" w:hAnsi="仿宋_GB2312" w:cs="仿宋_GB2312" w:eastAsia="仿宋_GB2312"/>
              </w:rPr>
              <w:t>（2）播种方式</w:t>
            </w:r>
          </w:p>
          <w:p>
            <w:pPr>
              <w:pStyle w:val="null3"/>
              <w:jc w:val="left"/>
            </w:pPr>
            <w:r>
              <w:rPr>
                <w:rFonts w:ascii="仿宋_GB2312" w:hAnsi="仿宋_GB2312" w:cs="仿宋_GB2312" w:eastAsia="仿宋_GB2312"/>
              </w:rPr>
              <w:t>采用无人机飞播，无人机无法到达的区域，采用人工播撒。</w:t>
            </w:r>
          </w:p>
          <w:p>
            <w:pPr>
              <w:pStyle w:val="null3"/>
              <w:jc w:val="left"/>
            </w:pPr>
            <w:r>
              <w:rPr>
                <w:rFonts w:ascii="仿宋_GB2312" w:hAnsi="仿宋_GB2312" w:cs="仿宋_GB2312" w:eastAsia="仿宋_GB2312"/>
              </w:rPr>
              <w:t>（3）播种量</w:t>
            </w:r>
          </w:p>
          <w:p>
            <w:pPr>
              <w:pStyle w:val="null3"/>
              <w:jc w:val="left"/>
            </w:pPr>
            <w:r>
              <w:rPr>
                <w:rFonts w:ascii="仿宋_GB2312" w:hAnsi="仿宋_GB2312" w:cs="仿宋_GB2312" w:eastAsia="仿宋_GB2312"/>
              </w:rPr>
              <w:t>绿肥田播种量每亩约2~3公斤左右。</w:t>
            </w:r>
          </w:p>
          <w:p>
            <w:pPr>
              <w:pStyle w:val="null3"/>
              <w:jc w:val="left"/>
            </w:pPr>
            <w:r>
              <w:rPr>
                <w:rFonts w:ascii="仿宋_GB2312" w:hAnsi="仿宋_GB2312" w:cs="仿宋_GB2312" w:eastAsia="仿宋_GB2312"/>
              </w:rPr>
              <w:t>5.田间管理</w:t>
            </w:r>
            <w:r>
              <w:br/>
            </w:r>
            <w:r>
              <w:rPr>
                <w:rFonts w:ascii="仿宋_GB2312" w:hAnsi="仿宋_GB2312" w:cs="仿宋_GB2312" w:eastAsia="仿宋_GB2312"/>
              </w:rPr>
              <w:t xml:space="preserve"> （1）排水</w:t>
            </w:r>
          </w:p>
          <w:p>
            <w:pPr>
              <w:pStyle w:val="null3"/>
              <w:jc w:val="left"/>
            </w:pPr>
            <w:r>
              <w:rPr>
                <w:rFonts w:ascii="仿宋_GB2312" w:hAnsi="仿宋_GB2312" w:cs="仿宋_GB2312" w:eastAsia="仿宋_GB2312"/>
              </w:rPr>
              <w:t>田菁的幼苗期生长缓慢，苗期积水应及时排水，要注意定苗、间苗、补苗，中耕除草，消除土壤板结。整个生长期均在台风易发期间，做好防涝排水尤为关键。</w:t>
            </w:r>
          </w:p>
          <w:p>
            <w:pPr>
              <w:pStyle w:val="null3"/>
              <w:jc w:val="left"/>
            </w:pPr>
            <w:r>
              <w:rPr>
                <w:rFonts w:ascii="仿宋_GB2312" w:hAnsi="仿宋_GB2312" w:cs="仿宋_GB2312" w:eastAsia="仿宋_GB2312"/>
              </w:rPr>
              <w:t>（2）病虫害防治</w:t>
            </w:r>
          </w:p>
          <w:p>
            <w:pPr>
              <w:pStyle w:val="null3"/>
              <w:jc w:val="left"/>
            </w:pPr>
            <w:r>
              <w:rPr>
                <w:rFonts w:ascii="仿宋_GB2312" w:hAnsi="仿宋_GB2312" w:cs="仿宋_GB2312" w:eastAsia="仿宋_GB2312"/>
              </w:rPr>
              <w:t>病虫害防治需贯彻预防为主，防治结合的总方针。田菁枝叶繁茂，要特别注意防虫，及早检查，及时防治。</w:t>
            </w:r>
          </w:p>
          <w:p>
            <w:pPr>
              <w:pStyle w:val="null3"/>
              <w:jc w:val="left"/>
            </w:pPr>
            <w:r>
              <w:rPr>
                <w:rFonts w:ascii="仿宋_GB2312" w:hAnsi="仿宋_GB2312" w:cs="仿宋_GB2312" w:eastAsia="仿宋_GB2312"/>
              </w:rPr>
              <w:t>6.机械粉碎翻压还田</w:t>
            </w:r>
          </w:p>
          <w:p>
            <w:pPr>
              <w:pStyle w:val="null3"/>
              <w:jc w:val="left"/>
            </w:pPr>
            <w:r>
              <w:rPr>
                <w:rFonts w:ascii="仿宋_GB2312" w:hAnsi="仿宋_GB2312" w:cs="仿宋_GB2312" w:eastAsia="仿宋_GB2312"/>
              </w:rPr>
              <w:t>盛花期粉碎翻压，采用旋耕机进行翻压，翻压后耙耱镇压。</w:t>
            </w:r>
          </w:p>
          <w:p>
            <w:pPr>
              <w:pStyle w:val="null3"/>
              <w:jc w:val="left"/>
            </w:pPr>
            <w:r>
              <w:rPr>
                <w:rFonts w:ascii="仿宋_GB2312" w:hAnsi="仿宋_GB2312" w:cs="仿宋_GB2312" w:eastAsia="仿宋_GB2312"/>
              </w:rPr>
              <w:t>（三）示范推广</w:t>
            </w:r>
          </w:p>
          <w:p>
            <w:pPr>
              <w:pStyle w:val="null3"/>
              <w:jc w:val="left"/>
            </w:pPr>
            <w:r>
              <w:rPr>
                <w:rFonts w:ascii="仿宋_GB2312" w:hAnsi="仿宋_GB2312" w:cs="仿宋_GB2312" w:eastAsia="仿宋_GB2312"/>
              </w:rPr>
              <w:t>为了能够稳步推进“冬季瓜菜-水稻-绿肥-深耕还田”的耕作制度，增强农户利用夏闲时种植绿肥的积极性，切实提升耕地保护意识，在项目实施过程中将通过以下路径开展耕作制度的推广工作。</w:t>
            </w:r>
          </w:p>
          <w:p>
            <w:pPr>
              <w:pStyle w:val="null3"/>
              <w:jc w:val="left"/>
            </w:pPr>
            <w:r>
              <w:rPr>
                <w:rFonts w:ascii="仿宋_GB2312" w:hAnsi="仿宋_GB2312" w:cs="仿宋_GB2312" w:eastAsia="仿宋_GB2312"/>
              </w:rPr>
              <w:t>1.召开现场会</w:t>
            </w:r>
          </w:p>
          <w:p>
            <w:pPr>
              <w:pStyle w:val="null3"/>
              <w:jc w:val="left"/>
            </w:pPr>
            <w:r>
              <w:rPr>
                <w:rFonts w:ascii="仿宋_GB2312" w:hAnsi="仿宋_GB2312" w:cs="仿宋_GB2312" w:eastAsia="仿宋_GB2312"/>
              </w:rPr>
              <w:t>加强项目宣传，制作田间标识牌并召开现场会；选派技术全面、经验丰富的技术人员，成立技术培训指导小组；深入项目实施点做好现场技术指导工作，及时参与解决农民应用过程中遇到的实际困难和问题。</w:t>
            </w:r>
          </w:p>
          <w:p>
            <w:pPr>
              <w:pStyle w:val="null3"/>
              <w:jc w:val="left"/>
            </w:pPr>
            <w:r>
              <w:rPr>
                <w:rFonts w:ascii="仿宋_GB2312" w:hAnsi="仿宋_GB2312" w:cs="仿宋_GB2312" w:eastAsia="仿宋_GB2312"/>
              </w:rPr>
              <w:t>组织项目主管单位人员、技术人员、相关村委会人员、种植户以及农业社会化服务组织从业人员等，进行项目实施过程中的技术培训，在项目实施的重点环节上，结合绿肥生长关键期，全程至少组织1次现场观摩会，组织召开土壤地力提升技术现场观摩会，通过演示绿肥粉碎还田，推广绿肥粉碎还田技术，引导百姓减少化肥施用量，提高耕地质量。</w:t>
            </w:r>
          </w:p>
          <w:p>
            <w:pPr>
              <w:pStyle w:val="null3"/>
              <w:jc w:val="left"/>
            </w:pPr>
            <w:r>
              <w:rPr>
                <w:rFonts w:ascii="仿宋_GB2312" w:hAnsi="仿宋_GB2312" w:cs="仿宋_GB2312" w:eastAsia="仿宋_GB2312"/>
              </w:rPr>
              <w:t>2.组织媒体宣传</w:t>
            </w:r>
          </w:p>
          <w:p>
            <w:pPr>
              <w:pStyle w:val="null3"/>
              <w:jc w:val="left"/>
            </w:pPr>
            <w:r>
              <w:rPr>
                <w:rFonts w:ascii="仿宋_GB2312" w:hAnsi="仿宋_GB2312" w:cs="仿宋_GB2312" w:eastAsia="仿宋_GB2312"/>
              </w:rPr>
              <w:t>积极邀请各级领导以及相关领域专家至项目区考察和指导。准备好宣传材料、宣传主题，并主动对接三亚、海南等各级媒体，加强对“冬季瓜菜-水稻-绿肥-深耕还田”的耕作制度、绿肥轻简化种植技术以及耕地保护措施的宣传报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b/>
              </w:rPr>
              <w:t>绿肥提质增效核心试验区</w:t>
            </w:r>
          </w:p>
          <w:p>
            <w:pPr>
              <w:pStyle w:val="null3"/>
              <w:jc w:val="left"/>
            </w:pPr>
            <w:r>
              <w:rPr>
                <w:rFonts w:ascii="仿宋_GB2312" w:hAnsi="仿宋_GB2312" w:cs="仿宋_GB2312" w:eastAsia="仿宋_GB2312"/>
              </w:rPr>
              <w:t>（一）田菁根瘤菌接种试验区</w:t>
            </w:r>
          </w:p>
          <w:p>
            <w:pPr>
              <w:pStyle w:val="null3"/>
              <w:jc w:val="left"/>
            </w:pPr>
            <w:r>
              <w:rPr>
                <w:rFonts w:ascii="仿宋_GB2312" w:hAnsi="仿宋_GB2312" w:cs="仿宋_GB2312" w:eastAsia="仿宋_GB2312"/>
              </w:rPr>
              <w:t>田菁根瘤菌接种试验区规划面积50亩，以田菁轻简化种植管理为对照，以根瘤菌接种为主处理：T1酸性土壤改良（石灰）+田菁（根瘤菌接种）+水肥管理+全程机械化+绿肥全量还田。</w:t>
            </w:r>
          </w:p>
          <w:p>
            <w:pPr>
              <w:pStyle w:val="null3"/>
              <w:jc w:val="left"/>
            </w:pPr>
            <w:r>
              <w:rPr>
                <w:rFonts w:ascii="仿宋_GB2312" w:hAnsi="仿宋_GB2312" w:cs="仿宋_GB2312" w:eastAsia="仿宋_GB2312"/>
              </w:rPr>
              <w:t>（二）酸性土壤改良试验区</w:t>
            </w:r>
          </w:p>
          <w:p>
            <w:pPr>
              <w:pStyle w:val="null3"/>
              <w:jc w:val="left"/>
            </w:pPr>
            <w:r>
              <w:rPr>
                <w:rFonts w:ascii="仿宋_GB2312" w:hAnsi="仿宋_GB2312" w:cs="仿宋_GB2312" w:eastAsia="仿宋_GB2312"/>
              </w:rPr>
              <w:t>适当提高酸性土壤的pH值，有利于土壤细菌、放线菌数量的增加，降低真菌数量，同时提高土壤中过氧化氢酶、多酚氧化酶、脲酶活性，进而促进土壤中氮磷等养分的活化，提高肥料的利用率，是作物增产增收的重要措施，对提高农产品的产量与质量具有重要的意义。土壤调理剂施用量设计以调控土壤pH为目标，施用量的确定应充分考虑土壤类型、有机质含量、石灰及土壤调理剂种类等因素。</w:t>
            </w:r>
          </w:p>
          <w:p>
            <w:pPr>
              <w:pStyle w:val="null3"/>
              <w:jc w:val="left"/>
            </w:pPr>
            <w:r>
              <w:rPr>
                <w:rFonts w:ascii="仿宋_GB2312" w:hAnsi="仿宋_GB2312" w:cs="仿宋_GB2312" w:eastAsia="仿宋_GB2312"/>
              </w:rPr>
              <w:t xml:space="preserve">项目设置酸性土壤改良试验区面积为100亩，基于“田菁-瓜菜-水稻”轮作模式开展酸性土壤改良工作，形成以下处理：T2酸性土壤改良（专用型土壤调理剂）+田菁+水肥管理+全程机械化+绿肥全量还田。    </w:t>
            </w:r>
          </w:p>
          <w:p>
            <w:pPr>
              <w:pStyle w:val="null3"/>
              <w:jc w:val="left"/>
            </w:pPr>
            <w:r>
              <w:rPr>
                <w:rFonts w:ascii="仿宋_GB2312" w:hAnsi="仿宋_GB2312" w:cs="仿宋_GB2312" w:eastAsia="仿宋_GB2312"/>
              </w:rPr>
              <w:t>（三）田菁专用型腐熟剂应用试验区</w:t>
            </w:r>
          </w:p>
          <w:p>
            <w:pPr>
              <w:pStyle w:val="null3"/>
              <w:jc w:val="left"/>
            </w:pPr>
            <w:r>
              <w:rPr>
                <w:rFonts w:ascii="仿宋_GB2312" w:hAnsi="仿宋_GB2312" w:cs="仿宋_GB2312" w:eastAsia="仿宋_GB2312"/>
              </w:rPr>
              <w:t>田菁专用型腐熟剂应用试验区规划面积50亩，基于田菁轻简化种植管理，形成以下处理：T3酸性土壤改良（石灰）+田菁+水肥管理+全程机械化+绿肥切碎+腐熟剂+绿肥全量还田。田菁腐熟剂用量视生物量及菌剂浓度作适度调整，每亩用量0.5-1公斤。</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600"/>
              <w:jc w:val="both"/>
            </w:pPr>
            <w:r>
              <w:rPr>
                <w:rFonts w:ascii="仿宋_GB2312" w:hAnsi="仿宋_GB2312" w:cs="仿宋_GB2312" w:eastAsia="仿宋_GB2312"/>
                <w:sz w:val="24"/>
                <w:color w:val="000000"/>
              </w:rPr>
              <w:t>实施地点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三亚市崖州区国家南繁科研育种基地</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left="600"/>
              <w:jc w:val="both"/>
            </w:pPr>
            <w:r>
              <w:rPr>
                <w:rFonts w:ascii="仿宋_GB2312" w:hAnsi="仿宋_GB2312" w:cs="仿宋_GB2312" w:eastAsia="仿宋_GB2312"/>
                <w:sz w:val="24"/>
                <w:color w:val="000000"/>
              </w:rPr>
              <w:t>实施</w:t>
            </w:r>
            <w:r>
              <w:rPr>
                <w:rFonts w:ascii="仿宋_GB2312" w:hAnsi="仿宋_GB2312" w:cs="仿宋_GB2312" w:eastAsia="仿宋_GB2312"/>
                <w:sz w:val="24"/>
                <w:color w:val="000000"/>
              </w:rPr>
              <w:t>规模</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10000亩农田</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left="600"/>
              <w:jc w:val="both"/>
            </w:pPr>
            <w:r>
              <w:rPr>
                <w:rFonts w:ascii="仿宋_GB2312" w:hAnsi="仿宋_GB2312" w:cs="仿宋_GB2312" w:eastAsia="仿宋_GB2312"/>
                <w:sz w:val="24"/>
                <w:color w:val="000000"/>
              </w:rPr>
              <w:t>项目实施期限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90日历天。</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both"/>
            </w:pPr>
            <w:r>
              <w:rPr>
                <w:rFonts w:ascii="仿宋_GB2312" w:hAnsi="仿宋_GB2312" w:cs="仿宋_GB2312" w:eastAsia="仿宋_GB2312"/>
                <w:sz w:val="24"/>
                <w:color w:val="000000"/>
              </w:rPr>
              <w:t>付款进度和方式：</w:t>
            </w:r>
          </w:p>
          <w:p>
            <w:pPr>
              <w:pStyle w:val="null3"/>
              <w:ind w:firstLine="480"/>
              <w:jc w:val="both"/>
            </w:pPr>
            <w:r>
              <w:rPr>
                <w:rFonts w:ascii="仿宋_GB2312" w:hAnsi="仿宋_GB2312" w:cs="仿宋_GB2312" w:eastAsia="仿宋_GB2312"/>
                <w:sz w:val="24"/>
                <w:color w:val="000000"/>
              </w:rPr>
              <w:t>第一期：本合同签订并生效后采购人向中标供应商支付合同金额的</w:t>
            </w:r>
            <w:r>
              <w:rPr>
                <w:rFonts w:ascii="仿宋_GB2312" w:hAnsi="仿宋_GB2312" w:cs="仿宋_GB2312" w:eastAsia="仿宋_GB2312"/>
                <w:sz w:val="24"/>
                <w:color w:val="000000"/>
              </w:rPr>
              <w:t>40%作为预付款。</w:t>
            </w:r>
          </w:p>
          <w:p>
            <w:pPr>
              <w:pStyle w:val="null3"/>
              <w:ind w:firstLine="480"/>
              <w:jc w:val="both"/>
            </w:pPr>
            <w:r>
              <w:rPr>
                <w:rFonts w:ascii="仿宋_GB2312" w:hAnsi="仿宋_GB2312" w:cs="仿宋_GB2312" w:eastAsia="仿宋_GB2312"/>
                <w:sz w:val="24"/>
                <w:color w:val="000000"/>
              </w:rPr>
              <w:t>第二期：中标供应商完成种植，采购人向中标供应商支付合同金额的</w:t>
            </w:r>
            <w:r>
              <w:rPr>
                <w:rFonts w:ascii="仿宋_GB2312" w:hAnsi="仿宋_GB2312" w:cs="仿宋_GB2312" w:eastAsia="仿宋_GB2312"/>
                <w:sz w:val="24"/>
                <w:color w:val="000000"/>
              </w:rPr>
              <w:t>20%。</w:t>
            </w:r>
          </w:p>
          <w:p>
            <w:pPr>
              <w:pStyle w:val="null3"/>
              <w:ind w:firstLine="480"/>
              <w:jc w:val="both"/>
            </w:pPr>
            <w:r>
              <w:rPr>
                <w:rFonts w:ascii="仿宋_GB2312" w:hAnsi="仿宋_GB2312" w:cs="仿宋_GB2312" w:eastAsia="仿宋_GB2312"/>
                <w:sz w:val="24"/>
                <w:color w:val="000000"/>
              </w:rPr>
              <w:t>第三期：中标供应商完成全部任务指标，且采购人验收通过后，采购人向中标供应商支付合同金额的</w:t>
            </w:r>
            <w:r>
              <w:rPr>
                <w:rFonts w:ascii="仿宋_GB2312" w:hAnsi="仿宋_GB2312" w:cs="仿宋_GB2312" w:eastAsia="仿宋_GB2312"/>
                <w:sz w:val="24"/>
                <w:color w:val="000000"/>
              </w:rPr>
              <w:t>20%。</w:t>
            </w:r>
          </w:p>
          <w:p>
            <w:pPr>
              <w:pStyle w:val="null3"/>
              <w:ind w:firstLine="480"/>
              <w:jc w:val="both"/>
            </w:pPr>
            <w:r>
              <w:rPr>
                <w:rFonts w:ascii="仿宋_GB2312" w:hAnsi="仿宋_GB2312" w:cs="仿宋_GB2312" w:eastAsia="仿宋_GB2312"/>
                <w:sz w:val="24"/>
                <w:color w:val="000000"/>
              </w:rPr>
              <w:t>第四期：采购人完成项目审核结算后，按照最终审核结算金额支付剩余款项。</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color w:val="000000"/>
              </w:rPr>
              <w:t>履约验收：</w:t>
            </w:r>
          </w:p>
          <w:p>
            <w:pPr>
              <w:pStyle w:val="null3"/>
              <w:ind w:firstLine="480"/>
              <w:jc w:val="both"/>
            </w:pPr>
            <w:r>
              <w:rPr>
                <w:rFonts w:ascii="仿宋_GB2312" w:hAnsi="仿宋_GB2312" w:cs="仿宋_GB2312" w:eastAsia="仿宋_GB2312"/>
                <w:sz w:val="24"/>
                <w:color w:val="000000"/>
              </w:rPr>
              <w:t>1.履约验收主体：采购人</w:t>
            </w:r>
          </w:p>
          <w:p>
            <w:pPr>
              <w:pStyle w:val="null3"/>
              <w:ind w:firstLine="480"/>
              <w:jc w:val="both"/>
            </w:pPr>
            <w:r>
              <w:rPr>
                <w:rFonts w:ascii="仿宋_GB2312" w:hAnsi="仿宋_GB2312" w:cs="仿宋_GB2312" w:eastAsia="仿宋_GB2312"/>
                <w:sz w:val="24"/>
                <w:color w:val="000000"/>
              </w:rPr>
              <w:t>2.履约验收时间：投标人完成采购人委托的全部工作后提出验收申请，由采购人组织验收。</w:t>
            </w:r>
          </w:p>
          <w:p>
            <w:pPr>
              <w:pStyle w:val="null3"/>
              <w:ind w:firstLine="480"/>
              <w:jc w:val="both"/>
            </w:pPr>
            <w:r>
              <w:rPr>
                <w:rFonts w:ascii="仿宋_GB2312" w:hAnsi="仿宋_GB2312" w:cs="仿宋_GB2312" w:eastAsia="仿宋_GB2312"/>
                <w:sz w:val="24"/>
                <w:color w:val="000000"/>
              </w:rPr>
              <w:t>3.验收内容：按照《海南省政府采购履约验收管理暂行办法》琼财采规〔2023〕16 号）的要求及招标文件、投标文件与政府采购合同条款的要求进行验收。</w:t>
            </w:r>
          </w:p>
          <w:p>
            <w:pPr>
              <w:pStyle w:val="null3"/>
              <w:ind w:firstLine="480"/>
              <w:jc w:val="both"/>
            </w:pPr>
            <w:r>
              <w:rPr>
                <w:rFonts w:ascii="仿宋_GB2312" w:hAnsi="仿宋_GB2312" w:cs="仿宋_GB2312" w:eastAsia="仿宋_GB2312"/>
                <w:sz w:val="24"/>
                <w:color w:val="000000"/>
              </w:rPr>
              <w:t>4.验收程序：（1）组建验收小组；（2）归集验收依据；（3）制定验收方案；（4）验收实施；（5）出具验收意见。</w:t>
            </w:r>
          </w:p>
          <w:p>
            <w:pPr>
              <w:pStyle w:val="null3"/>
              <w:ind w:firstLine="480"/>
              <w:jc w:val="both"/>
            </w:pPr>
            <w:r>
              <w:rPr>
                <w:rFonts w:ascii="仿宋_GB2312" w:hAnsi="仿宋_GB2312" w:cs="仿宋_GB2312" w:eastAsia="仿宋_GB2312"/>
                <w:sz w:val="24"/>
                <w:color w:val="000000"/>
              </w:rPr>
              <w:t>5.验收标准：合格</w:t>
            </w:r>
          </w:p>
          <w:p>
            <w:pPr>
              <w:pStyle w:val="null3"/>
              <w:ind w:firstLine="480"/>
              <w:jc w:val="both"/>
            </w:pPr>
            <w:r>
              <w:rPr>
                <w:rFonts w:ascii="仿宋_GB2312" w:hAnsi="仿宋_GB2312" w:cs="仿宋_GB2312" w:eastAsia="仿宋_GB2312"/>
                <w:sz w:val="24"/>
                <w:color w:val="000000"/>
              </w:rPr>
              <w:t>6.履约验收的其他事项：采购人、供应商双方如对质量要求和技术指标的约定标准有相互抵触或异议的事项，由采购人在招标文件及投标人的投标文件中按质量要求和技术指标比较优胜的原则确定该项的验收标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采购标的对应的中小企业划分标准所属行业为农、林、牧、渔业，服务承接单位应为中小企业（监狱企业、残疾人福利性单位视同小型、微型企业），大型企业不得参与本次采购活动。中小企业划型标准根据《中小企业划型标准规定》（工信部联企业〔2011〕300号）。农、林、牧、渔业的中小企业划分标准：营业收入20000万元以下的为中小微型企业。其中，营业收入500万元及以上的为中型企业，营业收入50万元及以上的为小型企业，营业收入50万元以下的为微型企业。中小企业出具《中小企业声明函》，残疾人福利性单位提供《残疾人福利性单位声明函》，监狱企业提供由省级以上监狱管理局、戒毒管理局（含新疆生产建设兵团）等出具的属于监狱企业的证明文件。未提供或提供资料不完整的不享受相关中小企业扶持政策。供应商按照采购标的对应行业出具中小企业声明函，而非按照供应商的经营范围出具中小企业声明函。事业单位、社会组织等非企业单位不享受中小企业相关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投标函 法定代表人资格证明书或法定代表人授权委托书 封面 投标人自觉抵制政府采购领域商业贿赂行为承诺书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法定代表人资格证明书或法定代表人授权委托书 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商务响应表 投标函 法定代表人资格证明书或法定代表人授权委托书 投标人自觉抵制政府采购领域商业贿赂行为承诺书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不涉及报价修正，或投标文件报价出现前后不一致时，投标人对修正后的报价予以确认；（如有）</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报价合理性</w:t>
            </w:r>
          </w:p>
        </w:tc>
        <w:tc>
          <w:tcPr>
            <w:tcW w:type="dxa" w:w="3322"/>
          </w:tcPr>
          <w:p>
            <w:pPr>
              <w:pStyle w:val="null3"/>
              <w:jc w:val="left"/>
            </w:pPr>
            <w:r>
              <w:rPr>
                <w:rFonts w:ascii="仿宋_GB2312" w:hAnsi="仿宋_GB2312" w:cs="仿宋_GB2312" w:eastAsia="仿宋_GB2312"/>
              </w:rPr>
              <w:t>报价合理，或投标人的报价明显低于其他通过符合性审查投标人的报价，有可能影响产品质量或者不能诚信履约的，能够应评标委员会要求在规定时间内证明其报价合理性的。</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商务、技术应答内容响应竞招标文件的实质性要求</w:t>
            </w:r>
          </w:p>
        </w:tc>
        <w:tc>
          <w:tcPr>
            <w:tcW w:type="dxa" w:w="3322"/>
          </w:tcPr>
          <w:p>
            <w:pPr>
              <w:pStyle w:val="null3"/>
              <w:jc w:val="left"/>
            </w:pPr>
            <w:r>
              <w:rPr>
                <w:rFonts w:ascii="仿宋_GB2312" w:hAnsi="仿宋_GB2312" w:cs="仿宋_GB2312" w:eastAsia="仿宋_GB2312"/>
              </w:rPr>
              <w:t>商务、技术应答内容响应招标文件的实质性要求</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投标人根据项目特点和需求，制定项目实施计划，内容包括但不限于：（1）进度计划与控制措施；（2）项目管理组织架构；（3）劳动力、机械设备、物资计划。 1、投标人提供上述内容的，每项得3分，满分9分，未提供不得分。 2、根据投标人提供的项目实施计划进行评审： A.计划清晰、时间节点和任务目标清楚，紧密围绕采购需求，充分考虑了作物的生长周期、组织架构完善、各项计划、措施与项目需求高度吻合，可实施性强，得13分； B.计划清晰、组织架构完善、各项计划、措施与项目需求基本吻合，可实施性一般，得9分； C.各项计划、措施与项目需求大致吻合，可实施性不佳，得6分； D.各项计划、措施与项目需求吻合度低，严重影响项目实施，得3分； E.不提供或与项目完全无关不得分。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地力提升作业方案</w:t>
            </w:r>
          </w:p>
        </w:tc>
        <w:tc>
          <w:tcPr>
            <w:tcW w:type="dxa" w:w="2492"/>
          </w:tcPr>
          <w:p>
            <w:pPr>
              <w:pStyle w:val="null3"/>
              <w:jc w:val="both"/>
            </w:pPr>
            <w:r>
              <w:rPr>
                <w:rFonts w:ascii="仿宋_GB2312" w:hAnsi="仿宋_GB2312" w:cs="仿宋_GB2312" w:eastAsia="仿宋_GB2312"/>
              </w:rPr>
              <w:t>投标人编制地力提升作业方案，内容包括但不限于：（1）作业流程、核心环节及技术要点阐述；（2）质量监控与纠正措施；（3）化肥、农药、腐熟剂的选择、保管与使用；（4）安全作业措施；（5）数据档案管理。 1、投标人提供上述内容的，每项得3分，满分15分，未提供不得分。 2、根据投标人提供的地力提升作业方案进行评审打分： A.方案严谨，流程清晰，技术手段成熟可靠，内容详细，有具体实施细节，紧密围绕采购需求，可实施性强，能为项目实施提供足够指导，得13分； B.流程清晰，技术手段成熟可靠，内容详细，可实施性一般，能为项目实施提供指导，得10分； C.内容简短，未具体阐述，可实施性不佳，得7分； D.方案内容与项目需求不匹配，不适用本项目，得4分； E.不提供或与项目完全无关不得分。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土壤监测方案</w:t>
            </w:r>
          </w:p>
        </w:tc>
        <w:tc>
          <w:tcPr>
            <w:tcW w:type="dxa" w:w="2492"/>
          </w:tcPr>
          <w:p>
            <w:pPr>
              <w:pStyle w:val="null3"/>
              <w:jc w:val="both"/>
            </w:pPr>
            <w:r>
              <w:rPr>
                <w:rFonts w:ascii="仿宋_GB2312" w:hAnsi="仿宋_GB2312" w:cs="仿宋_GB2312" w:eastAsia="仿宋_GB2312"/>
              </w:rPr>
              <w:t>投标人编制土壤监测方案，内容包括但不限于：（1）监测依据；（2）监测内容；（3）监测方法、手段；（4）土壤采样；（5）土壤养分分析。 1、投标人提供上述内容的，每项得2分，满分10分，未提供不得分。 2、根据投标人提供的上述内容进行评审： A、方案严谨，流程清晰，技术手段成熟可靠，内容详细，有具体实施细节，紧密围绕采购需求，可实施性强，能为项目实施提供足够指导，得8分； B、流程清晰，技术手段成熟可靠，内容详细，可实施性一般，能为项目实施提供指导，得6分； C、内容简短，未具体阐述，可实施性不佳，得4分； D、方案内容与项目需求不匹配，不适用本项目，得2分； E、不提供或与项目完全无关不得分。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投标人编制应急方案，内容包括但不限于：（1）极端天气；（2）安全事故。 1、投标人提供上述内容的，每项得3分，满分6分，未提供不得分。 2、根据投标人提供的应急方案，按以下标准对上述内容进行评审： A、方案严谨，流程清晰，有具体、细化的应急处置措施，可实施性强，得6分； B、流程清晰，有应急处置措施，可实施性一般，得4分； C、内容简短，未具体阐述，可实施性不佳，得2分； D、不提供或与项目完全无关不得分。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至今，投标人具有农田地力提升、农药减量增效或绿肥种植等类似项目业绩的，每项得2分，满分4分。提供合同复印件（至少提供合同关键页）并加盖投标人公章，未按要求提供不得分。同一项目有多个合同的，按一项业绩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技术人员</w:t>
            </w:r>
          </w:p>
        </w:tc>
        <w:tc>
          <w:tcPr>
            <w:tcW w:type="dxa" w:w="2492"/>
          </w:tcPr>
          <w:p>
            <w:pPr>
              <w:pStyle w:val="null3"/>
              <w:jc w:val="both"/>
            </w:pPr>
            <w:r>
              <w:rPr>
                <w:rFonts w:ascii="仿宋_GB2312" w:hAnsi="仿宋_GB2312" w:cs="仿宋_GB2312" w:eastAsia="仿宋_GB2312"/>
              </w:rPr>
              <w:t>投标人为本项目配备农业相关专业中级（含）以上职称的技术人员，每提供1名技术人员得3分，满分6分。提供身份证复印件、职称证书复印件、2025年任意月份在投标人单位的社保缴纳凭证或劳务合同并加盖公章，未提供材料或提供材料不全或提供材料不清晰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项目技术人员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三亚市崖州区2025年南繁基地地力提升项目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三亚市崖州区2025年南繁基地地力提升项目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C09010500-农业资源与环境保护服务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详见附件：投标人自觉抵制政府采购领域商业贿赂行为承诺书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详见附件：项目技术人员</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