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崖州区南滨社区、金鸡社区道路建设工程项目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[HNYS]20250600001[CS]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海南亿晟工程项目管理有限公司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三亚市崖州区农业农村局</w:t>
      </w:r>
      <w:r>
        <w:rPr>
          <w:rFonts w:ascii="仿宋_GB2312" w:hAnsi="仿宋_GB2312" w:cs="仿宋_GB2312" w:eastAsia="仿宋_GB2312"/>
        </w:rPr>
        <w:t xml:space="preserve"> 的委托， </w:t>
      </w:r>
      <w:r>
        <w:rPr>
          <w:rFonts w:ascii="仿宋_GB2312" w:hAnsi="仿宋_GB2312" w:cs="仿宋_GB2312" w:eastAsia="仿宋_GB2312"/>
        </w:rPr>
        <w:t>海南亿晟工程项目管理有限公司</w:t>
      </w:r>
      <w:r>
        <w:rPr>
          <w:rFonts w:ascii="仿宋_GB2312" w:hAnsi="仿宋_GB2312" w:cs="仿宋_GB2312" w:eastAsia="仿宋_GB2312"/>
        </w:rPr>
        <w:t xml:space="preserve"> 对 </w:t>
      </w:r>
      <w:r>
        <w:rPr>
          <w:rFonts w:ascii="仿宋_GB2312" w:hAnsi="仿宋_GB2312" w:cs="仿宋_GB2312" w:eastAsia="仿宋_GB2312"/>
        </w:rPr>
        <w:t>崖州区南滨社区、金鸡社区道路建设工程项目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[HNYS]20250600001[CS]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崖州区南滨社区、金鸡社区道路建设工程项目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3,084,726.06元</w:t>
      </w:r>
      <w:r>
        <w:rPr>
          <w:rFonts w:ascii="仿宋_GB2312" w:hAnsi="仿宋_GB2312" w:cs="仿宋_GB2312" w:eastAsia="仿宋_GB2312"/>
        </w:rPr>
        <w:t>叁佰零捌万肆仟柒佰贰拾陆元零陆分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70日历天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2、提供“政府采购供应商信用承诺书”：提供“政府采购供应商信用承诺书”。</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响应书。</w:t>
      </w:r>
    </w:p>
    <w:p>
      <w:pPr>
        <w:pStyle w:val="null3"/>
        <w:jc w:val="left"/>
      </w:pPr>
      <w:r>
        <w:rPr>
          <w:rFonts w:ascii="仿宋_GB2312" w:hAnsi="仿宋_GB2312" w:cs="仿宋_GB2312" w:eastAsia="仿宋_GB2312"/>
        </w:rPr>
        <w:t>4、供应商须具备建设主管部门核发的市政公用工程施工总承包三级（含）以上资质或根据《住房和城乡建设部关于印发建设工程企业资质管理制度改革方案的通知（[建市〔2020〕94号]）的规定已换发新证取得相应等级资质，具备有效的《安全生产许可证》，并在人员、设备、资金等方面具有相应的施工能力。：提供资质证书复印件以及安全生产许可证复印件加盖供应商公章。</w:t>
      </w:r>
    </w:p>
    <w:p>
      <w:pPr>
        <w:pStyle w:val="null3"/>
        <w:jc w:val="left"/>
      </w:pPr>
      <w:r>
        <w:rPr>
          <w:rFonts w:ascii="仿宋_GB2312" w:hAnsi="仿宋_GB2312" w:cs="仿宋_GB2312" w:eastAsia="仿宋_GB2312"/>
        </w:rPr>
        <w:t>5、项目管理机构人员配备要求 ：项目负责人（项目经理）1名：具备市政公用工程专业二级(含)以上注册建造师执业资格且注册在本单位，具有有效期内的安全生产考核合格证书，未担任其他在施建设工程项目的项目负责人（项目经理）；项目技术负责人1名：具备中级（含）以上职称；其他人员：施工员1名、安全员1名、资料员1名（资料员可以由其他岗位人员兼任，但应取得资料员岗位证书）、劳资专管员1名、质量员1名。：1、提供项目负责人注册证书、安全生产考核合格证书、项目负责人无在建项目承诺书，2025年任意月份在供应商本单位(或分支机构)的社保缴纳凭证加盖供应商公章。2、项目技术负责人提供身份证、职称证书复印件及2025年任意月份在本单位(或分支机构)的社保缴纳凭证加盖供应商公章；3、其他人员提供身份证、岗位证书（劳资专管员可以不提供岗位证书，但需提供岗位任命书）复印件及2025年任意月份在本单位(或分支机构)的社保缴纳凭证加盖供应商公章</w:t>
      </w:r>
    </w:p>
    <w:p>
      <w:pPr>
        <w:pStyle w:val="null3"/>
        <w:jc w:val="left"/>
      </w:pPr>
      <w:r>
        <w:rPr>
          <w:rFonts w:ascii="仿宋_GB2312" w:hAnsi="仿宋_GB2312" w:cs="仿宋_GB2312" w:eastAsia="仿宋_GB2312"/>
        </w:rPr>
        <w:t>6、提供《海南省建筑企业诚信档案手册》：提供《海南省建筑企业诚信档案手册》</w:t>
      </w:r>
    </w:p>
    <w:p>
      <w:pPr>
        <w:pStyle w:val="null3"/>
        <w:jc w:val="left"/>
      </w:pPr>
      <w:r>
        <w:rPr>
          <w:rFonts w:ascii="仿宋_GB2312" w:hAnsi="仿宋_GB2312" w:cs="仿宋_GB2312" w:eastAsia="仿宋_GB2312"/>
        </w:rPr>
        <w:t>7、联合体磋商：如本项目接受联合体磋商，且供应商为联合体时必须提供《联合体协议书》，明确各方拟承担的工作和责任，并指定联合体牵头人，授权其代表所有联合体成员负责本项目磋商和合同实施阶段的牵头、协调工作。</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海南省三亚市崖州区琼粤科技合作城A4栋三楼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0898-88820921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海南亿晟工程项目管理有限公司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海南省三亚市吉阳区河东路412号三亚中恒建材家居广场1号楼六层659、661号房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0898-88659812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采购包1：3,084,726.06元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自响应文件提交截止之日起60日历天。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 号）收费，以16000.00元收取本项目的招标代理服务费。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中小企业划型标准规定》（工信部联企业〔2011〕300号）。建筑业中小企业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供应商信用记录：供应商在“信用中国”网站未被列入失信被执行人名单、重大税收违法失信主体，在中国政府采购网未被列入政府采购严重违法失信行为信息记录名单。信用信息查询渠道及截止时间：采购人、采购代理机构或磋商小组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其投标将被否决。因“信用中国-失信被执行人”查询网址链接为“中国执行信息公开网”网站，故失信被执行人查询以中国执行信息公开网（http://zxgk.court.gov.cn）查询结果为准。 3、（1）投标报价应由注册在本单位的一级或二级造价工程师进行编制。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 编制投标报价，否则其编制的招标控制价和投标报价无效并视为存在相互串通投标行为。投标文件清单文件部分，仅清单封面须造价人员签字及盖章。其他清单文件部分内的编制人及审核人可无需签字盖章。（2）第一次报价，所有供应商都要提供工程量清单，但由于磋商过程中涉及到第二次报价，中标后由成交单位提供最终报价清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联系电话：0898-88659812</w:t>
      </w:r>
    </w:p>
    <w:p>
      <w:pPr>
        <w:pStyle w:val="null3"/>
        <w:jc w:val="left"/>
      </w:pPr>
      <w:r>
        <w:rPr>
          <w:rFonts w:ascii="仿宋_GB2312" w:hAnsi="仿宋_GB2312" w:cs="仿宋_GB2312" w:eastAsia="仿宋_GB2312"/>
        </w:rPr>
        <w:t>地址：海南省三亚市吉阳区河东路412号三亚中恒建材家居广场1号楼六层659、661号房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项目建设规模及内容</w:t>
      </w:r>
      <w:r>
        <w:rPr>
          <w:rFonts w:ascii="仿宋_GB2312" w:hAnsi="仿宋_GB2312" w:cs="仿宋_GB2312" w:eastAsia="仿宋_GB2312"/>
        </w:rPr>
        <w:t>:本项目拟新建道路29条，总长约3006m，道路宽约2.5m-3.5m，总面积约9277m</w:t>
      </w:r>
      <w:r>
        <w:rPr>
          <w:rFonts w:ascii="仿宋_GB2312" w:hAnsi="仿宋_GB2312" w:cs="仿宋_GB2312" w:eastAsia="仿宋_GB2312"/>
          <w:vertAlign w:val="superscript"/>
        </w:rPr>
        <w:t>2</w:t>
      </w:r>
      <w:r>
        <w:rPr>
          <w:rFonts w:ascii="仿宋_GB2312" w:hAnsi="仿宋_GB2312" w:cs="仿宋_GB2312" w:eastAsia="仿宋_GB2312"/>
        </w:rPr>
        <w:t>。其中</w:t>
      </w:r>
      <w:r>
        <w:rPr>
          <w:rFonts w:ascii="仿宋_GB2312" w:hAnsi="仿宋_GB2312" w:cs="仿宋_GB2312" w:eastAsia="仿宋_GB2312"/>
        </w:rPr>
        <w:t>3条砼路面宽2.5米、长约435m</w:t>
      </w:r>
      <w:r>
        <w:rPr>
          <w:rFonts w:ascii="仿宋_GB2312" w:hAnsi="仿宋_GB2312" w:cs="仿宋_GB2312" w:eastAsia="仿宋_GB2312"/>
        </w:rPr>
        <w:t>；</w:t>
      </w:r>
      <w:r>
        <w:rPr>
          <w:rFonts w:ascii="仿宋_GB2312" w:hAnsi="仿宋_GB2312" w:cs="仿宋_GB2312" w:eastAsia="仿宋_GB2312"/>
        </w:rPr>
        <w:t>22条砼路面宽3m、长约1618m</w:t>
      </w:r>
      <w:r>
        <w:rPr>
          <w:rFonts w:ascii="仿宋_GB2312" w:hAnsi="仿宋_GB2312" w:cs="仿宋_GB2312" w:eastAsia="仿宋_GB2312"/>
        </w:rPr>
        <w:t>；</w:t>
      </w:r>
      <w:r>
        <w:rPr>
          <w:rFonts w:ascii="仿宋_GB2312" w:hAnsi="仿宋_GB2312" w:cs="仿宋_GB2312" w:eastAsia="仿宋_GB2312"/>
        </w:rPr>
        <w:t>4条砼路面宽3.5m、长约953m。主要建设内容包括道路工程以及相关设施配套工程等。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3,084,726.06</w:t>
      </w:r>
    </w:p>
    <w:p>
      <w:pPr>
        <w:pStyle w:val="null3"/>
        <w:jc w:val="left"/>
      </w:pPr>
      <w:r>
        <w:rPr>
          <w:rFonts w:ascii="仿宋_GB2312" w:hAnsi="仿宋_GB2312" w:cs="仿宋_GB2312" w:eastAsia="仿宋_GB2312"/>
        </w:rPr>
        <w:t>采购包最高限价（元）: 3,084,726.06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B02050000-城市道路工程施工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3,084,726.06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B02050000-城市道路工程施工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3,084,726.06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标的名称：B02050000-城市道路工程施工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工期：</w:t>
            </w:r>
            <w:r>
              <w:rPr>
                <w:rFonts w:ascii="仿宋_GB2312" w:hAnsi="仿宋_GB2312" w:cs="仿宋_GB2312" w:eastAsia="仿宋_GB2312"/>
                <w:sz w:val="24"/>
              </w:rPr>
              <w:t>70</w:t>
            </w:r>
            <w:r>
              <w:rPr>
                <w:rFonts w:ascii="仿宋_GB2312" w:hAnsi="仿宋_GB2312" w:cs="仿宋_GB2312" w:eastAsia="仿宋_GB2312"/>
                <w:sz w:val="24"/>
              </w:rPr>
              <w:t>日历天</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质量要求：合格</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rPr>
              <w:t>付款方式：</w:t>
            </w:r>
            <w:r>
              <w:rPr>
                <w:rFonts w:ascii="仿宋_GB2312" w:hAnsi="仿宋_GB2312" w:cs="仿宋_GB2312" w:eastAsia="仿宋_GB2312"/>
                <w:sz w:val="24"/>
              </w:rPr>
              <w:t>合同生效，供应商提交有效履约担保函和预付款担保函（或诚信担保函），且施工现场临时设施搭建完成，机械人员全部进场，项目正式开工后，支付合同金额的</w:t>
            </w:r>
            <w:r>
              <w:rPr>
                <w:rFonts w:ascii="仿宋_GB2312" w:hAnsi="仿宋_GB2312" w:cs="仿宋_GB2312" w:eastAsia="仿宋_GB2312"/>
                <w:sz w:val="24"/>
              </w:rPr>
              <w:t>30%作为预付款。工程进度款按月支付，支付方式为已完成合格工程量的85%，支付时间为供应商每月25日提交工程进度报表给采购人审核后支付，累计支付至合同金额的85%止；工程竣工验收合格并交付后经结算审核完成后，采购人支付至工程结算审定金额的97%给供应商；同时预留工程结算审定金额的3%作为工程质量保证金，工程质量保证金不计利息。</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提供响应书。</w:t>
            </w:r>
          </w:p>
        </w:tc>
        <w:tc>
          <w:tcPr>
            <w:tcW w:type="dxa" w:w="1661"/>
          </w:tcPr>
          <w:p>
            <w:pPr>
              <w:pStyle w:val="null3"/>
              <w:jc w:val="left"/>
            </w:pPr>
            <w:r>
              <w:rPr>
                <w:rFonts w:ascii="仿宋_GB2312" w:hAnsi="仿宋_GB2312" w:cs="仿宋_GB2312" w:eastAsia="仿宋_GB2312"/>
              </w:rPr>
              <w:t>响应书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须具备建设主管部门核发的市政公用工程施工总承包三级（含）以上资质或根据《住房和城乡建设部关于印发建设工程企业资质管理制度改革方案的通知（[建市〔2020〕94号]）的规定已换发新证取得相应等级资质，具备有效的《安全生产许可证》，并在人员、设备、资金等方面具有相应的施工能力。</w:t>
            </w:r>
          </w:p>
        </w:tc>
        <w:tc>
          <w:tcPr>
            <w:tcW w:type="dxa" w:w="3322"/>
          </w:tcPr>
          <w:p>
            <w:pPr>
              <w:pStyle w:val="null3"/>
              <w:jc w:val="left"/>
            </w:pPr>
            <w:r>
              <w:rPr>
                <w:rFonts w:ascii="仿宋_GB2312" w:hAnsi="仿宋_GB2312" w:cs="仿宋_GB2312" w:eastAsia="仿宋_GB2312"/>
              </w:rPr>
              <w:t>提供资质证书复印件以及安全生产许可证复印件加盖供应商公章。</w:t>
            </w:r>
          </w:p>
        </w:tc>
        <w:tc>
          <w:tcPr>
            <w:tcW w:type="dxa" w:w="1661"/>
          </w:tcPr>
          <w:p>
            <w:pPr>
              <w:pStyle w:val="null3"/>
              <w:jc w:val="left"/>
            </w:pPr>
            <w:r>
              <w:rPr>
                <w:rFonts w:ascii="仿宋_GB2312" w:hAnsi="仿宋_GB2312" w:cs="仿宋_GB2312" w:eastAsia="仿宋_GB2312"/>
              </w:rPr>
              <w:t>资质证明文件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项目管理机构人员配备要求 ：项目负责人（项目经理）1名：具备市政公用工程专业二级(含)以上注册建造师执业资格且注册在本单位，具有有效期内的安全生产考核合格证书，未担任其他在施建设工程项目的项目负责人（项目经理）；项目技术负责人1名：具备中级（含）以上职称；其他人员：施工员1名、安全员1名、资料员1名（资料员可以由其他岗位人员兼任，但应取得资料员岗位证书）、劳资专管员1名、质量员1名。</w:t>
            </w:r>
          </w:p>
        </w:tc>
        <w:tc>
          <w:tcPr>
            <w:tcW w:type="dxa" w:w="3322"/>
          </w:tcPr>
          <w:p>
            <w:pPr>
              <w:pStyle w:val="null3"/>
              <w:jc w:val="left"/>
            </w:pPr>
            <w:r>
              <w:rPr>
                <w:rFonts w:ascii="仿宋_GB2312" w:hAnsi="仿宋_GB2312" w:cs="仿宋_GB2312" w:eastAsia="仿宋_GB2312"/>
              </w:rPr>
              <w:t>1、提供项目负责人注册证书、安全生产考核合格证书、项目负责人无在建项目承诺书，2025年任意月份在供应商本单位(或分支机构)的社保缴纳凭证加盖供应商公章。2、项目技术负责人提供身份证、职称证书复印件及2025年任意月份在本单位(或分支机构)的社保缴纳凭证加盖供应商公章；3、其他人员提供身份证、岗位证书（劳资专管员可以不提供岗位证书，但需提供岗位任命书）复印件及2025年任意月份在本单位(或分支机构)的社保缴纳凭证加盖供应商公章</w:t>
            </w:r>
          </w:p>
        </w:tc>
        <w:tc>
          <w:tcPr>
            <w:tcW w:type="dxa" w:w="1661"/>
          </w:tcPr>
          <w:p>
            <w:pPr>
              <w:pStyle w:val="null3"/>
              <w:jc w:val="left"/>
            </w:pPr>
            <w:r>
              <w:rPr>
                <w:rFonts w:ascii="仿宋_GB2312" w:hAnsi="仿宋_GB2312" w:cs="仿宋_GB2312" w:eastAsia="仿宋_GB2312"/>
              </w:rPr>
              <w:t>项目管理机构人员</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提供《海南省建筑企业诚信档案手册》</w:t>
            </w:r>
          </w:p>
        </w:tc>
        <w:tc>
          <w:tcPr>
            <w:tcW w:type="dxa" w:w="3322"/>
          </w:tcPr>
          <w:p>
            <w:pPr>
              <w:pStyle w:val="null3"/>
              <w:jc w:val="left"/>
            </w:pPr>
            <w:r>
              <w:rPr>
                <w:rFonts w:ascii="仿宋_GB2312" w:hAnsi="仿宋_GB2312" w:cs="仿宋_GB2312" w:eastAsia="仿宋_GB2312"/>
              </w:rPr>
              <w:t>提供《海南省建筑企业诚信档案手册》</w:t>
            </w:r>
          </w:p>
        </w:tc>
        <w:tc>
          <w:tcPr>
            <w:tcW w:type="dxa" w:w="1661"/>
          </w:tcPr>
          <w:p>
            <w:pPr>
              <w:pStyle w:val="null3"/>
              <w:jc w:val="left"/>
            </w:pPr>
            <w:r>
              <w:rPr>
                <w:rFonts w:ascii="仿宋_GB2312" w:hAnsi="仿宋_GB2312" w:cs="仿宋_GB2312" w:eastAsia="仿宋_GB2312"/>
              </w:rPr>
              <w:t>海南省建筑企业诚信档案手册</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联合体磋商</w:t>
            </w:r>
          </w:p>
        </w:tc>
        <w:tc>
          <w:tcPr>
            <w:tcW w:type="dxa" w:w="3322"/>
          </w:tcPr>
          <w:p>
            <w:pPr>
              <w:pStyle w:val="null3"/>
              <w:jc w:val="left"/>
            </w:pPr>
            <w:r>
              <w:rPr>
                <w:rFonts w:ascii="仿宋_GB2312" w:hAnsi="仿宋_GB2312" w:cs="仿宋_GB2312" w:eastAsia="仿宋_GB2312"/>
              </w:rPr>
              <w:t>如本项目接受联合体磋商，且供应商为联合体时必须提供《联合体协议书》，明确各方拟承担的工作和责任，并指定联合体牵头人，授权其代表所有联合体成员负责本项目磋商和合同实施阶段的牵头、协调工作。</w:t>
            </w:r>
          </w:p>
        </w:tc>
        <w:tc>
          <w:tcPr>
            <w:tcW w:type="dxa" w:w="1661"/>
          </w:tcPr>
          <w:p>
            <w:pPr>
              <w:pStyle w:val="null3"/>
              <w:jc w:val="left"/>
            </w:pPr>
            <w:r>
              <w:rPr>
                <w:rFonts w:ascii="仿宋_GB2312" w:hAnsi="仿宋_GB2312" w:cs="仿宋_GB2312" w:eastAsia="仿宋_GB2312"/>
              </w:rPr>
              <w:t>联合体协议书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专门面向中小企业采购，采购标的对应的中小企业划分标准所属行业为建筑业，工程施工单位应为中小企业（监狱企业、残疾人福利性单位视同小型、微型企业）。中小企业划型标准根据《中小企业划型标准规定》（工信部联企业〔2011〕300 号）。供应商属于中小企业的应提供《中小企业声明函》，属于残疾人福利性单位的应提供《残疾人福利性单位声明函》，属于监狱企业的应提供省级以上监狱管理局、戒毒管理局（含新疆生产建设兵团）出具的属于监狱企业的证明文件复印件加盖供应商公章。未提供或提供资料不完整的不享受相关中小企业扶持政策。供应商按照采购标的对应行业出具中小企业声明函，而非按照供应商的经营范围出具中小企业声明函；事业单位、社会组织等非企业单位不享受中小企业相关扶持政策。</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商务、技术应答内容响应竞争性磋商文件的实质性要求</w:t>
            </w:r>
          </w:p>
        </w:tc>
        <w:tc>
          <w:tcPr>
            <w:tcW w:type="dxa" w:w="3322"/>
          </w:tcPr>
          <w:p>
            <w:pPr>
              <w:pStyle w:val="null3"/>
              <w:jc w:val="left"/>
            </w:pPr>
            <w:r>
              <w:rPr>
                <w:rFonts w:ascii="仿宋_GB2312" w:hAnsi="仿宋_GB2312" w:cs="仿宋_GB2312" w:eastAsia="仿宋_GB2312"/>
              </w:rPr>
              <w:t>商务、技术应答内容响应竞争性磋商文件的实质性要求</w:t>
            </w:r>
          </w:p>
        </w:tc>
        <w:tc>
          <w:tcPr>
            <w:tcW w:type="dxa" w:w="1661"/>
          </w:tcPr>
          <w:p>
            <w:pPr>
              <w:pStyle w:val="null3"/>
              <w:jc w:val="left"/>
            </w:pPr>
            <w:r>
              <w:rPr>
                <w:rFonts w:ascii="仿宋_GB2312" w:hAnsi="仿宋_GB2312" w:cs="仿宋_GB2312" w:eastAsia="仿宋_GB2312"/>
              </w:rPr>
              <w:t>商务响应表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商务响应表 响应书 供应商自觉抵制政府采购领域商业贿赂行为承诺书 法定代表人资格证明书或法定代表人授权委托书 封面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供应商自觉抵制政府采购领域商业贿赂行为承诺书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商务响应表 响应书 供应商自觉抵制政府采购领域商业贿赂行为承诺书 封面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技术部分72.00分</w:t>
            </w:r>
          </w:p>
          <w:p>
            <w:pPr>
              <w:pStyle w:val="null3"/>
              <w:jc w:val="left"/>
            </w:pPr>
            <w:r>
              <w:rPr>
                <w:rFonts w:ascii="仿宋_GB2312" w:hAnsi="仿宋_GB2312" w:cs="仿宋_GB2312" w:eastAsia="仿宋_GB2312"/>
              </w:rPr>
              <w:t>商务部分8.00分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主要施工方案与技术措施</w:t>
            </w:r>
          </w:p>
        </w:tc>
        <w:tc>
          <w:tcPr>
            <w:tcW w:type="dxa" w:w="2492"/>
          </w:tcPr>
          <w:p>
            <w:pPr>
              <w:pStyle w:val="null3"/>
              <w:jc w:val="left"/>
            </w:pPr>
            <w:r>
              <w:rPr>
                <w:rFonts w:ascii="仿宋_GB2312" w:hAnsi="仿宋_GB2312" w:cs="仿宋_GB2312" w:eastAsia="仿宋_GB2312"/>
              </w:rPr>
              <w:t>A.施工方案（含工程特点、施工重点与难点及绿色施工）总体安排合理，运用先进、合理的施工工艺、施工机械，对施工难点有先进和合理的建议，方案可靠、经济、安全、切实可行、措施得力，得15分。 B.施工方案（含工程特点、施工重点与难点及绿色施工）总体安排合理，施工工艺、施工机械合理、可行，对施工难点有合理的建议，方案经济、安全、基本可行，得11分。 C.施工方案（含工程特点、施工重点与难点及绿色施工）总体安排比较合理，运用合理的施工工艺、施工机械；对施工难点有建议，方案基本可行，得7分。 D.施工总体安排不合理，施工工艺、施工机械不合理,对施工难点无建议,方案可行性差，得5分。 E.不提供者得0分。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A.组织机构形式合理，有完善的指挥系统、联络协调系统，提出先进、可行、具体的保证措施，有利于保证和提高工程质量，得15分。 B.组织机构形式合理，有指挥系统、联络协调系统，提出可行、具体的保证措施，有利于保证工程质量，得11分； C.组织机构形式基本合理，有指挥系统、联络协调系统，措施基本可行，得7分。 D.组织机构形式不合理，指挥系统、联络协调系统不齐全，措施可行性差，得5分。 E.不提供者得0分。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A.建立施工安全生产保障体系，施工安全生产目标、现场管理人员安全生产职责明确，针对工程特点、周边环境和施工工艺，确定危险源并制定详细、具体的防护措施，方案先进、可行，得15分； B.建立施工安全生产保障体系，施工安全生产目标、现场管理人员安全生产职责明确，针对工程特点、周边环境和施工工艺，确定危险源并制定具体的防护措施，方案基本可行，得11分； C.有施工安全生产保障体系，施工安全生产目标、现场管理人员安全生产职责不够明确，针对工程特点、周边环境和施工工艺，确定危险源并制定具体的防护措施，方案基本可行，得7分。 D.缺少施工安全生产保障体系，施工安全生产目标、现场管理人员安全生产职责不明确，缺少对工程特点、周边环境和施工工艺，确定危险源并制定具体的防护措施，得5分。 E.不提供者得0分。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文明施工、环境保护管理体系及施工现场扬尘治理措施</w:t>
            </w:r>
          </w:p>
        </w:tc>
        <w:tc>
          <w:tcPr>
            <w:tcW w:type="dxa" w:w="2492"/>
          </w:tcPr>
          <w:p>
            <w:pPr>
              <w:pStyle w:val="null3"/>
              <w:jc w:val="left"/>
            </w:pPr>
            <w:r>
              <w:rPr>
                <w:rFonts w:ascii="仿宋_GB2312" w:hAnsi="仿宋_GB2312" w:cs="仿宋_GB2312" w:eastAsia="仿宋_GB2312"/>
              </w:rPr>
              <w:t>A.针对项目实际情况，有先进、具体、完整、可行的措施，采用规范准确、清晰。临时设施、现场道路、建筑材料堆放等符合有关文明施工、健康卫生的规定。施工现场扬尘治理及建筑垃圾分类减量等措施科学、先进，达到无露土、干净整齐等效果，得13分。 B.针对项目实际情况，有合理的措施且具体、完整，采用规范准确、清晰，临时设施、现场道路、建筑材料堆放等符合有关文明施工、健康卫生的规定。施工现场扬尘治理及建筑垃圾分类减量等措施合理，得9分。 C.有基本合理的文明施工措施，采用规范准确。临时设施、现场道路、建筑材料堆放等基本符合有关文明施工、健康卫生的规定。施工现场扬尘治理及建筑垃圾分类减量措施一般，得6分。 D.文明施工措施不力、或采用规范不正确，临时设施、现场道路、建筑材料堆放等不符合有关文明施工、健康卫生的规定。缺少施工现场扬尘治理及建筑垃圾分类减量措施，得4分。 E.不提供得0分。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施工总进度表与网络计划图</w:t>
            </w:r>
          </w:p>
        </w:tc>
        <w:tc>
          <w:tcPr>
            <w:tcW w:type="dxa" w:w="2492"/>
          </w:tcPr>
          <w:p>
            <w:pPr>
              <w:pStyle w:val="null3"/>
              <w:jc w:val="left"/>
            </w:pPr>
            <w:r>
              <w:rPr>
                <w:rFonts w:ascii="仿宋_GB2312" w:hAnsi="仿宋_GB2312" w:cs="仿宋_GB2312" w:eastAsia="仿宋_GB2312"/>
              </w:rPr>
              <w:t>A.关键线路清晰、准确、完整，计划编制合理、可行，满足项目工期的要求，对关键节点的控制措施有力、合理、可行，得7分。 B.关键线路清晰、准确、完整，计划编制可行，满足项目工期的要求，对关键节点的控制措施合理、可行，得5分。 C.关键线路不准确、计划编制不合理，或对关键节点的控制措施不可行，得4分。 D.不提供得0分。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工期保证措施</w:t>
            </w:r>
          </w:p>
        </w:tc>
        <w:tc>
          <w:tcPr>
            <w:tcW w:type="dxa" w:w="2492"/>
          </w:tcPr>
          <w:p>
            <w:pPr>
              <w:pStyle w:val="null3"/>
              <w:jc w:val="left"/>
            </w:pPr>
            <w:r>
              <w:rPr>
                <w:rFonts w:ascii="仿宋_GB2312" w:hAnsi="仿宋_GB2312" w:cs="仿宋_GB2312" w:eastAsia="仿宋_GB2312"/>
              </w:rPr>
              <w:t>A.工期承诺满足项目要求，工期保证措施合理且有针对性，有具体的违约责任承诺，得7分。 B.工期承诺项目要求，工期保证措施基本合理，有具体的违约责任承诺，得5分。 C.工期承诺满足项目要求，但工期保证措施存在问题，违约责任承诺不具体，得4分。 D.不提供得0分。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2022年1月1日至今（以合同签订日期为准），供应商具有工程施工业绩，提供一个得4分，满分8分。 提供合同复印件并加盖供应商公章（需至少提供合同关键页），否则不得分。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[HNYS]20250600001[CS]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崖州区南滨社区、金鸡社区道路建设工程项目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崖州区南滨社区、金鸡社区道路建设工程项目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B02050000-城市道路工程施工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3084726.06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详见附件：项目管理机构人员</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详见附件：响应书</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详见附件：海南省建筑企业诚信档案手册</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详见附件：供应商自觉抵制政府采购领域商业贿赂行为承诺书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详见附件：资质证明文件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