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具备独立承担民事责任能力的证明文件</w:t>
      </w: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r>
        <w:rPr>
          <w:rFonts w:ascii="宋体" w:hAnsi="宋体" w:hint="eastAsia"/>
          <w:color w:val="auto"/>
          <w:sz w:val="28"/>
          <w:szCs w:val="28"/>
        </w:rPr>
        <w:t xml:space="preserve"> </w:t>
      </w:r>
      <w:r>
        <w:rPr>
          <w:rFonts w:ascii="宋体" w:hAnsi="宋体"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hAnsi="宋体" w:hint="default"/>
          <w:color w:val="auto"/>
          <w:sz w:val="28"/>
          <w:szCs w:val="28"/>
        </w:rPr>
        <w:t>详见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“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第二章</w:t>
      </w:r>
      <w:r>
        <w:rPr>
          <w:rFonts w:ascii="宋体" w:hAnsi="宋体" w:hint="eastAsia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ascii="宋体" w:hAnsi="宋体" w:hint="default"/>
          <w:color w:val="auto"/>
          <w:sz w:val="28"/>
          <w:szCs w:val="28"/>
        </w:rPr>
        <w:t>.3.1.1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‘</w:t>
      </w:r>
      <w:r>
        <w:rPr>
          <w:rFonts w:ascii="宋体" w:hAnsi="宋体" w:hint="eastAsia"/>
          <w:color w:val="auto"/>
          <w:sz w:val="28"/>
          <w:szCs w:val="28"/>
        </w:rPr>
        <w:t>（1）</w:t>
      </w:r>
      <w:r>
        <w:rPr>
          <w:rFonts w:ascii="宋体" w:hAnsi="宋体" w:hint="eastAsia"/>
          <w:color w:val="auto"/>
          <w:sz w:val="24"/>
        </w:rPr>
        <w:t>具有独立承担民事责任的能力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’</w:t>
      </w:r>
      <w:r>
        <w:rPr>
          <w:rFonts w:ascii="宋体" w:hAnsi="宋体" w:hint="eastAsia"/>
          <w:color w:val="auto"/>
          <w:sz w:val="28"/>
          <w:szCs w:val="28"/>
        </w:rPr>
        <w:t>”</w:t>
      </w:r>
      <w:r>
        <w:rPr>
          <w:rFonts w:ascii="宋体" w:hAnsi="宋体" w:hint="default"/>
          <w:color w:val="auto"/>
          <w:sz w:val="28"/>
          <w:szCs w:val="28"/>
        </w:rPr>
        <w:t>条款规定</w:t>
      </w:r>
      <w:r>
        <w:rPr>
          <w:rFonts w:ascii="宋体" w:hAnsi="宋体" w:hint="eastAsia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5BA124DA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