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海口市产教融合实训教育基地设备、设施项目(二次)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[HKGP]20250600012[GK]-1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海口市高级技工学校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海口市高级技工学校</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海口市产教融合实训教育基地设备、设施项目(二次)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[HKGP]20250600012[GK]-1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海口市产教融合实训教育基地设备、设施项目(二次)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4,153,173.16元</w:t>
      </w:r>
      <w:r>
        <w:rPr>
          <w:rFonts w:ascii="仿宋_GB2312" w:hAnsi="仿宋_GB2312" w:cs="仿宋_GB2312" w:eastAsia="仿宋_GB2312"/>
        </w:rPr>
        <w:t>肆佰壹拾伍万叁仟壹佰柒拾叁元壹角陆分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交付期：合同签订之日起30天内完成供货，安装调试，验收合格并能正常使用。</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交付期：合同签订之日起30天内完成供货，安装调试，验收合格并能正常使用。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2、本项目不接受联合体投标：投标函响应即可</w:t>
      </w:r>
    </w:p>
    <w:p>
      <w:pPr>
        <w:pStyle w:val="null3"/>
        <w:jc w:val="left"/>
      </w:pPr>
      <w:r>
        <w:rPr>
          <w:rFonts w:ascii="仿宋_GB2312" w:hAnsi="仿宋_GB2312" w:cs="仿宋_GB2312" w:eastAsia="仿宋_GB2312"/>
        </w:rPr>
        <w:t>3、本项目不接受分包或转包：投标函响应即可</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2、本项目不接受联合体投标：投标函响应即可</w:t>
      </w:r>
    </w:p>
    <w:p>
      <w:pPr>
        <w:pStyle w:val="null3"/>
        <w:jc w:val="left"/>
      </w:pPr>
      <w:r>
        <w:rPr>
          <w:rFonts w:ascii="仿宋_GB2312" w:hAnsi="仿宋_GB2312" w:cs="仿宋_GB2312" w:eastAsia="仿宋_GB2312"/>
        </w:rPr>
        <w:t>3、本项目不接受分包或转包：投标函响应即可</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海口市高级技工学校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海南省海口市秀英区西秀镇长海大道富屋街65号海口市高级技工学校</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总务科</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0898-66753705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曾女士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0898-65250512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采购包1：1,802,573.16元</w:t>
            </w:r>
          </w:p>
          <w:p>
            <w:pPr>
              <w:pStyle w:val="null3"/>
              <w:jc w:val="left"/>
            </w:pPr>
            <w:r>
              <w:rPr>
                <w:rFonts w:ascii="仿宋_GB2312" w:hAnsi="仿宋_GB2312" w:cs="仿宋_GB2312" w:eastAsia="仿宋_GB2312"/>
              </w:rPr>
              <w:t>采购包2：2,350,600.00元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自递交投标文件截止之日起90天。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3、供应商逾期上传或未按指定方式上传投标文件的，将无法参加后续采购活动。 投标人在递交投标文件截止时间前可修改或撤回其上传的投标文件。修改后的投标文件应重新加密后提交，提交时间应采购文件规定的投标截止时间前。 4、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5、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 6、项目评审过程中如有价格修正、澄清/说明/补正、谈判/磋商、最终报价等环节，供应商需要按照海南省政府采购智慧云平台操作要求进行线上响应，不再人为通知供应商上述所需响应的环节。根据《电子交易操作手册(供应商)》第4章 评审“特别提示：供应商应当在项目评审过程中，在“评审等候大厅”关注评审委员会工作动态，及时做好响应评审有关准备。”的规定，如供应商未在评审委员会规定的响应时间内进行线上响应，产生的一切后果由供应商自行承担。 7、开标、评标过程中，投标人的法人代表或授权委托人应参与远程音视频交互并始终为同一人，中途不得更换。投标人的操作人员均被视为法人代表或授权委托人，投标人自行承担更换人员所导致的一切后果。 8、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9、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10、投标人家数的计算： ①采用最低评标价法的采购项目，提供相同品牌产品（非单一产品采购项目，以核心产品为准。多个核心产品的，有一种产品品牌相同，即视为提供相同品牌产品。）的不同投标人参加同一合同项下投标的，以其中通过资格审查、符合性审查且报价最低的参加评标；报价相同的，评标委员采取随机抽取方式确定一个参加评标的投标人，其他投标无效。 ②使用综合评分法的采购项目，提供相同品牌产品（非单一产品采购项目，以核心产品为准。多个核心产品的，有一种产品品牌相同，即视为提供相同品牌产品。）且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11、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联系电话：0898-65250539，0898-65250356</w:t>
      </w:r>
    </w:p>
    <w:p>
      <w:pPr>
        <w:pStyle w:val="null3"/>
        <w:jc w:val="left"/>
      </w:pPr>
      <w:r>
        <w:rPr>
          <w:rFonts w:ascii="仿宋_GB2312" w:hAnsi="仿宋_GB2312" w:cs="仿宋_GB2312" w:eastAsia="仿宋_GB2312"/>
        </w:rPr>
        <w:t>地址：海口市海甸五西路28号建安大厦16楼1618综合交易部</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海口市产教融合实训教育基地设备、设施项目第二次招标共涵盖二个分包。</w:t>
      </w:r>
    </w:p>
    <w:p>
      <w:pPr>
        <w:pStyle w:val="null3"/>
        <w:ind w:firstLine="480"/>
        <w:jc w:val="left"/>
      </w:pPr>
      <w:r>
        <w:rPr>
          <w:rFonts w:ascii="仿宋_GB2312" w:hAnsi="仿宋_GB2312" w:cs="仿宋_GB2312" w:eastAsia="仿宋_GB2312"/>
        </w:rPr>
        <w:t>包1：（原一次招标B 包）海口市产教融合实训教育基地多功能报告厅座椅、教室桌椅以及窗帘等设施。</w:t>
      </w:r>
    </w:p>
    <w:p>
      <w:pPr>
        <w:pStyle w:val="null3"/>
        <w:ind w:firstLine="480"/>
        <w:jc w:val="left"/>
      </w:pPr>
      <w:r>
        <w:rPr>
          <w:rFonts w:ascii="仿宋_GB2312" w:hAnsi="仿宋_GB2312" w:cs="仿宋_GB2312" w:eastAsia="仿宋_GB2312"/>
        </w:rPr>
        <w:t>包2：（原一次招标C 包:）海口市产教融合实训教育基地的一体式计算机以及普通教室 98 寸触控一体机。</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1,802,573.16</w:t>
      </w:r>
    </w:p>
    <w:p>
      <w:pPr>
        <w:pStyle w:val="null3"/>
        <w:jc w:val="left"/>
      </w:pPr>
      <w:r>
        <w:rPr>
          <w:rFonts w:ascii="仿宋_GB2312" w:hAnsi="仿宋_GB2312" w:cs="仿宋_GB2312" w:eastAsia="仿宋_GB2312"/>
        </w:rPr>
        <w:t>采购包最高限价（元）: 1,802,573.16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海口市产教融合实训教育基地设备、设施项目B包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1,802,573.16</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2,350,600.00</w:t>
      </w:r>
    </w:p>
    <w:p>
      <w:pPr>
        <w:pStyle w:val="null3"/>
        <w:jc w:val="left"/>
      </w:pPr>
      <w:r>
        <w:rPr>
          <w:rFonts w:ascii="仿宋_GB2312" w:hAnsi="仿宋_GB2312" w:cs="仿宋_GB2312" w:eastAsia="仿宋_GB2312"/>
        </w:rPr>
        <w:t>采购包最高限价（元）: 2,350,600.00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海口市产教融合实训教育基地设备、设施项目C包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2,350,600.00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A05010399-其他椅凳类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1,802,573.16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 1、如所投货物如涉及到多种品牌及规格型号，开标一览表中的品牌及及规格型号可填写“详见投标（响应）报价表”，同时投标人须在投标（响应）报价明细表中明确品牌及规格型号。 2、 投标人地址请填写营业执照上的地址。</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A02020800-触控一体机</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2,350,600.00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 1、如所投货物如涉及到多种品牌及规格型号，开标一览表中的品牌及及规格型号可填写“详见投标（响应）报价表”，同时投标人须在投标（响应）报价明细表中明确品牌及规格型号。 2、 投标人地址请填写营业执照上的地址。</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标的名称：海口市产教融合实训教育基地设备、设施项目B包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5"/>
                <w:b/>
              </w:rPr>
              <w:t>详见附件</w:t>
            </w:r>
            <w:r>
              <w:rPr>
                <w:rFonts w:ascii="仿宋_GB2312" w:hAnsi="仿宋_GB2312" w:cs="仿宋_GB2312" w:eastAsia="仿宋_GB2312"/>
                <w:sz w:val="15"/>
                <w:b/>
              </w:rPr>
              <w:t>1.第三章采购需求（“★”标示的内容为不允许负偏离的实质性要求,参数标识具体详见附件1内容。）</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标的名称：海口市产教融合实训教育基地设备、设施项目C包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5"/>
                <w:b/>
              </w:rPr>
              <w:t>详见附件</w:t>
            </w:r>
            <w:r>
              <w:rPr>
                <w:rFonts w:ascii="仿宋_GB2312" w:hAnsi="仿宋_GB2312" w:cs="仿宋_GB2312" w:eastAsia="仿宋_GB2312"/>
                <w:sz w:val="15"/>
                <w:b/>
              </w:rPr>
              <w:t>1.第三章采购需求（“★”标示的内容为不允许负偏离的实质性要求,参数标识具体详见附件1内容。）</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5"/>
                <w:b/>
              </w:rPr>
              <w:t>详见附件</w:t>
            </w:r>
            <w:r>
              <w:rPr>
                <w:rFonts w:ascii="仿宋_GB2312" w:hAnsi="仿宋_GB2312" w:cs="仿宋_GB2312" w:eastAsia="仿宋_GB2312"/>
                <w:sz w:val="15"/>
                <w:b/>
              </w:rPr>
              <w:t>1.第三章采购需求（“★”标示的内容为不允许负偏离的实质性要求,参数标识具体详见附件1内容。）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5"/>
                <w:b/>
              </w:rPr>
              <w:t>详见附件</w:t>
            </w:r>
            <w:r>
              <w:rPr>
                <w:rFonts w:ascii="仿宋_GB2312" w:hAnsi="仿宋_GB2312" w:cs="仿宋_GB2312" w:eastAsia="仿宋_GB2312"/>
                <w:sz w:val="15"/>
                <w:b/>
              </w:rPr>
              <w:t>1.第三章采购需求（“★”标示的内容为不允许负偏离的实质性要求,参数标识具体详见附件1内容。）</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（1）评标方法及评标结果排列顺序规定如下： ①采用最低评标价法的，评标结果按投标报价由低到高顺序排列。投标报价相同的并列，由评标委员会根据投标情况予以授标建议。 ②采用综合评分法的，评标结果按评审后得分由高到低顺序排列。得分相同的，按投标报价由低到高顺序排列。得分且投标报价相同的并列，得分相同的，按投标报价由低到高顺序排列。得分且投标报价相同的并列由评标委员会根据投标情况予以授标建议。 （2）本项目不专门面向中小企业采购，原因是：专门面向中小企业采购无法确保充分供应、充分竞争，或者存在可能影响政府采购目标实现的情形。因本项目不专门面向中小企业采购，故给予小微企业的价格扣除比例为10%，用扣除后的价格参与评审。 （3）关于符合规定的中小微企业（供应商）参与投标 1)在政府采购活动中，监狱企业、残疾人福利性单位视同小型、微型企业。 2)符合中小企业划分标准的个体工商户，在政府采购活动中视同中小企业。 3)以联合体形式参加政府采购活动，联合体各方均为中小企业的，联合体视同中小企业。其中，联合体各方均为小微企业的，联合体视同小微企业。 4)供应商为符合规定的小型或微型企业时，报价给予价格扣除，用扣除后的价格参与评审。 5)专门面向中小企业采购的项目或者采购包，不再执行价格评审优惠的扶持政策。 6)大中型企业与小微企业组成联合体或者大中型企业向一家或者多家小微企业分包的，对于联合协议或者分包意向协议约定小微企业的合同份额占到合同总金额 30％以上的，对联合体或者大中型企业的报价给予价格扣除，用扣除后的价格参与评审。组成联合体或者接受分包的小微企业与联合体内其他企业、分包企业之间存在直接控股、管理关系的，不享受价格扣除优惠政策。 7)《中小企业声明函》由参加政府采购活动的供应商出具。以联合体形式参加政府采购活动或者合同分包的，《中小企业声明函》中需填写联合体中的中小企业或签订分包意向协议的中小企业相关信息。对于联合体中由中小企业承担的部分，或者分包给中小企业的部分，必须全部由中小企业制造、承建或者承接。 8)本条款中两种价格扣除优惠原则不同时使用。 9)采购人应当根据政府采购有关规定和采购项目的实际情况，确定拟采购项目是货物、工程还是服务项目。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 10)在货物采购项目中，货物由中小企业制造，即货物由中小企业生产且使用该中小企业商号或者注册商标的，可享受相应的中小企业扶持政策。 11)在货物采购项目中，供应商提供的货物既有中小企业制造货物，也有大型企业制造货物的，不享受相应的中小企业扶持政策。 12)享受扶持政策获得政府采购合同的，小微企业不得将合同分包给大中型企业，中型企业不得将合同分包给大型企业。 13)供应商认为其为中型或小型或微型企业的应提供合法有效的《中小企业声明函》，并明确企业类型（中小企业划型标准按《关于印发中小企业划型标准规定的通知》(工信部联企业[2011]300号）执行）；供应商认为其为监狱企业的须提供由省级以上监狱管理局、戒毒管理局（含新疆生产建设兵团）出具的属于监狱企业的证明文件；供应商认为其为符合条件的残疾人福利性单位的应当提供《残疾人福利性单位声明函》。</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w:t>
            </w:r>
          </w:p>
        </w:tc>
        <w:tc>
          <w:tcPr>
            <w:tcW w:type="dxa" w:w="3322"/>
          </w:tcPr>
          <w:p>
            <w:pPr>
              <w:pStyle w:val="null3"/>
              <w:jc w:val="left"/>
            </w:pPr>
            <w:r>
              <w:rPr>
                <w:rFonts w:ascii="仿宋_GB2312" w:hAnsi="仿宋_GB2312" w:cs="仿宋_GB2312" w:eastAsia="仿宋_GB2312"/>
              </w:rPr>
              <w:t>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投标函响应即可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本项目不接受分包或转包</w:t>
            </w:r>
          </w:p>
        </w:tc>
        <w:tc>
          <w:tcPr>
            <w:tcW w:type="dxa" w:w="3322"/>
          </w:tcPr>
          <w:p>
            <w:pPr>
              <w:pStyle w:val="null3"/>
              <w:jc w:val="left"/>
            </w:pPr>
            <w:r>
              <w:rPr>
                <w:rFonts w:ascii="仿宋_GB2312" w:hAnsi="仿宋_GB2312" w:cs="仿宋_GB2312" w:eastAsia="仿宋_GB2312"/>
              </w:rPr>
              <w:t>投标函响应即可</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w:t>
            </w:r>
          </w:p>
        </w:tc>
        <w:tc>
          <w:tcPr>
            <w:tcW w:type="dxa" w:w="3322"/>
          </w:tcPr>
          <w:p>
            <w:pPr>
              <w:pStyle w:val="null3"/>
              <w:jc w:val="left"/>
            </w:pPr>
            <w:r>
              <w:rPr>
                <w:rFonts w:ascii="仿宋_GB2312" w:hAnsi="仿宋_GB2312" w:cs="仿宋_GB2312" w:eastAsia="仿宋_GB2312"/>
              </w:rPr>
              <w:t>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投标函响应即可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本项目不接受分包或转包</w:t>
            </w:r>
          </w:p>
        </w:tc>
        <w:tc>
          <w:tcPr>
            <w:tcW w:type="dxa" w:w="3322"/>
          </w:tcPr>
          <w:p>
            <w:pPr>
              <w:pStyle w:val="null3"/>
              <w:jc w:val="left"/>
            </w:pPr>
            <w:r>
              <w:rPr>
                <w:rFonts w:ascii="仿宋_GB2312" w:hAnsi="仿宋_GB2312" w:cs="仿宋_GB2312" w:eastAsia="仿宋_GB2312"/>
              </w:rPr>
              <w:t>投标函响应即可</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最高限制单价及单项汇总价格</w:t>
            </w:r>
          </w:p>
        </w:tc>
        <w:tc>
          <w:tcPr>
            <w:tcW w:type="dxa" w:w="3322"/>
          </w:tcPr>
          <w:p>
            <w:pPr>
              <w:pStyle w:val="null3"/>
              <w:jc w:val="left"/>
            </w:pPr>
            <w:r>
              <w:rPr>
                <w:rFonts w:ascii="仿宋_GB2312" w:hAnsi="仿宋_GB2312" w:cs="仿宋_GB2312" w:eastAsia="仿宋_GB2312"/>
              </w:rPr>
              <w:t>B包涉及到的最高限制单价有： （1）会议条桌1最高限制单价不得超过720元/张； （2）会议条桌2最高限制单价不得超过480元/张； （3）会议桌最高限制单价不得超过19800元/张； （4）会议椅最高限制单价：800元/个 ； （5）办公桌最高限制单价：2800元/张 ； （6）办公椅最高限制单价：800元/把 ； （7）文件柜最高限制单价：1000元/个 ； （8）学生课桌椅最高限制单价为500/生。 注：以上涉及到最高限制单价的货物，投标人在填写投标（报价）明细表中的投标报价不得超过对应货物最高限制单价以及单项汇总价格，否则作无效投标处理。 例如：会议条桌1最高限制单价为720元/张，采购需求为购买5张会议条桌1，合计总价不得超过3600元。</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政府采购评审中出现下列情形之一的，评审委员会应当启动异常低价投标（响应）审查程序： （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tc>
        <w:tc>
          <w:tcPr>
            <w:tcW w:type="dxa" w:w="3322"/>
          </w:tcPr>
          <w:p>
            <w:pPr>
              <w:pStyle w:val="null3"/>
              <w:jc w:val="left"/>
            </w:pPr>
            <w:r>
              <w:rPr>
                <w:rFonts w:ascii="仿宋_GB2312" w:hAnsi="仿宋_GB2312" w:cs="仿宋_GB2312" w:eastAsia="仿宋_GB2312"/>
              </w:rPr>
              <w:t>不存在或虽然存在但能按评标委员会的要求证明其报价合理性。</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最高限制单价最高限制单价及单项汇总价格</w:t>
            </w:r>
          </w:p>
        </w:tc>
        <w:tc>
          <w:tcPr>
            <w:tcW w:type="dxa" w:w="3322"/>
          </w:tcPr>
          <w:p>
            <w:pPr>
              <w:pStyle w:val="null3"/>
              <w:jc w:val="left"/>
            </w:pPr>
            <w:r>
              <w:rPr>
                <w:rFonts w:ascii="仿宋_GB2312" w:hAnsi="仿宋_GB2312" w:cs="仿宋_GB2312" w:eastAsia="仿宋_GB2312"/>
              </w:rPr>
              <w:t xml:space="preserve"> （1）普通教室触控一体机限额35000元/台； （2）台式计算机1（非国产操作系统）限额6500元/台。 （3）台式计算机2（非国产操作系统）限额6500元/台。 注：以上涉及到最高限制单价的货物，投标人在填写投标（报价）明细表中的投标报价不得超过对应货物最高限制单价以及单项汇总价格，否则作无效投标处理。 例如：台式计算机2最高限制单价为6500元/台，采购需求为购买52台，合计总价不得超过338000元。</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投标人对带★条款的响应情况</w:t>
            </w:r>
          </w:p>
        </w:tc>
        <w:tc>
          <w:tcPr>
            <w:tcW w:type="dxa" w:w="3322"/>
          </w:tcPr>
          <w:p>
            <w:pPr>
              <w:pStyle w:val="null3"/>
              <w:jc w:val="left"/>
            </w:pPr>
            <w:r>
              <w:rPr>
                <w:rFonts w:ascii="仿宋_GB2312" w:hAnsi="仿宋_GB2312" w:cs="仿宋_GB2312" w:eastAsia="仿宋_GB2312"/>
              </w:rPr>
              <w:t>包2（原一次招标C包）★条款为实质性条款，主要是涉及到节能清单里的强制采购产品，即“A02010104台式计算机”。投标人须提供合法有效的节能认证证书且拟投标设备的规格型号（品牌）与节能认证证书中所列规格一致，否则视为无效投标。</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政府采购评审中出现下列情形之一的，评审委员会应当启动异常低价投标（响应）审查程序： （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tc>
        <w:tc>
          <w:tcPr>
            <w:tcW w:type="dxa" w:w="3322"/>
          </w:tcPr>
          <w:p>
            <w:pPr>
              <w:pStyle w:val="null3"/>
              <w:jc w:val="left"/>
            </w:pPr>
            <w:r>
              <w:rPr>
                <w:rFonts w:ascii="仿宋_GB2312" w:hAnsi="仿宋_GB2312" w:cs="仿宋_GB2312" w:eastAsia="仿宋_GB2312"/>
              </w:rPr>
              <w:t>不存在或虽然存在但能按评标委员会的要求证明其报价合理性。</w:t>
            </w:r>
          </w:p>
        </w:tc>
        <w:tc>
          <w:tcPr>
            <w:tcW w:type="dxa" w:w="1661"/>
          </w:tcPr>
          <w:p>
            <w:pPr>
              <w:pStyle w:val="null3"/>
              <w:jc w:val="left"/>
            </w:pPr>
            <w:r>
              <w:rPr>
                <w:rFonts w:ascii="仿宋_GB2312" w:hAnsi="仿宋_GB2312" w:cs="仿宋_GB2312" w:eastAsia="仿宋_GB2312"/>
              </w:rPr>
              <w:t>开标（报价）一览表 投标（响应）报价明细表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▲关键技术参数指标</w:t>
            </w:r>
          </w:p>
        </w:tc>
        <w:tc>
          <w:tcPr>
            <w:tcW w:type="dxa" w:w="2492"/>
          </w:tcPr>
          <w:p>
            <w:pPr>
              <w:pStyle w:val="null3"/>
              <w:jc w:val="both"/>
            </w:pPr>
            <w:r>
              <w:rPr>
                <w:rFonts w:ascii="仿宋_GB2312" w:hAnsi="仿宋_GB2312" w:cs="仿宋_GB2312" w:eastAsia="仿宋_GB2312"/>
              </w:rPr>
              <w:t>根据第三章采购需求中“二、技术和服务要求”中的技术参数表，在所有技术指标中,标▲的为关键技术参数指标（共8项）, 未有标注的为一般技术参数指标。投标人提供的关键技术参数指标完全满足或优于招标文件要求的一项得2.5分，满分20分。 注 ：由评标委员会根据技术标偏离表进行评分,对投标主要技术要求与招标文件技术要求逐条进行比较，需提供佐证证明材料的，逐项按要求提供佐证材料证明，未提供证明材料或证明材料不满足要求的视为参数不响应、不满足。因投标人应提供的资料技术参数含糊或不符合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一般参数技术指标</w:t>
            </w:r>
          </w:p>
        </w:tc>
        <w:tc>
          <w:tcPr>
            <w:tcW w:type="dxa" w:w="2492"/>
          </w:tcPr>
          <w:p>
            <w:pPr>
              <w:pStyle w:val="null3"/>
              <w:jc w:val="both"/>
            </w:pPr>
            <w:r>
              <w:rPr>
                <w:rFonts w:ascii="仿宋_GB2312" w:hAnsi="仿宋_GB2312" w:cs="仿宋_GB2312" w:eastAsia="仿宋_GB2312"/>
              </w:rPr>
              <w:t>根据第三章采购需求中“二、技术和服务要求”中的技术参数表，在所有技术指标中,标▲的为关键技术参数指标,未有标注的为一般技术参数指标（共58项）。投标人提供的一般技术参数指标完全满足或优于招标文件要求的得满分12.5分，一般参数技术指标每有一项不满足的扣0.5分，超过25项一般参数不满足需求（含25项）视为所提供的产品有重大缺陷，无法正常履约，得0分。 注 ：由评标委员会根据技术标偏离表进行评分,对投标主要技术要求与招标文件技术要求逐条进行比较，需提供佐证证明材料的，逐项按要求提供佐证材料证明，未提供证明材料或证明材料不满足要求的视为参数不响应、不满足。因投标人应提供的资料技术参数含糊或样品不符合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12.5000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环境标志产品认证</w:t>
            </w:r>
          </w:p>
        </w:tc>
        <w:tc>
          <w:tcPr>
            <w:tcW w:type="dxa" w:w="2492"/>
          </w:tcPr>
          <w:p>
            <w:pPr>
              <w:pStyle w:val="null3"/>
              <w:jc w:val="both"/>
            </w:pPr>
            <w:r>
              <w:rPr>
                <w:rFonts w:ascii="仿宋_GB2312" w:hAnsi="仿宋_GB2312" w:cs="仿宋_GB2312" w:eastAsia="仿宋_GB2312"/>
              </w:rPr>
              <w:t>根据采购需求中的“二、座椅、教室桌椅”，投标人提供的产品有获得环境标志产品认证的得2.5分。 证明材料：投标人提供合法有效期内环境标志产品认证证书或检测报告，不提供或提供不全不得分。</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供货安装方案1</w:t>
            </w:r>
          </w:p>
        </w:tc>
        <w:tc>
          <w:tcPr>
            <w:tcW w:type="dxa" w:w="2492"/>
          </w:tcPr>
          <w:p>
            <w:pPr>
              <w:pStyle w:val="null3"/>
              <w:jc w:val="both"/>
            </w:pPr>
            <w:r>
              <w:rPr>
                <w:rFonts w:ascii="仿宋_GB2312" w:hAnsi="仿宋_GB2312" w:cs="仿宋_GB2312" w:eastAsia="仿宋_GB2312"/>
              </w:rPr>
              <w:t>对比采购需求中“三、项目服务要求（二）供货安装方案的第1条”，投标人提供的方案满足需求的得1.6分，优于需求的得2分，满分2分。 注： （1）不满足或响应不全是指：非专门针对本项目与采购需求内容不适用于项目特性的情形、内容缺少、套用其他项目方案、内容前后矛盾、涉及的规范及标准错误，不利于项目实施，不可能实现的情形。 （2）优于需求是指：满足该项评审因素全部需求的基础上全部优于需求才可加分。 （3）未针对本项目提供具体的方案内容，仅承诺满足或优于视为不利于项目实施以及不可能实现的情形，得0分。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供货安装方案2</w:t>
            </w:r>
          </w:p>
        </w:tc>
        <w:tc>
          <w:tcPr>
            <w:tcW w:type="dxa" w:w="2492"/>
          </w:tcPr>
          <w:p>
            <w:pPr>
              <w:pStyle w:val="null3"/>
              <w:jc w:val="both"/>
            </w:pPr>
            <w:r>
              <w:rPr>
                <w:rFonts w:ascii="仿宋_GB2312" w:hAnsi="仿宋_GB2312" w:cs="仿宋_GB2312" w:eastAsia="仿宋_GB2312"/>
              </w:rPr>
              <w:t>对比采购需求中“三、项目服务要求（二）供货安装方案的第2条”，投标人提供的方案满足需求的得1.6分，优于需求的得2分，满分2分。 注： （1）不满足或响应不全是指：非专门针对本项目与采购需求内容不适用于项目特性的情形、内容缺少、套用其他项目方案、内容前后矛盾、涉及的规范及标准错误，不利于项目实施，不可能实现的情形。 （2）优于需求是指：满足该项评审因素全部需求的基础上全部优于需求才可加分。 （3）未针对本项目提供具体的方案内容，仅承诺满足或优于视为不利于项目实施以及不可能实现的情形，得0分。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供货安装方案3</w:t>
            </w:r>
          </w:p>
        </w:tc>
        <w:tc>
          <w:tcPr>
            <w:tcW w:type="dxa" w:w="2492"/>
          </w:tcPr>
          <w:p>
            <w:pPr>
              <w:pStyle w:val="null3"/>
              <w:jc w:val="both"/>
            </w:pPr>
            <w:r>
              <w:rPr>
                <w:rFonts w:ascii="仿宋_GB2312" w:hAnsi="仿宋_GB2312" w:cs="仿宋_GB2312" w:eastAsia="仿宋_GB2312"/>
              </w:rPr>
              <w:t>对比采购需求中“三、项目服务要求（二）供货安装方案的第3条”，投标人提供的方案满足需求的得1.6分，优于需求的得2分，满分2分。 注： （1）不满足或响应不全是指：非专门针对本项目与采购需求内容不适用于项目特性的情形、内容缺少、套用其他项目方案、内容前后矛盾、涉及的规范及标准错误，不利于项目实施，不可能实现的情形。 （2）优于需求是指：满足该项评审因素全部需求的基础上全部优于需求才可加分。 （3）未针对本项目提供具体的方案内容，仅承诺满足或优于视为不利于项目实施以及不可能实现的情形，得0分。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质量保证方案1</w:t>
            </w:r>
          </w:p>
        </w:tc>
        <w:tc>
          <w:tcPr>
            <w:tcW w:type="dxa" w:w="2492"/>
          </w:tcPr>
          <w:p>
            <w:pPr>
              <w:pStyle w:val="null3"/>
              <w:jc w:val="both"/>
            </w:pPr>
            <w:r>
              <w:rPr>
                <w:rFonts w:ascii="仿宋_GB2312" w:hAnsi="仿宋_GB2312" w:cs="仿宋_GB2312" w:eastAsia="仿宋_GB2312"/>
              </w:rPr>
              <w:t>对比采购需求中“三、项目服务要求（三）质量保证方案的第1条”投标人提供的方案满足需求的得1.6分，优于需求的得2分，满分2分。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质量保证方案2</w:t>
            </w:r>
          </w:p>
        </w:tc>
        <w:tc>
          <w:tcPr>
            <w:tcW w:type="dxa" w:w="2492"/>
          </w:tcPr>
          <w:p>
            <w:pPr>
              <w:pStyle w:val="null3"/>
              <w:jc w:val="both"/>
            </w:pPr>
            <w:r>
              <w:rPr>
                <w:rFonts w:ascii="仿宋_GB2312" w:hAnsi="仿宋_GB2312" w:cs="仿宋_GB2312" w:eastAsia="仿宋_GB2312"/>
              </w:rPr>
              <w:t>对比采购需求中“三、项目服务要求（三）质量保证方案的第2条”投标人提供的方案满足需求的得1.6分，优于需求的得2分，满分2分。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质量保证方案3</w:t>
            </w:r>
          </w:p>
        </w:tc>
        <w:tc>
          <w:tcPr>
            <w:tcW w:type="dxa" w:w="2492"/>
          </w:tcPr>
          <w:p>
            <w:pPr>
              <w:pStyle w:val="null3"/>
              <w:jc w:val="both"/>
            </w:pPr>
            <w:r>
              <w:rPr>
                <w:rFonts w:ascii="仿宋_GB2312" w:hAnsi="仿宋_GB2312" w:cs="仿宋_GB2312" w:eastAsia="仿宋_GB2312"/>
              </w:rPr>
              <w:t>对比采购需求中“三、项目服务要求（三）质量保证方案的第3条”投标人提供的方案满足需求的得1.6分，优于需求的得2分，满分2分。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质量保证方案4</w:t>
            </w:r>
          </w:p>
        </w:tc>
        <w:tc>
          <w:tcPr>
            <w:tcW w:type="dxa" w:w="2492"/>
          </w:tcPr>
          <w:p>
            <w:pPr>
              <w:pStyle w:val="null3"/>
              <w:jc w:val="both"/>
            </w:pPr>
            <w:r>
              <w:rPr>
                <w:rFonts w:ascii="仿宋_GB2312" w:hAnsi="仿宋_GB2312" w:cs="仿宋_GB2312" w:eastAsia="仿宋_GB2312"/>
              </w:rPr>
              <w:t>对比采购需求中“三、项目服务要求（三）质量保证方案的第4条”投标人提供的方案满足需求的得1.6分，优于需求的得2分，满分2分。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质量保证方案5</w:t>
            </w:r>
          </w:p>
        </w:tc>
        <w:tc>
          <w:tcPr>
            <w:tcW w:type="dxa" w:w="2492"/>
          </w:tcPr>
          <w:p>
            <w:pPr>
              <w:pStyle w:val="null3"/>
              <w:jc w:val="both"/>
            </w:pPr>
            <w:r>
              <w:rPr>
                <w:rFonts w:ascii="仿宋_GB2312" w:hAnsi="仿宋_GB2312" w:cs="仿宋_GB2312" w:eastAsia="仿宋_GB2312"/>
              </w:rPr>
              <w:t>对比采购需求中“三、项目服务要求（三）质量保证方案的第5条”投标人提供的方案满足需求的得1.6分，优于需求的得2分，满分2分。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质量保证方案6</w:t>
            </w:r>
          </w:p>
        </w:tc>
        <w:tc>
          <w:tcPr>
            <w:tcW w:type="dxa" w:w="2492"/>
          </w:tcPr>
          <w:p>
            <w:pPr>
              <w:pStyle w:val="null3"/>
              <w:jc w:val="both"/>
            </w:pPr>
            <w:r>
              <w:rPr>
                <w:rFonts w:ascii="仿宋_GB2312" w:hAnsi="仿宋_GB2312" w:cs="仿宋_GB2312" w:eastAsia="仿宋_GB2312"/>
              </w:rPr>
              <w:t>对比采购需求中“三、项目服务要求（三）质量保证方案的第6条”投标人提供的方案满足需求的得1.6分，优于需求的得2分，满分2分。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质量保证方案7</w:t>
            </w:r>
          </w:p>
        </w:tc>
        <w:tc>
          <w:tcPr>
            <w:tcW w:type="dxa" w:w="2492"/>
          </w:tcPr>
          <w:p>
            <w:pPr>
              <w:pStyle w:val="null3"/>
              <w:jc w:val="both"/>
            </w:pPr>
            <w:r>
              <w:rPr>
                <w:rFonts w:ascii="仿宋_GB2312" w:hAnsi="仿宋_GB2312" w:cs="仿宋_GB2312" w:eastAsia="仿宋_GB2312"/>
              </w:rPr>
              <w:t>对比采购需求中“三、项目服务要求（三）质量保证方案的第7条”投标人提供的方案满足需求的得1.6分，优于需求的得2分，满分2分。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项目售后服务方案1</w:t>
            </w:r>
          </w:p>
        </w:tc>
        <w:tc>
          <w:tcPr>
            <w:tcW w:type="dxa" w:w="2492"/>
          </w:tcPr>
          <w:p>
            <w:pPr>
              <w:pStyle w:val="null3"/>
              <w:jc w:val="both"/>
            </w:pPr>
            <w:r>
              <w:rPr>
                <w:rFonts w:ascii="仿宋_GB2312" w:hAnsi="仿宋_GB2312" w:cs="仿宋_GB2312" w:eastAsia="仿宋_GB2312"/>
              </w:rPr>
              <w:t>对比采购需求中“三、项目服务要求（四）项目售后服务方案的第1条”投标人提供的方案满足需求的得2分，优于需求的得2.5分，满分2.5分。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项目售后服务方案2</w:t>
            </w:r>
          </w:p>
        </w:tc>
        <w:tc>
          <w:tcPr>
            <w:tcW w:type="dxa" w:w="2492"/>
          </w:tcPr>
          <w:p>
            <w:pPr>
              <w:pStyle w:val="null3"/>
              <w:jc w:val="both"/>
            </w:pPr>
            <w:r>
              <w:rPr>
                <w:rFonts w:ascii="仿宋_GB2312" w:hAnsi="仿宋_GB2312" w:cs="仿宋_GB2312" w:eastAsia="仿宋_GB2312"/>
              </w:rPr>
              <w:t>对比采购需求中“三、项目服务要求（四）项目售后服务方案的第2条”投标人提供的方案满足需求的得2分，优于需求的得2.5分，满分2.5分。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项目售后服务方案3</w:t>
            </w:r>
          </w:p>
        </w:tc>
        <w:tc>
          <w:tcPr>
            <w:tcW w:type="dxa" w:w="2492"/>
          </w:tcPr>
          <w:p>
            <w:pPr>
              <w:pStyle w:val="null3"/>
              <w:jc w:val="both"/>
            </w:pPr>
            <w:r>
              <w:rPr>
                <w:rFonts w:ascii="仿宋_GB2312" w:hAnsi="仿宋_GB2312" w:cs="仿宋_GB2312" w:eastAsia="仿宋_GB2312"/>
              </w:rPr>
              <w:t>对比采购需求中“三、项目服务要求（四）项目售后服务方案的第3条”投标人提供的方案满足需求的得2分，优于需求的得2.5分，满分2.5分。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项目售后服务方案4</w:t>
            </w:r>
          </w:p>
        </w:tc>
        <w:tc>
          <w:tcPr>
            <w:tcW w:type="dxa" w:w="2492"/>
          </w:tcPr>
          <w:p>
            <w:pPr>
              <w:pStyle w:val="null3"/>
              <w:jc w:val="both"/>
            </w:pPr>
            <w:r>
              <w:rPr>
                <w:rFonts w:ascii="仿宋_GB2312" w:hAnsi="仿宋_GB2312" w:cs="仿宋_GB2312" w:eastAsia="仿宋_GB2312"/>
              </w:rPr>
              <w:t>对比采购需求中“三、项目服务要求（四）项目售后服务方案的第4条”投标人提供的方案满足需求的得2分，优于需求的得2.5分，满分2.5分。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项目售后服务方案5</w:t>
            </w:r>
          </w:p>
        </w:tc>
        <w:tc>
          <w:tcPr>
            <w:tcW w:type="dxa" w:w="2492"/>
          </w:tcPr>
          <w:p>
            <w:pPr>
              <w:pStyle w:val="null3"/>
              <w:jc w:val="both"/>
            </w:pPr>
            <w:r>
              <w:rPr>
                <w:rFonts w:ascii="仿宋_GB2312" w:hAnsi="仿宋_GB2312" w:cs="仿宋_GB2312" w:eastAsia="仿宋_GB2312"/>
              </w:rPr>
              <w:t>对比采购需求中“三、项目服务要求（四）项目售后服务方案的第5条”投标人提供的方案满足需求的得2分，优于需求的得2.5分，满分2.5分。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项目售后服务方案6</w:t>
            </w:r>
          </w:p>
        </w:tc>
        <w:tc>
          <w:tcPr>
            <w:tcW w:type="dxa" w:w="2492"/>
          </w:tcPr>
          <w:p>
            <w:pPr>
              <w:pStyle w:val="null3"/>
              <w:jc w:val="both"/>
            </w:pPr>
            <w:r>
              <w:rPr>
                <w:rFonts w:ascii="仿宋_GB2312" w:hAnsi="仿宋_GB2312" w:cs="仿宋_GB2312" w:eastAsia="仿宋_GB2312"/>
              </w:rPr>
              <w:t>对比采购需求中“三、项目服务要求（四）项目售后服务方案的第6条”投标人提供的方案满足需求的得2分，优于需求的得2.5分，满分2.5分。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▲关键技术参数指标</w:t>
            </w:r>
          </w:p>
        </w:tc>
        <w:tc>
          <w:tcPr>
            <w:tcW w:type="dxa" w:w="2492"/>
          </w:tcPr>
          <w:p>
            <w:pPr>
              <w:pStyle w:val="null3"/>
              <w:jc w:val="both"/>
            </w:pPr>
            <w:r>
              <w:rPr>
                <w:rFonts w:ascii="仿宋_GB2312" w:hAnsi="仿宋_GB2312" w:cs="仿宋_GB2312" w:eastAsia="仿宋_GB2312"/>
              </w:rPr>
              <w:t>根据第三章采购需求中“二、技术和服务要求”中的技术参数表，在所有技术指标中,标▲的为关键技术参数指标（共30项）, 未有标注的为一般技术参数指标。投标人提供的关键技术参数指标完全满足或优于招标文件要求的一项得0.9分，满分27分。 注 ：由评标委员会根据技术标偏离表进行评分,对投标主要技术要求与招标文件技术要求逐条进行比较，需提供佐证证明材料的，逐项按要求提供佐证材料证明，未提供证明材料或证明材料不满足要求的视为参数不响应、不满足。因投标人应提供的资料技术参数含糊或样品不符合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27.0000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一般参数技术指标</w:t>
            </w:r>
          </w:p>
        </w:tc>
        <w:tc>
          <w:tcPr>
            <w:tcW w:type="dxa" w:w="2492"/>
          </w:tcPr>
          <w:p>
            <w:pPr>
              <w:pStyle w:val="null3"/>
              <w:jc w:val="both"/>
            </w:pPr>
            <w:r>
              <w:rPr>
                <w:rFonts w:ascii="仿宋_GB2312" w:hAnsi="仿宋_GB2312" w:cs="仿宋_GB2312" w:eastAsia="仿宋_GB2312"/>
              </w:rPr>
              <w:t>根据第三章采购需求中“二、技术和服务要求”中的技术参数表，在所有技术指标中,标▲的为关键技术参数指标,未有标注的为一般技术参数指标（共77项）。投标人提供的一般技术参数指标完全满足或优于招标文件要求的得满分6分，一般参数技术指标每有一项不满足的扣0.6分，超过10项一般参数不满足需求（含10项）视为所提供的产品有重大缺陷，无法正常履约，得0分。 注 ：由评标委员会根据技术标偏离表进行评分,对投标主要技术要求与招标文件技术要求逐条进行比较，需提供佐证证明材料的，逐项按要求提供佐证材料证明，未提供证明材料或证明材料不满足要求的视为参数不响应、不满足。因投标人应提供的资料技术参数含糊或样品不符合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环境标志产品认证证书</w:t>
            </w:r>
          </w:p>
        </w:tc>
        <w:tc>
          <w:tcPr>
            <w:tcW w:type="dxa" w:w="2492"/>
          </w:tcPr>
          <w:p>
            <w:pPr>
              <w:pStyle w:val="null3"/>
              <w:jc w:val="both"/>
            </w:pPr>
            <w:r>
              <w:rPr>
                <w:rFonts w:ascii="仿宋_GB2312" w:hAnsi="仿宋_GB2312" w:cs="仿宋_GB2312" w:eastAsia="仿宋_GB2312"/>
              </w:rPr>
              <w:t>投标人提供的台式计算机获得环境标志产品认证的得2分。 证明材料：投标人提供合法有效期内环境标志产品认证证书或检测报告，不提供或提供不全不得分。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质量保证方案1</w:t>
            </w:r>
          </w:p>
        </w:tc>
        <w:tc>
          <w:tcPr>
            <w:tcW w:type="dxa" w:w="2492"/>
          </w:tcPr>
          <w:p>
            <w:pPr>
              <w:pStyle w:val="null3"/>
              <w:jc w:val="both"/>
            </w:pPr>
            <w:r>
              <w:rPr>
                <w:rFonts w:ascii="仿宋_GB2312" w:hAnsi="仿宋_GB2312" w:cs="仿宋_GB2312" w:eastAsia="仿宋_GB2312"/>
              </w:rPr>
              <w:t>对比采购需求中“三、项目服务要求（三）质量保证方案的第1条”投标人提供的方案满足需求的得1.6分，优于需求的得2分，满分2分。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质量保证方案2</w:t>
            </w:r>
          </w:p>
        </w:tc>
        <w:tc>
          <w:tcPr>
            <w:tcW w:type="dxa" w:w="2492"/>
          </w:tcPr>
          <w:p>
            <w:pPr>
              <w:pStyle w:val="null3"/>
              <w:jc w:val="both"/>
            </w:pPr>
            <w:r>
              <w:rPr>
                <w:rFonts w:ascii="仿宋_GB2312" w:hAnsi="仿宋_GB2312" w:cs="仿宋_GB2312" w:eastAsia="仿宋_GB2312"/>
              </w:rPr>
              <w:t>对比采购需求中“三、项目服务要求（三）质量保证方案的第2条”投标人提供的方案满足需求的得1.6分，优于需求的得2分，满分2分。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质量保证方案3</w:t>
            </w:r>
          </w:p>
        </w:tc>
        <w:tc>
          <w:tcPr>
            <w:tcW w:type="dxa" w:w="2492"/>
          </w:tcPr>
          <w:p>
            <w:pPr>
              <w:pStyle w:val="null3"/>
              <w:jc w:val="both"/>
            </w:pPr>
            <w:r>
              <w:rPr>
                <w:rFonts w:ascii="仿宋_GB2312" w:hAnsi="仿宋_GB2312" w:cs="仿宋_GB2312" w:eastAsia="仿宋_GB2312"/>
              </w:rPr>
              <w:t>对比采购需求中“三、项目服务要求（三）质量保证方案的第3条”投标人提供的方案满足需求的得1.6分，优于需求的得2分，满分2分。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质量保证方案4</w:t>
            </w:r>
          </w:p>
        </w:tc>
        <w:tc>
          <w:tcPr>
            <w:tcW w:type="dxa" w:w="2492"/>
          </w:tcPr>
          <w:p>
            <w:pPr>
              <w:pStyle w:val="null3"/>
              <w:jc w:val="both"/>
            </w:pPr>
            <w:r>
              <w:rPr>
                <w:rFonts w:ascii="仿宋_GB2312" w:hAnsi="仿宋_GB2312" w:cs="仿宋_GB2312" w:eastAsia="仿宋_GB2312"/>
              </w:rPr>
              <w:t>对比采购需求中“三、项目服务要求（三）质量保证方案的第4条”投标人提供的方案满足需求的得1.6分，优于需求的得2分，满分2分。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质量保证方案5</w:t>
            </w:r>
          </w:p>
        </w:tc>
        <w:tc>
          <w:tcPr>
            <w:tcW w:type="dxa" w:w="2492"/>
          </w:tcPr>
          <w:p>
            <w:pPr>
              <w:pStyle w:val="null3"/>
              <w:jc w:val="both"/>
            </w:pPr>
            <w:r>
              <w:rPr>
                <w:rFonts w:ascii="仿宋_GB2312" w:hAnsi="仿宋_GB2312" w:cs="仿宋_GB2312" w:eastAsia="仿宋_GB2312"/>
              </w:rPr>
              <w:t>对比采购需求中“三、项目服务要求（三）质量保证方案的第5条”投标人提供的方案满足需求的得1.6分，优于需求的得2分，满分2分。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质量保证方案6</w:t>
            </w:r>
          </w:p>
        </w:tc>
        <w:tc>
          <w:tcPr>
            <w:tcW w:type="dxa" w:w="2492"/>
          </w:tcPr>
          <w:p>
            <w:pPr>
              <w:pStyle w:val="null3"/>
              <w:jc w:val="both"/>
            </w:pPr>
            <w:r>
              <w:rPr>
                <w:rFonts w:ascii="仿宋_GB2312" w:hAnsi="仿宋_GB2312" w:cs="仿宋_GB2312" w:eastAsia="仿宋_GB2312"/>
              </w:rPr>
              <w:t>对比采购需求中“三、项目服务要求（三）质量保证方案的第6条”投标人提供的方案满足需求的得1.6分，优于需求的得2分，满分2分。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供货安装方案1</w:t>
            </w:r>
          </w:p>
        </w:tc>
        <w:tc>
          <w:tcPr>
            <w:tcW w:type="dxa" w:w="2492"/>
          </w:tcPr>
          <w:p>
            <w:pPr>
              <w:pStyle w:val="null3"/>
              <w:jc w:val="both"/>
            </w:pPr>
            <w:r>
              <w:rPr>
                <w:rFonts w:ascii="仿宋_GB2312" w:hAnsi="仿宋_GB2312" w:cs="仿宋_GB2312" w:eastAsia="仿宋_GB2312"/>
              </w:rPr>
              <w:t>对比采购需求中“三、项目服务要求（二）供货安装方案的第1条”投标人提供的方案满足需求的得1分，优于需求的得1.25分，满分1.25分。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1.2500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供货安装方案2</w:t>
            </w:r>
          </w:p>
        </w:tc>
        <w:tc>
          <w:tcPr>
            <w:tcW w:type="dxa" w:w="2492"/>
          </w:tcPr>
          <w:p>
            <w:pPr>
              <w:pStyle w:val="null3"/>
              <w:jc w:val="both"/>
            </w:pPr>
            <w:r>
              <w:rPr>
                <w:rFonts w:ascii="仿宋_GB2312" w:hAnsi="仿宋_GB2312" w:cs="仿宋_GB2312" w:eastAsia="仿宋_GB2312"/>
              </w:rPr>
              <w:t>对比采购需求中“三、项目服务要求（二）供货安装方案的第2条”投标人提供的方案满足需求的得1分，优于需求的得1.25分，满分1.25分。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1.2500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供货安装方案3</w:t>
            </w:r>
          </w:p>
        </w:tc>
        <w:tc>
          <w:tcPr>
            <w:tcW w:type="dxa" w:w="2492"/>
          </w:tcPr>
          <w:p>
            <w:pPr>
              <w:pStyle w:val="null3"/>
              <w:jc w:val="both"/>
            </w:pPr>
            <w:r>
              <w:rPr>
                <w:rFonts w:ascii="仿宋_GB2312" w:hAnsi="仿宋_GB2312" w:cs="仿宋_GB2312" w:eastAsia="仿宋_GB2312"/>
              </w:rPr>
              <w:t>对比采购需求中“三、项目服务要求（二）供货安装方案的第3条”投标人提供的方案满足需求的得1分，优于需求的得1.25分，满分1.25分。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1.2500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供货安装方案4</w:t>
            </w:r>
          </w:p>
        </w:tc>
        <w:tc>
          <w:tcPr>
            <w:tcW w:type="dxa" w:w="2492"/>
          </w:tcPr>
          <w:p>
            <w:pPr>
              <w:pStyle w:val="null3"/>
              <w:jc w:val="both"/>
            </w:pPr>
            <w:r>
              <w:rPr>
                <w:rFonts w:ascii="仿宋_GB2312" w:hAnsi="仿宋_GB2312" w:cs="仿宋_GB2312" w:eastAsia="仿宋_GB2312"/>
              </w:rPr>
              <w:t>对比采购需求中“三、项目服务要求（二）供货安装方案的第4条”投标人提供的方案满足需求的得1分，优于需求的得1.25分，满分1.25分。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1.2500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项目售后服务方案及培训方案1</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对比采购需求中“三、项目服务要求（四）项目售后服务方案及培训方案的第1条”投标人提供的方案满足需求的得1.6分，优于需求的得2分，满分2分。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项目售后服务方案及培训方案2</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对比采购需求中“三、项目服务要求（四）项目售后服务方案及培训方案的第2条”投标人提供的方案满足需求的得1.6分，优于需求的得2分，满分2分。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项目售后服务方案及培训方案3</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对比采购需求中“三、项目服务要求（四）项目售后服务方案及培训方案的第3条”投标人提供的方案满足需求的得1.6分，优于需求的得2分，满分2分。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项目售后服务方案及培训方案4</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对比采购需求中“三、项目服务要求（四）项目售后服务方案及培训方案的第4条”投标人提供的方案满足需求的得1.6分，优于需求的得2分，满分2分。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项目售后服务方案及培训方案5</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对比采购需求中“三、项目服务要求（四）项目售后服务方案及培训方案的第5条”投标人提供的方案满足需求的得1.6分，优于需求的得2分，满分2分。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项目售后服务方案及培训方案6</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对比采购需求中“三、项目服务要求（四）项目售后服务方案及培训方案的第6条”投标人提供的方案满足需求的得1.6分，优于需求的得2分，满分2分。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项目售后服务方案及培训方案7</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对比采购需求中“三、项目服务要求（四）项目售后服务方案及培训方案的第7条”投标人提供的方案满足需求的得1.6分，优于需求的得2分，满分2分。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项目售后服务方案及培训方案8</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对比采购需求中“三、项目服务要求（四）项目售后服务方案及培训方案的第8条”投标人提供的方案满足需求的得1.6分，优于需求的得2分，满分2分。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项目售后服务方案及培训方案9</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对比采购需求中“三、项目服务要求（四）项目售后服务方案及培训方案的第9条”投标人提供的方案满足需求的得1.6分，优于需求的得2分，满分2分。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[HKGP]20250600012[GK]-1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海口市产教融合实训教育基地设备、设施项目(二次)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海口市产教融合实训教育基地设备、设施项目B包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投标人地址</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规格型号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A05010399-其他椅凳类</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1802573.16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1、如所投货物如涉及到多种品牌及规格型号，开标一览表中的品牌及及规格型号可填写“详见投标（响应）报价表”，同时投标人须在投标（响应）报价明细表中明确品牌及规格型号。</w:t>
      </w:r>
    </w:p>
    <w:p>
      <w:pPr>
        <w:pStyle w:val="null3"/>
        <w:jc w:val="left"/>
      </w:pPr>
      <w:r>
        <w:rPr>
          <w:rFonts w:ascii="仿宋_GB2312" w:hAnsi="仿宋_GB2312" w:cs="仿宋_GB2312" w:eastAsia="仿宋_GB2312"/>
        </w:rPr>
        <w:t xml:space="preserve"> 2、 投标人地址请填写营业执照上的地址。</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[HKGP]20250600012[GK]-1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海口市产教融合实训教育基地设备、设施项目(二次)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海口市产教融合实训教育基地设备、设施项目C包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投标人地址</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规格型号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A02020800-触控一体机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2350600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1、如所投货物如涉及到多种品牌及规格型号，开标一览表中的品牌及及规格型号可填写“详见投标（响应）报价表”，同时投标人须在投标（响应）报价明细表中明确品牌及规格型号。</w:t>
      </w:r>
    </w:p>
    <w:p>
      <w:pPr>
        <w:pStyle w:val="null3"/>
        <w:jc w:val="left"/>
      </w:pPr>
      <w:r>
        <w:rPr>
          <w:rFonts w:ascii="仿宋_GB2312" w:hAnsi="仿宋_GB2312" w:cs="仿宋_GB2312" w:eastAsia="仿宋_GB2312"/>
        </w:rPr>
        <w:t xml:space="preserve"> 2、 投标人地址请填写营业执照上的地址。</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