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海南智慧法院综合办公办案平台（一期）项目(包1二次招标)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HNZC2025-018-001（二）</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海南省高级人民法院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海南省高级人民法院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海南智慧法院综合办公办案平台（一期）项目(包1二次招标)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HNZC2025-018-001（二）</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海南智慧法院综合办公办案平台（一期）项目(包1二次招标)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12,796,753.29元</w:t>
      </w:r>
      <w:r>
        <w:rPr>
          <w:rFonts w:ascii="仿宋_GB2312" w:hAnsi="仿宋_GB2312" w:cs="仿宋_GB2312" w:eastAsia="仿宋_GB2312"/>
        </w:rPr>
        <w:t>壹仟贰佰柒拾玖万陆仟柒佰伍拾叁元贰角玖分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自合同签订之日起24个月。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1.本项目采购包1不收取投标保证金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海南省高级人民法院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海南省海口市龙昆南路123号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尧先生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0898-66969655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采购包1：12,796,753.29元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说明：项目终验通过后，乙方提交以甲方为受益人、履约保证金金额为合同总金额的3%、担保期限为项目终验通过之日起3年的履约保证金给甲方。 项目终验通过3年后无质量问题，甲方向乙方退还乙方所提交的履约保证金。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代理服务费收费标准：参照国家发展计划委员会文件《招标代理服务收费管理暂行办法》(计价格【2002】1980号)中相关规定93折优惠向中标人收取代理服务费。不足6000.00元的按照6000.00元收取。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3.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紧紧围绕人民法院信息化建设目标，基于科学、合理、可行的海南省法院信息化顶层设计，以全省司法数据中心为核心，以五大网系为纽带、融合大数据、人工智能等技术以及“互联网+”理念，致力于完成海南省法院信息化横向底层支撑体系及纵向应用体系的建设，深入开展全省法院司法数据的“聚”、“通”、“用”、“融”实现海南法院信息化水平的跨越式发展。</w:t>
      </w:r>
      <w:r>
        <w:br/>
      </w:r>
      <w:r>
        <w:rPr>
          <w:rFonts w:ascii="仿宋_GB2312" w:hAnsi="仿宋_GB2312" w:cs="仿宋_GB2312" w:eastAsia="仿宋_GB2312"/>
        </w:rPr>
        <w:t xml:space="preserve"> 本次项目建设内容：</w:t>
      </w:r>
      <w:r>
        <w:br/>
      </w:r>
      <w:r>
        <w:rPr>
          <w:rFonts w:ascii="仿宋_GB2312" w:hAnsi="仿宋_GB2312" w:cs="仿宋_GB2312" w:eastAsia="仿宋_GB2312"/>
        </w:rPr>
        <w:t xml:space="preserve"> 一、海南法院智慧审判系统：证券纠纷代表人诉讼服务系统、智慧审判密码改造。</w:t>
      </w:r>
      <w:r>
        <w:br/>
      </w:r>
      <w:r>
        <w:rPr>
          <w:rFonts w:ascii="仿宋_GB2312" w:hAnsi="仿宋_GB2312" w:cs="仿宋_GB2312" w:eastAsia="仿宋_GB2312"/>
        </w:rPr>
        <w:t xml:space="preserve"> 二、海南法院智慧诉服系统：智慧诉服密码改造。</w:t>
      </w:r>
      <w:r>
        <w:br/>
      </w:r>
      <w:r>
        <w:rPr>
          <w:rFonts w:ascii="仿宋_GB2312" w:hAnsi="仿宋_GB2312" w:cs="仿宋_GB2312" w:eastAsia="仿宋_GB2312"/>
        </w:rPr>
        <w:t xml:space="preserve"> 三、海南法院智慧执行系统：智慧执行系统密码改造。</w:t>
      </w:r>
      <w:r>
        <w:br/>
      </w:r>
      <w:r>
        <w:rPr>
          <w:rFonts w:ascii="仿宋_GB2312" w:hAnsi="仿宋_GB2312" w:cs="仿宋_GB2312" w:eastAsia="仿宋_GB2312"/>
        </w:rPr>
        <w:t xml:space="preserve"> 四、海南法院智慧管理系统：智慧教学管理系统。</w:t>
      </w:r>
      <w:r>
        <w:br/>
      </w:r>
      <w:r>
        <w:rPr>
          <w:rFonts w:ascii="仿宋_GB2312" w:hAnsi="仿宋_GB2312" w:cs="仿宋_GB2312" w:eastAsia="仿宋_GB2312"/>
        </w:rPr>
        <w:t xml:space="preserve"> 五、信息基础设施支撑系统：网络安全（安全等保、网络建设）、信任体系建设、安防监控系统与门禁、科技法庭及互联网法庭、DNS。</w:t>
      </w:r>
      <w:r>
        <w:br/>
      </w:r>
      <w:r>
        <w:rPr>
          <w:rFonts w:ascii="仿宋_GB2312" w:hAnsi="仿宋_GB2312" w:cs="仿宋_GB2312" w:eastAsia="仿宋_GB2312"/>
        </w:rPr>
        <w:t xml:space="preserve"> 具体采购需求详见附件！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12,796,753.29</w:t>
      </w:r>
    </w:p>
    <w:p>
      <w:pPr>
        <w:pStyle w:val="null3"/>
        <w:jc w:val="left"/>
      </w:pPr>
      <w:r>
        <w:rPr>
          <w:rFonts w:ascii="仿宋_GB2312" w:hAnsi="仿宋_GB2312" w:cs="仿宋_GB2312" w:eastAsia="仿宋_GB2312"/>
        </w:rPr>
        <w:t>采购包最高限价（元）: 12,796,753.29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海南智慧法院综合办公办案平台（一期）项目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12,796,753.29</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海南智慧法院综合办公办案平台（一期）项目</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12,796,753.29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标的名称：海南智慧法院综合办公办案平台（一期）项目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具体技术参数与性能指标、参数性质详见附件《采购需求》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具体商务要求，详见附件《采购需求》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满足第二十二条规定的承诺函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采购包1商务响应表 自觉抵制政府采购领域商业贿赂行为承诺书 封面 法定代表人资格证明书或法定代表人授权委托书 采购包1技术响应表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采购包1商务响应表 采购包1技术响应表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采购包1商务响应表 采购包1技术响应表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根据本项目的特点和要求，制定对本项目总体设计方案，至少包括： （1）对本项目建设内容的理解 （2）对本项目重点难点的分析及对策 （3）总体设计思路 （4）项目设计主要创新点 （5）制定对本项目详细设计方案。 A.方案涵盖上述所有内容，项目针对性强，且满足招标文件要求的，得5分； B.方案每缺少一项上述内容的，扣1分，扣完为止； C.每项内容每存在一项缺陷的，扣0.5分，扣完为止。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项目管理及组织实施方案</w:t>
            </w:r>
          </w:p>
        </w:tc>
        <w:tc>
          <w:tcPr>
            <w:tcW w:type="dxa" w:w="2492"/>
          </w:tcPr>
          <w:p>
            <w:pPr>
              <w:pStyle w:val="null3"/>
              <w:jc w:val="both"/>
            </w:pPr>
            <w:r>
              <w:rPr>
                <w:rFonts w:ascii="仿宋_GB2312" w:hAnsi="仿宋_GB2312" w:cs="仿宋_GB2312" w:eastAsia="仿宋_GB2312"/>
              </w:rPr>
              <w:t>根据本项目的特点和要求，提供项目管理及组织实施方案，至少包括： （1）项目实施管理方案 （2）详细实施进度计划 （3）项目实施团队构成 （4）项目质量保障方案 （5）项目风险识别与规避方案。 A.方案涵盖上述所有内容，项目针对性强，且满足招标文件要求的，得5分； B.方案每缺少一项上述内容的，扣1分，扣完为止； C.每项内容每存在一项缺陷的，扣0.5分，扣完为止。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根据本项目的特点和要求，提供售后服务方案，至少包括： 1、提供售后服务方案至少包括： （1）服务承诺 （2）售后技术支持与服务措施 （3）运维保障方案 （4）应急处置预案。 A.方案涵盖上述所有内容，项目针对性强，且满足招标文件要求的，得4分； B.方案每缺少一项上述内容的，扣1分，扣完为止； C.每项内容每存在一项缺陷的，扣0.5分，扣完为止。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提供培训方案至少包括： （1）培训计划及培训方式 （2）培训内容 （3）培训策略 （4）培训效果跟踪 （5）培训资料及培训考核。 A.方案涵盖上述所有内容，项目针对性强，且满足招标文件要求的，得5分； B.方案每缺少一项上述内容的，扣1分，扣完为止； C.每项内容每存在一项缺陷的，扣0.5分，扣完为止。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标注“▲”技术参数要求响应</w:t>
            </w:r>
          </w:p>
        </w:tc>
        <w:tc>
          <w:tcPr>
            <w:tcW w:type="dxa" w:w="2492"/>
          </w:tcPr>
          <w:p>
            <w:pPr>
              <w:pStyle w:val="null3"/>
              <w:jc w:val="both"/>
            </w:pPr>
            <w:r>
              <w:rPr>
                <w:rFonts w:ascii="仿宋_GB2312" w:hAnsi="仿宋_GB2312" w:cs="仿宋_GB2312" w:eastAsia="仿宋_GB2312"/>
              </w:rPr>
              <w:t>技术参数完全满足或优于招标文件第三章采购需求-1.1.4.1详细技术要求中标注“▲”指标满分15.6分，每有一项不满足扣0.4分，扣完为止； 评审依据：以技术响应偏离表为准，需按要求逐条响应。相同的软硬件设备技术参数不满足的不累计扣分。注：重复产品的参数不进行重复扣分。【重复产品是指相同名称且所有技术参数完全相同的产品，但其中（1）法院专网（专享云接入区）-入侵防御和法院专网（网络边界接入区）-入侵防御为同一类产品（2）24口楼层接入交换机和24口跨网接入交换机为同一类产品（3）汇聚交换机（共15条技术参数）和楼层接入交换机为同一类产品】</w:t>
            </w:r>
          </w:p>
        </w:tc>
        <w:tc>
          <w:tcPr>
            <w:tcW w:type="dxa" w:w="831"/>
          </w:tcPr>
          <w:p>
            <w:pPr>
              <w:pStyle w:val="null3"/>
              <w:jc w:val="right"/>
            </w:pPr>
            <w:r>
              <w:rPr>
                <w:rFonts w:ascii="仿宋_GB2312" w:hAnsi="仿宋_GB2312" w:cs="仿宋_GB2312" w:eastAsia="仿宋_GB2312"/>
              </w:rPr>
              <w:t>15.6000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采购包1技术响应表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一般技术参数要求响应</w:t>
            </w:r>
          </w:p>
        </w:tc>
        <w:tc>
          <w:tcPr>
            <w:tcW w:type="dxa" w:w="2492"/>
          </w:tcPr>
          <w:p>
            <w:pPr>
              <w:pStyle w:val="null3"/>
              <w:jc w:val="both"/>
            </w:pPr>
            <w:r>
              <w:rPr>
                <w:rFonts w:ascii="仿宋_GB2312" w:hAnsi="仿宋_GB2312" w:cs="仿宋_GB2312" w:eastAsia="仿宋_GB2312"/>
              </w:rPr>
              <w:t>技术参数完全满足或优于招标文件第三章采购需求-1.1.4.1详细技术要求中非“▲”指标满分6.4分，每有一项不满足扣0.01分，扣完为止。 评审依据：以技术响应偏离表为准，需按要求逐条响应。相同的软硬件设备技术参数不满足的不累计扣分。注：重复产品的参数不进行重复扣分。【重复产品是指相同名称且所有技术参数完全相同的产品，但其中（1）法院专网（专享云接入区）-入侵防御和法院专网（网络边界接入区）-入侵防御为同一类产品（2）24口楼层接入交换机和24口跨网接入交换机为同一类产品（3）汇聚交换机（共15条技术参数）和楼层接入交换机为同一类产品】</w:t>
            </w:r>
          </w:p>
        </w:tc>
        <w:tc>
          <w:tcPr>
            <w:tcW w:type="dxa" w:w="831"/>
          </w:tcPr>
          <w:p>
            <w:pPr>
              <w:pStyle w:val="null3"/>
              <w:jc w:val="right"/>
            </w:pPr>
            <w:r>
              <w:rPr>
                <w:rFonts w:ascii="仿宋_GB2312" w:hAnsi="仿宋_GB2312" w:cs="仿宋_GB2312" w:eastAsia="仿宋_GB2312"/>
              </w:rPr>
              <w:t>6.4000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采购包1技术响应表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1、投标人具有：ISO 9001质量管理体系认证证书，得2分。须提供有效期内的资质证书复印件，并加盖投标人公章，否则不得分。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2、投标人具有：ISO 27001信息安全管理体系认证证书，得2分。须提供有效期内的资质证书复印件，并加盖投标人公章，否则不得分。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3、投标人具有：ISO 20000信息技术服务管理体系认证证书，得2分。须提供有效期内的资质证书复印件，并加盖投标人公章，否则不得分。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4、投标人具有：信息系统建设和服务能力等级证书，五级得3分，四级得2分，三级得1分，其他不得分； 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5、投标人具有：ITSS信息技术服务运行维护符合性证书，一级得3分，二级得2分，三级得1分，其他不得分； 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6、投标人具有：CCRC信息安全服务资质证书（信息系统安全集成）,一级得3分，二级得2分，三级得1分，其他不得分； 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7、投标人具有：通信网络安全服务能力证书（风险评估）,三级得3分，二级得2分，一级得1分，其他不得分； 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所响应的对应项为成品软件（智慧庭审应用系统、证券纠纷代表人诉讼服务系统）的，需提供计算机软件著作权登记证书（或厂商授权书），每提供一项得1分，满分2分。（证明资料：提供有效的软件著作权证书或厂商授权书，复印件加盖投标人公章，提供证书不全或不提供均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投标人自2022年1月至今具有已完成的类似项目业绩，每提供一个1.5分，满分3分。（须提供中标（成交）通知书、合同关键页以及验收报告复印件并加盖公章，以验收报告时间为准。[合同关键页包括项目名称、合同主体单位名称、合同主要内容、合同金额、签订日期。]</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一、拟派项目经理（1人）具有： 1、信息系统项目管理师证书，得2分 证明材料：上述人员须提供证书复印件、身份证复印件，并提供所在单位2024年6月以来任意三个月的社保缴费证明，并加盖公章，不提供不得分。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采购包1项目经理委任书及简历表</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二、拟派技术团队成员（除项目经理外）具有： 1、系统架构设计师证书； 2、系统分析师证书； 每提供1个证书得2分，对于技术团队成员中同一人持有多个证件的只计算一次 证明材料：上述人员须提供证书复印件、身份证复印件，并提供所在单位2024年6月以来任意三个月的社保缴费证明，并加盖公章，不提供不得分。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采购包1拟任本项目人员汇总表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中小企业声明函（货物）（适用采购包1）</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HNZC2025-018-001（二）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海南智慧法院综合办公办案平台（一期）项目(包1二次招标)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海南智慧法院综合办公办案平台（一期）项目（采购包1）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工期</w:t>
            </w:r>
          </w:p>
        </w:tc>
        <w:tc>
          <w:tcPr>
            <w:tcW w:type="dxa" w:w="593"/>
          </w:tcPr>
          <w:p>
            <w:pPr>
              <w:pStyle w:val="null3"/>
              <w:jc w:val="left"/>
            </w:pPr>
            <w:r>
              <w:rPr>
                <w:rFonts w:ascii="仿宋_GB2312" w:hAnsi="仿宋_GB2312" w:cs="仿宋_GB2312" w:eastAsia="仿宋_GB2312"/>
              </w:rPr>
              <w:t xml:space="preserve"> 交货地点</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海南智慧法院综合办公办案平台（一期）项目</w:t>
            </w:r>
          </w:p>
        </w:tc>
        <w:tc>
          <w:tcPr>
            <w:tcW w:type="dxa" w:w="593"/>
          </w:tcPr>
          <w:p>
            <w:pPr>
              <w:pStyle w:val="null3"/>
              <w:jc w:val="left"/>
            </w:pPr>
            <w:r>
              <w:rPr>
                <w:rFonts w:ascii="仿宋_GB2312" w:hAnsi="仿宋_GB2312" w:cs="仿宋_GB2312" w:eastAsia="仿宋_GB2312"/>
              </w:rPr>
              <w:t xml:space="preserve"> 1.0000</w:t>
            </w:r>
          </w:p>
        </w:tc>
        <w:tc>
          <w:tcPr>
            <w:tcW w:type="dxa" w:w="593"/>
          </w:tcPr>
          <w:p>
            <w:pPr>
              <w:pStyle w:val="null3"/>
              <w:jc w:val="left"/>
            </w:pPr>
            <w:r>
              <w:rPr>
                <w:rFonts w:ascii="仿宋_GB2312" w:hAnsi="仿宋_GB2312" w:cs="仿宋_GB2312" w:eastAsia="仿宋_GB2312"/>
              </w:rPr>
              <w:t xml:space="preserve"> 套</w:t>
            </w:r>
          </w:p>
        </w:tc>
        <w:tc>
          <w:tcPr>
            <w:tcW w:type="dxa" w:w="593"/>
          </w:tcPr>
          <w:p>
            <w:pPr>
              <w:pStyle w:val="null3"/>
              <w:jc w:val="left"/>
            </w:pPr>
            <w:r>
              <w:rPr>
                <w:rFonts w:ascii="仿宋_GB2312" w:hAnsi="仿宋_GB2312" w:cs="仿宋_GB2312" w:eastAsia="仿宋_GB2312"/>
              </w:rPr>
              <w:t xml:space="preserve"> 12796753.29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备注：1、因智慧云系统设置问题，投标人在开标（报价）一览表中“响应报价”和“单价”仅填报本采购包的总报价</w:t>
      </w:r>
    </w:p>
    <w:p>
      <w:pPr>
        <w:pStyle w:val="null3"/>
        <w:jc w:val="left"/>
      </w:pPr>
      <w:r>
        <w:rPr>
          <w:rFonts w:ascii="仿宋_GB2312" w:hAnsi="仿宋_GB2312" w:cs="仿宋_GB2312" w:eastAsia="仿宋_GB2312"/>
        </w:rPr>
        <w:t>2、因智慧云系统设置问题，投标人在开标（报价）一览表中“产地”只能选填一个，请选填“法院专网（专享云接入区）-入侵防御”的产地。</w:t>
      </w:r>
    </w:p>
    <w:p>
      <w:pPr>
        <w:pStyle w:val="null3"/>
        <w:jc w:val="left"/>
      </w:pPr>
      <w:r>
        <w:rPr>
          <w:rFonts w:ascii="仿宋_GB2312" w:hAnsi="仿宋_GB2312" w:cs="仿宋_GB2312" w:eastAsia="仿宋_GB2312"/>
        </w:rPr>
        <w:t>3、投标人在开标（报价）一览表中“品牌”“规格”栏，请填写“详见采购包1投标（响应）报价明细表”</w:t>
      </w:r>
    </w:p>
    <w:p>
      <w:pPr>
        <w:pStyle w:val="null3"/>
        <w:jc w:val="left"/>
      </w:pPr>
      <w:r>
        <w:rPr>
          <w:rFonts w:ascii="仿宋_GB2312" w:hAnsi="仿宋_GB2312" w:cs="仿宋_GB2312" w:eastAsia="仿宋_GB2312"/>
        </w:rPr>
        <w:t>4.投标人在开标（报价）一览表中“备注”栏，请填写“具体产品的单价、产地、品牌及规格详见采购包1投标（响应）报价明细表”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详见附件：采购包1商务响应表</w:t>
      </w:r>
    </w:p>
    <w:p>
      <w:pPr>
        <w:pStyle w:val="null3"/>
        <w:ind w:firstLine="960"/>
        <w:jc w:val="left"/>
      </w:pPr>
      <w:r>
        <w:rPr>
          <w:rFonts w:ascii="仿宋_GB2312" w:hAnsi="仿宋_GB2312" w:cs="仿宋_GB2312" w:eastAsia="仿宋_GB2312"/>
        </w:rPr>
        <w:t>详见附件：采购包1技术响应表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详见附件：中小企业声明函（货物）（适用采购包1）</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详见附件：信用查询</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详见附件：满足第二十二条规定的承诺函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详见附件：采购包1项目经理委任书及简历表</w:t>
      </w:r>
    </w:p>
    <w:p>
      <w:pPr>
        <w:pStyle w:val="null3"/>
        <w:ind w:firstLine="960"/>
        <w:jc w:val="left"/>
      </w:pPr>
      <w:r>
        <w:rPr>
          <w:rFonts w:ascii="仿宋_GB2312" w:hAnsi="仿宋_GB2312" w:cs="仿宋_GB2312" w:eastAsia="仿宋_GB2312"/>
        </w:rPr>
        <w:t>详见附件：采购包1拟任本项目人员汇总表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