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sz w:val="40"/>
          <w:szCs w:val="40"/>
          <w:lang w:val="en-US" w:eastAsia="zh-CN"/>
        </w:rPr>
      </w:pPr>
      <w:bookmarkStart w:id="0" w:name="_Toc31721"/>
      <w:bookmarkStart w:id="1" w:name="_Toc7170"/>
      <w:bookmarkStart w:id="2" w:name="_Toc433127012"/>
      <w:r>
        <w:rPr>
          <w:rFonts w:hint="eastAsia" w:ascii="宋体" w:hAnsi="宋体" w:cs="宋体"/>
          <w:sz w:val="40"/>
          <w:szCs w:val="40"/>
          <w:lang w:val="en-US" w:eastAsia="zh-CN"/>
        </w:rPr>
        <w:t>第三章 采购需求</w:t>
      </w:r>
    </w:p>
    <w:p>
      <w:pPr>
        <w:rPr>
          <w:rFonts w:hint="eastAsia"/>
        </w:rPr>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第1包</w:t>
      </w:r>
      <w:r>
        <w:rPr>
          <w:rFonts w:hint="eastAsia" w:ascii="宋体" w:hAnsi="宋体" w:cs="宋体"/>
          <w:sz w:val="32"/>
          <w:szCs w:val="32"/>
          <w:lang w:val="en-US" w:eastAsia="zh-CN"/>
        </w:rPr>
        <w:t>（原第10包）</w:t>
      </w:r>
      <w:r>
        <w:rPr>
          <w:rFonts w:hint="eastAsia" w:ascii="宋体" w:hAnsi="宋体" w:eastAsia="宋体" w:cs="宋体"/>
          <w:b/>
          <w:bCs/>
          <w:sz w:val="32"/>
          <w:szCs w:val="32"/>
          <w:lang w:val="en-US" w:eastAsia="zh-CN"/>
        </w:rPr>
        <w:t>：数据库管理平台使用和Oracle数据库运维服务用户需求书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（原</w:t>
      </w:r>
      <w:bookmarkStart w:id="8" w:name="_GoBack"/>
      <w:bookmarkEnd w:id="8"/>
      <w:r>
        <w:rPr>
          <w:rFonts w:hint="eastAsia" w:ascii="宋体" w:hAnsi="宋体" w:cs="宋体"/>
          <w:sz w:val="24"/>
          <w:lang w:val="en-US" w:eastAsia="zh-CN"/>
        </w:rPr>
        <w:t>第10包）-</w:t>
      </w:r>
      <w:r>
        <w:rPr>
          <w:rFonts w:hint="eastAsia" w:ascii="宋体" w:hAnsi="宋体" w:eastAsia="宋体" w:cs="宋体"/>
          <w:sz w:val="24"/>
          <w:szCs w:val="24"/>
          <w:lang w:val="en-US" w:eastAsia="zh-CN"/>
        </w:rPr>
        <w:t>数据库管理平台使用和Oracle数据库运维服务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项目采购预算：60.15万元（其中数据库管理平台使用服务采购预算35.2万元，Oracle数据库运维服务24.95万元）。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数据库管理平台使用服务</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Oracle数据库3个计算节点、4个存储节点的资源监控管理平台</w:t>
      </w:r>
      <w:r>
        <w:rPr>
          <w:rFonts w:hint="eastAsia" w:ascii="宋体" w:hAnsi="宋体" w:eastAsia="宋体" w:cs="宋体"/>
          <w:sz w:val="24"/>
          <w:szCs w:val="24"/>
          <w:lang w:eastAsia="zh-CN"/>
        </w:rPr>
        <w:t>使用</w:t>
      </w:r>
      <w:r>
        <w:rPr>
          <w:rFonts w:hint="eastAsia" w:ascii="宋体" w:hAnsi="宋体" w:eastAsia="宋体" w:cs="宋体"/>
          <w:sz w:val="24"/>
          <w:szCs w:val="24"/>
        </w:rPr>
        <w:t>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存算</w:t>
      </w:r>
      <w:r>
        <w:rPr>
          <w:rFonts w:hint="eastAsia" w:ascii="宋体" w:hAnsi="宋体" w:eastAsia="宋体" w:cs="宋体"/>
          <w:sz w:val="24"/>
          <w:szCs w:val="24"/>
        </w:rPr>
        <w:t>资源硬件管理</w:t>
      </w:r>
      <w:r>
        <w:rPr>
          <w:rFonts w:hint="eastAsia" w:ascii="宋体" w:hAnsi="宋体" w:eastAsia="宋体" w:cs="宋体"/>
          <w:sz w:val="24"/>
          <w:szCs w:val="24"/>
          <w:lang w:val="en-US" w:eastAsia="zh-CN"/>
        </w:rPr>
        <w:t>能力；</w:t>
      </w:r>
      <w:r>
        <w:rPr>
          <w:rFonts w:hint="eastAsia" w:ascii="宋体" w:hAnsi="宋体" w:eastAsia="宋体" w:cs="宋体"/>
          <w:sz w:val="24"/>
          <w:szCs w:val="24"/>
        </w:rPr>
        <w:t>网络资源硬件管理</w:t>
      </w:r>
      <w:r>
        <w:rPr>
          <w:rFonts w:hint="eastAsia" w:ascii="宋体" w:hAnsi="宋体" w:eastAsia="宋体" w:cs="宋体"/>
          <w:sz w:val="24"/>
          <w:szCs w:val="24"/>
          <w:lang w:val="en-US" w:eastAsia="zh-CN"/>
        </w:rPr>
        <w:t>能力；</w:t>
      </w:r>
      <w:r>
        <w:rPr>
          <w:rFonts w:hint="eastAsia" w:ascii="宋体" w:hAnsi="宋体" w:eastAsia="宋体" w:cs="宋体"/>
          <w:sz w:val="24"/>
          <w:szCs w:val="24"/>
        </w:rPr>
        <w:t>存储资源管理</w:t>
      </w:r>
      <w:r>
        <w:rPr>
          <w:rFonts w:hint="eastAsia" w:ascii="宋体" w:hAnsi="宋体" w:eastAsia="宋体" w:cs="宋体"/>
          <w:sz w:val="24"/>
          <w:szCs w:val="24"/>
          <w:lang w:val="en-US" w:eastAsia="zh-CN"/>
        </w:rPr>
        <w:t>能力；</w:t>
      </w:r>
      <w:r>
        <w:rPr>
          <w:rFonts w:hint="eastAsia" w:ascii="宋体" w:hAnsi="宋体" w:eastAsia="宋体" w:cs="宋体"/>
          <w:sz w:val="24"/>
          <w:szCs w:val="24"/>
        </w:rPr>
        <w:t>数据库资源管理</w:t>
      </w:r>
      <w:r>
        <w:rPr>
          <w:rFonts w:hint="eastAsia" w:ascii="宋体" w:hAnsi="宋体" w:eastAsia="宋体" w:cs="宋体"/>
          <w:sz w:val="24"/>
          <w:szCs w:val="24"/>
          <w:lang w:val="en-US" w:eastAsia="zh-CN"/>
        </w:rPr>
        <w:t>能力；</w:t>
      </w:r>
      <w:r>
        <w:rPr>
          <w:rFonts w:hint="eastAsia" w:ascii="宋体" w:hAnsi="宋体" w:eastAsia="宋体" w:cs="宋体"/>
          <w:sz w:val="24"/>
          <w:szCs w:val="24"/>
        </w:rPr>
        <w:t>数据救援</w:t>
      </w:r>
      <w:r>
        <w:rPr>
          <w:rFonts w:hint="eastAsia" w:ascii="宋体" w:hAnsi="宋体" w:eastAsia="宋体" w:cs="宋体"/>
          <w:sz w:val="24"/>
          <w:szCs w:val="24"/>
          <w:lang w:eastAsia="zh-CN"/>
        </w:rPr>
        <w:t>服务</w:t>
      </w:r>
      <w:r>
        <w:rPr>
          <w:rFonts w:hint="eastAsia" w:ascii="宋体" w:hAnsi="宋体" w:eastAsia="宋体" w:cs="宋体"/>
          <w:sz w:val="24"/>
          <w:szCs w:val="24"/>
          <w:lang w:val="en-US" w:eastAsia="zh-CN"/>
        </w:rPr>
        <w:t>能力；</w:t>
      </w:r>
      <w:r>
        <w:rPr>
          <w:rFonts w:hint="eastAsia" w:ascii="宋体" w:hAnsi="宋体" w:eastAsia="宋体" w:cs="宋体"/>
          <w:sz w:val="24"/>
          <w:szCs w:val="24"/>
        </w:rPr>
        <w:t>统一监控告警管理服务</w:t>
      </w:r>
      <w:r>
        <w:rPr>
          <w:rFonts w:hint="eastAsia" w:ascii="宋体" w:hAnsi="宋体" w:eastAsia="宋体" w:cs="宋体"/>
          <w:sz w:val="24"/>
          <w:szCs w:val="24"/>
          <w:lang w:val="en-US" w:eastAsia="zh-CN"/>
        </w:rPr>
        <w:t>；国产化服务适配工作</w:t>
      </w:r>
      <w:r>
        <w:rPr>
          <w:rFonts w:hint="eastAsia" w:ascii="宋体" w:hAnsi="宋体" w:eastAsia="宋体" w:cs="宋体"/>
          <w:sz w:val="24"/>
          <w:szCs w:val="24"/>
          <w:lang w:eastAsia="zh-CN"/>
        </w:rPr>
        <w:t>等。</w:t>
      </w:r>
    </w:p>
    <w:p>
      <w:pPr>
        <w:numPr>
          <w:ilvl w:val="0"/>
          <w:numId w:val="0"/>
        </w:numPr>
        <w:adjustRightInd/>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eastAsia="zh-CN"/>
        </w:rPr>
        <w:t>（二）</w:t>
      </w:r>
      <w:r>
        <w:rPr>
          <w:rFonts w:hint="eastAsia" w:ascii="宋体" w:hAnsi="宋体" w:eastAsia="宋体" w:cs="宋体"/>
          <w:sz w:val="24"/>
          <w:szCs w:val="24"/>
        </w:rPr>
        <w:t>Oracle数据库运维</w:t>
      </w:r>
      <w:r>
        <w:rPr>
          <w:rFonts w:hint="eastAsia" w:ascii="宋体" w:hAnsi="宋体" w:eastAsia="宋体" w:cs="宋体"/>
          <w:sz w:val="24"/>
          <w:szCs w:val="24"/>
          <w:lang w:val="en-US" w:eastAsia="zh-CN"/>
        </w:rPr>
        <w:t>服务</w:t>
      </w:r>
    </w:p>
    <w:p>
      <w:pPr>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 xml:space="preserve"> </w:t>
      </w:r>
      <w:r>
        <w:rPr>
          <w:rFonts w:hint="eastAsia" w:ascii="宋体" w:hAnsi="宋体" w:cs="宋体"/>
          <w:sz w:val="24"/>
          <w:szCs w:val="24"/>
          <w:lang w:eastAsia="zh-CN"/>
        </w:rPr>
        <w:t>通过专业的维保服务保持海南省财政核心业务系统Oracle数据库使用的持续性，降低系统故障率、提升数据库系统性能有效的提高运维工作效率。</w:t>
      </w:r>
      <w:r>
        <w:rPr>
          <w:rFonts w:hint="eastAsia" w:ascii="宋体" w:hAnsi="宋体" w:cs="宋体"/>
          <w:sz w:val="24"/>
          <w:szCs w:val="24"/>
          <w:lang w:val="en-US" w:eastAsia="zh-CN"/>
        </w:rPr>
        <w:t>服务内容如下</w:t>
      </w:r>
      <w:r>
        <w:rPr>
          <w:rFonts w:hint="eastAsia" w:ascii="宋体" w:hAnsi="宋体" w:cs="宋体"/>
          <w:sz w:val="24"/>
          <w:szCs w:val="24"/>
          <w:lang w:eastAsia="zh-CN"/>
        </w:rPr>
        <w:t>：</w:t>
      </w:r>
    </w:p>
    <w:tbl>
      <w:tblPr>
        <w:tblStyle w:val="28"/>
        <w:tblW w:w="92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428"/>
        <w:gridCol w:w="3011"/>
        <w:gridCol w:w="1021"/>
        <w:gridCol w:w="1958"/>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jc w:val="center"/>
        </w:trPr>
        <w:tc>
          <w:tcPr>
            <w:tcW w:w="853"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序号</w:t>
            </w:r>
          </w:p>
        </w:tc>
        <w:tc>
          <w:tcPr>
            <w:tcW w:w="1428"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服务名称</w:t>
            </w:r>
          </w:p>
        </w:tc>
        <w:tc>
          <w:tcPr>
            <w:tcW w:w="3011"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明细描述</w:t>
            </w:r>
          </w:p>
        </w:tc>
        <w:tc>
          <w:tcPr>
            <w:tcW w:w="1021"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数量</w:t>
            </w:r>
          </w:p>
        </w:tc>
        <w:tc>
          <w:tcPr>
            <w:tcW w:w="1958"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服务</w:t>
            </w:r>
            <w:r>
              <w:rPr>
                <w:rFonts w:hint="eastAsia" w:ascii="宋体" w:hAnsi="宋体" w:eastAsia="宋体" w:cs="宋体"/>
                <w:b/>
                <w:bCs w:val="0"/>
                <w:color w:val="000000"/>
                <w:kern w:val="0"/>
                <w:sz w:val="24"/>
                <w:szCs w:val="24"/>
                <w:lang w:eastAsia="zh-CN"/>
              </w:rPr>
              <w:t>说明</w:t>
            </w:r>
          </w:p>
        </w:tc>
        <w:tc>
          <w:tcPr>
            <w:tcW w:w="995"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数据库远程维保服务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数据库运维包括：</w:t>
            </w:r>
            <w:r>
              <w:rPr>
                <w:rFonts w:hint="eastAsia" w:ascii="宋体" w:hAnsi="宋体" w:eastAsia="宋体" w:cs="宋体"/>
                <w:bCs/>
                <w:color w:val="000000"/>
                <w:kern w:val="0"/>
                <w:sz w:val="24"/>
                <w:szCs w:val="24"/>
              </w:rPr>
              <w:t xml:space="preserve">HIFASP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CCFASP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CNFASP </w:t>
            </w:r>
          </w:p>
          <w:p>
            <w:pPr>
              <w:widowControl/>
              <w:spacing w:before="19" w:line="300" w:lineRule="exact"/>
              <w:jc w:val="left"/>
              <w:rPr>
                <w:rFonts w:hint="eastAsia" w:ascii="宋体" w:hAnsi="宋体" w:eastAsia="宋体" w:cs="宋体"/>
                <w:bCs/>
                <w:color w:val="000000"/>
                <w:kern w:val="0"/>
                <w:sz w:val="24"/>
                <w:szCs w:val="24"/>
                <w:lang w:val="en-US" w:eastAsia="zh-CN"/>
              </w:rPr>
            </w:pP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OTFASP</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HIOTHER</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HIACCMIS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GFMIS </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val="en-US" w:eastAsia="zh-CN"/>
              </w:rPr>
              <w:t>7</w:t>
            </w:r>
            <w:r>
              <w:rPr>
                <w:rFonts w:hint="eastAsia" w:ascii="宋体" w:hAnsi="宋体" w:eastAsia="宋体" w:cs="宋体"/>
                <w:bCs/>
                <w:color w:val="000000"/>
                <w:kern w:val="0"/>
                <w:sz w:val="24"/>
                <w:szCs w:val="24"/>
              </w:rPr>
              <w:t>套</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提供7* 24小时不间断服务，不限次数电话、在线、远程接入服务。</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2</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数据库人天服务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高级</w:t>
            </w:r>
            <w:r>
              <w:rPr>
                <w:rFonts w:hint="eastAsia" w:ascii="宋体" w:hAnsi="宋体" w:eastAsia="宋体" w:cs="宋体"/>
                <w:bCs/>
                <w:color w:val="000000"/>
                <w:kern w:val="0"/>
                <w:sz w:val="24"/>
                <w:szCs w:val="24"/>
              </w:rPr>
              <w:t>工程师服务</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10天</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数据库高级技术现场支持人天服务</w:t>
            </w:r>
            <w:r>
              <w:rPr>
                <w:rFonts w:hint="eastAsia" w:ascii="宋体" w:hAnsi="宋体" w:eastAsia="宋体" w:cs="宋体"/>
                <w:bCs/>
                <w:color w:val="000000"/>
                <w:kern w:val="0"/>
                <w:sz w:val="24"/>
                <w:szCs w:val="24"/>
                <w:lang w:eastAsia="zh-CN"/>
              </w:rPr>
              <w:t>。</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7"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3</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数据库常规健康</w:t>
            </w:r>
            <w:r>
              <w:rPr>
                <w:rFonts w:hint="eastAsia" w:ascii="宋体" w:hAnsi="宋体" w:eastAsia="宋体" w:cs="宋体"/>
                <w:bCs/>
                <w:color w:val="000000"/>
                <w:kern w:val="0"/>
                <w:sz w:val="24"/>
                <w:szCs w:val="24"/>
                <w:lang w:eastAsia="zh-CN"/>
              </w:rPr>
              <w:t>巡检</w:t>
            </w:r>
            <w:r>
              <w:rPr>
                <w:rFonts w:hint="eastAsia" w:ascii="宋体" w:hAnsi="宋体" w:eastAsia="宋体" w:cs="宋体"/>
                <w:bCs/>
                <w:color w:val="000000"/>
                <w:kern w:val="0"/>
                <w:sz w:val="24"/>
                <w:szCs w:val="24"/>
              </w:rPr>
              <w:t>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HIFASP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CCFASP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CNFASP </w:t>
            </w:r>
          </w:p>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OTFASP</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HIOTHER</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HIACCMIS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GFMIS </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1次*</w:t>
            </w:r>
            <w:r>
              <w:rPr>
                <w:rFonts w:hint="eastAsia" w:ascii="宋体" w:hAnsi="宋体" w:eastAsia="宋体" w:cs="宋体"/>
                <w:bCs/>
                <w:color w:val="000000"/>
                <w:kern w:val="0"/>
                <w:sz w:val="24"/>
                <w:szCs w:val="24"/>
                <w:lang w:val="en-US" w:eastAsia="zh-CN"/>
              </w:rPr>
              <w:t>7</w:t>
            </w:r>
            <w:r>
              <w:rPr>
                <w:rFonts w:hint="eastAsia" w:ascii="宋体" w:hAnsi="宋体" w:eastAsia="宋体" w:cs="宋体"/>
                <w:bCs/>
                <w:color w:val="000000"/>
                <w:kern w:val="0"/>
                <w:sz w:val="24"/>
                <w:szCs w:val="24"/>
              </w:rPr>
              <w:t>套/半年</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项目范围内的数据库常规巡检，协助分析峰值原因并提供解决方案 </w:t>
            </w:r>
            <w:r>
              <w:rPr>
                <w:rFonts w:hint="eastAsia" w:ascii="宋体" w:hAnsi="宋体" w:eastAsia="宋体" w:cs="宋体"/>
                <w:bCs/>
                <w:color w:val="000000"/>
                <w:kern w:val="0"/>
                <w:sz w:val="24"/>
                <w:szCs w:val="24"/>
                <w:lang w:eastAsia="zh-CN"/>
              </w:rPr>
              <w:t>。</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bl>
    <w:p>
      <w:pPr>
        <w:spacing w:line="360" w:lineRule="auto"/>
        <w:ind w:firstLine="0" w:firstLineChars="0"/>
        <w:rPr>
          <w:rFonts w:hint="eastAsia" w:ascii="宋体" w:hAnsi="宋体" w:cs="宋体"/>
          <w:sz w:val="24"/>
          <w:szCs w:val="24"/>
          <w:lang w:val="en-US" w:eastAsia="zh-CN"/>
        </w:rPr>
      </w:pP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widowControl/>
        <w:spacing w:line="460" w:lineRule="exact"/>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w:t>
      </w:r>
      <w:r>
        <w:rPr>
          <w:rFonts w:hint="eastAsia" w:ascii="宋体" w:hAnsi="宋体" w:eastAsia="宋体" w:cs="宋体"/>
          <w:kern w:val="2"/>
          <w:sz w:val="24"/>
          <w:szCs w:val="24"/>
          <w:lang w:val="en-US" w:eastAsia="zh-CN"/>
        </w:rPr>
        <w:t>时间为2025年12月1日至2026年11月30日。</w:t>
      </w:r>
    </w:p>
    <w:p>
      <w:pPr>
        <w:spacing w:line="46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五、服务要求</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460" w:lineRule="exact"/>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（1）供应商需具有履行本项目合同的数据库管理平台使用相关技术和经验。</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460" w:lineRule="exact"/>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★应当具有与项目合同履行相关的技术服务经验，熟悉数据库管理平台，出现平台问题能及时解决。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管理平台技术服务人员的在职情况不影响服务质量，不得以服务人员离职、休假等原因延迟或不提供服务。如有情况需提前与采购人协商，并提供具有可行性的解决方案，不得影响采购人正常开展工作。</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    </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460" w:lineRule="exact"/>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供应商向采购方提供的平台使用服务报告，内容包括：服务工作总结、服务工作记录表、服务报告确认单等。</w:t>
      </w: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pStyle w:val="2"/>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w:t>
      </w:r>
      <w:r>
        <w:rPr>
          <w:rFonts w:hint="eastAsia" w:ascii="宋体" w:hAnsi="宋体" w:cs="宋体"/>
          <w:b/>
          <w:bCs/>
          <w:sz w:val="32"/>
          <w:szCs w:val="32"/>
          <w:lang w:val="en-US" w:eastAsia="zh-CN"/>
        </w:rPr>
        <w:t>2</w:t>
      </w:r>
      <w:r>
        <w:rPr>
          <w:rFonts w:hint="eastAsia" w:ascii="宋体" w:hAnsi="宋体" w:eastAsia="宋体" w:cs="宋体"/>
          <w:b/>
          <w:bCs/>
          <w:sz w:val="32"/>
          <w:szCs w:val="32"/>
          <w:lang w:val="en-US" w:eastAsia="zh-CN"/>
        </w:rPr>
        <w:t>包</w:t>
      </w:r>
      <w:r>
        <w:rPr>
          <w:rFonts w:hint="eastAsia" w:ascii="宋体" w:hAnsi="宋体" w:cs="宋体"/>
          <w:sz w:val="32"/>
          <w:szCs w:val="32"/>
          <w:lang w:val="en-US" w:eastAsia="zh-CN"/>
        </w:rPr>
        <w:t>（原第11包）</w:t>
      </w:r>
      <w:r>
        <w:rPr>
          <w:rFonts w:hint="eastAsia" w:ascii="宋体" w:hAnsi="宋体" w:eastAsia="宋体" w:cs="宋体"/>
          <w:b/>
          <w:bCs/>
          <w:sz w:val="32"/>
          <w:szCs w:val="32"/>
          <w:lang w:val="en-US" w:eastAsia="zh-CN"/>
        </w:rPr>
        <w:t>：存储系统设备和小型机运维服务用户需求书</w:t>
      </w:r>
    </w:p>
    <w:p>
      <w:pPr>
        <w:widowControl w:val="0"/>
        <w:wordWrap/>
        <w:adjustRightInd/>
        <w:snapToGrid/>
        <w:spacing w:line="360" w:lineRule="auto"/>
        <w:ind w:firstLine="0" w:firstLineChars="0"/>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一、</w:t>
      </w:r>
      <w:r>
        <w:rPr>
          <w:rFonts w:hint="eastAsia" w:ascii="宋体" w:hAnsi="宋体" w:eastAsia="宋体" w:cs="宋体"/>
          <w:b/>
          <w:bCs/>
          <w:sz w:val="24"/>
          <w:szCs w:val="24"/>
          <w:lang w:val="en-US" w:eastAsia="zh-CN"/>
        </w:rPr>
        <w:t>项目概况</w:t>
      </w:r>
    </w:p>
    <w:p>
      <w:pPr>
        <w:widowControl w:val="0"/>
        <w:wordWrap/>
        <w:adjustRightInd/>
        <w:snapToGrid/>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项目名称：海南省财政厅2025年信息系统运行维护政府采购项目</w:t>
      </w:r>
      <w:r>
        <w:rPr>
          <w:rFonts w:hint="eastAsia" w:ascii="宋体" w:hAnsi="宋体" w:cs="宋体"/>
          <w:sz w:val="24"/>
          <w:lang w:val="en-US" w:eastAsia="zh-CN"/>
        </w:rPr>
        <w:t>（原第11包）-存储系统设备和小型机运维</w:t>
      </w:r>
      <w:r>
        <w:rPr>
          <w:rFonts w:hint="eastAsia" w:ascii="宋体" w:hAnsi="宋体" w:eastAsia="宋体" w:cs="宋体"/>
          <w:sz w:val="24"/>
          <w:szCs w:val="24"/>
          <w:lang w:val="en-US" w:eastAsia="zh-CN"/>
        </w:rPr>
        <w:t>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项目单位：海南省财政科技服务中心；</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采购预算29.6204万元</w:t>
      </w:r>
      <w:r>
        <w:rPr>
          <w:rFonts w:hint="eastAsia" w:ascii="宋体" w:hAnsi="宋体" w:cs="宋体"/>
          <w:sz w:val="24"/>
          <w:szCs w:val="24"/>
          <w:lang w:val="en-US" w:eastAsia="zh-CN"/>
        </w:rPr>
        <w:t>。</w:t>
      </w:r>
    </w:p>
    <w:p>
      <w:pPr>
        <w:widowControl w:val="0"/>
        <w:wordWrap/>
        <w:adjustRightInd/>
        <w:snapToGrid/>
        <w:spacing w:line="360" w:lineRule="auto"/>
        <w:ind w:firstLine="0" w:firstLineChars="0"/>
        <w:textAlignment w:val="auto"/>
        <w:rPr>
          <w:rFonts w:hint="eastAsia" w:ascii="宋体" w:hAnsi="宋体" w:eastAsia="宋体" w:cs="宋体"/>
          <w:b/>
          <w:bCs/>
          <w:i w:val="0"/>
          <w:iCs w:val="0"/>
          <w:sz w:val="24"/>
          <w:szCs w:val="24"/>
          <w:lang w:val="en-US" w:eastAsia="zh-CN"/>
        </w:rPr>
      </w:pPr>
      <w:r>
        <w:rPr>
          <w:rFonts w:hint="eastAsia" w:ascii="宋体" w:hAnsi="宋体" w:cs="宋体"/>
          <w:b/>
          <w:bCs/>
          <w:i w:val="0"/>
          <w:iCs w:val="0"/>
          <w:sz w:val="24"/>
          <w:szCs w:val="24"/>
          <w:lang w:val="en-US" w:eastAsia="zh-CN"/>
        </w:rPr>
        <w:t>二、</w:t>
      </w:r>
      <w:r>
        <w:rPr>
          <w:rFonts w:hint="eastAsia" w:ascii="宋体" w:hAnsi="宋体" w:eastAsia="宋体" w:cs="宋体"/>
          <w:b/>
          <w:bCs/>
          <w:i w:val="0"/>
          <w:iCs w:val="0"/>
          <w:sz w:val="24"/>
          <w:szCs w:val="24"/>
          <w:lang w:eastAsia="zh-CN"/>
        </w:rPr>
        <w:t>服务</w:t>
      </w:r>
      <w:r>
        <w:rPr>
          <w:rFonts w:hint="eastAsia" w:ascii="宋体" w:hAnsi="宋体" w:eastAsia="宋体" w:cs="宋体"/>
          <w:b/>
          <w:bCs/>
          <w:i w:val="0"/>
          <w:iCs w:val="0"/>
          <w:sz w:val="24"/>
          <w:szCs w:val="24"/>
          <w:lang w:val="en-US" w:eastAsia="zh-CN"/>
        </w:rPr>
        <w:t>内容</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（一）</w:t>
      </w:r>
      <w:r>
        <w:rPr>
          <w:rFonts w:hint="eastAsia" w:ascii="宋体" w:hAnsi="宋体" w:eastAsia="宋体" w:cs="宋体"/>
          <w:sz w:val="24"/>
          <w:szCs w:val="24"/>
          <w:lang w:val="en-US" w:eastAsia="zh-CN"/>
        </w:rPr>
        <w:t>存储系统维保服务。具体情况如下：</w:t>
      </w:r>
    </w:p>
    <w:tbl>
      <w:tblPr>
        <w:tblStyle w:val="28"/>
        <w:tblW w:w="96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9"/>
        <w:gridCol w:w="1185"/>
        <w:gridCol w:w="1299"/>
        <w:gridCol w:w="750"/>
        <w:gridCol w:w="5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8" w:hRule="atLeast"/>
        </w:trPr>
        <w:tc>
          <w:tcPr>
            <w:tcW w:w="75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序号</w:t>
            </w:r>
          </w:p>
        </w:tc>
        <w:tc>
          <w:tcPr>
            <w:tcW w:w="1185"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产品名称</w:t>
            </w:r>
          </w:p>
        </w:tc>
        <w:tc>
          <w:tcPr>
            <w:tcW w:w="129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品牌型号</w:t>
            </w:r>
          </w:p>
        </w:tc>
        <w:tc>
          <w:tcPr>
            <w:tcW w:w="750"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数量</w:t>
            </w:r>
          </w:p>
        </w:tc>
        <w:tc>
          <w:tcPr>
            <w:tcW w:w="5676"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配置及服务描述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53" w:hRule="atLeast"/>
        </w:trPr>
        <w:tc>
          <w:tcPr>
            <w:tcW w:w="75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11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企业级高端存储</w:t>
            </w:r>
          </w:p>
        </w:tc>
        <w:tc>
          <w:tcPr>
            <w:tcW w:w="129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HDS VSP</w:t>
            </w:r>
          </w:p>
        </w:tc>
        <w:tc>
          <w:tcPr>
            <w:tcW w:w="7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5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两块MPB板卡、94块900GB SAS10K硬盘、33块1.2TB SAS10K 硬盘等，设备性能检测，运行状况观察、测试和分析；设备维护，故障处理及修复；设备防静电除尘；运行日志填写；配件支持；季度巡检等。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trPr>
        <w:tc>
          <w:tcPr>
            <w:tcW w:w="75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11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SAN光纤交换机</w:t>
            </w:r>
          </w:p>
        </w:tc>
        <w:tc>
          <w:tcPr>
            <w:tcW w:w="129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brocade 6510</w:t>
            </w:r>
          </w:p>
        </w:tc>
        <w:tc>
          <w:tcPr>
            <w:tcW w:w="7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5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设备性能检测，运行状况观察、测试和分析；设备维护，故障处理及修复；设备防静电除尘；运行日志填写；配件支持；季度巡检等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0" w:hRule="atLeast"/>
        </w:trPr>
        <w:tc>
          <w:tcPr>
            <w:tcW w:w="75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3</w:t>
            </w:r>
          </w:p>
        </w:tc>
        <w:tc>
          <w:tcPr>
            <w:tcW w:w="1185"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CDP设备</w:t>
            </w:r>
          </w:p>
        </w:tc>
        <w:tc>
          <w:tcPr>
            <w:tcW w:w="129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powervault MD1220</w:t>
            </w:r>
          </w:p>
        </w:tc>
        <w:tc>
          <w:tcPr>
            <w:tcW w:w="750"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5676"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飞康CDP机头：2U FalconStor飞康GA700 CDP机头一个，两路Intel Xeon E5-2620@2GH处理器，32GB内存，两块500GB近线SAS磁盘，4个千兆以太网口，两块8Gb双口光纤卡，一块双口6GbSAS卡；FalconStor Software持续数据保护软件7.8 (Build 7832），40TB扩展容量许可。</w:t>
            </w:r>
          </w:p>
          <w:p>
            <w:pPr>
              <w:spacing w:before="0" w:beforeAutospacing="0" w:after="0" w:afterAutospacing="0"/>
              <w:ind w:left="0" w:right="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飞康CDP扩展柜：2U MD1220扩展柜4个，每控制柜含双电源双控制器，每控制柜前置24块2.5英寸1.2TB 10K转近线SAS盘。</w:t>
            </w:r>
          </w:p>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硬件设备维保，系统运行监测、资源逻辑分配、性能调优、排查系统错误隐患、持续优化建议、季度巡检等</w:t>
            </w:r>
          </w:p>
        </w:tc>
      </w:tr>
    </w:tbl>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小型机维保服务</w:t>
      </w:r>
      <w:r>
        <w:rPr>
          <w:rFonts w:hint="eastAsia" w:ascii="宋体" w:hAnsi="宋体" w:eastAsia="宋体" w:cs="宋体"/>
          <w:sz w:val="24"/>
          <w:szCs w:val="24"/>
        </w:rPr>
        <w:t>。</w:t>
      </w:r>
      <w:r>
        <w:rPr>
          <w:rFonts w:hint="eastAsia" w:ascii="宋体" w:hAnsi="宋体" w:eastAsia="宋体" w:cs="宋体"/>
          <w:sz w:val="24"/>
          <w:szCs w:val="24"/>
          <w:lang w:val="en-US" w:eastAsia="zh-CN"/>
        </w:rPr>
        <w:t>具体情况如下：</w:t>
      </w:r>
    </w:p>
    <w:tbl>
      <w:tblPr>
        <w:tblStyle w:val="28"/>
        <w:tblW w:w="9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768"/>
        <w:gridCol w:w="1260"/>
        <w:gridCol w:w="1245"/>
        <w:gridCol w:w="765"/>
        <w:gridCol w:w="5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jc w:val="center"/>
        </w:trPr>
        <w:tc>
          <w:tcPr>
            <w:tcW w:w="768"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eastAsia="zh-CN"/>
              </w:rPr>
              <w:t>序号</w:t>
            </w:r>
          </w:p>
        </w:tc>
        <w:tc>
          <w:tcPr>
            <w:tcW w:w="1260"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产品名称</w:t>
            </w:r>
          </w:p>
        </w:tc>
        <w:tc>
          <w:tcPr>
            <w:tcW w:w="124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品牌型号</w:t>
            </w:r>
          </w:p>
        </w:tc>
        <w:tc>
          <w:tcPr>
            <w:tcW w:w="76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eastAsia="zh-CN"/>
              </w:rPr>
              <w:t>数量</w:t>
            </w:r>
          </w:p>
        </w:tc>
        <w:tc>
          <w:tcPr>
            <w:tcW w:w="5762"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配置及服务描述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68"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1260"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IBM</w:t>
            </w:r>
            <w:r>
              <w:rPr>
                <w:rFonts w:hint="eastAsia" w:ascii="宋体" w:hAnsi="宋体" w:eastAsia="宋体" w:cs="宋体"/>
                <w:kern w:val="2"/>
                <w:sz w:val="24"/>
                <w:szCs w:val="24"/>
                <w:lang w:eastAsia="zh-CN"/>
              </w:rPr>
              <w:t>小型机</w:t>
            </w:r>
          </w:p>
        </w:tc>
        <w:tc>
          <w:tcPr>
            <w:tcW w:w="124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IBM P7709117-MMB</w:t>
            </w:r>
          </w:p>
        </w:tc>
        <w:tc>
          <w:tcPr>
            <w:tcW w:w="76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5762" w:type="dxa"/>
            <w:shd w:val="clear" w:color="auto" w:fill="FFFFFF"/>
            <w:vAlign w:val="center"/>
          </w:tcPr>
          <w:p>
            <w:pPr>
              <w:spacing w:before="0" w:beforeAutospacing="0" w:after="0" w:afterAutospacing="0"/>
              <w:ind w:left="0" w:right="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 xml:space="preserve">CPU </w:t>
            </w:r>
            <w:r>
              <w:rPr>
                <w:rFonts w:hint="eastAsia" w:ascii="宋体" w:hAnsi="宋体" w:eastAsia="宋体" w:cs="宋体"/>
                <w:kern w:val="2"/>
                <w:sz w:val="24"/>
                <w:szCs w:val="24"/>
              </w:rPr>
              <w:t>3.1GHz主频，128核、1536GB DDR3内存、3T 15000转 SAS接口硬盘、2个SAS 控制器、16个1725 W热插拔冗余电源、8个双口千兆网卡、8个双口8G光纤通道卡、48个PCIe 插槽</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设备性能检测，运行状况观察、测试和分析；设备维护，故障处理及修复；设备防静电除尘；运行日志填写；配件支持；季度巡检等。</w:t>
            </w:r>
          </w:p>
        </w:tc>
      </w:tr>
    </w:tbl>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技术支持与维保服务的范围包括</w:t>
      </w:r>
      <w:r>
        <w:rPr>
          <w:rFonts w:hint="eastAsia" w:ascii="宋体" w:hAnsi="宋体" w:eastAsia="宋体" w:cs="宋体"/>
          <w:sz w:val="24"/>
          <w:szCs w:val="24"/>
          <w:lang w:eastAsia="zh-CN"/>
        </w:rPr>
        <w:t>以上</w:t>
      </w:r>
      <w:r>
        <w:rPr>
          <w:rFonts w:hint="eastAsia" w:ascii="宋体" w:hAnsi="宋体" w:eastAsia="宋体" w:cs="宋体"/>
          <w:sz w:val="24"/>
          <w:szCs w:val="24"/>
        </w:rPr>
        <w:t>设备所涉及的所有软、硬件产品。</w:t>
      </w:r>
      <w:r>
        <w:rPr>
          <w:rFonts w:hint="eastAsia" w:ascii="宋体" w:hAnsi="宋体" w:eastAsia="宋体" w:cs="宋体"/>
          <w:sz w:val="24"/>
          <w:szCs w:val="24"/>
          <w:lang w:eastAsia="zh-CN"/>
        </w:rPr>
        <w:t>以上设备（</w:t>
      </w:r>
      <w:r>
        <w:rPr>
          <w:rFonts w:hint="eastAsia" w:ascii="宋体" w:hAnsi="宋体" w:eastAsia="宋体" w:cs="宋体"/>
          <w:sz w:val="24"/>
          <w:szCs w:val="24"/>
          <w:lang w:val="en-US" w:eastAsia="zh-CN"/>
        </w:rPr>
        <w:t>含</w:t>
      </w:r>
      <w:r>
        <w:rPr>
          <w:rFonts w:hint="eastAsia" w:ascii="宋体" w:hAnsi="宋体" w:eastAsia="宋体" w:cs="宋体"/>
          <w:sz w:val="24"/>
          <w:szCs w:val="24"/>
        </w:rPr>
        <w:t>所有附带设备</w:t>
      </w:r>
      <w:r>
        <w:rPr>
          <w:rFonts w:hint="eastAsia" w:ascii="宋体" w:hAnsi="宋体" w:eastAsia="宋体" w:cs="宋体"/>
          <w:sz w:val="24"/>
          <w:szCs w:val="24"/>
          <w:lang w:eastAsia="zh-CN"/>
        </w:rPr>
        <w:t>）及配套软件</w:t>
      </w:r>
      <w:r>
        <w:rPr>
          <w:rFonts w:hint="eastAsia" w:ascii="宋体" w:hAnsi="宋体" w:eastAsia="宋体" w:cs="宋体"/>
          <w:sz w:val="24"/>
          <w:szCs w:val="24"/>
        </w:rPr>
        <w:t>均包含在此次</w:t>
      </w:r>
      <w:r>
        <w:rPr>
          <w:rFonts w:hint="eastAsia" w:ascii="宋体" w:hAnsi="宋体" w:eastAsia="宋体" w:cs="宋体"/>
          <w:sz w:val="24"/>
          <w:szCs w:val="24"/>
          <w:lang w:val="en-US" w:eastAsia="zh-CN"/>
        </w:rPr>
        <w:t>维</w:t>
      </w:r>
      <w:r>
        <w:rPr>
          <w:rFonts w:hint="eastAsia" w:ascii="宋体" w:hAnsi="宋体" w:eastAsia="宋体" w:cs="宋体"/>
          <w:sz w:val="24"/>
          <w:szCs w:val="24"/>
        </w:rPr>
        <w:t>保范围之内</w:t>
      </w:r>
      <w:r>
        <w:rPr>
          <w:rFonts w:hint="eastAsia" w:ascii="宋体" w:hAnsi="宋体" w:eastAsia="宋体" w:cs="宋体"/>
          <w:sz w:val="24"/>
          <w:szCs w:val="24"/>
          <w:lang w:eastAsia="zh-CN"/>
        </w:rPr>
        <w:t>。</w:t>
      </w:r>
      <w:r>
        <w:rPr>
          <w:rFonts w:hint="eastAsia" w:ascii="宋体" w:hAnsi="宋体" w:eastAsia="宋体" w:cs="宋体"/>
          <w:sz w:val="24"/>
          <w:szCs w:val="24"/>
        </w:rPr>
        <w:t>在设备机型、批次与数量准确的情况下，序列号以现场实物为准。投标人须充分考虑其服务风险和成本，服务期内，为采购人提供上述设备</w:t>
      </w:r>
      <w:r>
        <w:rPr>
          <w:rFonts w:hint="eastAsia" w:ascii="宋体" w:hAnsi="宋体" w:eastAsia="宋体" w:cs="宋体"/>
          <w:sz w:val="24"/>
          <w:szCs w:val="24"/>
          <w:lang w:val="en-US" w:eastAsia="zh-CN"/>
        </w:rPr>
        <w:t>及配套基础软件</w:t>
      </w:r>
      <w:r>
        <w:rPr>
          <w:rFonts w:hint="eastAsia" w:ascii="宋体" w:hAnsi="宋体" w:eastAsia="宋体" w:cs="宋体"/>
          <w:sz w:val="24"/>
          <w:szCs w:val="24"/>
        </w:rPr>
        <w:t>的维保服务，采购人不再额外支付费用。</w:t>
      </w:r>
      <w:r>
        <w:rPr>
          <w:rFonts w:hint="eastAsia" w:ascii="宋体" w:hAnsi="宋体" w:eastAsia="宋体" w:cs="宋体"/>
          <w:sz w:val="24"/>
          <w:szCs w:val="24"/>
          <w:lang w:val="en-US" w:eastAsia="zh-CN"/>
        </w:rPr>
        <w:t>具体服务内容如下：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为设备建立档案信息库（设备信息、资源使用情况、备份情况），并及时更新。每个设备的档案信息至少包括以下项目：配置项编号、分区名称、序列号、操作系统版本、IP地址、CPU 、内存、磁盘空间、存储空间、业务系统、分区类型、网卡数量、HBA卡数量等；设备资源使用情况表至少包括以下项目：</w:t>
      </w:r>
      <w:r>
        <w:rPr>
          <w:rFonts w:hint="eastAsia" w:ascii="宋体" w:hAnsi="宋体" w:eastAsia="宋体" w:cs="宋体"/>
          <w:sz w:val="24"/>
          <w:szCs w:val="24"/>
          <w:lang w:eastAsia="zh-CN"/>
        </w:rPr>
        <w:t>设备</w:t>
      </w:r>
      <w:r>
        <w:rPr>
          <w:rFonts w:hint="eastAsia" w:ascii="宋体" w:hAnsi="宋体" w:eastAsia="宋体" w:cs="宋体"/>
          <w:sz w:val="24"/>
          <w:szCs w:val="24"/>
        </w:rPr>
        <w:t>名称、最大分区数、已创建分区数、已分配CPU、已分配内存、未分配CPU、未分配内存、已分配板卡、未分配板卡等。</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期内每季度应至少进行1次设备现场巡检。通过巡检及时发现设备运行中出现的隐患，减少设备发生故障的概率，保证设备的稳定运行。由设备原厂商进行的设备巡检应出具原厂商提供的巡检报告或服务证明文件。按照原厂商设备维护手册、行业经验和采购人要求结合实际制定每一服务年度的巡检工作计划。巡检内容包括检查设备软硬件配置和运行情况、系统日志和错误日志，并对日志等信息进行分析、查找现存和潜在软硬件风险并进行处理等，同时根据采购人要求进行设备配置信息和操作系统级系统备份。</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提供</w:t>
      </w:r>
      <w:r>
        <w:rPr>
          <w:rFonts w:hint="eastAsia" w:ascii="宋体" w:hAnsi="宋体" w:eastAsia="宋体" w:cs="宋体"/>
          <w:sz w:val="24"/>
          <w:szCs w:val="24"/>
          <w:lang w:val="en-US" w:eastAsia="zh-CN"/>
        </w:rPr>
        <w:t>上述</w:t>
      </w:r>
      <w:r>
        <w:rPr>
          <w:rFonts w:hint="eastAsia" w:ascii="宋体" w:hAnsi="宋体" w:eastAsia="宋体" w:cs="宋体"/>
          <w:sz w:val="24"/>
          <w:szCs w:val="24"/>
        </w:rPr>
        <w:t>软硬件相关变更服务：包括参数配置变更、版本升级、安全加固、性能优化服务，部署、恢复、迁移操作系统</w:t>
      </w:r>
      <w:r>
        <w:rPr>
          <w:rFonts w:hint="eastAsia" w:ascii="宋体" w:hAnsi="宋体" w:eastAsia="宋体" w:cs="宋体"/>
          <w:sz w:val="24"/>
          <w:szCs w:val="24"/>
          <w:lang w:eastAsia="zh-CN"/>
        </w:rPr>
        <w:t>，</w:t>
      </w:r>
      <w:r>
        <w:rPr>
          <w:rFonts w:hint="eastAsia" w:ascii="宋体" w:hAnsi="宋体" w:eastAsia="宋体" w:cs="宋体"/>
          <w:sz w:val="24"/>
          <w:szCs w:val="24"/>
        </w:rPr>
        <w:t>整合操作系统和虚拟化软件等服务。提供系统平台变更时，如机房场地、供电系统、主机、网络、存储、系统软件等变更时，所要求的与本次招标涉及软硬件设备相关的支持服务。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服务期内应结合</w:t>
      </w:r>
      <w:r>
        <w:rPr>
          <w:rFonts w:hint="eastAsia" w:ascii="宋体" w:hAnsi="宋体" w:eastAsia="宋体" w:cs="宋体"/>
          <w:sz w:val="24"/>
          <w:szCs w:val="24"/>
          <w:lang w:eastAsia="zh-CN"/>
        </w:rPr>
        <w:t>采购人</w:t>
      </w:r>
      <w:r>
        <w:rPr>
          <w:rFonts w:hint="eastAsia" w:ascii="宋体" w:hAnsi="宋体" w:eastAsia="宋体" w:cs="宋体"/>
          <w:sz w:val="24"/>
          <w:szCs w:val="24"/>
        </w:rPr>
        <w:t>提供的设备日常运行数据每年提供</w:t>
      </w:r>
      <w:r>
        <w:rPr>
          <w:rFonts w:hint="eastAsia" w:ascii="宋体" w:hAnsi="宋体" w:eastAsia="宋体" w:cs="宋体"/>
          <w:sz w:val="24"/>
          <w:szCs w:val="24"/>
          <w:lang w:val="en-US" w:eastAsia="zh-CN"/>
        </w:rPr>
        <w:t>不少于</w:t>
      </w:r>
      <w:r>
        <w:rPr>
          <w:rFonts w:hint="eastAsia" w:ascii="宋体" w:hAnsi="宋体" w:eastAsia="宋体" w:cs="宋体"/>
          <w:sz w:val="24"/>
          <w:szCs w:val="24"/>
        </w:rPr>
        <w:t>一次现场的系统性能分析、优化和趋势分析服务，并对存在的系统风险提供合理的解决方案，并提供设备性能分析报告和趋势分析报告，针对设备的CPU</w:t>
      </w:r>
      <w:r>
        <w:rPr>
          <w:rFonts w:hint="eastAsia" w:ascii="宋体" w:hAnsi="宋体" w:eastAsia="宋体" w:cs="宋体"/>
          <w:sz w:val="24"/>
          <w:szCs w:val="24"/>
          <w:lang w:eastAsia="zh-CN"/>
        </w:rPr>
        <w:t>、</w:t>
      </w:r>
      <w:r>
        <w:rPr>
          <w:rFonts w:hint="eastAsia" w:ascii="宋体" w:hAnsi="宋体" w:eastAsia="宋体" w:cs="宋体"/>
          <w:sz w:val="24"/>
          <w:szCs w:val="24"/>
        </w:rPr>
        <w:t>内存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IO读写</w:t>
      </w:r>
      <w:r>
        <w:rPr>
          <w:rFonts w:hint="eastAsia" w:ascii="宋体" w:hAnsi="宋体" w:eastAsia="宋体" w:cs="宋体"/>
          <w:sz w:val="24"/>
          <w:szCs w:val="24"/>
        </w:rPr>
        <w:t>等关键性能指标进行分析，重点分析CPU</w:t>
      </w:r>
      <w:r>
        <w:rPr>
          <w:rFonts w:hint="eastAsia" w:ascii="宋体" w:hAnsi="宋体" w:eastAsia="宋体" w:cs="宋体"/>
          <w:sz w:val="24"/>
          <w:szCs w:val="24"/>
          <w:lang w:eastAsia="zh-CN"/>
        </w:rPr>
        <w:t>、</w:t>
      </w:r>
      <w:r>
        <w:rPr>
          <w:rFonts w:hint="eastAsia" w:ascii="宋体" w:hAnsi="宋体" w:eastAsia="宋体" w:cs="宋体"/>
          <w:sz w:val="24"/>
          <w:szCs w:val="24"/>
        </w:rPr>
        <w:t>内存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IO读写</w:t>
      </w:r>
      <w:r>
        <w:rPr>
          <w:rFonts w:hint="eastAsia" w:ascii="宋体" w:hAnsi="宋体" w:eastAsia="宋体" w:cs="宋体"/>
          <w:sz w:val="24"/>
          <w:szCs w:val="24"/>
        </w:rPr>
        <w:t>的峰值、峰值出现的时间点以及峰值出现的频度，进而判断其性能是否存在瓶颈</w:t>
      </w:r>
      <w:r>
        <w:rPr>
          <w:rFonts w:hint="eastAsia" w:ascii="宋体" w:hAnsi="宋体" w:eastAsia="宋体" w:cs="宋体"/>
          <w:sz w:val="24"/>
          <w:szCs w:val="24"/>
          <w:lang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5.其他服务。</w:t>
      </w:r>
      <w:r>
        <w:rPr>
          <w:rFonts w:hint="eastAsia" w:ascii="宋体" w:hAnsi="宋体" w:eastAsia="宋体" w:cs="宋体"/>
          <w:sz w:val="24"/>
          <w:szCs w:val="24"/>
        </w:rPr>
        <w:t>提供</w:t>
      </w:r>
      <w:r>
        <w:rPr>
          <w:rFonts w:hint="eastAsia" w:ascii="宋体" w:hAnsi="宋体" w:eastAsia="宋体" w:cs="宋体"/>
          <w:sz w:val="24"/>
          <w:szCs w:val="24"/>
          <w:lang w:eastAsia="zh-CN"/>
        </w:rPr>
        <w:t>设备</w:t>
      </w:r>
      <w:r>
        <w:rPr>
          <w:rFonts w:hint="eastAsia" w:ascii="宋体" w:hAnsi="宋体" w:eastAsia="宋体" w:cs="宋体"/>
          <w:sz w:val="24"/>
          <w:szCs w:val="24"/>
          <w:lang w:val="en-US" w:eastAsia="zh-CN"/>
        </w:rPr>
        <w:t>所部署</w:t>
      </w:r>
      <w:r>
        <w:rPr>
          <w:rFonts w:hint="eastAsia" w:ascii="宋体" w:hAnsi="宋体" w:eastAsia="宋体" w:cs="宋体"/>
          <w:sz w:val="24"/>
          <w:szCs w:val="24"/>
        </w:rPr>
        <w:t>系统实施、业务变更所需的现场技术支持服务。对关键系统中存在的设备、系统软件及应用软件的多厂商问题，在发生系统故障及问题时，投标人应按采购人要求配合或协调相关厂商进行分析并加以解决。提供应用系统上线、相关系统变更等情况时必要的现场值守服务。</w:t>
      </w:r>
      <w:r>
        <w:rPr>
          <w:rFonts w:hint="eastAsia" w:ascii="宋体" w:hAnsi="宋体" w:eastAsia="宋体" w:cs="宋体"/>
          <w:sz w:val="24"/>
          <w:szCs w:val="24"/>
          <w:lang w:val="en-US" w:eastAsia="zh-CN"/>
        </w:rPr>
        <w:t>提供</w:t>
      </w:r>
      <w:r>
        <w:rPr>
          <w:rFonts w:hint="eastAsia" w:ascii="宋体" w:hAnsi="宋体" w:eastAsia="宋体" w:cs="宋体"/>
          <w:sz w:val="24"/>
          <w:szCs w:val="24"/>
        </w:rPr>
        <w:t>包括安装安全补丁、实施安全策略以及协助采购人完成安全评测、安全基线、安全日志留存等相关工作。提供不限次数的系统性风险及故障排查服务、特殊时期现场保障服务。</w:t>
      </w:r>
    </w:p>
    <w:p>
      <w:pPr>
        <w:pStyle w:val="51"/>
        <w:wordWrap/>
        <w:adjustRightInd/>
        <w:snapToGrid/>
        <w:spacing w:line="560" w:lineRule="exact"/>
        <w:ind w:firstLine="0" w:firstLineChars="0"/>
        <w:jc w:val="left"/>
        <w:textAlignment w:val="auto"/>
        <w:rPr>
          <w:rFonts w:hint="eastAsia" w:ascii="宋体" w:hAnsi="宋体" w:eastAsia="宋体" w:cs="宋体"/>
          <w:b/>
          <w:bCs/>
          <w:color w:val="auto"/>
          <w:kern w:val="2"/>
          <w:sz w:val="24"/>
          <w:szCs w:val="24"/>
          <w:highlight w:val="none"/>
          <w:shd w:val="clear" w:color="auto" w:fill="auto"/>
          <w:lang w:eastAsia="zh-CN"/>
        </w:rPr>
      </w:pPr>
      <w:r>
        <w:rPr>
          <w:rFonts w:hint="eastAsia" w:ascii="宋体" w:hAnsi="宋体" w:eastAsia="宋体" w:cs="宋体"/>
          <w:b/>
          <w:bCs/>
          <w:color w:val="auto"/>
          <w:kern w:val="2"/>
          <w:sz w:val="24"/>
          <w:szCs w:val="24"/>
          <w:highlight w:val="none"/>
          <w:shd w:val="clear" w:color="auto" w:fill="auto"/>
          <w:lang w:eastAsia="zh-CN"/>
        </w:rPr>
        <w:t>三、服务时间</w:t>
      </w:r>
    </w:p>
    <w:p>
      <w:pPr>
        <w:pStyle w:val="51"/>
        <w:widowControl w:val="0"/>
        <w:wordWrap/>
        <w:adjustRightInd/>
        <w:snapToGrid/>
        <w:spacing w:line="56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color w:val="auto"/>
          <w:kern w:val="2"/>
          <w:sz w:val="24"/>
          <w:szCs w:val="24"/>
          <w:highlight w:val="none"/>
          <w:shd w:val="clear" w:color="auto" w:fill="auto"/>
          <w:lang w:val="en-US" w:eastAsia="zh-CN" w:bidi="ar-SA"/>
        </w:rPr>
        <w:t>2025年6月21日-2026年6月20日，2025年6月21日起至合同签订生效之日前1天由原供应商负责运维，合同生效之日起至2026年6月20日由新供应商负责运维。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四、费用支付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widowControl w:val="0"/>
        <w:wordWrap/>
        <w:adjustRightInd/>
        <w:snapToGrid/>
        <w:spacing w:line="360" w:lineRule="auto"/>
        <w:ind w:firstLine="0" w:firstLineChars="0"/>
        <w:textAlignment w:val="auto"/>
        <w:rPr>
          <w:rFonts w:hint="eastAsia" w:ascii="宋体" w:hAnsi="宋体" w:eastAsia="宋体" w:cs="宋体"/>
          <w:b/>
          <w:bCs/>
          <w:sz w:val="24"/>
          <w:szCs w:val="24"/>
        </w:rPr>
      </w:pPr>
      <w:r>
        <w:rPr>
          <w:rFonts w:hint="eastAsia" w:ascii="宋体" w:hAnsi="宋体" w:cs="宋体"/>
          <w:b/>
          <w:bCs/>
          <w:sz w:val="24"/>
          <w:szCs w:val="24"/>
          <w:lang w:val="en-US" w:eastAsia="zh-CN"/>
        </w:rPr>
        <w:t>五、</w:t>
      </w:r>
      <w:r>
        <w:rPr>
          <w:rFonts w:hint="eastAsia" w:ascii="宋体" w:hAnsi="宋体" w:eastAsia="宋体" w:cs="宋体"/>
          <w:b/>
          <w:bCs/>
          <w:sz w:val="24"/>
          <w:szCs w:val="24"/>
          <w:lang w:val="en-US" w:eastAsia="zh-CN"/>
        </w:rPr>
        <w:t>服务要求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bookmarkStart w:id="3" w:name="_Toc1157709341"/>
      <w:bookmarkStart w:id="4" w:name="_Toc1193356327"/>
      <w:bookmarkStart w:id="5" w:name="_Toc24388"/>
      <w:bookmarkStart w:id="6" w:name="_Toc1719633407"/>
      <w:bookmarkStart w:id="7" w:name="_Toc20738"/>
      <w:r>
        <w:rPr>
          <w:rFonts w:hint="eastAsia" w:ascii="宋体" w:hAnsi="宋体" w:cs="宋体"/>
          <w:sz w:val="24"/>
          <w:szCs w:val="24"/>
          <w:lang w:val="en-US" w:eastAsia="zh-CN"/>
        </w:rPr>
        <w:t>（一）</w:t>
      </w:r>
      <w:r>
        <w:rPr>
          <w:rFonts w:hint="eastAsia" w:ascii="宋体" w:hAnsi="宋体" w:eastAsia="宋体" w:cs="宋体"/>
          <w:sz w:val="24"/>
          <w:szCs w:val="24"/>
          <w:lang w:val="en-US" w:eastAsia="zh-CN"/>
        </w:rPr>
        <w:t xml:space="preserve"> 技术支持和运维服务方案</w:t>
      </w:r>
      <w:r>
        <w:rPr>
          <w:rFonts w:hint="eastAsia" w:ascii="宋体" w:hAnsi="宋体" w:eastAsia="宋体" w:cs="宋体"/>
          <w:sz w:val="24"/>
          <w:szCs w:val="24"/>
        </w:rPr>
        <w:t>要求</w:t>
      </w:r>
      <w:bookmarkEnd w:id="3"/>
      <w:bookmarkEnd w:id="4"/>
      <w:bookmarkEnd w:id="5"/>
      <w:bookmarkEnd w:id="6"/>
      <w:bookmarkEnd w:id="7"/>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投标人必须提供完整的技术支持与保修服务解决方案，包括但不限于设备维保方案、巡检方案、应急方案、备品备件方案、验收方案等。</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维保方案：应详细阐述项目方案、技术支持与保修服务体系，各类设备服务响应流程，技术支持与保修服务投入人员情况，服务质量监督机制等与保障本项目完整顺利实施的相关内容。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巡检方案：对巡检内容及相关要求的详细响应。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应急方案：对应急演练、容灾备份提供技术支持，对相关应急方案要求的详细响应。</w:t>
      </w:r>
      <w:r>
        <w:rPr>
          <w:rFonts w:hint="eastAsia" w:ascii="宋体" w:hAnsi="宋体" w:eastAsia="宋体" w:cs="宋体"/>
          <w:sz w:val="24"/>
          <w:szCs w:val="24"/>
        </w:rPr>
        <w:tab/>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备品备件方案：对备品备件相关要求的响应。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验收方案：对验收要求的详细响应。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服务</w:t>
      </w:r>
      <w:r>
        <w:rPr>
          <w:rFonts w:hint="eastAsia" w:ascii="宋体" w:hAnsi="宋体" w:eastAsia="宋体" w:cs="宋体"/>
          <w:sz w:val="24"/>
          <w:szCs w:val="24"/>
        </w:rPr>
        <w:t>实施要求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投标人必须承诺，在本项目实施过程中，遵守有关管理规范、制度、工作要求和办法的规定，以满足采购人工作需要。如遇相关规定变更时，也应随之调整以满足采购人的需要。</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出现下列情况时，采购人有权要求投标人调用设备原厂商的技术力量和备品备件用于本项目的服务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且不另外支付费用。</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投标人接到采购人的宕机故障报修后，12小时内未确定故障原因或24小时内仍未解决问题时；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投标人接到采购人的非宕机故障报修后，12小时内未确定故障原因或48小时内仍未解决问题时；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投标人不能向采购人提供合法渠道的合格备品备件时。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投标人</w:t>
      </w:r>
      <w:r>
        <w:rPr>
          <w:rFonts w:hint="eastAsia" w:ascii="宋体" w:hAnsi="宋体" w:eastAsia="宋体" w:cs="宋体"/>
          <w:sz w:val="24"/>
          <w:szCs w:val="24"/>
        </w:rPr>
        <w:t>保证将质量管理贯穿整个维护服务周期，所采用的服务质量措施如下：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备件管理：投标人备件库都有专门库管人员进行管理，所有的备品备件均是通过正规渠道所进，是纯正的原厂备件，严谨的备件管理流程将保证备件供应的科学性和可靠性。</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文档管理：投标人工程师每次技术服务后，用户技术人员在确认系统已经良好运行后，签署技术支持服务报告；投标人对所有服务文档进行归档，建立和更新设备管理档案，包括设备安装、运行、维护等信息，并定期向用户进行汇总报告。</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服务监督和评价：投标人客户服务中心将定期向用户管理层和技术人员了解投标人对用户的技术支持和服务执行情况，征求用户意见，不断改善投标人的服务工作，使用户对投标人的服务更放心、更满意。</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投标人应具有基于计算机系统管理的售后服务流程，并详细描述。</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 xml:space="preserve"> 故障处理要求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在采购人通过投标人服务电话或当地服务站提出故障报修后，投标人应无条件按照对应故障类型时限要求安排工程师到达现场处置。如遇紧急情况，还可直接拨打轮值工程师的移动电话，寻求最快响应。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1.上述维保</w:t>
      </w:r>
      <w:r>
        <w:rPr>
          <w:rFonts w:hint="eastAsia" w:ascii="宋体" w:hAnsi="宋体" w:eastAsia="宋体" w:cs="宋体"/>
          <w:sz w:val="24"/>
          <w:szCs w:val="24"/>
        </w:rPr>
        <w:t>设备发生的非宕机故障，投标人需要在接到采购人报修电话后30分钟内响应，并根据采购人要求和实际情况到采购人现场提供维护服务；如需现场服务，则投标人需要在4小时内到达现场；所有报修问题均应在接到采购人报修后48小时内予以解决（采购人要求延期的除外）。严重影响采购人应用系统运行的非宕机故障，视同宕机故障处理。</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2.上述维保</w:t>
      </w:r>
      <w:r>
        <w:rPr>
          <w:rFonts w:hint="eastAsia" w:ascii="宋体" w:hAnsi="宋体" w:eastAsia="宋体" w:cs="宋体"/>
          <w:sz w:val="24"/>
          <w:szCs w:val="24"/>
        </w:rPr>
        <w:t>设备发生的宕机故障，投标人需要在接到采购人报修电话后30分钟内响应，并需要在1小时内赶到采购人现场提供维护，应在接到采购人报修后12小时内予以解决；如需更换备品备件，应在报修后的24小时内恢复硬件设备正常运行；如故障无法及时解决，投标人应在报修后的48小时内提供同档次或更高配置的设备对故障设备进行替换，顶替运行，并完成原设备上系统及应用的迁移工作。</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故障处理包括在规定的时限内检查操作系统日志，收集错误信息，定位故障、更换配件，排除硬件故障，并完成数据恢复等其他工作，恢复系统运行，按采购人要求协助分析、处理软件故障，并在故障修复之后提交故障处理报告并更新设备档案信息库和运维事件知识库，报告包括故障时间、故障现象、影响范围、解决过程描述、处理结果、经验总结等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（四）</w:t>
      </w:r>
      <w:r>
        <w:rPr>
          <w:rFonts w:hint="eastAsia" w:ascii="宋体" w:hAnsi="宋体" w:eastAsia="宋体" w:cs="宋体"/>
          <w:sz w:val="24"/>
          <w:szCs w:val="24"/>
          <w:lang w:val="en-US" w:eastAsia="zh-CN"/>
        </w:rPr>
        <w:t>服务</w:t>
      </w:r>
      <w:r>
        <w:rPr>
          <w:rFonts w:hint="eastAsia" w:ascii="宋体" w:hAnsi="宋体" w:eastAsia="宋体" w:cs="宋体"/>
          <w:sz w:val="24"/>
          <w:szCs w:val="24"/>
        </w:rPr>
        <w:t>验收要求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采购单位按合同约定积极配合供应商履约，按合同约定及时组织项目验收，并出具验收报告，验收通过意见作为支付项目尾款的依据。</w:t>
      </w:r>
    </w:p>
    <w:p>
      <w:pPr>
        <w:jc w:val="both"/>
        <w:rPr>
          <w:rFonts w:hint="eastAsia" w:ascii="宋体" w:hAnsi="宋体" w:eastAsia="宋体" w:cs="宋体"/>
          <w:b/>
          <w:bCs/>
          <w:sz w:val="24"/>
          <w:szCs w:val="24"/>
          <w:lang w:val="en-US" w:eastAsia="zh-CN"/>
        </w:rPr>
      </w:pPr>
    </w:p>
    <w:p>
      <w:pPr>
        <w:pStyle w:val="2"/>
        <w:spacing w:line="360" w:lineRule="auto"/>
        <w:ind w:firstLine="643" w:firstLineChars="200"/>
        <w:jc w:val="center"/>
        <w:rPr>
          <w:rFonts w:hint="eastAsia" w:ascii="宋体" w:hAnsi="宋体" w:eastAsia="宋体" w:cs="宋体"/>
          <w:sz w:val="24"/>
          <w:szCs w:val="24"/>
          <w:lang w:val="en-US" w:eastAsia="zh-CN"/>
        </w:rPr>
      </w:pPr>
      <w:r>
        <w:rPr>
          <w:rFonts w:hint="eastAsia" w:ascii="宋体" w:hAnsi="宋体" w:cs="宋体"/>
          <w:sz w:val="32"/>
          <w:szCs w:val="32"/>
          <w:lang w:val="en-US" w:eastAsia="zh-CN"/>
        </w:rPr>
        <w:t>第3包（原第12包）：核心网络设备运维服务用户需求书</w:t>
      </w:r>
    </w:p>
    <w:p>
      <w:pPr>
        <w:widowControl w:val="0"/>
        <w:wordWrap/>
        <w:adjustRightInd/>
        <w:snapToGrid/>
        <w:spacing w:line="360" w:lineRule="auto"/>
        <w:ind w:firstLine="0" w:firstLineChars="0"/>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一、</w:t>
      </w:r>
      <w:r>
        <w:rPr>
          <w:rFonts w:hint="eastAsia" w:ascii="宋体" w:hAnsi="宋体" w:eastAsia="宋体" w:cs="宋体"/>
          <w:b/>
          <w:bCs/>
          <w:sz w:val="24"/>
          <w:szCs w:val="24"/>
          <w:lang w:val="en-US" w:eastAsia="zh-CN"/>
        </w:rPr>
        <w:t>项目概况</w:t>
      </w:r>
    </w:p>
    <w:p>
      <w:pPr>
        <w:widowControl w:val="0"/>
        <w:wordWrap/>
        <w:adjustRightInd/>
        <w:snapToGrid/>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项目名称：海南省财政厅2025年信息系统运行维护政府采购项目</w:t>
      </w:r>
      <w:r>
        <w:rPr>
          <w:rFonts w:hint="eastAsia" w:ascii="宋体" w:hAnsi="宋体" w:cs="宋体"/>
          <w:sz w:val="24"/>
          <w:lang w:val="en-US" w:eastAsia="zh-CN"/>
        </w:rPr>
        <w:t>（原第12包）-核心网络设备运维</w:t>
      </w:r>
      <w:r>
        <w:rPr>
          <w:rFonts w:hint="eastAsia" w:ascii="宋体" w:hAnsi="宋体" w:eastAsia="宋体" w:cs="宋体"/>
          <w:sz w:val="24"/>
          <w:szCs w:val="24"/>
          <w:lang w:val="en-US" w:eastAsia="zh-CN"/>
        </w:rPr>
        <w:t>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项目单位：海南省财政科技服务中心；</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采购预算：11.4552万元。</w:t>
      </w:r>
    </w:p>
    <w:p>
      <w:pPr>
        <w:widowControl w:val="0"/>
        <w:wordWrap/>
        <w:adjustRightInd/>
        <w:snapToGrid/>
        <w:spacing w:line="360" w:lineRule="auto"/>
        <w:ind w:firstLine="0" w:firstLineChars="0"/>
        <w:jc w:val="left"/>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二、</w:t>
      </w:r>
      <w:r>
        <w:rPr>
          <w:rFonts w:hint="eastAsia" w:ascii="宋体" w:hAnsi="宋体" w:eastAsia="宋体" w:cs="宋体"/>
          <w:b/>
          <w:bCs/>
          <w:sz w:val="24"/>
          <w:szCs w:val="24"/>
          <w:lang w:eastAsia="zh-CN"/>
        </w:rPr>
        <w:t>服务</w:t>
      </w:r>
      <w:r>
        <w:rPr>
          <w:rFonts w:hint="eastAsia" w:ascii="宋体" w:hAnsi="宋体" w:eastAsia="宋体" w:cs="宋体"/>
          <w:b/>
          <w:bCs/>
          <w:sz w:val="24"/>
          <w:szCs w:val="24"/>
          <w:lang w:val="en-US" w:eastAsia="zh-CN"/>
        </w:rPr>
        <w:t>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服务内容为6台迈普</w:t>
      </w:r>
      <w:r>
        <w:rPr>
          <w:rFonts w:hint="eastAsia" w:ascii="宋体" w:hAnsi="宋体" w:eastAsia="宋体" w:cs="宋体"/>
          <w:sz w:val="24"/>
          <w:szCs w:val="24"/>
        </w:rPr>
        <w:t>SM6800</w:t>
      </w:r>
      <w:r>
        <w:rPr>
          <w:rFonts w:hint="eastAsia" w:ascii="宋体" w:hAnsi="宋体" w:eastAsia="宋体" w:cs="宋体"/>
          <w:sz w:val="24"/>
          <w:szCs w:val="24"/>
          <w:lang w:eastAsia="zh-CN"/>
        </w:rPr>
        <w:t>交换机</w:t>
      </w:r>
      <w:r>
        <w:rPr>
          <w:rFonts w:hint="eastAsia" w:ascii="宋体" w:hAnsi="宋体" w:eastAsia="宋体" w:cs="宋体"/>
          <w:sz w:val="24"/>
          <w:szCs w:val="24"/>
          <w:lang w:val="en-US" w:eastAsia="zh-CN"/>
        </w:rPr>
        <w:t>、2台迈普MP7500E路由器维保服务</w:t>
      </w:r>
      <w:r>
        <w:rPr>
          <w:rFonts w:hint="eastAsia" w:ascii="宋体" w:hAnsi="宋体" w:eastAsia="宋体" w:cs="宋体"/>
          <w:sz w:val="24"/>
          <w:szCs w:val="24"/>
        </w:rPr>
        <w:t>。</w:t>
      </w:r>
      <w:r>
        <w:rPr>
          <w:rFonts w:hint="eastAsia" w:ascii="宋体" w:hAnsi="宋体" w:eastAsia="宋体" w:cs="宋体"/>
          <w:sz w:val="24"/>
          <w:szCs w:val="24"/>
          <w:lang w:val="en-US" w:eastAsia="zh-CN"/>
        </w:rPr>
        <w:t>具体情况如下：</w:t>
      </w:r>
    </w:p>
    <w:tbl>
      <w:tblPr>
        <w:tblStyle w:val="28"/>
        <w:tblW w:w="851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3010"/>
        <w:gridCol w:w="2678"/>
        <w:gridCol w:w="20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828"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序号</w:t>
            </w:r>
          </w:p>
        </w:tc>
        <w:tc>
          <w:tcPr>
            <w:tcW w:w="3010"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产品型号</w:t>
            </w:r>
          </w:p>
        </w:tc>
        <w:tc>
          <w:tcPr>
            <w:tcW w:w="2678"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产品名称</w:t>
            </w:r>
          </w:p>
        </w:tc>
        <w:tc>
          <w:tcPr>
            <w:tcW w:w="2003"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数量(单位)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828"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一</w:t>
            </w:r>
          </w:p>
        </w:tc>
        <w:tc>
          <w:tcPr>
            <w:tcW w:w="3010"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交换机</w:t>
            </w:r>
            <w:r>
              <w:rPr>
                <w:rFonts w:hint="eastAsia" w:ascii="宋体" w:hAnsi="宋体" w:eastAsia="宋体" w:cs="宋体"/>
                <w:kern w:val="2"/>
                <w:sz w:val="24"/>
                <w:szCs w:val="24"/>
                <w:lang w:val="en-US" w:eastAsia="zh-CN"/>
              </w:rPr>
              <w:t>6台</w:t>
            </w:r>
          </w:p>
        </w:tc>
        <w:tc>
          <w:tcPr>
            <w:tcW w:w="2678"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p>
        </w:tc>
        <w:tc>
          <w:tcPr>
            <w:tcW w:w="2003"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28" w:type="dxa"/>
            <w:tcBorders>
              <w:top w:val="single" w:color="auto" w:sz="8" w:space="0"/>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w:t>
            </w:r>
          </w:p>
        </w:tc>
        <w:tc>
          <w:tcPr>
            <w:tcW w:w="3010" w:type="dxa"/>
            <w:tcBorders>
              <w:top w:val="single" w:color="auto" w:sz="8" w:space="0"/>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SM6800-08A-MF</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交换机机框</w:t>
            </w:r>
          </w:p>
        </w:tc>
        <w:tc>
          <w:tcPr>
            <w:tcW w:w="2003" w:type="dxa"/>
            <w:tcBorders>
              <w:top w:val="single" w:color="auto" w:sz="8" w:space="0"/>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SM68A-MPUBH</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SM68A-24GEF2XGEFH-V</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SM68A-SFUAH</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5</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SM68A-48GETH  </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6</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AD600-1S007Z</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电源模块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7</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FAN-13A-01</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风扇模块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二</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路由器</w:t>
            </w:r>
            <w:r>
              <w:rPr>
                <w:rFonts w:hint="eastAsia" w:ascii="宋体" w:hAnsi="宋体" w:eastAsia="宋体" w:cs="宋体"/>
                <w:kern w:val="2"/>
                <w:sz w:val="24"/>
                <w:szCs w:val="24"/>
                <w:lang w:val="en-US" w:eastAsia="zh-CN"/>
              </w:rPr>
              <w:t>2台</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MP7500E-08-MF</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路由器机框</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RM7C-MPU</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3</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RM7C-SPU102</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4</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RM7C-20GEF</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5</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RM7C-20GET</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6</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RM7C-SFU</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7</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FAN-14B-01</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风扇模块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8</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AD600-1S006A</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电源模块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bl>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技术支持与维保服务的范围包括</w:t>
      </w:r>
      <w:r>
        <w:rPr>
          <w:rFonts w:hint="eastAsia" w:ascii="宋体" w:hAnsi="宋体" w:eastAsia="宋体" w:cs="宋体"/>
          <w:sz w:val="24"/>
          <w:szCs w:val="24"/>
          <w:lang w:eastAsia="zh-CN"/>
        </w:rPr>
        <w:t>以上</w:t>
      </w:r>
      <w:r>
        <w:rPr>
          <w:rFonts w:hint="eastAsia" w:ascii="宋体" w:hAnsi="宋体" w:eastAsia="宋体" w:cs="宋体"/>
          <w:sz w:val="24"/>
          <w:szCs w:val="24"/>
        </w:rPr>
        <w:t>设备所涉及的所有硬件</w:t>
      </w:r>
      <w:r>
        <w:rPr>
          <w:rFonts w:hint="eastAsia" w:ascii="宋体" w:hAnsi="宋体" w:eastAsia="宋体" w:cs="宋体"/>
          <w:sz w:val="24"/>
          <w:szCs w:val="24"/>
          <w:lang w:val="en-US" w:eastAsia="zh-CN"/>
        </w:rPr>
        <w:t>及配套软件</w:t>
      </w:r>
      <w:r>
        <w:rPr>
          <w:rFonts w:hint="eastAsia" w:ascii="宋体" w:hAnsi="宋体" w:eastAsia="宋体" w:cs="宋体"/>
          <w:sz w:val="24"/>
          <w:szCs w:val="24"/>
        </w:rPr>
        <w:t>。投标人须充分考虑其服务风险和成本，服务期内，为采购人提供上述设备</w:t>
      </w:r>
      <w:r>
        <w:rPr>
          <w:rFonts w:hint="eastAsia" w:ascii="宋体" w:hAnsi="宋体" w:eastAsia="宋体" w:cs="宋体"/>
          <w:sz w:val="24"/>
          <w:szCs w:val="24"/>
          <w:lang w:val="en-US" w:eastAsia="zh-CN"/>
        </w:rPr>
        <w:t>及配套基础软件</w:t>
      </w:r>
      <w:r>
        <w:rPr>
          <w:rFonts w:hint="eastAsia" w:ascii="宋体" w:hAnsi="宋体" w:eastAsia="宋体" w:cs="宋体"/>
          <w:sz w:val="24"/>
          <w:szCs w:val="24"/>
        </w:rPr>
        <w:t>的维保服务，采购人不再额外支付费用。</w:t>
      </w:r>
      <w:r>
        <w:rPr>
          <w:rFonts w:hint="eastAsia" w:ascii="宋体" w:hAnsi="宋体" w:eastAsia="宋体" w:cs="宋体"/>
          <w:sz w:val="24"/>
          <w:szCs w:val="24"/>
          <w:lang w:val="en-US" w:eastAsia="zh-CN"/>
        </w:rPr>
        <w:t>具体服务内容如下：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为设备建立档案信息库（设备信息、资源使用情况、备份情况），并及时更新。每个设备的档案信息至少包括以下项目：配置项编号、序列号、IP地址、CPU 、内存、磁盘空间、存储空间、网卡数量等</w:t>
      </w:r>
      <w:r>
        <w:rPr>
          <w:rFonts w:hint="eastAsia" w:ascii="宋体" w:hAnsi="宋体" w:eastAsia="宋体" w:cs="宋体"/>
          <w:sz w:val="24"/>
          <w:szCs w:val="24"/>
          <w:lang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期内每季度应至少进行1次设备现场巡检。通过巡检及时发现设备运行中出现的隐患，减少设备发生故障的概率，保证设备的稳定运行。由设备原厂商进行的设备巡检应出具原厂商提供的巡检报告或服务证明文件。按照原厂商设备维护手册、行业经验和采购人要求结合实际制定每一服务年度的巡检工作计划。巡检内容包括检查设备软硬件配置和运行情况、系统日志和错误日志，并对日志等信息进行分析、查找现存和潜在软硬件风险并进行处理等，同时根据采购人要求进行设备配置信息和操作系统级系统备份。</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提供</w:t>
      </w:r>
      <w:r>
        <w:rPr>
          <w:rFonts w:hint="eastAsia" w:ascii="宋体" w:hAnsi="宋体" w:eastAsia="宋体" w:cs="宋体"/>
          <w:sz w:val="24"/>
          <w:szCs w:val="24"/>
          <w:lang w:val="en-US" w:eastAsia="zh-CN"/>
        </w:rPr>
        <w:t>上述</w:t>
      </w:r>
      <w:r>
        <w:rPr>
          <w:rFonts w:hint="eastAsia" w:ascii="宋体" w:hAnsi="宋体" w:eastAsia="宋体" w:cs="宋体"/>
          <w:sz w:val="24"/>
          <w:szCs w:val="24"/>
        </w:rPr>
        <w:t>软硬件相关变更服务：包括参数配置变更、版本升级、安全加固、性能优化服务，部署、恢复、迁移操作系统</w:t>
      </w:r>
      <w:r>
        <w:rPr>
          <w:rFonts w:hint="eastAsia" w:ascii="宋体" w:hAnsi="宋体" w:eastAsia="宋体" w:cs="宋体"/>
          <w:sz w:val="24"/>
          <w:szCs w:val="24"/>
          <w:lang w:eastAsia="zh-CN"/>
        </w:rPr>
        <w:t>，</w:t>
      </w:r>
      <w:r>
        <w:rPr>
          <w:rFonts w:hint="eastAsia" w:ascii="宋体" w:hAnsi="宋体" w:eastAsia="宋体" w:cs="宋体"/>
          <w:sz w:val="24"/>
          <w:szCs w:val="24"/>
        </w:rPr>
        <w:t>整合操作系统和虚拟化软件等服务。提供系统平台变更时，如机房场地、供电系统、主机、网络、存储、系统软件等变更时，所要求的与本次</w:t>
      </w:r>
      <w:r>
        <w:rPr>
          <w:rFonts w:hint="eastAsia" w:ascii="宋体" w:hAnsi="宋体" w:eastAsia="宋体" w:cs="宋体"/>
          <w:sz w:val="24"/>
          <w:szCs w:val="24"/>
          <w:lang w:val="en-US" w:eastAsia="zh-CN"/>
        </w:rPr>
        <w:t>维保</w:t>
      </w:r>
      <w:r>
        <w:rPr>
          <w:rFonts w:hint="eastAsia" w:ascii="宋体" w:hAnsi="宋体" w:eastAsia="宋体" w:cs="宋体"/>
          <w:sz w:val="24"/>
          <w:szCs w:val="24"/>
        </w:rPr>
        <w:t>软硬件设备相关的支持服务。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服务期内应结合</w:t>
      </w:r>
      <w:r>
        <w:rPr>
          <w:rFonts w:hint="eastAsia" w:ascii="宋体" w:hAnsi="宋体" w:eastAsia="宋体" w:cs="宋体"/>
          <w:sz w:val="24"/>
          <w:szCs w:val="24"/>
          <w:lang w:eastAsia="zh-CN"/>
        </w:rPr>
        <w:t>采购人</w:t>
      </w:r>
      <w:r>
        <w:rPr>
          <w:rFonts w:hint="eastAsia" w:ascii="宋体" w:hAnsi="宋体" w:eastAsia="宋体" w:cs="宋体"/>
          <w:sz w:val="24"/>
          <w:szCs w:val="24"/>
        </w:rPr>
        <w:t>提供的设备日常运行数据每年提供</w:t>
      </w:r>
      <w:r>
        <w:rPr>
          <w:rFonts w:hint="eastAsia" w:ascii="宋体" w:hAnsi="宋体" w:eastAsia="宋体" w:cs="宋体"/>
          <w:sz w:val="24"/>
          <w:szCs w:val="24"/>
          <w:lang w:val="en-US" w:eastAsia="zh-CN"/>
        </w:rPr>
        <w:t>不少于</w:t>
      </w:r>
      <w:r>
        <w:rPr>
          <w:rFonts w:hint="eastAsia" w:ascii="宋体" w:hAnsi="宋体" w:eastAsia="宋体" w:cs="宋体"/>
          <w:sz w:val="24"/>
          <w:szCs w:val="24"/>
        </w:rPr>
        <w:t>一次现场的系统性能分析、优化和趋势分析服务，并对存在的系统风险提供合理的解决方案，并提供设备性能分析报告和趋势分析报告，针对设备的CPU</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内存、带宽</w:t>
      </w:r>
      <w:r>
        <w:rPr>
          <w:rFonts w:hint="eastAsia" w:ascii="宋体" w:hAnsi="宋体" w:eastAsia="宋体" w:cs="宋体"/>
          <w:sz w:val="24"/>
          <w:szCs w:val="24"/>
        </w:rPr>
        <w:t>等关键性能指标进行分析，重点分析CPU</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内存、带宽</w:t>
      </w:r>
      <w:r>
        <w:rPr>
          <w:rFonts w:hint="eastAsia" w:ascii="宋体" w:hAnsi="宋体" w:eastAsia="宋体" w:cs="宋体"/>
          <w:sz w:val="24"/>
          <w:szCs w:val="24"/>
        </w:rPr>
        <w:t>的峰值、峰值出现的时间点以及峰值出现的频度，进而判断其性能是否存在瓶颈</w:t>
      </w:r>
      <w:r>
        <w:rPr>
          <w:rFonts w:hint="eastAsia" w:ascii="宋体" w:hAnsi="宋体" w:eastAsia="宋体" w:cs="宋体"/>
          <w:sz w:val="24"/>
          <w:szCs w:val="24"/>
          <w:lang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5.其他服务。</w:t>
      </w:r>
      <w:r>
        <w:rPr>
          <w:rFonts w:hint="eastAsia" w:ascii="宋体" w:hAnsi="宋体" w:eastAsia="宋体" w:cs="宋体"/>
          <w:sz w:val="24"/>
          <w:szCs w:val="24"/>
        </w:rPr>
        <w:t>提供</w:t>
      </w:r>
      <w:r>
        <w:rPr>
          <w:rFonts w:hint="eastAsia" w:ascii="宋体" w:hAnsi="宋体" w:eastAsia="宋体" w:cs="宋体"/>
          <w:sz w:val="24"/>
          <w:szCs w:val="24"/>
          <w:lang w:val="en-US" w:eastAsia="zh-CN"/>
        </w:rPr>
        <w:t>因</w:t>
      </w:r>
      <w:r>
        <w:rPr>
          <w:rFonts w:hint="eastAsia" w:ascii="宋体" w:hAnsi="宋体" w:eastAsia="宋体" w:cs="宋体"/>
          <w:sz w:val="24"/>
          <w:szCs w:val="24"/>
        </w:rPr>
        <w:t>业务变更所需的现场技术支持服务。提供应用系统上线、相关系统变更等情况时必要的现场值守服务。</w:t>
      </w:r>
      <w:r>
        <w:rPr>
          <w:rFonts w:hint="eastAsia" w:ascii="宋体" w:hAnsi="宋体" w:eastAsia="宋体" w:cs="宋体"/>
          <w:sz w:val="24"/>
          <w:szCs w:val="24"/>
          <w:lang w:val="en-US" w:eastAsia="zh-CN"/>
        </w:rPr>
        <w:t>提供</w:t>
      </w:r>
      <w:r>
        <w:rPr>
          <w:rFonts w:hint="eastAsia" w:ascii="宋体" w:hAnsi="宋体" w:eastAsia="宋体" w:cs="宋体"/>
          <w:sz w:val="24"/>
          <w:szCs w:val="24"/>
        </w:rPr>
        <w:t>包括网络设备的工作状态检查</w:t>
      </w:r>
      <w:r>
        <w:rPr>
          <w:rFonts w:hint="eastAsia" w:ascii="宋体" w:hAnsi="宋体" w:eastAsia="宋体" w:cs="宋体"/>
          <w:sz w:val="24"/>
          <w:szCs w:val="24"/>
          <w:lang w:eastAsia="zh-CN"/>
        </w:rPr>
        <w:t>、 网络设备配置的更改及配置文件的备份、网络设备策略的调优、网络设备策略的安全管理、网络设备故障的排查、网络设备的更换、补丁升级、网络专线相关运营商协调工作、提供网络例检报告、提供网络设备故障解决情况通报表、提供网络设备日常工作巡检、提供网络优化、规划及咨询服务</w:t>
      </w:r>
      <w:r>
        <w:rPr>
          <w:rFonts w:hint="eastAsia" w:ascii="宋体" w:hAnsi="宋体" w:eastAsia="宋体" w:cs="宋体"/>
          <w:sz w:val="24"/>
          <w:szCs w:val="24"/>
          <w:lang w:val="en-US" w:eastAsia="zh-CN"/>
        </w:rPr>
        <w:t>和提供提供与采购单位项目建设相关的网络配合工作支持</w:t>
      </w:r>
      <w:r>
        <w:rPr>
          <w:rFonts w:hint="eastAsia" w:ascii="宋体" w:hAnsi="宋体" w:eastAsia="宋体" w:cs="宋体"/>
          <w:sz w:val="24"/>
          <w:szCs w:val="24"/>
        </w:rPr>
        <w:t>。提供不限次数的系统性风险及故障排查服务、特殊时期现场保障服务。</w:t>
      </w:r>
    </w:p>
    <w:p>
      <w:pPr>
        <w:pStyle w:val="51"/>
        <w:wordWrap/>
        <w:adjustRightInd/>
        <w:snapToGrid/>
        <w:spacing w:line="560" w:lineRule="exact"/>
        <w:ind w:firstLine="0" w:firstLineChars="0"/>
        <w:jc w:val="left"/>
        <w:textAlignment w:val="auto"/>
        <w:rPr>
          <w:rFonts w:hint="eastAsia" w:ascii="宋体" w:hAnsi="宋体" w:eastAsia="宋体" w:cs="宋体"/>
          <w:b/>
          <w:bCs/>
          <w:color w:val="auto"/>
          <w:kern w:val="2"/>
          <w:sz w:val="24"/>
          <w:szCs w:val="24"/>
          <w:highlight w:val="none"/>
          <w:shd w:val="clear" w:color="auto" w:fill="auto"/>
          <w:lang w:eastAsia="zh-CN" w:bidi="ar-SA"/>
        </w:rPr>
      </w:pPr>
      <w:r>
        <w:rPr>
          <w:rFonts w:hint="eastAsia" w:ascii="宋体" w:hAnsi="宋体" w:eastAsia="宋体" w:cs="宋体"/>
          <w:b/>
          <w:bCs/>
          <w:color w:val="auto"/>
          <w:kern w:val="2"/>
          <w:sz w:val="24"/>
          <w:szCs w:val="24"/>
          <w:highlight w:val="none"/>
          <w:shd w:val="clear" w:color="auto" w:fill="auto"/>
          <w:lang w:eastAsia="zh-CN" w:bidi="ar-SA"/>
        </w:rPr>
        <w:t>三、服务时间</w:t>
      </w:r>
    </w:p>
    <w:p>
      <w:pPr>
        <w:pStyle w:val="51"/>
        <w:widowControl w:val="0"/>
        <w:wordWrap/>
        <w:adjustRightInd/>
        <w:snapToGrid/>
        <w:spacing w:line="5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kern w:val="2"/>
          <w:sz w:val="24"/>
          <w:szCs w:val="24"/>
          <w:highlight w:val="none"/>
          <w:shd w:val="clear" w:color="auto" w:fill="auto"/>
          <w:lang w:val="en-US" w:eastAsia="zh-CN" w:bidi="ar-SA"/>
        </w:rPr>
        <w:t>2025年6月21日-2026年6月20日，2025年6月21日起至合同签订生效之日前1天由原供应商负责运维，合同生效之日起至2026年6月20日由新供应商负责运维。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四、费用支付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widowControl w:val="0"/>
        <w:wordWrap/>
        <w:adjustRightInd/>
        <w:snapToGrid/>
        <w:spacing w:line="360" w:lineRule="auto"/>
        <w:ind w:firstLine="0" w:firstLineChars="0"/>
        <w:textAlignment w:val="auto"/>
        <w:rPr>
          <w:rFonts w:hint="eastAsia" w:ascii="宋体" w:hAnsi="宋体" w:eastAsia="宋体" w:cs="宋体"/>
          <w:b/>
          <w:bCs/>
          <w:sz w:val="24"/>
          <w:szCs w:val="24"/>
        </w:rPr>
      </w:pPr>
      <w:r>
        <w:rPr>
          <w:rFonts w:hint="eastAsia" w:ascii="宋体" w:hAnsi="宋体" w:cs="宋体"/>
          <w:b/>
          <w:bCs/>
          <w:sz w:val="24"/>
          <w:szCs w:val="24"/>
          <w:lang w:val="en-US" w:eastAsia="zh-CN"/>
        </w:rPr>
        <w:t>五、</w:t>
      </w:r>
      <w:r>
        <w:rPr>
          <w:rFonts w:hint="eastAsia" w:ascii="宋体" w:hAnsi="宋体" w:eastAsia="宋体" w:cs="宋体"/>
          <w:b/>
          <w:bCs/>
          <w:sz w:val="24"/>
          <w:szCs w:val="24"/>
          <w:lang w:val="en-US" w:eastAsia="zh-CN"/>
        </w:rPr>
        <w:t>服务要求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（一）</w:t>
      </w:r>
      <w:r>
        <w:rPr>
          <w:rFonts w:hint="eastAsia" w:ascii="宋体" w:hAnsi="宋体" w:eastAsia="宋体" w:cs="宋体"/>
          <w:sz w:val="24"/>
          <w:szCs w:val="24"/>
          <w:lang w:val="en-US" w:eastAsia="zh-CN"/>
        </w:rPr>
        <w:t>技术支持和运维服务方案</w:t>
      </w:r>
      <w:r>
        <w:rPr>
          <w:rFonts w:hint="eastAsia" w:ascii="宋体" w:hAnsi="宋体" w:eastAsia="宋体" w:cs="宋体"/>
          <w:sz w:val="24"/>
          <w:szCs w:val="24"/>
        </w:rPr>
        <w:t>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投标人必须提供完整的技术支持与保修服务解决方案，包括但不限于设备维保方案、巡检方案、应急方案、备品备件方案、设备迁移方案、变更方案、交接方案、验收方案等。</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维保方案：应详细阐述项目方案、技术支持与保修服务体系，各类设备服务响应流程，技术支持与保修服务投入人员情况，服务质量监督机制等与保障本项目完整顺利实施的相关内容。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巡检方案：对巡检内容及相关要求的详细响应。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应急方案：对应急演练、容灾备份提供技术支持，对相关应急方案要求的详细响应。</w:t>
      </w:r>
      <w:r>
        <w:rPr>
          <w:rFonts w:hint="eastAsia" w:ascii="宋体" w:hAnsi="宋体" w:eastAsia="宋体" w:cs="宋体"/>
          <w:sz w:val="24"/>
          <w:szCs w:val="24"/>
        </w:rPr>
        <w:tab/>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备品备件方案：对备品备件相关要求的响应。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变更方案：提供软硬件相关变更服务，对包括参数配置变更、版本升级等服务的详细响应。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验收方案：对验收要求的详细响应。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服务</w:t>
      </w:r>
      <w:r>
        <w:rPr>
          <w:rFonts w:hint="eastAsia" w:ascii="宋体" w:hAnsi="宋体" w:eastAsia="宋体" w:cs="宋体"/>
          <w:sz w:val="24"/>
          <w:szCs w:val="24"/>
        </w:rPr>
        <w:t>实施要求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投标人必须承诺，在本项目实施过程中，遵守有关管理规范、制度、工作要求和办法的规定，以满足采购人工作需要。如遇相关规定变更时，也应随之调整以满足采购人的需要。</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出现下列情况时，采购人有权要求投标人调用设备原厂商的技术力量和备品备件用于本项目的服务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且不另外支付费用。</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投标人接到采购人的宕机故障报修后，12小时内未确定故障原因或24小时内仍未解决问题时；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投标人接到采购人的非宕机故障报修后，12小时内未确定故障原因或48小时内仍未解决问题时；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投标人不能向采购人提供合法渠道的合格备品备件时。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投标人</w:t>
      </w:r>
      <w:r>
        <w:rPr>
          <w:rFonts w:hint="eastAsia" w:ascii="宋体" w:hAnsi="宋体" w:eastAsia="宋体" w:cs="宋体"/>
          <w:sz w:val="24"/>
          <w:szCs w:val="24"/>
        </w:rPr>
        <w:t>保证将质量管理贯穿整个维护服务周期，所采用的服务质量措施如下：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备件管理：投标人备件库都有专门库管人员进行管理，所有的备品备件均是通过正规渠道所进，是纯正的原厂备件，严谨的备件管理流程将保证备件供应的科学性和可靠性。</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文档管理：投标人工程师每次技术服务后，用户技术人员在确认系统已经良好运行后，签署技术支持服务报告；投标人对所有服务文档进行归档，建立和更新设备管理档案，包括设备安装、运行、维护等信息，并定期向用户进行汇总报告。</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服务监督和评价：投标人客户服务中心将定期向用户管理层和技术人员了解投标人对用户的技术支持和服务执行情况，征求用户意见，不断改善投标人的服务工作，使用户对投标人的服务更放心、更满意。</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投标人应具有基于计算机系统管理的售后服务流程，并详细描述。</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 xml:space="preserve"> 故障处理要求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在采购人通过投标人服务电话或当地服务站提出故障报修后，投标人应无条件按照对应故障类型时限要求安排工程师到达现场处置。如遇紧急情况，还可直接拨打轮值工程师的移动电话，寻求最快响应。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1.上述维保</w:t>
      </w:r>
      <w:r>
        <w:rPr>
          <w:rFonts w:hint="eastAsia" w:ascii="宋体" w:hAnsi="宋体" w:eastAsia="宋体" w:cs="宋体"/>
          <w:sz w:val="24"/>
          <w:szCs w:val="24"/>
        </w:rPr>
        <w:t>设备发生的非宕机故障，投标人需要在接到采购人报修电话后30分钟内响应，并根据采购人要求和实际情况到采购人现场提供维护服务；如需现场服务，则投标人需要在4小时内到达现场；所有报修问题均应在接到采购人报修后48小时内予以解决（采购人要求延期的除外）。严重影响采购人应用系统运行的非宕机故障，视同宕机故障处理。</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2.上述维保</w:t>
      </w:r>
      <w:r>
        <w:rPr>
          <w:rFonts w:hint="eastAsia" w:ascii="宋体" w:hAnsi="宋体" w:eastAsia="宋体" w:cs="宋体"/>
          <w:sz w:val="24"/>
          <w:szCs w:val="24"/>
        </w:rPr>
        <w:t>设备发生的宕机故障，投标人需要在接到采购人报修电话后30分钟内响应，并需要在1小时内赶到采购人现场提供维护，应在接到采购人报修后12小时内予以解决；如需更换备品备件，应在报修后的24小时内恢复硬件设备正常运行；如故障无法及时解决，投标人应在报修后的48小时内提供同档次或更高配置的设备对故障设备进行替换，顶替运行，并完成原设备上系统及应用的迁移工作。</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故障处理包括在规定的时限内检查操作系统日志，收集错误信息，定位故障、更换配件，排除硬件故障，并完成数据恢复等其他工作，恢复系统运行，按采购人要求协助分析、处理软件故障，并在故障修复之后提交故障处理报告并更新设备档案信息库和运维事件知识库，报告包括故障时间、故障现象、影响范围、解决过程描述、处理结果、经验总结等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（四）</w:t>
      </w:r>
      <w:r>
        <w:rPr>
          <w:rFonts w:hint="eastAsia" w:ascii="宋体" w:hAnsi="宋体" w:eastAsia="宋体" w:cs="宋体"/>
          <w:sz w:val="24"/>
          <w:szCs w:val="24"/>
          <w:lang w:val="en-US" w:eastAsia="zh-CN"/>
        </w:rPr>
        <w:t>服务</w:t>
      </w:r>
      <w:r>
        <w:rPr>
          <w:rFonts w:hint="eastAsia" w:ascii="宋体" w:hAnsi="宋体" w:eastAsia="宋体" w:cs="宋体"/>
          <w:sz w:val="24"/>
          <w:szCs w:val="24"/>
        </w:rPr>
        <w:t>验收要求</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采购单位按合同约定积极配合供应商履约，按合同约定及时组织项目验收，并出具验收报告，验收通过意见作为支付项目尾款的依据。</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jc w:val="both"/>
        <w:rPr>
          <w:rFonts w:hint="eastAsia" w:ascii="宋体" w:hAnsi="宋体" w:eastAsia="宋体" w:cs="宋体"/>
          <w:b/>
          <w:bCs/>
          <w:sz w:val="24"/>
          <w:szCs w:val="24"/>
          <w:lang w:val="en-US" w:eastAsia="zh-CN"/>
        </w:rPr>
      </w:pPr>
    </w:p>
    <w:bookmarkEnd w:id="0"/>
    <w:bookmarkEnd w:id="1"/>
    <w:bookmarkEnd w:id="2"/>
    <w:p>
      <w:pPr>
        <w:rPr>
          <w:color w:val="auto"/>
        </w:rPr>
      </w:pPr>
    </w:p>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Î¢ï¿½ï¿½ï¿½Åºï¿½">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ascii="Calibri" w:hAnsi="Calibri" w:eastAsia="宋体" w:cs="Times New Roman"/>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4" w:space="0"/>
      </w:pBdr>
      <w:jc w:val="left"/>
      <w:rPr>
        <w:rFonts w:hint="default" w:ascii="宋体" w:hAnsi="宋体" w:cs="宋体"/>
        <w:b/>
        <w:bCs/>
        <w:sz w:val="24"/>
        <w:szCs w:val="24"/>
        <w:lang w:val="en-US" w:eastAsia="zh-CN"/>
      </w:rPr>
    </w:pPr>
    <w:r>
      <w:rPr>
        <w:rFonts w:hint="eastAsia" w:ascii="宋体" w:hAnsi="宋体" w:cs="宋体"/>
        <w:b/>
        <w:bCs/>
        <w:sz w:val="21"/>
        <w:szCs w:val="21"/>
      </w:rPr>
      <w:t xml:space="preserve">                                         </w:t>
    </w:r>
    <w:r>
      <w:rPr>
        <w:rFonts w:hint="eastAsia" w:ascii="宋体" w:hAnsi="宋体" w:cs="宋体"/>
        <w:b/>
        <w:bCs/>
        <w:sz w:val="21"/>
        <w:szCs w:val="21"/>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2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g0MTZmNGJhOTJmNGYxZDgzN2JlYjRmZjIyM2I3MTAifQ=="/>
  </w:docVars>
  <w:rsids>
    <w:rsidRoot w:val="00000000"/>
    <w:rsid w:val="10775BCF"/>
    <w:rsid w:val="18C34DC5"/>
    <w:rsid w:val="568D0BA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2"/>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21">
    <w:name w:val="Default Paragraph Font"/>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next w:val="1"/>
    <w:qFormat/>
    <w:uiPriority w:val="0"/>
    <w:pPr>
      <w:spacing w:before="60"/>
      <w:ind w:firstLine="420" w:firstLineChars="200"/>
    </w:pPr>
  </w:style>
  <w:style w:type="paragraph" w:styleId="6">
    <w:name w:val="caption"/>
    <w:basedOn w:val="1"/>
    <w:next w:val="1"/>
    <w:semiHidden/>
    <w:unhideWhenUsed/>
    <w:qFormat/>
    <w:uiPriority w:val="0"/>
    <w:pPr>
      <w:jc w:val="center"/>
    </w:pPr>
    <w:rPr>
      <w:rFonts w:ascii="Cambria" w:hAnsi="Cambria" w:eastAsia="黑体"/>
      <w:kern w:val="0"/>
    </w:rPr>
  </w:style>
  <w:style w:type="paragraph" w:styleId="7">
    <w:name w:val="annotation text"/>
    <w:basedOn w:val="1"/>
    <w:qFormat/>
    <w:uiPriority w:val="0"/>
    <w:pPr>
      <w:jc w:val="left"/>
    </w:pPr>
  </w:style>
  <w:style w:type="paragraph" w:styleId="8">
    <w:name w:val="Body Text"/>
    <w:basedOn w:val="1"/>
    <w:next w:val="1"/>
    <w:qFormat/>
    <w:uiPriority w:val="0"/>
    <w:pPr>
      <w:spacing w:after="120"/>
    </w:pPr>
  </w:style>
  <w:style w:type="paragraph" w:styleId="9">
    <w:name w:val="Body Text Indent"/>
    <w:basedOn w:val="1"/>
    <w:link w:val="53"/>
    <w:qFormat/>
    <w:uiPriority w:val="0"/>
    <w:pPr>
      <w:adjustRightInd w:val="0"/>
      <w:snapToGrid w:val="0"/>
      <w:spacing w:line="360" w:lineRule="auto"/>
      <w:ind w:firstLine="560" w:firstLineChars="200"/>
    </w:pPr>
    <w:rPr>
      <w:rFonts w:ascii="宋体" w:hAnsi="宋体"/>
      <w:sz w:val="28"/>
    </w:rPr>
  </w:style>
  <w:style w:type="paragraph" w:styleId="10">
    <w:name w:val="Plain Text"/>
    <w:basedOn w:val="1"/>
    <w:link w:val="54"/>
    <w:qFormat/>
    <w:uiPriority w:val="0"/>
    <w:rPr>
      <w:rFonts w:ascii="宋体" w:hAnsi="Courier New"/>
    </w:rPr>
  </w:style>
  <w:style w:type="paragraph" w:styleId="11">
    <w:name w:val="Date"/>
    <w:basedOn w:val="1"/>
    <w:next w:val="1"/>
    <w:link w:val="55"/>
    <w:qFormat/>
    <w:uiPriority w:val="0"/>
    <w:pPr>
      <w:ind w:left="100" w:leftChars="2500"/>
    </w:pPr>
  </w:style>
  <w:style w:type="paragraph" w:styleId="12">
    <w:name w:val="Body Text Indent 2"/>
    <w:basedOn w:val="1"/>
    <w:qFormat/>
    <w:uiPriority w:val="0"/>
    <w:pPr>
      <w:spacing w:line="500" w:lineRule="exact"/>
      <w:ind w:firstLine="560" w:firstLineChars="200"/>
    </w:pPr>
    <w:rPr>
      <w:color w:val="000000"/>
      <w:sz w:val="28"/>
    </w:rPr>
  </w:style>
  <w:style w:type="paragraph" w:styleId="13">
    <w:name w:val="Balloon Text"/>
    <w:basedOn w:val="1"/>
    <w:link w:val="56"/>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Body Text First Indent 2"/>
    <w:basedOn w:val="9"/>
    <w:next w:val="8"/>
    <w:link w:val="57"/>
    <w:qFormat/>
    <w:uiPriority w:val="0"/>
    <w:pPr>
      <w:widowControl w:val="0"/>
      <w:spacing w:before="0" w:beforeAutospacing="0" w:after="0" w:afterAutospacing="0" w:line="480" w:lineRule="exact"/>
      <w:ind w:left="420" w:leftChars="200" w:right="0" w:firstLine="420" w:firstLineChars="200"/>
      <w:jc w:val="both"/>
    </w:pPr>
    <w:rPr>
      <w:rFonts w:hint="default" w:ascii="Calibri" w:hAnsi="Calibri" w:eastAsia="仿宋" w:cs="Times New Roman"/>
      <w:kern w:val="2"/>
      <w:sz w:val="28"/>
      <w:szCs w:val="24"/>
      <w:lang w:val="en-US" w:eastAsia="zh-CN"/>
    </w:rPr>
  </w:style>
  <w:style w:type="paragraph" w:styleId="1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7">
    <w:name w:val="toc 1"/>
    <w:basedOn w:val="1"/>
    <w:next w:val="1"/>
    <w:qFormat/>
    <w:uiPriority w:val="39"/>
  </w:style>
  <w:style w:type="paragraph" w:styleId="18">
    <w:name w:val="footnote text"/>
    <w:basedOn w:val="1"/>
    <w:unhideWhenUsed/>
    <w:qFormat/>
    <w:uiPriority w:val="99"/>
    <w:pPr>
      <w:snapToGrid w:val="0"/>
      <w:jc w:val="left"/>
    </w:pPr>
    <w:rPr>
      <w:sz w:val="18"/>
      <w:szCs w:val="18"/>
    </w:rPr>
  </w:style>
  <w:style w:type="paragraph" w:styleId="19">
    <w:name w:val="toc 2"/>
    <w:basedOn w:val="1"/>
    <w:next w:val="1"/>
    <w:qFormat/>
    <w:uiPriority w:val="39"/>
    <w:pPr>
      <w:ind w:left="420" w:leftChars="200"/>
    </w:pPr>
  </w:style>
  <w:style w:type="paragraph" w:styleId="20">
    <w:name w:val="Normal (Web)"/>
    <w:basedOn w:val="1"/>
    <w:unhideWhenUsed/>
    <w:qFormat/>
    <w:uiPriority w:val="99"/>
    <w:pPr>
      <w:widowControl/>
      <w:spacing w:before="100" w:beforeAutospacing="1" w:after="100" w:afterAutospacing="1"/>
      <w:jc w:val="left"/>
    </w:pPr>
    <w:rPr>
      <w:rFonts w:ascii="宋体" w:hAnsi="宋体" w:cs="宋体"/>
      <w:color w:val="000000"/>
      <w:kern w:val="0"/>
      <w:sz w:val="24"/>
    </w:rPr>
  </w:style>
  <w:style w:type="character" w:styleId="22">
    <w:name w:val="Strong"/>
    <w:basedOn w:val="21"/>
    <w:qFormat/>
    <w:uiPriority w:val="22"/>
    <w:rPr>
      <w:b/>
      <w:bCs/>
    </w:rPr>
  </w:style>
  <w:style w:type="character" w:styleId="23">
    <w:name w:val="page number"/>
    <w:qFormat/>
    <w:uiPriority w:val="0"/>
    <w:rPr>
      <w:rFonts w:ascii="仿宋_GB2312" w:hAnsi="Tahoma" w:eastAsia="仿宋_GB2312"/>
      <w:kern w:val="2"/>
      <w:sz w:val="28"/>
      <w:szCs w:val="28"/>
      <w:lang w:val="en-US" w:eastAsia="zh-CN" w:bidi="ar-SA"/>
    </w:rPr>
  </w:style>
  <w:style w:type="character" w:styleId="24">
    <w:name w:val="FollowedHyperlink"/>
    <w:basedOn w:val="21"/>
    <w:qFormat/>
    <w:uiPriority w:val="0"/>
    <w:rPr>
      <w:rFonts w:hint="eastAsia" w:ascii="微软雅黑" w:hAnsi="微软雅黑" w:eastAsia="微软雅黑" w:cs="微软雅黑"/>
      <w:color w:val="02396F"/>
      <w:u w:val="single"/>
    </w:rPr>
  </w:style>
  <w:style w:type="character" w:styleId="25">
    <w:name w:val="Emphasis"/>
    <w:qFormat/>
    <w:uiPriority w:val="0"/>
  </w:style>
  <w:style w:type="character" w:styleId="26">
    <w:name w:val="Hyperlink"/>
    <w:basedOn w:val="21"/>
    <w:qFormat/>
    <w:uiPriority w:val="99"/>
    <w:rPr>
      <w:rFonts w:hint="eastAsia" w:ascii="微软雅黑" w:hAnsi="微软雅黑" w:eastAsia="微软雅黑" w:cs="微软雅黑"/>
      <w:color w:val="02396F"/>
      <w:u w:val="single"/>
    </w:rPr>
  </w:style>
  <w:style w:type="character" w:styleId="27">
    <w:name w:val="footnote reference"/>
    <w:basedOn w:val="21"/>
    <w:unhideWhenUsed/>
    <w:qFormat/>
    <w:uiPriority w:val="99"/>
    <w:rPr>
      <w:vertAlign w:val="superscript"/>
    </w:rPr>
  </w:style>
  <w:style w:type="paragraph" w:customStyle="1" w:styleId="29">
    <w:name w:val="样式1"/>
    <w:basedOn w:val="1"/>
    <w:qFormat/>
    <w:uiPriority w:val="0"/>
    <w:pPr>
      <w:numPr>
        <w:ilvl w:val="0"/>
        <w:numId w:val="1"/>
      </w:numPr>
      <w:adjustRightInd w:val="0"/>
      <w:textAlignment w:val="baseline"/>
    </w:pPr>
    <w:rPr>
      <w:rFonts w:ascii="宋体" w:hAnsi="宋体"/>
      <w:kern w:val="0"/>
    </w:rPr>
  </w:style>
  <w:style w:type="paragraph" w:customStyle="1" w:styleId="30">
    <w:name w:val="NormalIndent"/>
    <w:basedOn w:val="1"/>
    <w:qFormat/>
    <w:uiPriority w:val="0"/>
    <w:pPr>
      <w:widowControl/>
      <w:spacing w:line="360" w:lineRule="auto"/>
      <w:ind w:firstLine="420"/>
      <w:textAlignment w:val="baseline"/>
    </w:pPr>
    <w:rPr>
      <w:rFonts w:ascii="宋体"/>
    </w:rPr>
  </w:style>
  <w:style w:type="paragraph" w:customStyle="1" w:styleId="31">
    <w:name w:val="Char Char Char1"/>
    <w:basedOn w:val="1"/>
    <w:qFormat/>
    <w:uiPriority w:val="0"/>
    <w:pPr>
      <w:spacing w:line="400" w:lineRule="exact"/>
      <w:jc w:val="center"/>
    </w:pPr>
  </w:style>
  <w:style w:type="paragraph" w:customStyle="1" w:styleId="32">
    <w:name w:val="正文首行缩进两字符"/>
    <w:basedOn w:val="1"/>
    <w:qFormat/>
    <w:uiPriority w:val="0"/>
    <w:pPr>
      <w:spacing w:line="360" w:lineRule="auto"/>
      <w:ind w:firstLine="200" w:firstLineChars="200"/>
    </w:pPr>
  </w:style>
  <w:style w:type="paragraph" w:customStyle="1" w:styleId="33">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34">
    <w:name w:val="样式 首行缩进:  2 字符"/>
    <w:basedOn w:val="1"/>
    <w:qFormat/>
    <w:uiPriority w:val="0"/>
    <w:pPr>
      <w:widowControl/>
      <w:spacing w:line="360" w:lineRule="auto"/>
      <w:ind w:firstLine="480" w:firstLineChars="200"/>
      <w:jc w:val="left"/>
    </w:pPr>
    <w:rPr>
      <w:rFonts w:eastAsia="仿宋_GB2312"/>
      <w:kern w:val="0"/>
      <w:sz w:val="24"/>
      <w:szCs w:val="20"/>
    </w:rPr>
  </w:style>
  <w:style w:type="paragraph" w:customStyle="1" w:styleId="35">
    <w:name w:val="_Style 3"/>
    <w:basedOn w:val="1"/>
    <w:next w:val="1"/>
    <w:qFormat/>
    <w:uiPriority w:val="0"/>
    <w:pPr>
      <w:pBdr>
        <w:top w:val="single" w:color="auto" w:sz="6" w:space="1"/>
      </w:pBdr>
      <w:jc w:val="center"/>
    </w:pPr>
    <w:rPr>
      <w:rFonts w:ascii="Arial"/>
      <w:vanish/>
      <w:sz w:val="16"/>
    </w:rPr>
  </w:style>
  <w:style w:type="paragraph" w:customStyle="1" w:styleId="36">
    <w:name w:val="正文（首行缩进2字符）"/>
    <w:basedOn w:val="1"/>
    <w:qFormat/>
    <w:uiPriority w:val="0"/>
    <w:pPr>
      <w:ind w:firstLine="440"/>
    </w:pPr>
    <w:rPr>
      <w:rFonts w:ascii="宋体" w:hAnsi="宋体"/>
      <w:kern w:val="0"/>
      <w:sz w:val="22"/>
    </w:rPr>
  </w:style>
  <w:style w:type="paragraph" w:customStyle="1" w:styleId="37">
    <w:name w:val="表格文字"/>
    <w:basedOn w:val="1"/>
    <w:qFormat/>
    <w:uiPriority w:val="0"/>
    <w:pPr>
      <w:spacing w:before="25" w:after="25"/>
      <w:jc w:val="left"/>
    </w:pPr>
    <w:rPr>
      <w:bCs/>
      <w:spacing w:val="10"/>
      <w:kern w:val="0"/>
      <w:sz w:val="24"/>
      <w:szCs w:val="20"/>
    </w:rPr>
  </w:style>
  <w:style w:type="paragraph" w:customStyle="1" w:styleId="38">
    <w:name w:val="Char Char Char"/>
    <w:basedOn w:val="1"/>
    <w:qFormat/>
    <w:uiPriority w:val="0"/>
    <w:pPr>
      <w:widowControl/>
      <w:spacing w:after="160" w:line="240" w:lineRule="exact"/>
      <w:jc w:val="left"/>
    </w:pPr>
  </w:style>
  <w:style w:type="paragraph" w:customStyle="1" w:styleId="39">
    <w:name w:val="newstyle16"/>
    <w:basedOn w:val="1"/>
    <w:qFormat/>
    <w:uiPriority w:val="0"/>
    <w:pPr>
      <w:widowControl/>
      <w:jc w:val="left"/>
    </w:pPr>
    <w:rPr>
      <w:rFonts w:ascii="宋体" w:hAnsi="宋体" w:cs="宋体"/>
      <w:kern w:val="0"/>
      <w:sz w:val="24"/>
    </w:rPr>
  </w:style>
  <w:style w:type="paragraph" w:customStyle="1" w:styleId="40">
    <w:name w:val="_Style 1"/>
    <w:basedOn w:val="1"/>
    <w:next w:val="1"/>
    <w:qFormat/>
    <w:uiPriority w:val="0"/>
    <w:pPr>
      <w:pBdr>
        <w:bottom w:val="single" w:color="auto" w:sz="6" w:space="1"/>
      </w:pBdr>
      <w:jc w:val="center"/>
    </w:pPr>
    <w:rPr>
      <w:rFonts w:ascii="Arial"/>
      <w:vanish/>
      <w:sz w:val="16"/>
    </w:rPr>
  </w:style>
  <w:style w:type="paragraph" w:customStyle="1" w:styleId="41">
    <w:name w:val="普通 (Web)"/>
    <w:basedOn w:val="1"/>
    <w:qFormat/>
    <w:uiPriority w:val="0"/>
    <w:pPr>
      <w:widowControl/>
      <w:spacing w:before="100" w:beforeAutospacing="1" w:after="100" w:afterAutospacing="1"/>
      <w:jc w:val="left"/>
    </w:pPr>
    <w:rPr>
      <w:rFonts w:ascii="宋体" w:hAnsi="宋体"/>
      <w:color w:val="000000"/>
      <w:kern w:val="0"/>
      <w:sz w:val="24"/>
      <w:szCs w:val="20"/>
    </w:rPr>
  </w:style>
  <w:style w:type="paragraph" w:customStyle="1" w:styleId="42">
    <w:name w:val="表内"/>
    <w:basedOn w:val="1"/>
    <w:qFormat/>
    <w:uiPriority w:val="99"/>
    <w:pPr>
      <w:spacing w:line="300" w:lineRule="auto"/>
    </w:pPr>
    <w:rPr>
      <w:bCs/>
      <w:kern w:val="0"/>
      <w:szCs w:val="21"/>
      <w:lang w:eastAsia="zh-TW"/>
    </w:rPr>
  </w:style>
  <w:style w:type="paragraph" w:customStyle="1" w:styleId="43">
    <w:name w:val="Table Paragraph"/>
    <w:basedOn w:val="1"/>
    <w:qFormat/>
    <w:uiPriority w:val="1"/>
    <w:rPr>
      <w:rFonts w:ascii="Arial Unicode MS" w:hAnsi="Arial Unicode MS" w:eastAsia="Arial Unicode MS" w:cs="Arial Unicode MS"/>
    </w:rPr>
  </w:style>
  <w:style w:type="paragraph" w:customStyle="1" w:styleId="44">
    <w:name w:val="HKIC表格正文左"/>
    <w:basedOn w:val="1"/>
    <w:qFormat/>
    <w:uiPriority w:val="0"/>
    <w:pPr>
      <w:spacing w:line="240" w:lineRule="exact"/>
      <w:jc w:val="left"/>
    </w:pPr>
    <w:rPr>
      <w:rFonts w:ascii="Arial" w:hAnsi="宋体"/>
      <w:kern w:val="0"/>
      <w:szCs w:val="21"/>
    </w:rPr>
  </w:style>
  <w:style w:type="paragraph" w:customStyle="1" w:styleId="4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6">
    <w:name w:val="列出段落1"/>
    <w:basedOn w:val="1"/>
    <w:qFormat/>
    <w:uiPriority w:val="34"/>
    <w:pPr>
      <w:ind w:firstLine="420" w:firstLineChars="200"/>
    </w:pPr>
  </w:style>
  <w:style w:type="paragraph" w:customStyle="1" w:styleId="47">
    <w:name w:val="List Paragraph"/>
    <w:basedOn w:val="1"/>
    <w:qFormat/>
    <w:uiPriority w:val="34"/>
    <w:pPr>
      <w:ind w:firstLine="420" w:firstLineChars="200"/>
    </w:pPr>
  </w:style>
  <w:style w:type="paragraph" w:customStyle="1" w:styleId="48">
    <w:name w:val="无间隔1"/>
    <w:next w:val="1"/>
    <w:qFormat/>
    <w:uiPriority w:val="0"/>
    <w:pPr>
      <w:widowControl w:val="0"/>
      <w:tabs>
        <w:tab w:val="left" w:pos="1080"/>
      </w:tabs>
      <w:spacing w:line="360" w:lineRule="auto"/>
      <w:ind w:left="420" w:hanging="420"/>
      <w:jc w:val="both"/>
    </w:pPr>
    <w:rPr>
      <w:rFonts w:ascii="Calibri" w:hAnsi="Calibri" w:eastAsia="宋体" w:cs="Times New Roman"/>
      <w:kern w:val="2"/>
      <w:sz w:val="24"/>
      <w:szCs w:val="22"/>
      <w:lang w:val="en-US" w:eastAsia="zh-CN" w:bidi="ar-SA"/>
    </w:rPr>
  </w:style>
  <w:style w:type="paragraph" w:customStyle="1" w:styleId="49">
    <w:name w:val="WPSOffice手动目录 1"/>
    <w:qFormat/>
    <w:uiPriority w:val="0"/>
    <w:pPr>
      <w:ind w:leftChars="0"/>
    </w:pPr>
    <w:rPr>
      <w:rFonts w:ascii="Times New Roman" w:hAnsi="Times New Roman" w:eastAsia="宋体" w:cs="Times New Roman"/>
      <w:sz w:val="20"/>
      <w:szCs w:val="20"/>
      <w:lang w:val="en-US" w:eastAsia="zh-CN" w:bidi="ar-SA"/>
    </w:rPr>
  </w:style>
  <w:style w:type="paragraph" w:customStyle="1" w:styleId="50">
    <w:name w:val="p0"/>
    <w:basedOn w:val="1"/>
    <w:qFormat/>
    <w:uiPriority w:val="0"/>
    <w:pPr>
      <w:widowControl/>
    </w:pPr>
    <w:rPr>
      <w:kern w:val="0"/>
      <w:szCs w:val="21"/>
    </w:rPr>
  </w:style>
  <w:style w:type="paragraph" w:customStyle="1" w:styleId="51">
    <w:name w:val="石墨文档正文"/>
    <w:qFormat/>
    <w:uiPriority w:val="0"/>
    <w:rPr>
      <w:rFonts w:ascii="微软雅黑" w:hAnsi="Times New Roman" w:eastAsia="微软雅黑" w:cs="微软雅黑"/>
      <w:sz w:val="24"/>
      <w:szCs w:val="24"/>
      <w:lang w:val="en-US" w:eastAsia="zh-CN" w:bidi="ar-SA"/>
    </w:rPr>
  </w:style>
  <w:style w:type="character" w:customStyle="1" w:styleId="52">
    <w:name w:val="标题 1 Char1"/>
    <w:link w:val="2"/>
    <w:qFormat/>
    <w:uiPriority w:val="0"/>
    <w:rPr>
      <w:b/>
      <w:bCs/>
      <w:kern w:val="44"/>
      <w:sz w:val="44"/>
      <w:szCs w:val="44"/>
    </w:rPr>
  </w:style>
  <w:style w:type="character" w:customStyle="1" w:styleId="53">
    <w:name w:val="正文文本缩进 Char"/>
    <w:basedOn w:val="21"/>
    <w:link w:val="9"/>
    <w:qFormat/>
    <w:uiPriority w:val="0"/>
    <w:rPr>
      <w:rFonts w:hint="default" w:ascii="Calibri" w:hAnsi="Calibri" w:eastAsia="仿宋" w:cs="Calibri"/>
      <w:kern w:val="2"/>
      <w:sz w:val="28"/>
      <w:szCs w:val="24"/>
    </w:rPr>
  </w:style>
  <w:style w:type="character" w:customStyle="1" w:styleId="54">
    <w:name w:val="纯文本 Char"/>
    <w:link w:val="10"/>
    <w:qFormat/>
    <w:uiPriority w:val="0"/>
    <w:rPr>
      <w:rFonts w:ascii="宋体" w:hAnsi="Courier New"/>
      <w:kern w:val="2"/>
      <w:sz w:val="21"/>
      <w:szCs w:val="24"/>
    </w:rPr>
  </w:style>
  <w:style w:type="character" w:customStyle="1" w:styleId="55">
    <w:name w:val="日期 Char"/>
    <w:link w:val="11"/>
    <w:qFormat/>
    <w:uiPriority w:val="0"/>
    <w:rPr>
      <w:kern w:val="2"/>
      <w:sz w:val="21"/>
      <w:szCs w:val="24"/>
    </w:rPr>
  </w:style>
  <w:style w:type="character" w:customStyle="1" w:styleId="56">
    <w:name w:val="批注框文本 Char"/>
    <w:link w:val="13"/>
    <w:qFormat/>
    <w:uiPriority w:val="0"/>
    <w:rPr>
      <w:kern w:val="2"/>
      <w:sz w:val="18"/>
      <w:szCs w:val="18"/>
    </w:rPr>
  </w:style>
  <w:style w:type="character" w:customStyle="1" w:styleId="57">
    <w:name w:val="正文首行缩进 2 Char"/>
    <w:basedOn w:val="53"/>
    <w:link w:val="15"/>
    <w:qFormat/>
    <w:uiPriority w:val="0"/>
    <w:rPr>
      <w:rFonts w:hint="default" w:ascii="Calibri" w:hAnsi="Calibri" w:eastAsia="仿宋" w:cs="Calibri"/>
      <w:kern w:val="2"/>
      <w:sz w:val="28"/>
      <w:szCs w:val="24"/>
    </w:rPr>
  </w:style>
  <w:style w:type="character" w:customStyle="1" w:styleId="58">
    <w:name w:val="prev2"/>
    <w:basedOn w:val="21"/>
    <w:qFormat/>
    <w:uiPriority w:val="0"/>
    <w:rPr>
      <w:color w:val="888888"/>
    </w:rPr>
  </w:style>
  <w:style w:type="character" w:customStyle="1" w:styleId="59">
    <w:name w:val="prev1"/>
    <w:basedOn w:val="21"/>
    <w:qFormat/>
    <w:uiPriority w:val="0"/>
    <w:rPr>
      <w:color w:val="888888"/>
    </w:rPr>
  </w:style>
  <w:style w:type="character" w:customStyle="1" w:styleId="60">
    <w:name w:val="redfilefwwh"/>
    <w:basedOn w:val="21"/>
    <w:qFormat/>
    <w:uiPriority w:val="0"/>
    <w:rPr>
      <w:color w:val="BA2636"/>
      <w:sz w:val="18"/>
      <w:szCs w:val="18"/>
    </w:rPr>
  </w:style>
  <w:style w:type="character" w:customStyle="1" w:styleId="61">
    <w:name w:val="font11"/>
    <w:basedOn w:val="21"/>
    <w:qFormat/>
    <w:uiPriority w:val="0"/>
    <w:rPr>
      <w:rFonts w:hint="eastAsia" w:ascii="宋体" w:hAnsi="宋体" w:eastAsia="宋体" w:cs="宋体"/>
      <w:color w:val="000000"/>
      <w:sz w:val="20"/>
      <w:szCs w:val="20"/>
      <w:u w:val="none"/>
    </w:rPr>
  </w:style>
  <w:style w:type="character" w:customStyle="1" w:styleId="62">
    <w:name w:val="hui1"/>
    <w:basedOn w:val="21"/>
    <w:qFormat/>
    <w:uiPriority w:val="0"/>
    <w:rPr>
      <w:color w:val="999999"/>
    </w:rPr>
  </w:style>
  <w:style w:type="character" w:customStyle="1" w:styleId="63">
    <w:name w:val="qxdate"/>
    <w:basedOn w:val="21"/>
    <w:qFormat/>
    <w:uiPriority w:val="0"/>
    <w:rPr>
      <w:color w:val="333333"/>
      <w:sz w:val="18"/>
      <w:szCs w:val="18"/>
    </w:rPr>
  </w:style>
  <w:style w:type="character" w:customStyle="1" w:styleId="64">
    <w:name w:val="标题 1 Char"/>
    <w:qFormat/>
    <w:uiPriority w:val="0"/>
    <w:rPr>
      <w:rFonts w:hint="default" w:ascii="Arial" w:hAnsi="Arial" w:eastAsia="宋体" w:cs="Arial"/>
      <w:bCs/>
      <w:kern w:val="32"/>
      <w:sz w:val="32"/>
      <w:szCs w:val="32"/>
      <w:lang w:val="en-US" w:eastAsia="zh-CN" w:bidi="ar-SA"/>
    </w:rPr>
  </w:style>
  <w:style w:type="character" w:customStyle="1" w:styleId="65">
    <w:name w:val="zt-lm1-r-t-xz1"/>
    <w:basedOn w:val="21"/>
    <w:qFormat/>
    <w:uiPriority w:val="0"/>
  </w:style>
  <w:style w:type="character" w:customStyle="1" w:styleId="66">
    <w:name w:val="displayarti"/>
    <w:basedOn w:val="21"/>
    <w:qFormat/>
    <w:uiPriority w:val="0"/>
    <w:rPr>
      <w:color w:val="FFFFFF"/>
      <w:shd w:val="clear" w:color="auto" w:fill="A00000"/>
    </w:rPr>
  </w:style>
  <w:style w:type="character" w:customStyle="1" w:styleId="67">
    <w:name w:val="font01"/>
    <w:basedOn w:val="21"/>
    <w:qFormat/>
    <w:uiPriority w:val="0"/>
    <w:rPr>
      <w:rFonts w:hint="eastAsia" w:ascii="宋体" w:hAnsi="宋体" w:eastAsia="宋体" w:cs="宋体"/>
      <w:color w:val="000000"/>
      <w:sz w:val="20"/>
      <w:szCs w:val="20"/>
      <w:u w:val="none"/>
    </w:rPr>
  </w:style>
  <w:style w:type="character" w:customStyle="1" w:styleId="68">
    <w:name w:val="font31"/>
    <w:basedOn w:val="21"/>
    <w:qFormat/>
    <w:uiPriority w:val="0"/>
    <w:rPr>
      <w:rFonts w:hint="eastAsia" w:ascii="宋体" w:hAnsi="宋体" w:eastAsia="宋体" w:cs="宋体"/>
      <w:color w:val="000000"/>
      <w:sz w:val="20"/>
      <w:szCs w:val="20"/>
      <w:u w:val="none"/>
    </w:rPr>
  </w:style>
  <w:style w:type="character" w:customStyle="1" w:styleId="69">
    <w:name w:val="prev"/>
    <w:basedOn w:val="21"/>
    <w:qFormat/>
    <w:uiPriority w:val="0"/>
    <w:rPr>
      <w:rFonts w:hint="eastAsia" w:ascii="微软雅黑" w:hAnsi="微软雅黑" w:eastAsia="微软雅黑" w:cs="微软雅黑"/>
      <w:sz w:val="21"/>
      <w:szCs w:val="21"/>
    </w:rPr>
  </w:style>
  <w:style w:type="character" w:customStyle="1" w:styleId="70">
    <w:name w:val="zt-lm1-r-t-xz2"/>
    <w:basedOn w:val="21"/>
    <w:qFormat/>
    <w:uiPriority w:val="0"/>
  </w:style>
  <w:style w:type="character" w:customStyle="1" w:styleId="71">
    <w:name w:val="next2"/>
    <w:basedOn w:val="21"/>
    <w:qFormat/>
    <w:uiPriority w:val="0"/>
    <w:rPr>
      <w:rFonts w:ascii="微软雅黑" w:hAnsi="微软雅黑" w:eastAsia="微软雅黑" w:cs="微软雅黑"/>
      <w:sz w:val="21"/>
      <w:szCs w:val="21"/>
    </w:rPr>
  </w:style>
  <w:style w:type="character" w:customStyle="1" w:styleId="72">
    <w:name w:val="HTML 打字机 New"/>
    <w:basedOn w:val="21"/>
    <w:qFormat/>
    <w:uiPriority w:val="0"/>
    <w:rPr>
      <w:rFonts w:ascii="宋体" w:hAnsi="宋体" w:eastAsia="宋体" w:cs="宋体"/>
      <w:sz w:val="18"/>
      <w:szCs w:val="18"/>
    </w:rPr>
  </w:style>
  <w:style w:type="character" w:customStyle="1" w:styleId="73">
    <w:name w:val="next1"/>
    <w:basedOn w:val="21"/>
    <w:qFormat/>
    <w:uiPriority w:val="0"/>
    <w:rPr>
      <w:color w:val="888888"/>
    </w:rPr>
  </w:style>
  <w:style w:type="character" w:customStyle="1" w:styleId="74">
    <w:name w:val="redfilenumber"/>
    <w:basedOn w:val="21"/>
    <w:qFormat/>
    <w:uiPriority w:val="0"/>
    <w:rPr>
      <w:color w:val="BA2636"/>
      <w:sz w:val="18"/>
      <w:szCs w:val="18"/>
    </w:rPr>
  </w:style>
  <w:style w:type="character" w:customStyle="1" w:styleId="75">
    <w:name w:val="font21"/>
    <w:basedOn w:val="21"/>
    <w:qFormat/>
    <w:uiPriority w:val="0"/>
    <w:rPr>
      <w:rFonts w:hint="eastAsia" w:ascii="宋体" w:hAnsi="宋体" w:eastAsia="宋体" w:cs="宋体"/>
      <w:b/>
      <w:color w:val="000000"/>
      <w:sz w:val="20"/>
      <w:szCs w:val="20"/>
      <w:u w:val="none"/>
    </w:rPr>
  </w:style>
  <w:style w:type="character" w:customStyle="1" w:styleId="76">
    <w:name w:val="标题 1 Char2"/>
    <w:qFormat/>
    <w:uiPriority w:val="0"/>
    <w:rPr>
      <w:rFonts w:hint="default" w:ascii="Arial" w:hAnsi="Arial" w:eastAsia="宋体" w:cs="Arial"/>
      <w:bCs/>
      <w:kern w:val="32"/>
      <w:sz w:val="32"/>
      <w:szCs w:val="32"/>
      <w:lang w:val="en-US" w:eastAsia="zh-CN" w:bidi="ar-SA"/>
    </w:rPr>
  </w:style>
  <w:style w:type="character" w:customStyle="1" w:styleId="77">
    <w:name w:val="gjfg"/>
    <w:basedOn w:val="21"/>
    <w:qFormat/>
    <w:uiPriority w:val="0"/>
  </w:style>
  <w:style w:type="character" w:customStyle="1" w:styleId="78">
    <w:name w:val="cfdate"/>
    <w:basedOn w:val="21"/>
    <w:qFormat/>
    <w:uiPriority w:val="0"/>
    <w:rPr>
      <w:color w:val="333333"/>
      <w:sz w:val="18"/>
      <w:szCs w:val="18"/>
    </w:rPr>
  </w:style>
  <w:style w:type="character" w:customStyle="1" w:styleId="79">
    <w:name w:val="pl"/>
    <w:qFormat/>
    <w:uiPriority w:val="0"/>
  </w:style>
  <w:style w:type="character" w:customStyle="1" w:styleId="80">
    <w:name w:val="prev3"/>
    <w:basedOn w:val="21"/>
    <w:qFormat/>
    <w:uiPriority w:val="0"/>
    <w:rPr>
      <w:rFonts w:ascii="微软雅黑" w:hAnsi="微软雅黑" w:eastAsia="微软雅黑" w:cs="微软雅黑"/>
      <w:sz w:val="21"/>
      <w:szCs w:val="21"/>
    </w:rPr>
  </w:style>
  <w:style w:type="character" w:customStyle="1" w:styleId="81">
    <w:name w:val="next3"/>
    <w:basedOn w:val="21"/>
    <w:qFormat/>
    <w:uiPriority w:val="0"/>
    <w:rPr>
      <w:rFonts w:hint="eastAsia" w:ascii="微软雅黑" w:hAnsi="微软雅黑" w:eastAsia="微软雅黑" w:cs="微软雅黑"/>
      <w:sz w:val="21"/>
      <w:szCs w:val="21"/>
    </w:rPr>
  </w:style>
  <w:style w:type="character" w:customStyle="1" w:styleId="82">
    <w:name w:val="next"/>
    <w:basedOn w:val="21"/>
    <w:qFormat/>
    <w:uiPriority w:val="0"/>
    <w:rPr>
      <w:rFonts w:ascii="微软雅黑" w:hAnsi="微软雅黑" w:eastAsia="微软雅黑" w:cs="微软雅黑"/>
      <w:sz w:val="21"/>
      <w:szCs w:val="21"/>
    </w:rPr>
  </w:style>
  <w:style w:type="character" w:customStyle="1" w:styleId="83">
    <w:name w:val="NormalCharacter"/>
    <w:qFormat/>
    <w:uiPriority w:val="0"/>
    <w:rPr>
      <w:sz w:val="21"/>
      <w:lang w:val="en-US" w:eastAsia="zh-CN" w:bidi="ar-SA"/>
    </w:rPr>
  </w:style>
  <w:style w:type="character" w:customStyle="1" w:styleId="84">
    <w:name w:val="font51"/>
    <w:basedOn w:val="21"/>
    <w:qFormat/>
    <w:uiPriority w:val="0"/>
    <w:rPr>
      <w:rFonts w:hint="eastAsia" w:ascii="宋体" w:hAnsi="宋体" w:eastAsia="宋体" w:cs="宋体"/>
      <w:color w:val="000000"/>
      <w:sz w:val="20"/>
      <w:szCs w:val="20"/>
      <w:u w:val="none"/>
    </w:rPr>
  </w:style>
  <w:style w:type="character" w:customStyle="1" w:styleId="85">
    <w:name w:val="font61"/>
    <w:basedOn w:val="21"/>
    <w:qFormat/>
    <w:uiPriority w:val="0"/>
    <w:rPr>
      <w:rFonts w:hint="eastAsia" w:ascii="宋体" w:hAnsi="宋体" w:eastAsia="宋体" w:cs="宋体"/>
      <w:b/>
      <w:color w:val="000000"/>
      <w:sz w:val="20"/>
      <w:szCs w:val="20"/>
      <w:u w:val="none"/>
    </w:rPr>
  </w:style>
  <w:style w:type="character" w:customStyle="1" w:styleId="86">
    <w:name w:val="font41"/>
    <w:basedOn w:val="21"/>
    <w:qFormat/>
    <w:uiPriority w:val="0"/>
    <w:rPr>
      <w:rFonts w:hint="eastAsia" w:ascii="宋体" w:hAnsi="宋体" w:eastAsia="宋体" w:cs="宋体"/>
      <w:color w:val="000000"/>
      <w:sz w:val="24"/>
      <w:szCs w:val="24"/>
      <w:u w:val="none"/>
    </w:rPr>
  </w:style>
  <w:style w:type="character" w:customStyle="1" w:styleId="87">
    <w:name w:val="zx-xuan1"/>
    <w:basedOn w:val="21"/>
    <w:qFormat/>
    <w:uiPriority w:val="0"/>
    <w:rPr>
      <w:rFonts w:ascii="Î¢ï¿½ï¿½ï¿½Åºï¿½" w:hAnsi="Î¢ï¿½ï¿½ï¿½Åºï¿½" w:eastAsia="Î¢ï¿½ï¿½ï¿½Åºï¿½" w:cs="Î¢ï¿½ï¿½ï¿½Åºï¿½"/>
      <w:color w:val="FFFFFF"/>
      <w:sz w:val="27"/>
      <w:szCs w:val="27"/>
      <w:shd w:val="clear" w:color="040000" w:fill="3F6ECF"/>
    </w:rPr>
  </w:style>
  <w:style w:type="character" w:customStyle="1" w:styleId="88">
    <w:name w:val="zt-lm1-r-t-xz"/>
    <w:basedOn w:val="21"/>
    <w:qFormat/>
    <w:uiPriority w:val="0"/>
    <w:rPr>
      <w:shd w:val="clear" w:color="000000" w:fill="0359A6"/>
    </w:rPr>
  </w:style>
  <w:style w:type="character" w:customStyle="1" w:styleId="89">
    <w:name w:val="hui"/>
    <w:basedOn w:val="21"/>
    <w:qFormat/>
    <w:uiPriority w:val="0"/>
    <w:rPr>
      <w:color w:val="999999"/>
    </w:rPr>
  </w:style>
  <w:style w:type="paragraph" w:customStyle="1" w:styleId="90">
    <w:name w:val="null3"/>
    <w:hidden/>
    <w:qFormat/>
    <w:uiPriority w:val="0"/>
    <w:rPr>
      <w:rFonts w:hint="eastAsia"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52</Pages>
  <Words>53967</Words>
  <Characters>56402</Characters>
  <Lines>292</Lines>
  <Paragraphs>82</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2021-05-13T20:16:00Z</dcterms:created>
  <dc:creator>lenovo</dc:creator>
  <cp:lastModifiedBy>Administrator</cp:lastModifiedBy>
  <cp:lastPrinted>2025-03-20T00:48:00Z</cp:lastPrinted>
  <dcterms:modified xsi:type="dcterms:W3CDTF">2025-07-10T02:56:50Z</dcterms:modified>
  <dc:title>海南省财政厅2025年信息系统运行维护政府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58A34D5FD5A04004948E5A871B791279</vt:lpwstr>
  </property>
</Properties>
</file>