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2024年超长期特别国债“以旧换新”项目医疗设备集中采购（二十八）</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2024年超长期特别国债“以旧换新”项目医疗设备集中采购（二十八）</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2024年超长期特别国债“以旧换新”项目医疗设备集中采购（二十八）</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14,998,000.00元</w:t>
      </w:r>
      <w:r>
        <w:rPr>
          <w:rFonts w:ascii="仿宋_GB2312" w:hAnsi="仿宋_GB2312" w:cs="仿宋_GB2312" w:eastAsia="仿宋_GB2312"/>
        </w:rPr>
        <w:t>壹仟肆佰玖拾玖万捌仟元整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jc w:val="left"/>
      </w:pPr>
      <w:r>
        <w:rPr>
          <w:rFonts w:ascii="仿宋_GB2312" w:hAnsi="仿宋_GB2312" w:cs="仿宋_GB2312" w:eastAsia="仿宋_GB2312"/>
        </w:rPr>
        <w:t>采购包11：不属于专门面向中小企业采购。</w:t>
      </w:r>
    </w:p>
    <w:p>
      <w:pPr>
        <w:pStyle w:val="null3"/>
        <w:jc w:val="left"/>
      </w:pPr>
      <w:r>
        <w:rPr>
          <w:rFonts w:ascii="仿宋_GB2312" w:hAnsi="仿宋_GB2312" w:cs="仿宋_GB2312" w:eastAsia="仿宋_GB2312"/>
        </w:rPr>
        <w:t>采购包12：不属于专门面向中小企业采购。</w:t>
      </w:r>
    </w:p>
    <w:p>
      <w:pPr>
        <w:pStyle w:val="null3"/>
        <w:jc w:val="left"/>
      </w:pPr>
      <w:r>
        <w:rPr>
          <w:rFonts w:ascii="仿宋_GB2312" w:hAnsi="仿宋_GB2312" w:cs="仿宋_GB2312" w:eastAsia="仿宋_GB2312"/>
        </w:rPr>
        <w:t>采购包13：不属于专门面向中小企业采购。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各包的采购预算及最高限价： 包1采购预算：21万元 最高限价：21万元 包2采购预算：150万元 最高限价：150万元 包3采购预算：160万元 最高限价：160万元 包4采购预算：300万元 最高限价：300万元 包5采购预算：80万元 最高限价：80万元 包6采购预算：90万元 最高限价：90万元 包7采购预算：88.8万元 最高限价：88.8万元 包8采购预算：360万元 最高限价：360万元 包9采购预算：180万元 最高限价：180万元 包10采购预算：8万元 最高限价：8万元 包11采购预算：22万元 最高限价：22万元 包12采购预算：20万元 最高限价：20万元 包13采购预算：20万元 最高限价：20万元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采购包1：210,000.00元</w:t>
            </w:r>
          </w:p>
          <w:p>
            <w:pPr>
              <w:pStyle w:val="null3"/>
              <w:jc w:val="left"/>
            </w:pPr>
            <w:r>
              <w:rPr>
                <w:rFonts w:ascii="仿宋_GB2312" w:hAnsi="仿宋_GB2312" w:cs="仿宋_GB2312" w:eastAsia="仿宋_GB2312"/>
              </w:rPr>
              <w:t>采购包2：1,500,000.00元</w:t>
            </w:r>
          </w:p>
          <w:p>
            <w:pPr>
              <w:pStyle w:val="null3"/>
              <w:jc w:val="left"/>
            </w:pPr>
            <w:r>
              <w:rPr>
                <w:rFonts w:ascii="仿宋_GB2312" w:hAnsi="仿宋_GB2312" w:cs="仿宋_GB2312" w:eastAsia="仿宋_GB2312"/>
              </w:rPr>
              <w:t>采购包3：1,600,000.00元</w:t>
            </w:r>
          </w:p>
          <w:p>
            <w:pPr>
              <w:pStyle w:val="null3"/>
              <w:jc w:val="left"/>
            </w:pPr>
            <w:r>
              <w:rPr>
                <w:rFonts w:ascii="仿宋_GB2312" w:hAnsi="仿宋_GB2312" w:cs="仿宋_GB2312" w:eastAsia="仿宋_GB2312"/>
              </w:rPr>
              <w:t>采购包4：3,000,000.00元</w:t>
            </w:r>
          </w:p>
          <w:p>
            <w:pPr>
              <w:pStyle w:val="null3"/>
              <w:jc w:val="left"/>
            </w:pPr>
            <w:r>
              <w:rPr>
                <w:rFonts w:ascii="仿宋_GB2312" w:hAnsi="仿宋_GB2312" w:cs="仿宋_GB2312" w:eastAsia="仿宋_GB2312"/>
              </w:rPr>
              <w:t>采购包5：800,000.00元</w:t>
            </w:r>
          </w:p>
          <w:p>
            <w:pPr>
              <w:pStyle w:val="null3"/>
              <w:jc w:val="left"/>
            </w:pPr>
            <w:r>
              <w:rPr>
                <w:rFonts w:ascii="仿宋_GB2312" w:hAnsi="仿宋_GB2312" w:cs="仿宋_GB2312" w:eastAsia="仿宋_GB2312"/>
              </w:rPr>
              <w:t>采购包6：900,000.00元</w:t>
            </w:r>
          </w:p>
          <w:p>
            <w:pPr>
              <w:pStyle w:val="null3"/>
              <w:jc w:val="left"/>
            </w:pPr>
            <w:r>
              <w:rPr>
                <w:rFonts w:ascii="仿宋_GB2312" w:hAnsi="仿宋_GB2312" w:cs="仿宋_GB2312" w:eastAsia="仿宋_GB2312"/>
              </w:rPr>
              <w:t>采购包7：888,000.00元</w:t>
            </w:r>
          </w:p>
          <w:p>
            <w:pPr>
              <w:pStyle w:val="null3"/>
              <w:jc w:val="left"/>
            </w:pPr>
            <w:r>
              <w:rPr>
                <w:rFonts w:ascii="仿宋_GB2312" w:hAnsi="仿宋_GB2312" w:cs="仿宋_GB2312" w:eastAsia="仿宋_GB2312"/>
              </w:rPr>
              <w:t>采购包8：3,600,000.00元</w:t>
            </w:r>
          </w:p>
          <w:p>
            <w:pPr>
              <w:pStyle w:val="null3"/>
              <w:jc w:val="left"/>
            </w:pPr>
            <w:r>
              <w:rPr>
                <w:rFonts w:ascii="仿宋_GB2312" w:hAnsi="仿宋_GB2312" w:cs="仿宋_GB2312" w:eastAsia="仿宋_GB2312"/>
              </w:rPr>
              <w:t>采购包9：1,800,000.00元</w:t>
            </w:r>
          </w:p>
          <w:p>
            <w:pPr>
              <w:pStyle w:val="null3"/>
              <w:jc w:val="left"/>
            </w:pPr>
            <w:r>
              <w:rPr>
                <w:rFonts w:ascii="仿宋_GB2312" w:hAnsi="仿宋_GB2312" w:cs="仿宋_GB2312" w:eastAsia="仿宋_GB2312"/>
              </w:rPr>
              <w:t>采购包10：80,000.00元</w:t>
            </w:r>
          </w:p>
          <w:p>
            <w:pPr>
              <w:pStyle w:val="null3"/>
              <w:jc w:val="left"/>
            </w:pPr>
            <w:r>
              <w:rPr>
                <w:rFonts w:ascii="仿宋_GB2312" w:hAnsi="仿宋_GB2312" w:cs="仿宋_GB2312" w:eastAsia="仿宋_GB2312"/>
              </w:rPr>
              <w:t>采购包11：220,000.00元</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包2、3、4、5、6、7、8、9的采购代理服务费以中标金额为计费基数，按照《海南省物价局关于降低部分招标代理服务收费标准的通知》（琼价费管〔2011〕225号）文件规定的收费标准执行，由中标人支付； （2）包1、11、12、13采购代理服务费分别由中标人支付人民币5000元整； （3）包10采购代理服务费由中标人支付人民币3000元整。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3.本项目各包采购标的所属行业为工业（根据《关于印发中小企业划型标准规定的通知》（工信部联企业 〔2011〕300 号）中小企业划型标准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八）项目包含16套设备，预算金额合计1499.8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强脉冲光与激光系统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脉冲染料激光治疗仪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高功率激光（YAG激光手术系统/钬激光/铥激光）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等离子电切系统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钬激光治疗仪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888,000.00</w:t>
      </w:r>
    </w:p>
    <w:p>
      <w:pPr>
        <w:pStyle w:val="null3"/>
        <w:jc w:val="left"/>
      </w:pPr>
      <w:r>
        <w:rPr>
          <w:rFonts w:ascii="仿宋_GB2312" w:hAnsi="仿宋_GB2312" w:cs="仿宋_GB2312" w:eastAsia="仿宋_GB2312"/>
        </w:rPr>
        <w:t>采购包最高限价（元）: 888,000.00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体外冲击波碎石机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混合动力碎石清石系统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尿道膀胱镜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电切内窥镜（一)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220,000.00</w:t>
      </w:r>
    </w:p>
    <w:p>
      <w:pPr>
        <w:pStyle w:val="null3"/>
        <w:jc w:val="left"/>
      </w:pPr>
      <w:r>
        <w:rPr>
          <w:rFonts w:ascii="仿宋_GB2312" w:hAnsi="仿宋_GB2312" w:cs="仿宋_GB2312" w:eastAsia="仿宋_GB2312"/>
        </w:rPr>
        <w:t>采购包最高限价（元）: 220,000.00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电切内窥镜（二)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肾镜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输尿管镜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强脉冲光与激光系统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脉冲染料激光治疗仪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高功率激光（YAG激光手术系统/钬激光/铥激光）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等离子电切系统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钬激光治疗仪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体外冲击波碎石机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混合动力碎石清石系统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尿道膀胱镜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电切内窥镜（一)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电切内窥镜（二)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肾镜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输尿管镜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标的名称：强脉冲光与激光系统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标的名称：脉冲染料激光治疗仪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标的名称：高功率激光（YAG激光手术系统/钬激光/铥激光）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标的名称：等离子电切系统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标的名称：钬激光治疗仪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标的名称：体外冲击波碎石机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标的名称：混合动力碎石清石系统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标的名称：尿道膀胱镜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标的名称：电切内窥镜（一)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标的名称：电切内窥镜（二)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标的名称：肾镜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标的名称：输尿管镜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包1投标（响应）报价明细表 开标（报价）一览表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包2投标（响应）报价明细表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包2投标（响应）报价明细表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包2投标（响应）报价明细表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包3投标（响应）报价明细表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包3投标（响应）报价明细表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包3投标（响应）报价明细表 开标（报价）一览表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包4投标（响应）报价明细表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包4投标（响应）报价明细表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包4投标（响应）报价明细表 开标（报价）一览表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包5投标（响应）报价明细表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包5投标（响应）报价明细表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包5投标（响应）报价明细表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包6投标（响应）报价明细表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包6投标（响应）报价明细表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包6投标（响应）报价明细表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包7投标（响应）报价明细表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包7投标（响应）报价明细表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包7投标（响应）报价明细表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包8投标（响应）报价明细表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包8投标（响应）报价明细表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包8投标（响应）报价明细表 开标（报价）一览表 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包9投标（响应）报价明细表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包9投标（响应）报价明细表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包9投标（响应）报价明细表 开标（报价）一览表 商务应答表 技术参数响应表</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包10投标（响应）报价明细表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包10投标（响应）报价明细表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包10投标（响应）报价明细表 开标（报价）一览表 商务应答表 技术参数响应表</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包11投标（响应）报价明细表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包11投标（响应）报价明细表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包11投标（响应）报价明细表 开标（报价）一览表 商务应答表 技术参数响应表</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包12投标（响应）报价明细表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包12投标（响应）报价明细表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包12投标（响应）报价明细表 技术参数响应表</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包13投标（响应）报价明细表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包13投标（响应）报价明细表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包13投标（响应）报价明细表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完全满足招标文件带▲号的指标要求得满分20分，不满足一项带▲号的指标扣4分，直至扣完为止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一般技术参数（非▲号、★号的其他参数）共11条，不满足一项指标扣1.82分，直至扣完为止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包1技术参数承诺函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完全满足招标文件带▲号的指标要求得满分18分，不满足一项带▲号的指标扣3分，直至扣完为止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一般技术参数（非▲号、★号的其他参数）共13条，不满足一项指标扣1.7分，直至扣完为止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包2技术参数承诺函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包2投标（响应）报价明细表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包2投标（响应）报价明细表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完全满足招标文件带▲号的指标要求得满分20分，不满足一项带▲号的指标扣4分，直至扣完为止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一般技术参数（非▲号、★号的其他参数）共11条，不满足一项指标扣1.82分，直至扣完为止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包3技术参数承诺函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包3投标（响应）报价明细表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包3投标（响应）报价明细表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一般技术参数（非▲号、★号的其他参数）共14条，不满足一项指标扣2分，直至扣完为止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包4技术参数承诺函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包4投标（响应）报价明细表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包4投标（响应）报价明细表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完全满足招标文件带▲号的指标要求得满分12分，不满足一项带▲号的指标扣4分，直至扣完为止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一般技术参数（非▲号、★号的其他参数）共24条，不满足一项指标扣1.17分，直至扣完为止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包5技术参数承诺函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包5投标（响应）报价明细表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包5投标（响应）报价明细表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完全满足招标文件带▲号的指标要求得满分24分，不满足一项带▲号的指标扣4分，直至扣完为止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一般技术参数（非▲号、★号的其他参数）共11条，不满足一项指标扣1.46分，直至扣完为止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包6技术参数承诺函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包6投标（响应）报价明细表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包6投标（响应）报价明细表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完全满足招标文件带▲号的指标要求得满分12分，不满足一项带▲号的指标扣2分，直至扣完为止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一般技术参数（非▲号、★号的其他参数）共24条，不满足一项指标扣1.17分，直至扣完为止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包7技术参数承诺函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包7投标（响应）报价明细表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包7投标（响应）报价明细表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完全满足招标文件带▲号的指标要求得满分16分，不满足一项带▲号的指标扣4分，直至扣完为止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一般技术参数（非▲号、★号的其他参数）共21条，不满足一项指标扣1.15分，直至扣完为止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包8技术参数承诺函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包8投标（响应）报价明细表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包8投标（响应）报价明细表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完全满足招标文件带▲号的指标要求得满分18分，不满足一项带▲号的指标扣6分，直至扣完为止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一般技术参数（非▲号、★号的其他参数）共6条，不满足一项指标扣3.67分，直至扣完为止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包9技术参数承诺函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包9投标（响应）报价明细表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包9投标（响应）报价明细表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完全满足招标文件带▲号的指标要求得满分18分，不满足一项带▲号的指标扣6分，直至扣完为止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一般技术参数（非▲号、★号的其他参数）共4条，不满足一项指标扣5.5分，直至扣完为止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包10技术参数承诺函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包10投标（响应）报价明细表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包10投标（响应）报价明细表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完全满足招标文件带▲号的指标要求得满分18分，不满足一项带▲号的指标扣6分，直至扣完为止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一般技术参数（非▲号、★号的其他参数）共4条，不满足一项指标扣5.5分，直至扣完为止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包11技术参数承诺函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包11投标（响应）报价明细表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包11投标（响应）报价明细表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完全满足招标文件带▲号的指标要求得满分14分，不满足一项带▲号的指标扣7分，直至扣完为止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一般技术参数（非▲号、★号的其他参数）共5条，不满足一项指标扣5.2分，直至扣完为止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包12技术参数承诺函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包12投标（响应）报价明细表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包12投标（响应）报价明细表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完全满足招标文件带▲号的指标要求得满分7分，不满足一项带▲号的指标扣7分，直至扣完为止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一般技术参数（非▲号、★号的其他参数）共8条，不满足一项指标扣4.13分，直至扣完为止</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包13技术参数承诺函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包13投标（响应）报价明细表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包13投标（响应）报价明细表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详见附件：包1投标（响应）报价明细表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激光治疗仪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强脉冲光与激光系统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详见附件：包3投标（响应）报价明细表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脉冲染料激光治疗仪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详见附件：包4投标（响应）报价明细表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高功率激光（YAG激光手术系统/钬激光/铥激光）</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详见附件：包5投标（响应）报价明细表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等离子电切系统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详见附件：包6投标（响应）报价明细表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钬激光治疗仪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详见附件：包7投标（响应）报价明细表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体外冲击波碎石机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888000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详见附件：包8投标（响应）报价明细表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混合动力碎石清石系统</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详见附件：包9投标（响应）报价明细表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尿道膀胱镜</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详见附件：包10投标（响应）报价明细表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电切内窥镜（一)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详见附件：包11投标（响应）报价明细表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电切内窥镜（二)</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详见附件：包12投标（响应）报价明细表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肾镜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详见附件：包13投标（响应）报价明细表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输尿管镜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详见附件：包1技术参数承诺函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详见附件：包2技术参数承诺函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详见附件：包3技术参数承诺函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详见附件：包4技术参数承诺函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详见附件：包5技术参数承诺函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详见附件：包6技术参数承诺函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详见附件：包7技术参数承诺函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详见附件：包8技术参数承诺函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详见附件：包9技术参数承诺函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详见附件：包10技术参数承诺函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详见附件：包11技术参数承诺函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详见附件：包12技术参数承诺函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详见附件：包13技术参数承诺函</w:t>
      </w:r>
    </w:p>
    <w:p>
      <w:pPr>
        <w:pStyle w:val="null3"/>
        <w:ind w:firstLine="960"/>
        <w:jc w:val="left"/>
      </w:pPr>
      <w:r>
        <w:rPr>
          <w:rFonts w:ascii="仿宋_GB2312" w:hAnsi="仿宋_GB2312" w:cs="仿宋_GB2312" w:eastAsia="仿宋_GB2312"/>
        </w:rPr>
        <w:t>详见附件：投标人诚信承诺书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