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采购警务指挥中心大楼保安服务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[TAHP-]20250700001[CS]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中和德汇工程技术有限公司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海口市公安局</w:t>
      </w:r>
      <w:r>
        <w:rPr>
          <w:rFonts w:ascii="仿宋_GB2312" w:hAnsi="仿宋_GB2312" w:cs="仿宋_GB2312" w:eastAsia="仿宋_GB2312"/>
        </w:rPr>
        <w:t xml:space="preserve"> 的委托， </w:t>
      </w:r>
      <w:r>
        <w:rPr>
          <w:rFonts w:ascii="仿宋_GB2312" w:hAnsi="仿宋_GB2312" w:cs="仿宋_GB2312" w:eastAsia="仿宋_GB2312"/>
        </w:rPr>
        <w:t>中和德汇工程技术有限公司</w:t>
      </w:r>
      <w:r>
        <w:rPr>
          <w:rFonts w:ascii="仿宋_GB2312" w:hAnsi="仿宋_GB2312" w:cs="仿宋_GB2312" w:eastAsia="仿宋_GB2312"/>
        </w:rPr>
        <w:t xml:space="preserve"> 对 </w:t>
      </w:r>
      <w:r>
        <w:rPr>
          <w:rFonts w:ascii="仿宋_GB2312" w:hAnsi="仿宋_GB2312" w:cs="仿宋_GB2312" w:eastAsia="仿宋_GB2312"/>
        </w:rPr>
        <w:t>采购警务指挥中心大楼保安服务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[TAHP-]20250700001[CS]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采购警务指挥中心大楼保安服务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3,048,000.00元</w:t>
      </w:r>
      <w:r>
        <w:rPr>
          <w:rFonts w:ascii="仿宋_GB2312" w:hAnsi="仿宋_GB2312" w:cs="仿宋_GB2312" w:eastAsia="仿宋_GB2312"/>
        </w:rPr>
        <w:t>叁佰零肆万捌仟元整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自合同签订之日起2年止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符合法律、行政法规规定的其他条件：单位负责人为同一人或者存在直接控股、管理关系的不同供应商，不得同时参加本采购项目（包组）投标（响应）。为本项目提供整体设计、规范编制或者项目管理、监理、检测等服务的供应商，不得再参与本项目投标（响应）。在《响应承诺函》中进行相关申明。</w:t>
      </w:r>
    </w:p>
    <w:p>
      <w:pPr>
        <w:pStyle w:val="null3"/>
        <w:jc w:val="left"/>
      </w:pPr>
      <w:r>
        <w:rPr>
          <w:rFonts w:ascii="仿宋_GB2312" w:hAnsi="仿宋_GB2312" w:cs="仿宋_GB2312" w:eastAsia="仿宋_GB2312"/>
        </w:rPr>
        <w:t>2、资质要求：供应商应具有由公安机关核发的《保安服务许可证》（提供证书扫描件并加盖供应商公章）；并承诺提供服务前向采购人所在地设区的市级人民政府公安机关完成备案（提供证书扫描件及承诺函并加盖供应商公章）。</w:t>
      </w:r>
    </w:p>
    <w:p>
      <w:pPr>
        <w:pStyle w:val="null3"/>
        <w:jc w:val="left"/>
      </w:pPr>
      <w:r>
        <w:rPr>
          <w:rFonts w:ascii="仿宋_GB2312" w:hAnsi="仿宋_GB2312" w:cs="仿宋_GB2312" w:eastAsia="仿宋_GB2312"/>
        </w:rPr>
        <w:t>3、落实政府采购政策需满足的资格要求：本项目属于非专门面向中小企业采购的项目。</w:t>
      </w:r>
    </w:p>
    <w:p>
      <w:pPr>
        <w:pStyle w:val="null3"/>
        <w:jc w:val="left"/>
      </w:pPr>
      <w:r>
        <w:rPr>
          <w:rFonts w:ascii="仿宋_GB2312" w:hAnsi="仿宋_GB2312" w:cs="仿宋_GB2312" w:eastAsia="仿宋_GB2312"/>
        </w:rPr>
        <w:t>4、无失信行为查询：供应商未被列入“信用中国”网站（www.creditchina.gov.cn)“失信被执行人”、 “重大税收违法失信主体”；不处于“中国政府采购网”网站（http://www.ccgp.gov.cn/） “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1、获取采购文件 (1)时间：2025年7月18日至2025年7月24日（磋商文件的发售期限自开始之日起不得少于5个工作日），每天上午00：00至12:00，下午12:00至24:00； (2)地点：海南政府采购网(https://ccgp-hainan.gov.cn/maincms-web/)-海南省政府采购智慧云平台； (3)方式：网上下载； (4)采购文件售价：0.00元。 2、响应文件提交 (1)截止时间：2025年7月29日9点00分（北京时间） (2)地点：全程线上远程开标-海南政府采购网(https://ccgp-hainan.gov.cn/maincms-web/)-海南省政府采购智慧云平台。</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海南省海口市秀英区滨海大道长滨东三街2号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0898-31652502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中和德汇工程技术有限公司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北京市丰台区汽车博物馆东路6号院4号楼7层3单元702（海南省海口市帝豪大厦1302房）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0898-66795312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采购包1：3,048,000.00元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代理服务费收费标准：参照琼价费管【2011】225号文件规定标准的86%向成交供应商收取采购代理服务费，代理费用为27000元。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 2.供应商须根据明确的开标方式提前做好开标准备工作：（1）如开标方式为现场电子开标，供应商授权代表须携带使用制作电子响应文件的同一CA数字证书和电子备用标书文件以及笔记本电脑（可能会涉及到CA数字证书电子盖章，请提前调试好电脑），根据采购公告的要求在提交响应文件截止时间前到达开启地点参加现场开标会议；（2）如开标方式为远程电子开标，供应商无需委派代表前往开标现场，可远程参加开标会议，开标前完成线上签到，开标后在采购代理机构规定的时间内通过使用制作电子响应文件的同一CA数字证书完成电子响应文件的解密工作，同时等待专家在智慧云平台上发起承诺/报价（可能会涉及到CA数字证书电子盖章，请提前调试好电脑），具体操作指南详见智慧云平台操作指南（供应商版） ：【https://ccgp-hainan.gov.cn/help/gys/zc/zc.html】；（3）供应商须在采购代理机构规定的时间内完成响应文件的解密工作，供应商未携带数字证书或其他非系统原因导致的逾期未解密响应文件，将作无效响应处理；（4）供应商须在专家发起承诺/报价后于规定的时间内提交最后的承诺/报价，如因供应商原因超时未应答，将被视为主动退出本次磋商活动，无法参与后续的采购活动。 3.本采购文件提供的合同文本仅供参考，具体条款内容由采购人和成交供应商协商确定，但不得对采购文件和响应文件的实质性条款作出变更，且必须包括但不限于标的名称，采购标的质量、数量（规模），履行时间（期限）、地点和方式，包装方式（如有），价款或者报酬、付款进度安排、资金支付方式，验收、交付标准和方法，质量保修范围（如有）和保修期（如有），违约责任与解决争议的方法等内容。 4.根据采购人的需要（如有），中标（成交）供应商在接到采购人的通知后，需将投标（响应）文件打印成册，并按时递交至采购人处。 5.开标解密时长：30分钟；具体情况根据开标时现场代理机构人员设置为准。 6.采购包1：非专门面向中小企业 7.响应文件要求 （1）电子响应文件（必须提供）： 加密的电子响应文件1份（需在递交响应文件截止时间前成功上传至云平台项目采购系统）。（2）纸质响应文件：成交供应商在合同签订前根据采购人要求提供纸质版响应文件。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联系人：梁先生</w:t>
      </w:r>
    </w:p>
    <w:p>
      <w:pPr>
        <w:pStyle w:val="null3"/>
        <w:jc w:val="left"/>
      </w:pPr>
      <w:r>
        <w:rPr>
          <w:rFonts w:ascii="仿宋_GB2312" w:hAnsi="仿宋_GB2312" w:cs="仿宋_GB2312" w:eastAsia="仿宋_GB2312"/>
        </w:rPr>
        <w:t>联系电话：0898-66795312</w:t>
      </w:r>
    </w:p>
    <w:p>
      <w:pPr>
        <w:pStyle w:val="null3"/>
        <w:jc w:val="left"/>
      </w:pPr>
      <w:r>
        <w:rPr>
          <w:rFonts w:ascii="仿宋_GB2312" w:hAnsi="仿宋_GB2312" w:cs="仿宋_GB2312" w:eastAsia="仿宋_GB2312"/>
        </w:rPr>
        <w:t>地址：海南省海口市帝豪大厦1302房</w:t>
      </w:r>
    </w:p>
    <w:p>
      <w:pPr>
        <w:pStyle w:val="null3"/>
        <w:jc w:val="left"/>
      </w:pPr>
      <w:r>
        <w:rPr>
          <w:rFonts w:ascii="仿宋_GB2312" w:hAnsi="仿宋_GB2312" w:cs="仿宋_GB2312" w:eastAsia="仿宋_GB2312"/>
        </w:rPr>
        <w:t>邮编：570125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、项目编号：</w:t>
      </w:r>
      <w:r>
        <w:rPr>
          <w:rFonts w:ascii="仿宋_GB2312" w:hAnsi="仿宋_GB2312" w:cs="仿宋_GB2312" w:eastAsia="仿宋_GB2312"/>
          <w:sz w:val="24"/>
          <w:color w:val="000000"/>
          <w:u w:val="single"/>
        </w:rPr>
        <w:t>[TAHP-]20250700001[CS]</w:t>
      </w:r>
    </w:p>
    <w:p>
      <w:pPr>
        <w:pStyle w:val="null3"/>
        <w:spacing w:before="45" w:after="45"/>
        <w:ind w:firstLine="57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、项目名称：采购警务指挥中心大楼保安服务</w:t>
      </w:r>
    </w:p>
    <w:p>
      <w:pPr>
        <w:pStyle w:val="null3"/>
        <w:spacing w:before="45" w:after="45"/>
        <w:ind w:firstLine="57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u w:val="single"/>
        </w:rPr>
        <w:t>￥3048000.00元</w:t>
      </w:r>
    </w:p>
    <w:p>
      <w:pPr>
        <w:pStyle w:val="null3"/>
        <w:spacing w:before="45" w:after="45"/>
        <w:ind w:firstLine="57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、采购方式：</w:t>
      </w:r>
      <w:r>
        <w:rPr>
          <w:rFonts w:ascii="仿宋_GB2312" w:hAnsi="仿宋_GB2312" w:cs="仿宋_GB2312" w:eastAsia="仿宋_GB2312"/>
          <w:sz w:val="24"/>
          <w:color w:val="000000"/>
          <w:u w:val="single"/>
        </w:rPr>
        <w:t>竞争性磋商</w:t>
      </w:r>
    </w:p>
    <w:p>
      <w:pPr>
        <w:pStyle w:val="null3"/>
        <w:spacing w:before="45" w:after="45"/>
        <w:ind w:firstLine="572"/>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、合同履约期限（服务期限）：2年</w:t>
      </w:r>
    </w:p>
    <w:p>
      <w:pPr>
        <w:pStyle w:val="null3"/>
        <w:spacing w:before="45" w:after="45"/>
        <w:ind w:firstLine="572"/>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、项目实施地点：海南省海口市秀英区滨海大道长滨东三街2号海口市公安局</w:t>
      </w:r>
    </w:p>
    <w:p>
      <w:pPr>
        <w:pStyle w:val="null3"/>
        <w:spacing w:before="45" w:after="45"/>
        <w:ind w:firstLine="57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付款方式：采购人每月根据中标人服务履约考核评价情况，按月支付保安服务费。中标人须在次月5日前准备上月的考核材料，由采购人组织考核工作小组进行考核，根据考核结果于次月的20日之前结算上月的保安服务费。</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费用组成：安保服务人员共计30人，保安服务费以本次政府采购中标价格为准，实行全年包干制，包括但不限于如下项目：人员工资福利（含员工工资、福利、保险、服装等费用）、秩序维护费、保安人员加班费、保安人员基本装备、设备、服装购置及固定资产折旧费、办公费、管理费、法定税费。</w:t>
      </w:r>
    </w:p>
    <w:p>
      <w:pPr>
        <w:pStyle w:val="null3"/>
        <w:jc w:val="left"/>
      </w:pPr>
      <w:r>
        <w:rPr>
          <w:rFonts w:ascii="仿宋_GB2312" w:hAnsi="仿宋_GB2312" w:cs="仿宋_GB2312" w:eastAsia="仿宋_GB2312"/>
          <w:sz w:val="24"/>
          <w:color w:val="000000"/>
        </w:rPr>
        <w:t>9、项目简介：海口</w:t>
      </w:r>
      <w:r>
        <w:rPr>
          <w:rFonts w:ascii="仿宋_GB2312" w:hAnsi="仿宋_GB2312" w:cs="仿宋_GB2312" w:eastAsia="仿宋_GB2312"/>
          <w:sz w:val="24"/>
          <w:color w:val="000000"/>
        </w:rPr>
        <w:t>市公安局警务指挥中心大楼位于海口市秀英区滨海大道长滨路东三街2号。包括一栋12层高的主楼，两栋分别为6层高的辅楼，总建筑面积约5万平方米，其中地上建筑面积约4万平方米，地下建筑面积约1万平方米。办公楼北边主要是外来办事群众及内部工作人员停放车辆的停车场、球场、绿化等设施。本区域出入口为南门和北门，本单位工作人员主要从南门进出，外来访或办事人员主要从北门进出。</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3,048,000.00</w:t>
      </w:r>
    </w:p>
    <w:p>
      <w:pPr>
        <w:pStyle w:val="null3"/>
        <w:jc w:val="left"/>
      </w:pPr>
      <w:r>
        <w:rPr>
          <w:rFonts w:ascii="仿宋_GB2312" w:hAnsi="仿宋_GB2312" w:cs="仿宋_GB2312" w:eastAsia="仿宋_GB2312"/>
        </w:rPr>
        <w:t>采购包最高限价（元）: 3,048,000.00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3,048,000.00</w:t>
            </w:r>
          </w:p>
        </w:tc>
        <w:tc>
          <w:tcPr>
            <w:tcW w:type="dxa" w:w="831"/>
          </w:tcPr>
          <w:p>
            <w:pPr>
              <w:pStyle w:val="null3"/>
              <w:jc w:val="left"/>
            </w:pPr>
            <w:r>
              <w:rPr>
                <w:rFonts w:ascii="仿宋_GB2312" w:hAnsi="仿宋_GB2312" w:cs="仿宋_GB2312" w:eastAsia="仿宋_GB2312"/>
              </w:rPr>
              <w:t>月</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月</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45" w:after="45"/>
              <w:jc w:val="both"/>
            </w:pPr>
            <w:r>
              <w:rPr>
                <w:rFonts w:ascii="仿宋_GB2312" w:hAnsi="仿宋_GB2312" w:cs="仿宋_GB2312" w:eastAsia="仿宋_GB2312"/>
                <w:sz w:val="28"/>
              </w:rPr>
              <w:t>一、项目基本情况</w:t>
            </w:r>
          </w:p>
          <w:p>
            <w:pPr>
              <w:pStyle w:val="null3"/>
              <w:spacing w:before="45" w:after="45"/>
              <w:ind w:firstLine="572"/>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、项目编号：</w:t>
            </w:r>
            <w:r>
              <w:rPr>
                <w:rFonts w:ascii="仿宋_GB2312" w:hAnsi="仿宋_GB2312" w:cs="仿宋_GB2312" w:eastAsia="仿宋_GB2312"/>
                <w:sz w:val="24"/>
                <w:color w:val="000000"/>
                <w:u w:val="single"/>
              </w:rPr>
              <w:t>（以具体合同编号或相关约定填写）</w:t>
            </w:r>
          </w:p>
          <w:p>
            <w:pPr>
              <w:pStyle w:val="null3"/>
              <w:spacing w:before="45" w:after="45"/>
              <w:ind w:firstLine="57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、项目名称：采购警务指挥中心大楼保安服务</w:t>
            </w:r>
          </w:p>
          <w:p>
            <w:pPr>
              <w:pStyle w:val="null3"/>
              <w:spacing w:before="45" w:after="45"/>
              <w:ind w:firstLine="57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3048000.00</w:t>
            </w:r>
            <w:r>
              <w:rPr>
                <w:rFonts w:ascii="仿宋_GB2312" w:hAnsi="仿宋_GB2312" w:cs="仿宋_GB2312" w:eastAsia="仿宋_GB2312"/>
                <w:sz w:val="24"/>
                <w:color w:val="000000"/>
                <w:u w:val="single"/>
              </w:rPr>
              <w:t>元</w:t>
            </w:r>
          </w:p>
          <w:p>
            <w:pPr>
              <w:pStyle w:val="null3"/>
              <w:spacing w:before="45" w:after="45"/>
              <w:ind w:firstLine="57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、采购方式：</w:t>
            </w:r>
            <w:r>
              <w:rPr>
                <w:rFonts w:ascii="仿宋_GB2312" w:hAnsi="仿宋_GB2312" w:cs="仿宋_GB2312" w:eastAsia="仿宋_GB2312"/>
                <w:sz w:val="24"/>
                <w:color w:val="000000"/>
                <w:u w:val="single"/>
              </w:rPr>
              <w:t>竞争性磋商</w:t>
            </w:r>
          </w:p>
          <w:p>
            <w:pPr>
              <w:pStyle w:val="null3"/>
              <w:spacing w:before="45" w:after="45"/>
              <w:ind w:firstLine="572"/>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、合同履约期限（服务期限）：2年</w:t>
            </w:r>
          </w:p>
          <w:p>
            <w:pPr>
              <w:pStyle w:val="null3"/>
              <w:spacing w:before="45" w:after="45"/>
              <w:ind w:firstLine="572"/>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、项目实施地点：海南省海口市秀英区滨海大道长滨东三街2号海口市公安局</w:t>
            </w:r>
          </w:p>
          <w:p>
            <w:pPr>
              <w:pStyle w:val="null3"/>
              <w:spacing w:before="45" w:after="45"/>
              <w:ind w:firstLine="57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付款方式：采购人每月根据中标人服务履约考核评价情况，按月支付保安服务费。中标人须在次月5日前准备上月的考核材料，由采购人组织考核工作小组进行考核，根据考核结果于次月的20日之前结算上月的保安服务费。</w:t>
            </w:r>
          </w:p>
          <w:p>
            <w:pPr>
              <w:pStyle w:val="null3"/>
              <w:spacing w:before="45" w:after="45"/>
              <w:ind w:firstLine="57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费用组成：安保服务人员共计30人，保安服务费以本次政府采购中标价格为准，实行全年包干制，包括但不限于如下项目：人员工资福利（含员工工资、福利、保险、服装等费用）、秩序维护费、保安人员加班费、保安人员基本装备、设备、服装购置及固定资产折旧费、办公费、管理费、法定税费。</w:t>
            </w:r>
          </w:p>
          <w:p>
            <w:pPr>
              <w:pStyle w:val="null3"/>
              <w:spacing w:before="45" w:after="45"/>
              <w:jc w:val="both"/>
            </w:pPr>
            <w:r>
              <w:rPr>
                <w:rFonts w:ascii="仿宋_GB2312" w:hAnsi="仿宋_GB2312" w:cs="仿宋_GB2312" w:eastAsia="仿宋_GB2312"/>
                <w:sz w:val="28"/>
              </w:rPr>
              <w:t>二、项目简介</w:t>
            </w:r>
          </w:p>
          <w:p>
            <w:pPr>
              <w:pStyle w:val="null3"/>
              <w:jc w:val="left"/>
            </w:pPr>
            <w:r>
              <w:rPr>
                <w:rFonts w:ascii="仿宋_GB2312" w:hAnsi="仿宋_GB2312" w:cs="仿宋_GB2312" w:eastAsia="仿宋_GB2312"/>
                <w:sz w:val="24"/>
                <w:color w:val="000000"/>
              </w:rPr>
              <w:t>海口市公安局警务指挥中心大楼位于海口市秀英区滨海大道长滨路东三街2号。包括一栋12层高的主楼，两栋分别为6层高的辅楼，总建筑面积约5万平方米，其中地上建筑面积约4万平方米，地下建筑面积约1万平方米。办公楼北边主要是外来办事群众及内部工作人员停放车辆的停车场、球场、绿化等设施。本区域出入口为南门和北门，本单位工作人员主要从南门进出，外来访或办事人员主要从北门进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20" w:after="120"/>
              <w:jc w:val="left"/>
            </w:pPr>
            <w:r>
              <w:rPr>
                <w:rFonts w:ascii="仿宋_GB2312" w:hAnsi="仿宋_GB2312" w:cs="仿宋_GB2312" w:eastAsia="仿宋_GB2312"/>
                <w:sz w:val="24"/>
                <w:b/>
              </w:rPr>
              <w:t>★</w:t>
            </w:r>
            <w:r>
              <w:rPr>
                <w:rFonts w:ascii="仿宋_GB2312" w:hAnsi="仿宋_GB2312" w:cs="仿宋_GB2312" w:eastAsia="仿宋_GB2312"/>
                <w:sz w:val="28"/>
              </w:rPr>
              <w:t>三、采购内容</w:t>
            </w:r>
          </w:p>
          <w:p>
            <w:pPr>
              <w:pStyle w:val="null3"/>
              <w:spacing w:before="45" w:after="45"/>
              <w:ind w:firstLine="572"/>
              <w:jc w:val="both"/>
            </w:pPr>
            <w:r>
              <w:rPr>
                <w:rFonts w:ascii="仿宋_GB2312" w:hAnsi="仿宋_GB2312" w:cs="仿宋_GB2312" w:eastAsia="仿宋_GB2312"/>
                <w:sz w:val="24"/>
                <w:color w:val="000000"/>
              </w:rPr>
              <w:t>（一）安保管理服务实施</w:t>
            </w:r>
          </w:p>
          <w:p>
            <w:pPr>
              <w:pStyle w:val="null3"/>
              <w:spacing w:before="45" w:after="45"/>
              <w:ind w:firstLine="572"/>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、安保管理目标及服务理念</w:t>
            </w:r>
          </w:p>
          <w:p>
            <w:pPr>
              <w:pStyle w:val="null3"/>
              <w:spacing w:before="45" w:after="45"/>
              <w:ind w:firstLine="572"/>
              <w:jc w:val="both"/>
            </w:pPr>
            <w:r>
              <w:rPr>
                <w:rFonts w:ascii="仿宋_GB2312" w:hAnsi="仿宋_GB2312" w:cs="仿宋_GB2312" w:eastAsia="仿宋_GB2312"/>
                <w:sz w:val="24"/>
                <w:color w:val="000000"/>
              </w:rPr>
              <w:t>投标方应通过严格的考核、筛选，择优录用并组建一支专业化制度健全的保安队伍，建立健全的管理制度，坚持“预防为主、防治结合”管理方针，全面加强保安人员的思想教育，定期开展职业道德、思想品德和业务知识学习，不断提高保安管理服务水平。</w:t>
            </w:r>
          </w:p>
          <w:p>
            <w:pPr>
              <w:pStyle w:val="null3"/>
              <w:spacing w:before="45" w:after="45"/>
              <w:ind w:firstLine="572"/>
              <w:jc w:val="both"/>
            </w:pPr>
            <w:r>
              <w:rPr>
                <w:rFonts w:ascii="仿宋_GB2312" w:hAnsi="仿宋_GB2312" w:cs="仿宋_GB2312" w:eastAsia="仿宋_GB2312"/>
                <w:sz w:val="24"/>
                <w:color w:val="000000"/>
              </w:rPr>
              <w:t>保安服务队伍在严格遵守《保安服务管理条例》等有关法律法规前提下，充分考虑到我局特殊工作性质及区域环境特点，利用专业化保安服务方法与手段，加强日常保安员队伍管理，将“人防、技防、物防”相结合，实现本单位内部安保工作管理系统化、服务标准化、工作规范化，确保本单位工作环境安全、文明、和谐，达到以下安全管理目标:①办公秩序井然有序；②人身安全免受不法侵犯；③公共财产、个人财物不遭受损失；④重大活动顺利进行；⑤应急突发事件迅速得到解决；⑥规避各种安全事故发生；⑦治安案件发生率为0,刑事案件发生率为0，火灾事故发生率为0。</w:t>
            </w:r>
          </w:p>
          <w:p>
            <w:pPr>
              <w:pStyle w:val="null3"/>
              <w:spacing w:before="45" w:after="45"/>
              <w:ind w:firstLine="572"/>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、管理方式和工作计划</w:t>
            </w:r>
          </w:p>
          <w:p>
            <w:pPr>
              <w:pStyle w:val="null3"/>
              <w:spacing w:before="45" w:after="45"/>
              <w:ind w:firstLine="572"/>
              <w:jc w:val="both"/>
            </w:pPr>
            <w:r>
              <w:rPr>
                <w:rFonts w:ascii="仿宋_GB2312" w:hAnsi="仿宋_GB2312" w:cs="仿宋_GB2312" w:eastAsia="仿宋_GB2312"/>
                <w:sz w:val="24"/>
                <w:color w:val="000000"/>
              </w:rPr>
              <w:t>投标方应成立安保服务工作领导小组，职责分工及人员组成符合甲方实际需求，工作计划应按日、月、季度、年列出，计划落实有详细具体措施。</w:t>
            </w:r>
          </w:p>
          <w:p>
            <w:pPr>
              <w:pStyle w:val="null3"/>
              <w:spacing w:before="45" w:after="45"/>
              <w:ind w:firstLine="572"/>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、管理机构设置、人员配置、装备配置及训练</w:t>
            </w:r>
          </w:p>
          <w:p>
            <w:pPr>
              <w:pStyle w:val="null3"/>
              <w:spacing w:before="45" w:after="45"/>
              <w:ind w:firstLine="572"/>
              <w:jc w:val="both"/>
            </w:pPr>
            <w:r>
              <w:rPr>
                <w:rFonts w:ascii="仿宋_GB2312" w:hAnsi="仿宋_GB2312" w:cs="仿宋_GB2312" w:eastAsia="仿宋_GB2312"/>
                <w:sz w:val="24"/>
                <w:color w:val="000000"/>
              </w:rPr>
              <w:t>投标方应成立安保服务工作领导小组，职责分工及人员组成符合甲方实际需求，装备配置品种、性能、数量能充分满足采购实际岗位需求，训练方案操作性强且训练科目符合日常安保服务需要。</w:t>
            </w:r>
          </w:p>
          <w:p>
            <w:pPr>
              <w:pStyle w:val="null3"/>
              <w:spacing w:before="45" w:after="45"/>
              <w:ind w:firstLine="572"/>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、突发应急处置预案及训练</w:t>
            </w:r>
          </w:p>
          <w:p>
            <w:pPr>
              <w:pStyle w:val="null3"/>
              <w:spacing w:before="45" w:after="45"/>
              <w:ind w:firstLine="572"/>
              <w:jc w:val="left"/>
            </w:pPr>
            <w:r>
              <w:rPr>
                <w:rFonts w:ascii="仿宋_GB2312" w:hAnsi="仿宋_GB2312" w:cs="仿宋_GB2312" w:eastAsia="仿宋_GB2312"/>
                <w:sz w:val="24"/>
                <w:color w:val="000000"/>
              </w:rPr>
              <w:t>投标方应成立安保服务工作领导小组，职责分工及人员组成符合甲方实际需求，预案类别适合大楼保安服务要求，明确预案演练时间、效果，训练方案详细且有具体可操作性。</w:t>
            </w:r>
          </w:p>
          <w:p>
            <w:pPr>
              <w:pStyle w:val="null3"/>
              <w:spacing w:before="45" w:after="45"/>
              <w:ind w:firstLine="572"/>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、秩序维护管理措施及训练</w:t>
            </w:r>
          </w:p>
          <w:p>
            <w:pPr>
              <w:pStyle w:val="null3"/>
              <w:spacing w:before="45" w:after="45"/>
              <w:ind w:firstLine="572"/>
              <w:jc w:val="left"/>
            </w:pPr>
            <w:r>
              <w:rPr>
                <w:rFonts w:ascii="仿宋_GB2312" w:hAnsi="仿宋_GB2312" w:cs="仿宋_GB2312" w:eastAsia="仿宋_GB2312"/>
                <w:sz w:val="24"/>
                <w:color w:val="000000"/>
              </w:rPr>
              <w:t>投标方应成立安保服务工作领导小组，职责分工及人员组成符合甲方实际需求，日常工作计划详实，训练方案包含礼仪、队列等，能结合日常管理进行且操作性强。</w:t>
            </w:r>
          </w:p>
          <w:p>
            <w:pPr>
              <w:pStyle w:val="null3"/>
              <w:spacing w:before="45" w:after="45"/>
              <w:ind w:firstLine="572"/>
              <w:jc w:val="left"/>
            </w:pPr>
            <w:r>
              <w:rPr>
                <w:rFonts w:ascii="仿宋_GB2312" w:hAnsi="仿宋_GB2312" w:cs="仿宋_GB2312" w:eastAsia="仿宋_GB2312"/>
                <w:sz w:val="24"/>
                <w:color w:val="000000"/>
              </w:rPr>
              <w:t>（二）保安人员要求：</w:t>
            </w:r>
          </w:p>
          <w:p>
            <w:pPr>
              <w:pStyle w:val="null3"/>
              <w:spacing w:before="45" w:after="45"/>
              <w:ind w:firstLine="572"/>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保安人员必须持有公安部门发放的保安员证，具有一定的保安专业技能，知法、懂法、守法，依法办事，严格遵守保安从业规范，遵守采购人内部有关规章制度；</w:t>
            </w:r>
          </w:p>
          <w:p>
            <w:pPr>
              <w:pStyle w:val="null3"/>
              <w:spacing w:before="45" w:after="45"/>
              <w:ind w:firstLine="57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我局工作环境特殊，日常工作涉及接访群众及处置突发事件，秩序维护人员需要设置特定条件。具体要求如下：男性，年龄在20-45周岁，高中以上(含)文化程度，身高在1.70米以上(南门岗、主楼一楼岗、九楼岗保安人员身高应在1.72米以上。其中，九楼岗保安人员必须是退伍军人)；五官端正，体态匀称，身体健康，无染发，不留长发、大鬓角和胡须，无纹身，不留长指甲和染指甲，视力好、无精神病（或家族史），无生理缺陷及慢性病、传染病。</w:t>
            </w:r>
          </w:p>
          <w:p>
            <w:pPr>
              <w:pStyle w:val="null3"/>
              <w:spacing w:before="45" w:after="45"/>
              <w:ind w:firstLine="57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经审查无违法犯罪前科。思想品德好，愿意长期从事保安工作。同等条件下，退伍军人优先。中标人必须按要求提供全部保安人员信息资料给采购人，采购人将对上岗安保人员进行面试及政审，不合格者一律不予上岗。</w:t>
            </w:r>
          </w:p>
          <w:p>
            <w:pPr>
              <w:pStyle w:val="null3"/>
              <w:spacing w:before="45" w:after="45"/>
              <w:ind w:firstLine="572"/>
              <w:jc w:val="left"/>
            </w:pPr>
            <w:r>
              <w:rPr>
                <w:rFonts w:ascii="仿宋_GB2312" w:hAnsi="仿宋_GB2312" w:cs="仿宋_GB2312" w:eastAsia="仿宋_GB2312"/>
                <w:sz w:val="24"/>
                <w:color w:val="000000"/>
              </w:rPr>
              <w:t>（三）投标人提供保安服务必须达到以下各项指标和要求：</w:t>
            </w:r>
          </w:p>
          <w:p>
            <w:pPr>
              <w:pStyle w:val="null3"/>
              <w:spacing w:before="45" w:after="45"/>
              <w:ind w:firstLine="572"/>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采购人的要求保安服务的人员数量不少于30人，并在实际服务工作中到岗到位。保安员必须具有保安上岗证，上岗前须经中标人专业培训。保安员工作时间要求统一着装，佩带帯明显标志，工作规范，作风严谨，文明服务。</w:t>
            </w:r>
          </w:p>
          <w:p>
            <w:pPr>
              <w:pStyle w:val="null3"/>
              <w:spacing w:before="45" w:after="45"/>
              <w:ind w:firstLine="57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杜绝火灾责任事故，防范刑事案件发生。</w:t>
            </w:r>
          </w:p>
          <w:p>
            <w:pPr>
              <w:pStyle w:val="null3"/>
              <w:spacing w:before="45" w:after="45"/>
              <w:ind w:firstLine="57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服务有效投诉少于1%，处理率100%。</w:t>
            </w:r>
          </w:p>
          <w:p>
            <w:pPr>
              <w:pStyle w:val="null3"/>
              <w:spacing w:before="45" w:after="45"/>
              <w:ind w:firstLine="57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依法与保安人员签订劳动合同，为保安人员缴纳社会保险。</w:t>
            </w:r>
          </w:p>
          <w:p>
            <w:pPr>
              <w:pStyle w:val="null3"/>
              <w:spacing w:before="45" w:after="45"/>
              <w:ind w:firstLine="572"/>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采购人月考核评价内容的工作（详见附表），综合得分85分（含）以上为合格，85分以下为不合格；连续三个月低于85分以下的，采购人有权终止服务合同。</w:t>
            </w:r>
          </w:p>
          <w:p>
            <w:pPr>
              <w:pStyle w:val="null3"/>
              <w:spacing w:before="45" w:after="45"/>
              <w:ind w:firstLine="572"/>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应自觉接受采购人对保安服务质量的监督，收到采购人有关整改书面通知后应立即进行整改。对中标人在限期整改不到位的情况，采购人有权扣除一定比例的保安服务费作为中标人违约金，甚至终止服务合同。</w:t>
            </w:r>
          </w:p>
          <w:p>
            <w:pPr>
              <w:pStyle w:val="null3"/>
              <w:spacing w:before="45" w:after="45"/>
              <w:ind w:firstLine="57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中标人必须按照法律法规有关要求与保安人员签定劳动合同，足额缴纳保安人员社保及其它应缴纳的费用。</w:t>
            </w:r>
          </w:p>
          <w:p>
            <w:pPr>
              <w:pStyle w:val="null3"/>
              <w:spacing w:before="45" w:after="45"/>
              <w:ind w:firstLine="572"/>
              <w:jc w:val="left"/>
            </w:pPr>
            <w:r>
              <w:rPr>
                <w:rFonts w:ascii="仿宋_GB2312" w:hAnsi="仿宋_GB2312" w:cs="仿宋_GB2312" w:eastAsia="仿宋_GB2312"/>
                <w:sz w:val="24"/>
                <w:color w:val="000000"/>
              </w:rPr>
              <w:t>（四）保安服务职责范围</w:t>
            </w:r>
          </w:p>
          <w:p>
            <w:pPr>
              <w:pStyle w:val="null3"/>
              <w:spacing w:before="45" w:after="45"/>
              <w:ind w:firstLine="572"/>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区域内门卫、巡逻、守护、安全检查、安全技术防范等；防火、防盗、防灾害、防破坏，防止治安事故；车辆行驶引导和停放秩序管理；紧急情况下组织人员疏散；安全标识布置；日常监控管理等。</w:t>
            </w:r>
          </w:p>
          <w:p>
            <w:pPr>
              <w:pStyle w:val="null3"/>
              <w:spacing w:before="45" w:after="45"/>
              <w:ind w:firstLine="57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中标后应根据实际管理需要为本区域服务的保安人员配备对讲机、强光手电、橡胶皮棒、头盔等必要的防护装备器械；协助业主单位做好区域内及区域外大型会议、重大集会和其他重要活动的安保工作。其中：</w:t>
            </w:r>
          </w:p>
          <w:p>
            <w:pPr>
              <w:pStyle w:val="null3"/>
              <w:spacing w:before="45" w:after="45"/>
              <w:ind w:left="-135" w:right="-195" w:firstLine="480"/>
              <w:jc w:val="both"/>
            </w:pPr>
            <w:r>
              <w:rPr>
                <w:rFonts w:ascii="仿宋_GB2312" w:hAnsi="仿宋_GB2312" w:cs="仿宋_GB2312" w:eastAsia="仿宋_GB2312"/>
                <w:sz w:val="24"/>
              </w:rPr>
              <w:t>（1）区域内交通秩序</w:t>
            </w:r>
          </w:p>
          <w:tbl>
            <w:tblPr>
              <w:tblBorders>
                <w:top w:val="single"/>
                <w:left w:val="single"/>
                <w:bottom w:val="single"/>
                <w:right w:val="single"/>
                <w:insideH w:val="single"/>
                <w:insideV w:val="single"/>
              </w:tblBorders>
            </w:tblPr>
            <w:tblGrid>
              <w:gridCol w:w="196"/>
              <w:gridCol w:w="339"/>
              <w:gridCol w:w="335"/>
              <w:gridCol w:w="339"/>
              <w:gridCol w:w="315"/>
              <w:gridCol w:w="474"/>
              <w:gridCol w:w="548"/>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w:t>
                  </w:r>
                </w:p>
                <w:p>
                  <w:pPr>
                    <w:pStyle w:val="null3"/>
                    <w:jc w:val="center"/>
                  </w:pPr>
                  <w:r>
                    <w:rPr>
                      <w:rFonts w:ascii="仿宋_GB2312" w:hAnsi="仿宋_GB2312" w:cs="仿宋_GB2312" w:eastAsia="仿宋_GB2312"/>
                      <w:sz w:val="24"/>
                    </w:rPr>
                    <w:t>内容</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定岗</w:t>
                  </w:r>
                </w:p>
                <w:p>
                  <w:pPr>
                    <w:pStyle w:val="null3"/>
                    <w:jc w:val="center"/>
                  </w:pPr>
                  <w:r>
                    <w:rPr>
                      <w:rFonts w:ascii="仿宋_GB2312" w:hAnsi="仿宋_GB2312" w:cs="仿宋_GB2312" w:eastAsia="仿宋_GB2312"/>
                      <w:sz w:val="24"/>
                    </w:rPr>
                    <w:t>监控</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交通</w:t>
                  </w:r>
                </w:p>
                <w:p>
                  <w:pPr>
                    <w:pStyle w:val="null3"/>
                    <w:jc w:val="center"/>
                  </w:pPr>
                  <w:r>
                    <w:rPr>
                      <w:rFonts w:ascii="仿宋_GB2312" w:hAnsi="仿宋_GB2312" w:cs="仿宋_GB2312" w:eastAsia="仿宋_GB2312"/>
                      <w:sz w:val="24"/>
                    </w:rPr>
                    <w:t>疏导</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巡视</w:t>
                  </w:r>
                </w:p>
                <w:p>
                  <w:pPr>
                    <w:pStyle w:val="null3"/>
                    <w:jc w:val="center"/>
                  </w:pPr>
                  <w:r>
                    <w:rPr>
                      <w:rFonts w:ascii="仿宋_GB2312" w:hAnsi="仿宋_GB2312" w:cs="仿宋_GB2312" w:eastAsia="仿宋_GB2312"/>
                      <w:sz w:val="24"/>
                    </w:rPr>
                    <w:t>巡查</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事故</w:t>
                  </w:r>
                </w:p>
                <w:p>
                  <w:pPr>
                    <w:pStyle w:val="null3"/>
                    <w:jc w:val="center"/>
                  </w:pPr>
                  <w:r>
                    <w:rPr>
                      <w:rFonts w:ascii="仿宋_GB2312" w:hAnsi="仿宋_GB2312" w:cs="仿宋_GB2312" w:eastAsia="仿宋_GB2312"/>
                      <w:sz w:val="24"/>
                    </w:rPr>
                    <w:t>处理</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人员</w:t>
                  </w:r>
                </w:p>
                <w:p>
                  <w:pPr>
                    <w:pStyle w:val="null3"/>
                    <w:jc w:val="center"/>
                  </w:pPr>
                  <w:r>
                    <w:rPr>
                      <w:rFonts w:ascii="仿宋_GB2312" w:hAnsi="仿宋_GB2312" w:cs="仿宋_GB2312" w:eastAsia="仿宋_GB2312"/>
                      <w:sz w:val="24"/>
                    </w:rPr>
                    <w:t>素质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工作要求</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r>
                    <w:rPr>
                      <w:rFonts w:ascii="仿宋_GB2312" w:hAnsi="仿宋_GB2312" w:cs="仿宋_GB2312" w:eastAsia="仿宋_GB2312"/>
                      <w:sz w:val="24"/>
                    </w:rPr>
                    <w:t>小时不间断</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工作日7:00—19:00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次/小时</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事故发生后5分钟内处理完毕</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掌握法律法规常识，交通指挥、疏导技能及各类事件处理程序</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工作标准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及时发现异常情况</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车辆进出、停放整齐有序</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及时处理各类突发情况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保护现场，制止纠纷，疏导交通，妥善处理或及时报案</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文明用语，微笑服务</w:t>
                  </w:r>
                </w:p>
              </w:tc>
            </w:tr>
          </w:tbl>
          <w:p>
            <w:pPr>
              <w:pStyle w:val="null3"/>
              <w:spacing w:before="45" w:after="45"/>
              <w:ind w:left="-135" w:right="-195" w:firstLine="480"/>
              <w:jc w:val="both"/>
            </w:pPr>
            <w:r>
              <w:rPr>
                <w:rFonts w:ascii="仿宋_GB2312" w:hAnsi="仿宋_GB2312" w:cs="仿宋_GB2312" w:eastAsia="仿宋_GB2312"/>
                <w:sz w:val="24"/>
              </w:rPr>
              <w:t>（2）区域内安全秩序维护、保安服务职责范围及岗位设置</w:t>
            </w:r>
          </w:p>
          <w:tbl>
            <w:tblPr>
              <w:tblBorders>
                <w:top w:val="single"/>
                <w:left w:val="single"/>
                <w:bottom w:val="single"/>
                <w:right w:val="single"/>
                <w:insideH w:val="single"/>
                <w:insideV w:val="single"/>
              </w:tblBorders>
            </w:tblPr>
            <w:tblGrid>
              <w:gridCol w:w="179"/>
              <w:gridCol w:w="219"/>
              <w:gridCol w:w="264"/>
              <w:gridCol w:w="256"/>
              <w:gridCol w:w="1636"/>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工作时间</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岗位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人数</w:t>
                  </w:r>
                </w:p>
              </w:tc>
              <w:tc>
                <w:tcPr>
                  <w:tcW w:type="dxa" w:w="16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主要工作内容（</w:t>
                  </w:r>
                  <w:r>
                    <w:rPr>
                      <w:rFonts w:ascii="仿宋_GB2312" w:hAnsi="仿宋_GB2312" w:cs="仿宋_GB2312" w:eastAsia="仿宋_GB2312"/>
                      <w:sz w:val="24"/>
                      <w:color w:val="000000"/>
                    </w:rPr>
                    <w:t>职责范围）</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19"/>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p>
                  <w:pPr>
                    <w:pStyle w:val="null3"/>
                    <w:jc w:val="center"/>
                  </w:pPr>
                  <w:r>
                    <w:rPr>
                      <w:rFonts w:ascii="仿宋_GB2312" w:hAnsi="仿宋_GB2312" w:cs="仿宋_GB2312" w:eastAsia="仿宋_GB2312"/>
                      <w:sz w:val="24"/>
                    </w:rPr>
                    <w:t>小时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队长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主要负责管理安保业务，组织保安人员培训，日常监督，并积极与采购人进行业务衔接、协调等方面工作。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19"/>
                  <w:vMerge/>
                  <w:tcBorders>
                    <w:top w:val="none" w:color="000000" w:sz="4"/>
                    <w:left w:val="non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南门岗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6</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负责外来人员出入的信息登记、验证(进入小件物品的检查)，经与对接单位确认无异后，方可允许放行进入；同时，负责市局工作人员、车辆正常出入通行工作。该岗位早班3人、中班2人、晚班2人。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19"/>
                  <w:vMerge/>
                  <w:tcBorders>
                    <w:top w:val="none" w:color="000000" w:sz="4"/>
                    <w:left w:val="non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北门岗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4</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外来人员出入的信息登记、验证(进入小件物品的检查)，经与对接单位确认无异后，方可允许放行进入；同时，负责市局工作人员、车辆正常出入通行工作及北门停车场车辆停放秩序。该岗位早班2人、中班2人、晚班1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19"/>
                  <w:vMerge/>
                  <w:tcBorders>
                    <w:top w:val="none" w:color="000000" w:sz="4"/>
                    <w:left w:val="non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引导岗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4</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负责外来人员出入的信息登记、验证(进入小件物品的检查)，经与对接单位确认无异后，方可允许放行进入；同时，负责市局工作人员、车辆正常出入通行工作。该岗位早班2人、中班2人。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19"/>
                  <w:vMerge/>
                  <w:tcBorders>
                    <w:top w:val="none" w:color="000000" w:sz="4"/>
                    <w:left w:val="non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主楼一楼岗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3</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负责引导外来人员、大厅内外巡视以及平台外车辆引导工作，发现情况，及时处理报告。该岗位人数要求每班至少1人，分三班倒。</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总监控室岗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3</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熟练和掌握监控设备的技术性能及操作方法，熟练各部门消防设备的分布情况。正确使用和保管好本岗位所使用的设备和其它物品，当班保安应对使用的设备和物品负有全部责任，交接班时应对物品的种类、数量及完好程度进行检查登记。主动发现监控上的各种动态情况，及时通报各有关岗位。消防系统报警或接到报警电话，应立即用对讲机通知就近的保安员赶赴现场予以确认，同时做好详细记录。与固定岗、巡逻岗密切保持联系(晚班每整点联系1次)，随时通报有关情况，处理各类事件，并及时报告值班队长。做好监控、消防报警仪器日常清洁保养工作，当监控报警仪器发生故障时，应立即报告值班处领导并通知工程部，并协助工程部尽快排除故障，同时做好详细记录。该岗位人数要求每班至少1人，分三班倒。</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负一楼车库岗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3</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做好负一楼所有电梯出入管理工作；负责负一楼车辆进出引导工作，熟悉车辆与固定车位对号入位，加强对地下车库巡查；对车辆未按规定位置停放、漏油、门窗未关闭等异常情况做好登记，并及时报告值班队长和总监控室处理，该岗位人数要求每班至少1人，分三班倒。</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东辅楼岗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1</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负责引导外来人员进入东辅楼及外围车辆停放工作，发现问题及时处理，该岗位1人，具体每日上岗时间为7:00-19:00。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西辅楼岗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1</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负责引导外来人员进入西辅楼及外围车辆停放工作，发现问题及时处理，该岗位1人，具体每日上岗时间为7:00-19:00。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巡逻岗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3</w:t>
                  </w:r>
                  <w:r>
                    <w:rPr>
                      <w:rFonts w:ascii="仿宋_GB2312" w:hAnsi="仿宋_GB2312" w:cs="仿宋_GB2312" w:eastAsia="仿宋_GB2312"/>
                      <w:sz w:val="24"/>
                    </w:rPr>
                    <w:t>人</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both"/>
                  </w:pPr>
                  <w:r>
                    <w:rPr>
                      <w:rFonts w:ascii="仿宋_GB2312" w:hAnsi="仿宋_GB2312" w:cs="仿宋_GB2312" w:eastAsia="仿宋_GB2312"/>
                      <w:sz w:val="24"/>
                    </w:rPr>
                    <w:t>负责对大楼内外及周边进行不间断巡逻，督促检查所有岗位保安履职情况，并做好登记，发现问题第一时间报告值班队长处理。</w:t>
                  </w:r>
                </w:p>
              </w:tc>
            </w:tr>
            <w:tr>
              <w:tc>
                <w:tcPr>
                  <w:tcW w:type="dxa" w:w="662"/>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人员数量合计</w:t>
                  </w:r>
                </w:p>
              </w:tc>
              <w:tc>
                <w:tcPr>
                  <w:tcW w:type="dxa" w:w="189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right="105"/>
                    <w:jc w:val="center"/>
                  </w:pPr>
                  <w:r>
                    <w:rPr>
                      <w:rFonts w:ascii="仿宋_GB2312" w:hAnsi="仿宋_GB2312" w:cs="仿宋_GB2312" w:eastAsia="仿宋_GB2312"/>
                      <w:sz w:val="24"/>
                    </w:rPr>
                    <w:t>30</w:t>
                  </w:r>
                  <w:r>
                    <w:rPr>
                      <w:rFonts w:ascii="仿宋_GB2312" w:hAnsi="仿宋_GB2312" w:cs="仿宋_GB2312" w:eastAsia="仿宋_GB2312"/>
                      <w:sz w:val="24"/>
                    </w:rPr>
                    <w:t>人</w:t>
                  </w:r>
                </w:p>
              </w:tc>
            </w:tr>
          </w:tbl>
          <w:p>
            <w:pPr>
              <w:pStyle w:val="null3"/>
              <w:spacing w:before="45" w:after="45"/>
              <w:jc w:val="both"/>
            </w:pPr>
            <w:r>
              <w:rPr>
                <w:rFonts w:ascii="仿宋_GB2312" w:hAnsi="仿宋_GB2312" w:cs="仿宋_GB2312" w:eastAsia="仿宋_GB2312"/>
                <w:sz w:val="28"/>
              </w:rPr>
              <w:t>★</w:t>
            </w:r>
            <w:r>
              <w:rPr>
                <w:rFonts w:ascii="仿宋_GB2312" w:hAnsi="仿宋_GB2312" w:cs="仿宋_GB2312" w:eastAsia="仿宋_GB2312"/>
                <w:sz w:val="28"/>
              </w:rPr>
              <w:t>四、考核评价表</w:t>
            </w:r>
          </w:p>
          <w:p>
            <w:pPr>
              <w:pStyle w:val="null3"/>
              <w:spacing w:before="45" w:after="45"/>
              <w:jc w:val="center"/>
            </w:pPr>
            <w:r>
              <w:rPr>
                <w:rFonts w:ascii="仿宋_GB2312" w:hAnsi="仿宋_GB2312" w:cs="仿宋_GB2312" w:eastAsia="仿宋_GB2312"/>
                <w:sz w:val="24"/>
                <w:color w:val="000000"/>
              </w:rPr>
              <w:t>海口市公安局警务指挥中心大楼安保服务质量季度考核评价表内容</w:t>
            </w:r>
          </w:p>
          <w:tbl>
            <w:tblPr>
              <w:tblBorders>
                <w:top w:val="single"/>
                <w:left w:val="single"/>
                <w:bottom w:val="single"/>
                <w:right w:val="single"/>
                <w:insideH w:val="single"/>
                <w:insideV w:val="single"/>
              </w:tblBorders>
            </w:tblPr>
            <w:tblGrid>
              <w:gridCol w:w="135"/>
              <w:gridCol w:w="319"/>
              <w:gridCol w:w="1595"/>
              <w:gridCol w:w="163"/>
              <w:gridCol w:w="167"/>
              <w:gridCol w:w="171"/>
            </w:tblGrid>
            <w:tr>
              <w:tc>
                <w:tcPr>
                  <w:tcW w:type="dxa" w:w="4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考核类别</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考核内容</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分值</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得分</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仪容仪表</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按规定着装、配备装备工具、统一、整洁。</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仪表端正无不良表现：举止文明大方，精神饱满，用语文明。</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服务态度热情、主动、耐心。</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劳动纪律</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不擅自调班、换岗、串岗、脱岗：保安员按规定时间上下班，不迟到、早退。缺1岗位扣3分，直至扣完为止。</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工作期间不出现串岗、脱岗、睡岗、离岗、酒后上岗等违反劳动纪律事项，不做与工作无关的事情。</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制定有严格的巡逻制度，落实定时巡逻，服务区域内巡逻做到无盲点。</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节约使用电、水等公共资源：爱护公共设施和财产，严格遵守甲方内部规章制度。</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岗上服务</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爱岗敬业，服务规范，秩序维护效果良好。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对外来访人员及车辆按规定做好登记，正确引导指挥车辆进出和摆放；严查大件物品、危险品等。</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监控室24小时有专人专业值守；发现可疑、异常或突发情况做到报告及时，妥当处置。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巡逻按规定班次进行，并准确做好巡查记录，发现可疑问题，及时报告，处理妥当。</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交接班、来访登记、巡逻登记等所有服务记录均有迹可循，且有效真实。</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对暴风雨等灾害性天气或火警事故等应急处理及时，处理正确。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岗点卫生整洁，窗明干净，物品摆放整齐；不乱拉电线，不私接大功率电器；环境防护措施恰当。</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岗点周边（50米范围内）环境干净整洁；执勤物品放置妥当。</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人员要求与综合管理</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每周有培训计划安排，且有培训方案、图片等资料可查证；有应急处突方案。无培训计划扣2分，未实际培训扣3分，无应急处突方案扣3分。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有保安员证，具备一定的安保，消防等必备技能知识。无证每一名保安扣1分，直至该分项扣完为止。</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出勤率100%，上班及时率100%，到位率、月流动率应控制在规定范围内。</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未经甲方同意，不得随意对岗上人员进行调换和撤离；出现岗位空缺，及时安排加班补岗，并在约定时间内补员。</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人员条件符合合同要求，基本条件、技能知识符合要求标准；服从管理、配合工作、主动汇报；具有合理的工作计划安排，和问题处理协调能力。</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保安装备器械配备和使用</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保安装备器械配备齐全，使用规范，日常保养符合要求。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其他</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对来访人员反映或投诉的问题处理是否及时、到位。</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FF0000"/>
                    </w:rPr>
                    <w:t>检查是否有值班表，各岗位人员到位情况，完成每日考勤人数上报，工资按时发放及社保缴纳情况抽查，对于服务人员的离职空窗期不得超过3日</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319"/>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对甲方的提出的存在问题是否及时整改。</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r>
              <w:tc>
                <w:tcPr>
                  <w:tcW w:type="dxa" w:w="20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考核分合计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w:t>
                  </w:r>
                </w:p>
              </w:tc>
            </w:tr>
          </w:tbl>
          <w:p>
            <w:pPr>
              <w:pStyle w:val="null3"/>
              <w:spacing w:after="12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45" w:after="45"/>
              <w:jc w:val="both"/>
            </w:pPr>
            <w:r>
              <w:rPr>
                <w:rFonts w:ascii="仿宋_GB2312" w:hAnsi="仿宋_GB2312" w:cs="仿宋_GB2312" w:eastAsia="仿宋_GB2312"/>
                <w:sz w:val="28"/>
              </w:rPr>
              <w:t>★</w:t>
            </w:r>
            <w:r>
              <w:rPr>
                <w:rFonts w:ascii="仿宋_GB2312" w:hAnsi="仿宋_GB2312" w:cs="仿宋_GB2312" w:eastAsia="仿宋_GB2312"/>
                <w:sz w:val="28"/>
              </w:rPr>
              <w:t>五、其他</w:t>
            </w:r>
            <w:r>
              <w:rPr>
                <w:rFonts w:ascii="仿宋_GB2312" w:hAnsi="仿宋_GB2312" w:cs="仿宋_GB2312" w:eastAsia="仿宋_GB2312"/>
                <w:sz w:val="28"/>
              </w:rPr>
              <w:t>要求</w:t>
            </w:r>
          </w:p>
          <w:p>
            <w:pPr>
              <w:pStyle w:val="null3"/>
              <w:spacing w:before="45" w:after="45"/>
              <w:ind w:firstLine="42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中标人自合同签订之日起15个日历天内给采购人提供保安服务。</w:t>
            </w:r>
          </w:p>
          <w:p>
            <w:pPr>
              <w:pStyle w:val="null3"/>
              <w:spacing w:before="45" w:after="45"/>
              <w:ind w:left="420"/>
              <w:jc w:val="both"/>
            </w:pPr>
            <w:r>
              <w:rPr>
                <w:rFonts w:ascii="仿宋_GB2312" w:hAnsi="仿宋_GB2312" w:cs="仿宋_GB2312" w:eastAsia="仿宋_GB2312"/>
                <w:sz w:val="24"/>
                <w:color w:val="FF0000"/>
              </w:rPr>
              <w:t>2.</w:t>
            </w:r>
            <w:r>
              <w:rPr>
                <w:rFonts w:ascii="仿宋_GB2312" w:hAnsi="仿宋_GB2312" w:cs="仿宋_GB2312" w:eastAsia="仿宋_GB2312"/>
                <w:sz w:val="24"/>
                <w:color w:val="FF0000"/>
              </w:rPr>
              <w:t>投标人的法定代表人、实际控制人及股东近三年内不得有“行贿、受贿、</w:t>
            </w:r>
            <w:r>
              <w:rPr>
                <w:rFonts w:ascii="仿宋_GB2312" w:hAnsi="仿宋_GB2312" w:cs="仿宋_GB2312" w:eastAsia="仿宋_GB2312"/>
                <w:sz w:val="24"/>
                <w:color w:val="FF0000"/>
              </w:rPr>
              <w:t>串通投标、偷税漏税</w:t>
            </w:r>
            <w:r>
              <w:rPr>
                <w:rFonts w:ascii="仿宋_GB2312" w:hAnsi="仿宋_GB2312" w:cs="仿宋_GB2312" w:eastAsia="仿宋_GB2312"/>
                <w:sz w:val="24"/>
                <w:color w:val="FF0000"/>
              </w:rPr>
              <w:t>”等违法或犯罪行为（投标人应单独提供承诺函）。</w:t>
            </w:r>
          </w:p>
          <w:p>
            <w:pPr>
              <w:pStyle w:val="null3"/>
              <w:jc w:val="left"/>
            </w:pP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未尽事宜由采购人与中标人在采购合同中详细约定。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3、供应商承诺函 11、供应商应提交的相关证明材料 4、提供具有独立承担民事责任的能力的证明材料 1、响应承诺函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3、供应商承诺函 11、供应商应提交的相关证明材料 5、资格条件承诺函 1、响应承诺函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11、供应商应提交的相关证明材料 5、资格条件承诺函 1、响应承诺函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11、供应商应提交的相关证明材料 15、其他材料 5、资格条件承诺函 1、响应承诺函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3、供应商承诺函 11、供应商应提交的相关证明材料 6、特殊资格要求（海口市公安机关备案，并具有由公安机关核发的《保安服务许可证》） 5、资格条件承诺函 1、响应承诺函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11、供应商应提交的相关证明材料 1、响应承诺函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供应商符合法律、行政法规规定的其他条件</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响应）。为本项目提供整体设计、规范编制或者项目管理、监理、检测等服务的供应商，不得再参与本项目投标（响应）。在《响应承诺函》中进行相关申明。</w:t>
            </w:r>
          </w:p>
        </w:tc>
        <w:tc>
          <w:tcPr>
            <w:tcW w:type="dxa" w:w="1661"/>
          </w:tcPr>
          <w:p>
            <w:pPr>
              <w:pStyle w:val="null3"/>
              <w:jc w:val="left"/>
            </w:pPr>
            <w:r>
              <w:rPr>
                <w:rFonts w:ascii="仿宋_GB2312" w:hAnsi="仿宋_GB2312" w:cs="仿宋_GB2312" w:eastAsia="仿宋_GB2312"/>
              </w:rPr>
              <w:t>11、供应商应提交的相关证明材料 7、承诺函 4、提供具有独立承担民事责任的能力的证明材料 5、资格条件承诺函 1、响应承诺函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应具有由公安机关核发的《保安服务许可证》（提供证书扫描件并加盖供应商公章）；并承诺提供服务前向采购人所在地设区的市级人民政府公安机关完成备案（提供证书扫描件及承诺函并加盖供应商公章）。</w:t>
            </w:r>
          </w:p>
        </w:tc>
        <w:tc>
          <w:tcPr>
            <w:tcW w:type="dxa" w:w="1661"/>
          </w:tcPr>
          <w:p>
            <w:pPr>
              <w:pStyle w:val="null3"/>
              <w:jc w:val="left"/>
            </w:pPr>
            <w:r>
              <w:rPr>
                <w:rFonts w:ascii="仿宋_GB2312" w:hAnsi="仿宋_GB2312" w:cs="仿宋_GB2312" w:eastAsia="仿宋_GB2312"/>
              </w:rPr>
              <w:t>11、供应商应提交的相关证明材料 6、特殊资格要求（海口市公安机关备案，并具有由公安机关核发的《保安服务许可证》）</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落实政府采购政策需满足的资格要求</w:t>
            </w:r>
          </w:p>
        </w:tc>
        <w:tc>
          <w:tcPr>
            <w:tcW w:type="dxa" w:w="3322"/>
          </w:tcPr>
          <w:p>
            <w:pPr>
              <w:pStyle w:val="null3"/>
              <w:jc w:val="left"/>
            </w:pPr>
            <w:r>
              <w:rPr>
                <w:rFonts w:ascii="仿宋_GB2312" w:hAnsi="仿宋_GB2312" w:cs="仿宋_GB2312" w:eastAsia="仿宋_GB2312"/>
              </w:rPr>
              <w:t>本项目属于非专门面向中小企业采购的项目。</w:t>
            </w:r>
          </w:p>
        </w:tc>
        <w:tc>
          <w:tcPr>
            <w:tcW w:type="dxa" w:w="1661"/>
          </w:tcPr>
          <w:p>
            <w:pPr>
              <w:pStyle w:val="null3"/>
              <w:jc w:val="left"/>
            </w:pPr>
            <w:r>
              <w:rPr>
                <w:rFonts w:ascii="仿宋_GB2312" w:hAnsi="仿宋_GB2312" w:cs="仿宋_GB2312" w:eastAsia="仿宋_GB2312"/>
              </w:rPr>
              <w:t>8、中小企业声明函 9、残疾人福利性单位声明函 10、监狱企业的证明文件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无失信行为查询</w:t>
            </w:r>
          </w:p>
        </w:tc>
        <w:tc>
          <w:tcPr>
            <w:tcW w:type="dxa" w:w="3322"/>
          </w:tcPr>
          <w:p>
            <w:pPr>
              <w:pStyle w:val="null3"/>
              <w:jc w:val="left"/>
            </w:pPr>
            <w:r>
              <w:rPr>
                <w:rFonts w:ascii="仿宋_GB2312" w:hAnsi="仿宋_GB2312" w:cs="仿宋_GB2312" w:eastAsia="仿宋_GB2312"/>
              </w:rPr>
              <w:t>供应商未被列入“信用中国”网站（www.creditchina.gov.cn)“失信被执行人”、 “重大税收违法失信主体”；不处于“中国政府采购网”网站（http://www.ccgp.gov.cn/） “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w:t>
            </w:r>
          </w:p>
        </w:tc>
        <w:tc>
          <w:tcPr>
            <w:tcW w:type="dxa" w:w="1661"/>
          </w:tcPr>
          <w:p>
            <w:pPr>
              <w:pStyle w:val="null3"/>
              <w:jc w:val="left"/>
            </w:pPr>
            <w:r>
              <w:rPr>
                <w:rFonts w:ascii="仿宋_GB2312" w:hAnsi="仿宋_GB2312" w:cs="仿宋_GB2312" w:eastAsia="仿宋_GB2312"/>
              </w:rPr>
              <w:t>11、供应商应提交的相关证明材料 15、其他材料 1、响应承诺函 16、（选用）其他材料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3、供应商承诺函 11、供应商应提交的相关证明材料 12、商务应答表 7、承诺函 4、提供具有独立承担民事责任的能力的证明材料 封面 14、自觉抵制政府采购领域商业贿赂行为承诺书 1、响应承诺函 13、技术参数响应表 15、其他材料 2、法定代表人资格证明书或法定代表人授权委托书 6、特殊资格要求（海口市公安机关备案，并具有由公安机关核发的《保安服务许可证》） 5、资格条件承诺函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3、供应商承诺函 2、法定代表人资格证明书或法定代表人授权委托书 14、自觉抵制政府采购领域商业贿赂行为承诺书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12、商务应答表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15、其他材料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15、其他材料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15、其他材料 1、响应承诺函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3、供应商承诺函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根据投标人提供的本项目服务方案（包括但不限于管理模式，服务质量主要管控措施，岗位职责等内容）进行评分： （1）上述三项内容齐全的得基本分6分，评审委员会再根据方案内容的质量分别进行评分。 （2）服务方案内容完全满足项目需求，方案思路清晰、针对性强、具备可行性，管理设想新颖、服务定位明确。（上述三项要求全部符合得9分，每有一项内容存在缺陷扣3分，扣完为止）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15、其他材料</w:t>
            </w:r>
          </w:p>
        </w:tc>
      </w:tr>
      <w:tr>
        <w:tc>
          <w:tcPr>
            <w:tcW w:type="dxa" w:w="831"/>
            <w:vMerge/>
          </w:tcPr>
          <w:p/>
        </w:tc>
        <w:tc>
          <w:tcPr>
            <w:tcW w:type="dxa" w:w="1661"/>
          </w:tcPr>
          <w:p>
            <w:pPr>
              <w:pStyle w:val="null3"/>
              <w:jc w:val="left"/>
            </w:pPr>
            <w:r>
              <w:rPr>
                <w:rFonts w:ascii="仿宋_GB2312" w:hAnsi="仿宋_GB2312" w:cs="仿宋_GB2312" w:eastAsia="仿宋_GB2312"/>
              </w:rPr>
              <w:t>人员配置及培训方案</w:t>
            </w:r>
          </w:p>
        </w:tc>
        <w:tc>
          <w:tcPr>
            <w:tcW w:type="dxa" w:w="2492"/>
          </w:tcPr>
          <w:p>
            <w:pPr>
              <w:pStyle w:val="null3"/>
              <w:jc w:val="left"/>
            </w:pPr>
            <w:r>
              <w:rPr>
                <w:rFonts w:ascii="仿宋_GB2312" w:hAnsi="仿宋_GB2312" w:cs="仿宋_GB2312" w:eastAsia="仿宋_GB2312"/>
              </w:rPr>
              <w:t>根据供应商提供的人员培训方案（包括但不限于培训计划，人员岗前培训，人员日常培训等内容）进行评分：（1）上述三项内容齐全的得基本分5分，评审委员会再根据方案内容的质量分别进行评分。 （2）各类人员配置充足、科学、分工明确，人员考核有标准、有措施、奖罚淘汰机制，保安人员年龄结构符合项目要求，同岗位配置匹配，保安人员训练培训计划完整、可行性强。（上述五项要求全部符合得10分，每有一项内容存在缺陷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15、其他材料</w:t>
            </w:r>
          </w:p>
        </w:tc>
      </w:tr>
      <w:tr>
        <w:tc>
          <w:tcPr>
            <w:tcW w:type="dxa" w:w="831"/>
            <w:vMerge/>
          </w:tcPr>
          <w:p/>
        </w:tc>
        <w:tc>
          <w:tcPr>
            <w:tcW w:type="dxa" w:w="1661"/>
          </w:tcPr>
          <w:p>
            <w:pPr>
              <w:pStyle w:val="null3"/>
              <w:jc w:val="left"/>
            </w:pPr>
            <w:r>
              <w:rPr>
                <w:rFonts w:ascii="仿宋_GB2312" w:hAnsi="仿宋_GB2312" w:cs="仿宋_GB2312" w:eastAsia="仿宋_GB2312"/>
              </w:rPr>
              <w:t>管理规章制度及管理机构方案</w:t>
            </w:r>
          </w:p>
        </w:tc>
        <w:tc>
          <w:tcPr>
            <w:tcW w:type="dxa" w:w="2492"/>
          </w:tcPr>
          <w:p>
            <w:pPr>
              <w:pStyle w:val="null3"/>
              <w:jc w:val="left"/>
            </w:pPr>
            <w:r>
              <w:rPr>
                <w:rFonts w:ascii="仿宋_GB2312" w:hAnsi="仿宋_GB2312" w:cs="仿宋_GB2312" w:eastAsia="仿宋_GB2312"/>
              </w:rPr>
              <w:t>根据供应商提供的各项管理制度（包括但不限于服务安全保证措施、人事管理、薪酬制度、员工工会开展、党建机构设立等）进行评审：（1）上述五项内容齐全的得基本分4分，评审委员会再根据方案内容的质量分别进行评分。（2）针对本项目的管理机构制度设置合理，有明确的管理职责，内容完整、社保按属地现行制度缴纳，各类规章制度健全、党建及工会制度完善。（上述四项要求全部符合得8分，每有一项内容存在缺陷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15、其他材料</w:t>
            </w:r>
          </w:p>
        </w:tc>
      </w:tr>
      <w:tr>
        <w:tc>
          <w:tcPr>
            <w:tcW w:type="dxa" w:w="831"/>
            <w:vMerge/>
          </w:tcPr>
          <w:p/>
        </w:tc>
        <w:tc>
          <w:tcPr>
            <w:tcW w:type="dxa" w:w="1661"/>
          </w:tcPr>
          <w:p>
            <w:pPr>
              <w:pStyle w:val="null3"/>
              <w:jc w:val="left"/>
            </w:pPr>
            <w:r>
              <w:rPr>
                <w:rFonts w:ascii="仿宋_GB2312" w:hAnsi="仿宋_GB2312" w:cs="仿宋_GB2312" w:eastAsia="仿宋_GB2312"/>
              </w:rPr>
              <w:t>日常执勤方案</w:t>
            </w:r>
          </w:p>
        </w:tc>
        <w:tc>
          <w:tcPr>
            <w:tcW w:type="dxa" w:w="2492"/>
          </w:tcPr>
          <w:p>
            <w:pPr>
              <w:pStyle w:val="null3"/>
              <w:jc w:val="left"/>
            </w:pPr>
            <w:r>
              <w:rPr>
                <w:rFonts w:ascii="仿宋_GB2312" w:hAnsi="仿宋_GB2312" w:cs="仿宋_GB2312" w:eastAsia="仿宋_GB2312"/>
              </w:rPr>
              <w:t>根据供应商提供的本项目区域日常工作的组织方案（包括但不限于守护区域内采购人的合法权益，保护区域内的正常秩序，落实好防火、防盗、防爆炸、防破坏等治安防范措施，履行好安保职责）进行评分：（1）上述四项内容齐全的得基本分4分，评审委员会再根据方案内容的质量分别进行评分。 （2）方案内容详细、完整，表述清晰，具备可行性。（上述三项要求全部符合得6分，每有一项内容存在缺陷扣2分，扣完为止）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15、其他材料</w:t>
            </w:r>
          </w:p>
        </w:tc>
      </w:tr>
      <w:tr>
        <w:tc>
          <w:tcPr>
            <w:tcW w:type="dxa" w:w="831"/>
            <w:vMerge/>
          </w:tcPr>
          <w:p/>
        </w:tc>
        <w:tc>
          <w:tcPr>
            <w:tcW w:type="dxa" w:w="1661"/>
          </w:tcPr>
          <w:p>
            <w:pPr>
              <w:pStyle w:val="null3"/>
              <w:jc w:val="left"/>
            </w:pPr>
            <w:r>
              <w:rPr>
                <w:rFonts w:ascii="仿宋_GB2312" w:hAnsi="仿宋_GB2312" w:cs="仿宋_GB2312" w:eastAsia="仿宋_GB2312"/>
              </w:rPr>
              <w:t>应急和突发事件处理措施预案</w:t>
            </w:r>
          </w:p>
        </w:tc>
        <w:tc>
          <w:tcPr>
            <w:tcW w:type="dxa" w:w="2492"/>
          </w:tcPr>
          <w:p>
            <w:pPr>
              <w:pStyle w:val="null3"/>
              <w:jc w:val="left"/>
            </w:pPr>
            <w:r>
              <w:rPr>
                <w:rFonts w:ascii="仿宋_GB2312" w:hAnsi="仿宋_GB2312" w:cs="仿宋_GB2312" w:eastAsia="仿宋_GB2312"/>
              </w:rPr>
              <w:t>根据供应商提供的本项目应急和突发事件处理措施预案方案（包括但不限于疫情防控措施、自然灾害紧急措施、结合采购需求内容应对各项突发事项的措施等因素）进行评分： （1）上述三项内容齐全的得基本分4分，评审委员会再根据方案内容的质量分别进行评分。 （2）方案内容完整且具备可行性，对本项目的重点、难点问题分析描述切合实际，全面合理，处理措施预案合法、合理、规范、可行。（上述四项要求全部符合得8分，每有一项内容存在缺陷扣2分，扣完为止） （3）未提供方案或方案内容不全不得分。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供应商提供正在服务的类似业绩，每提供一份业绩得 3 分，满分6分。 证明材料：提供合同或中标通知书复印件并加盖单位公章。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17、（选用）响应供应商业绩情况表</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（1）拟派保安队长为退伍军人的，每提供一个得3分，满分6分。 （2）拟派其他岗位人员为退伍军人的，每提供一个得1分，满分14分。 证明材料：提供安保服务人员岗位证书、退役军人证书复印件及有关人员在本单位缴纳的近半年任意3个月的社保证明材料加盖供应商公章。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15、其他材料</w:t>
            </w:r>
          </w:p>
          <w:p>
            <w:pPr>
              <w:pStyle w:val="null3"/>
              <w:jc w:val="left"/>
            </w:pPr>
            <w:r>
              <w:rPr>
                <w:rFonts w:ascii="仿宋_GB2312" w:hAnsi="仿宋_GB2312" w:cs="仿宋_GB2312" w:eastAsia="仿宋_GB2312"/>
              </w:rPr>
              <w:t>16、（选用）其他材料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[TAHP-]20250700001[CS]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采购警务指挥中心大楼保安服务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采购警务指挥中心大楼保安服务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24.00月</w:t>
            </w:r>
          </w:p>
        </w:tc>
        <w:tc>
          <w:tcPr>
            <w:tcW w:type="dxa" w:w="1038"/>
          </w:tcPr>
          <w:p>
            <w:pPr>
              <w:pStyle w:val="null3"/>
              <w:jc w:val="left"/>
            </w:pPr>
            <w:r>
              <w:rPr>
                <w:rFonts w:ascii="仿宋_GB2312" w:hAnsi="仿宋_GB2312" w:cs="仿宋_GB2312" w:eastAsia="仿宋_GB2312"/>
              </w:rPr>
              <w:t xml:space="preserve"> 3048000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详见附件：3、供应商承诺函</w:t>
      </w:r>
    </w:p>
    <w:p>
      <w:pPr>
        <w:pStyle w:val="null3"/>
        <w:ind w:firstLine="960"/>
        <w:jc w:val="left"/>
      </w:pPr>
      <w:r>
        <w:rPr>
          <w:rFonts w:ascii="仿宋_GB2312" w:hAnsi="仿宋_GB2312" w:cs="仿宋_GB2312" w:eastAsia="仿宋_GB2312"/>
        </w:rPr>
        <w:t>详见附件：8、中小企业声明函</w:t>
      </w:r>
    </w:p>
    <w:p>
      <w:pPr>
        <w:pStyle w:val="null3"/>
        <w:ind w:firstLine="960"/>
        <w:jc w:val="left"/>
      </w:pPr>
      <w:r>
        <w:rPr>
          <w:rFonts w:ascii="仿宋_GB2312" w:hAnsi="仿宋_GB2312" w:cs="仿宋_GB2312" w:eastAsia="仿宋_GB2312"/>
        </w:rPr>
        <w:t>详见附件：10、监狱企业的证明文件</w:t>
      </w:r>
    </w:p>
    <w:p>
      <w:pPr>
        <w:pStyle w:val="null3"/>
        <w:ind w:firstLine="960"/>
        <w:jc w:val="left"/>
      </w:pPr>
      <w:r>
        <w:rPr>
          <w:rFonts w:ascii="仿宋_GB2312" w:hAnsi="仿宋_GB2312" w:cs="仿宋_GB2312" w:eastAsia="仿宋_GB2312"/>
        </w:rPr>
        <w:t>详见附件：9、残疾人福利性单位声明函</w:t>
      </w:r>
    </w:p>
    <w:p>
      <w:pPr>
        <w:pStyle w:val="null3"/>
        <w:ind w:firstLine="960"/>
        <w:jc w:val="left"/>
      </w:pPr>
      <w:r>
        <w:rPr>
          <w:rFonts w:ascii="仿宋_GB2312" w:hAnsi="仿宋_GB2312" w:cs="仿宋_GB2312" w:eastAsia="仿宋_GB2312"/>
        </w:rPr>
        <w:t>详见附件：14、自觉抵制政府采购领域商业贿赂行为承诺书</w:t>
      </w:r>
    </w:p>
    <w:p>
      <w:pPr>
        <w:pStyle w:val="null3"/>
        <w:ind w:firstLine="960"/>
        <w:jc w:val="left"/>
      </w:pPr>
      <w:r>
        <w:rPr>
          <w:rFonts w:ascii="仿宋_GB2312" w:hAnsi="仿宋_GB2312" w:cs="仿宋_GB2312" w:eastAsia="仿宋_GB2312"/>
        </w:rPr>
        <w:t>详见附件：2、法定代表人资格证明书或法定代表人授权委托书</w:t>
      </w:r>
    </w:p>
    <w:p>
      <w:pPr>
        <w:pStyle w:val="null3"/>
        <w:ind w:firstLine="960"/>
        <w:jc w:val="left"/>
      </w:pPr>
      <w:r>
        <w:rPr>
          <w:rFonts w:ascii="仿宋_GB2312" w:hAnsi="仿宋_GB2312" w:cs="仿宋_GB2312" w:eastAsia="仿宋_GB2312"/>
        </w:rPr>
        <w:t>详见附件：11、供应商应提交的相关证明材料</w:t>
      </w:r>
    </w:p>
    <w:p>
      <w:pPr>
        <w:pStyle w:val="null3"/>
        <w:ind w:firstLine="960"/>
        <w:jc w:val="left"/>
      </w:pPr>
      <w:r>
        <w:rPr>
          <w:rFonts w:ascii="仿宋_GB2312" w:hAnsi="仿宋_GB2312" w:cs="仿宋_GB2312" w:eastAsia="仿宋_GB2312"/>
        </w:rPr>
        <w:t>详见附件：13、技术参数响应表</w:t>
      </w:r>
    </w:p>
    <w:p>
      <w:pPr>
        <w:pStyle w:val="null3"/>
        <w:ind w:firstLine="960"/>
        <w:jc w:val="left"/>
      </w:pPr>
      <w:r>
        <w:rPr>
          <w:rFonts w:ascii="仿宋_GB2312" w:hAnsi="仿宋_GB2312" w:cs="仿宋_GB2312" w:eastAsia="仿宋_GB2312"/>
        </w:rPr>
        <w:t>详见附件：12、商务应答表</w:t>
      </w:r>
    </w:p>
    <w:p>
      <w:pPr>
        <w:pStyle w:val="null3"/>
        <w:ind w:firstLine="960"/>
        <w:jc w:val="left"/>
      </w:pPr>
      <w:r>
        <w:rPr>
          <w:rFonts w:ascii="仿宋_GB2312" w:hAnsi="仿宋_GB2312" w:cs="仿宋_GB2312" w:eastAsia="仿宋_GB2312"/>
        </w:rPr>
        <w:t>详见附件：15、其他材料</w:t>
      </w:r>
    </w:p>
    <w:p>
      <w:pPr>
        <w:pStyle w:val="null3"/>
        <w:ind w:firstLine="960"/>
        <w:jc w:val="left"/>
      </w:pPr>
      <w:r>
        <w:rPr>
          <w:rFonts w:ascii="仿宋_GB2312" w:hAnsi="仿宋_GB2312" w:cs="仿宋_GB2312" w:eastAsia="仿宋_GB2312"/>
        </w:rPr>
        <w:t>详见附件：1、响应承诺函</w:t>
      </w:r>
    </w:p>
    <w:p>
      <w:pPr>
        <w:pStyle w:val="null3"/>
        <w:ind w:firstLine="960"/>
        <w:jc w:val="left"/>
      </w:pPr>
      <w:r>
        <w:rPr>
          <w:rFonts w:ascii="仿宋_GB2312" w:hAnsi="仿宋_GB2312" w:cs="仿宋_GB2312" w:eastAsia="仿宋_GB2312"/>
        </w:rPr>
        <w:t>详见附件：4、提供具有独立承担民事责任的能力的证明材料</w:t>
      </w:r>
    </w:p>
    <w:p>
      <w:pPr>
        <w:pStyle w:val="null3"/>
        <w:ind w:firstLine="960"/>
        <w:jc w:val="left"/>
      </w:pPr>
      <w:r>
        <w:rPr>
          <w:rFonts w:ascii="仿宋_GB2312" w:hAnsi="仿宋_GB2312" w:cs="仿宋_GB2312" w:eastAsia="仿宋_GB2312"/>
        </w:rPr>
        <w:t>详见附件：5、资格条件承诺函</w:t>
      </w:r>
    </w:p>
    <w:p>
      <w:pPr>
        <w:pStyle w:val="null3"/>
        <w:ind w:firstLine="960"/>
        <w:jc w:val="left"/>
      </w:pPr>
      <w:r>
        <w:rPr>
          <w:rFonts w:ascii="仿宋_GB2312" w:hAnsi="仿宋_GB2312" w:cs="仿宋_GB2312" w:eastAsia="仿宋_GB2312"/>
        </w:rPr>
        <w:t>详见附件：6、特殊资格要求（海口市公安机关备案，并具有由公安机关核发的《保安服务许可证》）</w:t>
      </w:r>
    </w:p>
    <w:p>
      <w:pPr>
        <w:pStyle w:val="null3"/>
        <w:ind w:firstLine="960"/>
        <w:jc w:val="left"/>
      </w:pPr>
      <w:r>
        <w:rPr>
          <w:rFonts w:ascii="仿宋_GB2312" w:hAnsi="仿宋_GB2312" w:cs="仿宋_GB2312" w:eastAsia="仿宋_GB2312"/>
        </w:rPr>
        <w:t>详见附件：7、承诺函</w:t>
      </w:r>
    </w:p>
    <w:p>
      <w:pPr>
        <w:pStyle w:val="null3"/>
        <w:ind w:firstLine="960"/>
        <w:jc w:val="left"/>
      </w:pPr>
      <w:r>
        <w:rPr>
          <w:rFonts w:ascii="仿宋_GB2312" w:hAnsi="仿宋_GB2312" w:cs="仿宋_GB2312" w:eastAsia="仿宋_GB2312"/>
        </w:rPr>
        <w:t>详见附件：16、（选用）其他材料</w:t>
      </w:r>
    </w:p>
    <w:p>
      <w:pPr>
        <w:pStyle w:val="null3"/>
        <w:ind w:firstLine="960"/>
        <w:jc w:val="left"/>
      </w:pPr>
      <w:r>
        <w:rPr>
          <w:rFonts w:ascii="仿宋_GB2312" w:hAnsi="仿宋_GB2312" w:cs="仿宋_GB2312" w:eastAsia="仿宋_GB2312"/>
        </w:rPr>
        <w:t>详见附件：17、（选用）响应供应商业绩情况表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