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2025-2027年度劳务派遣聘用工作人员工作项目(二次)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[ZJ（琼）2025]20250500001[GK]-1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海南省水文水资源勘测局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海南省水文水资源勘测局</w:t>
      </w:r>
      <w:r>
        <w:rPr>
          <w:rFonts w:ascii="仿宋_GB2312" w:hAnsi="仿宋_GB2312" w:cs="仿宋_GB2312" w:eastAsia="仿宋_GB2312"/>
        </w:rPr>
        <w:t xml:space="preserve"> 委托， </w:t>
      </w:r>
      <w:r>
        <w:rPr>
          <w:rFonts w:ascii="仿宋_GB2312" w:hAnsi="仿宋_GB2312" w:cs="仿宋_GB2312" w:eastAsia="仿宋_GB2312"/>
        </w:rPr>
        <w:t>致君项目管理有限公司</w:t>
      </w:r>
      <w:r>
        <w:rPr>
          <w:rFonts w:ascii="仿宋_GB2312" w:hAnsi="仿宋_GB2312" w:cs="仿宋_GB2312" w:eastAsia="仿宋_GB2312"/>
        </w:rPr>
        <w:t xml:space="preserve"> 对 </w:t>
      </w:r>
      <w:r>
        <w:rPr>
          <w:rFonts w:ascii="仿宋_GB2312" w:hAnsi="仿宋_GB2312" w:cs="仿宋_GB2312" w:eastAsia="仿宋_GB2312"/>
        </w:rPr>
        <w:t>2025-2027年度劳务派遣聘用工作人员工作项目(二次)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[ZJ（琼）2025]20250500001[GK]-1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2025-2027年度劳务派遣聘用工作人员工作项目(二次)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9,518,411.16元</w:t>
      </w:r>
      <w:r>
        <w:rPr>
          <w:rFonts w:ascii="仿宋_GB2312" w:hAnsi="仿宋_GB2312" w:cs="仿宋_GB2312" w:eastAsia="仿宋_GB2312"/>
        </w:rPr>
        <w:t>玖佰伍拾壹万捌仟肆佰壹拾壹元壹角陆分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自合同签订之日起至2027年12月31日止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1、供应商资格要求：具有人力资源服务许可证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3.投标人须在海南政府采购网(https://ccgp-hainan.gov.cn/maincms-web/)中的海南省政府采购智慧云平台进行注册并完善信息，然后下载参与投标项目电子招标文件（数据包）及其他文件；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海南省水文水资源勘测局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海南省海口市美兰区白驹大道与琼山大道交叉路口往北约260米</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18907566458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致君项目管理有限公司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陕西省延安市宝塔区新城街道办东方红大道盛世花园2号楼10层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0898-65330287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采购包1：9,518,411.16元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代理服务费收费标准：本项目收取代理服务费 代理服务费用收取对象：采购人 代理服务费收费标准：收费标准按照本项目遴选代理机构时报价的招标代理服务费计取，共计收取人民币:32725.00元(大写人民币叁万贰仟柒佰贰拾伍元整)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采购标的对应的中小企业划分标准所属行业: 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联系电话：0898-65330287</w:t>
      </w:r>
    </w:p>
    <w:p>
      <w:pPr>
        <w:pStyle w:val="null3"/>
        <w:jc w:val="left"/>
      </w:pPr>
      <w:r>
        <w:rPr>
          <w:rFonts w:ascii="仿宋_GB2312" w:hAnsi="仿宋_GB2312" w:cs="仿宋_GB2312" w:eastAsia="仿宋_GB2312"/>
        </w:rPr>
        <w:t>地址：海南省海口市琼山区兴丹路学苑公寓C栋13C</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b/>
        </w:rPr>
        <w:t>2025-2027年度劳务派遣聘用工作人员工作项目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9,518,411.16</w:t>
      </w:r>
    </w:p>
    <w:p>
      <w:pPr>
        <w:pStyle w:val="null3"/>
        <w:jc w:val="left"/>
      </w:pPr>
      <w:r>
        <w:rPr>
          <w:rFonts w:ascii="仿宋_GB2312" w:hAnsi="仿宋_GB2312" w:cs="仿宋_GB2312" w:eastAsia="仿宋_GB2312"/>
        </w:rPr>
        <w:t>采购包最高限价（元）: 9,518,411.16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9,518,411.16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9,518,411.16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聘用岗位和人数（3个岗位共54人） （一）水文辅助岗：45人，具体为局机关12人，各水文勘测大队及测站33人； （二）水文管理辅助岗：3人，福才水文站、三滩水文站、清澜潮水位站各1人； （三）司机工勤岗：6人； （四）按《海南省水文水资源勘测局专业技术岗聘用管理办法》规定对取得专业技术职称的人员实行岗位聘用管理，根据聘用岗位发放职称工资。</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岗位条件 （一）水文辅助岗：具有一定水文从业经验，吃苦耐劳，愿意从事水文基层工作。 （二）水文管理辅助岗（3人）：熟悉水文测站各项业务工作，具备一定管理能力。 （三）司机工勤岗（6人）：有驾照，具有丰富开车经验，熟悉全省各市县道路。</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工作职责 （一）水文辅助岗：参与勘测大队水文巡测、测站水文测验、水情报汛和水文资料整理；水文情报信息采集、汇总、整理、上报、参与泥沙采集和水质取样、送样等各项水文业务工作；完成科室安排的其它工作。 （二）水文管理辅助岗：参与水文测站日常管理，完成局机关下发的测站管理任务书。 （三）司机工勤岗：驾驶局公务用车，做好车辆维护；协助基层单位完成部分运输任务；完成局交办的其它任务。</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工资标准 （一）标准原则 1、工资不得低于海口市当年最低工资标准；工资标准由基本工资、绩效工资、职称工资、特殊岗位津贴组成，其中： （1）基本工资标准：新入职员工根据学历按以下标准 高中、中专1600元/月，大专2400元/月，本科2500元/月。 （2）职称工资标准：助理工程师200元/月，工程师300元/月，高级工程师为500元/月。 （3）特殊岗位津贴标准：按《人力资源社会保障部 财政部关于调整环境保护监测津贴的通知》中的二类津贴标准350元/月执行，如有调整按调整后的标准执行。 （4）绩效工资标准：工程师以下为600元/月，工程师为700元/月，高级工程师为800元/月。 （5）被评为年度优秀员工的，从被评年度的下一年度起基本工资增加100元/月，发放期限一年，不延续累加。 2、原劳务派遣人员工资标准不变。 3、司机工勤岗工资标准：岗位工资分为三档，新进司机2400元/月，工作满5年的2830元/月；应急监测采样车司机岗（具有客车驾驶资格的A1牌照以上）的3030元/月。 4. 2025年1月起，除司机外岗位外，原劳务派遣人员取得高一级学历的，在取得高学历证书的下一年度，岗位工资标准调整按本条款第1点规定的标准执行，且2017年1月起历年增加的工资部分给予保留。 5、在管理岗位工作的每人每月增加400元，按月发放。 （二）各项社保及住房公积金 劳务人员的各项社会保险费和住房公积金标准按海南省有关规定执行。</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 服务要求及标准 1、中标人要严格按照本项目需求数量编制用人方案，实施劳务派遣人员的招聘、培训等事项，保证被派往的劳务人员符合岗位所需。 2、中标人作为劳务派遣人员的人事管理单位应对被派遣的劳务人员人事关系负责；及时为劳务派遣人员依法办理各项手续，包括入职、离职、薪酬福利、体检、奖惩、社保、工伤、劳务纠纷等事项。 3、若采购人与劳务派遣人员发生劳动争议，中标人应负责及时与劳务派遣人员交涉，处理与劳务人员的劳动争议，并采取合法有效的措施避免给采购人带来负面影响。 4、被派往的劳务派遣人员若发生工伤等事故，中标人要按照相关法律、法规之规定办理理赔手续。 5、中标人要结合采购人的审批劳务派遣项目人员用人计划及劳务派遣项目人员的具体情况，按照采购方的管理制度要求配合采购方对劳务派遣人员实行动态管理。 6、中标人要按照统一规定的劳务派遣项目人员工资标准，定额发放给外包的劳务人员薪酬，同时还应依法建立和完善规章制度，明确劳务派遣人员工作时间、休息休假、劳动安全卫生、保险福利、岗位职责、劳动纪律、奖惩奖励，为劳务人员提供必要的工作条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（一）、服务期、服务地点及方式（履约时间、履约地点及方式）：</w:t>
            </w:r>
            <w:r>
              <w:br/>
            </w:r>
            <w:r>
              <w:rPr>
                <w:rFonts w:ascii="仿宋_GB2312" w:hAnsi="仿宋_GB2312" w:cs="仿宋_GB2312" w:eastAsia="仿宋_GB2312"/>
              </w:rPr>
              <w:t xml:space="preserve"> 1、服务期限（履约时间）：自合同签订之日起至2027年12月31日止</w:t>
            </w:r>
            <w:r>
              <w:br/>
            </w:r>
            <w:r>
              <w:rPr>
                <w:rFonts w:ascii="仿宋_GB2312" w:hAnsi="仿宋_GB2312" w:cs="仿宋_GB2312" w:eastAsia="仿宋_GB2312"/>
              </w:rPr>
              <w:t xml:space="preserve"> 2、服务范围（履约地点）：采购人指定地点。</w:t>
            </w:r>
            <w:r>
              <w:br/>
            </w:r>
            <w:r>
              <w:rPr>
                <w:rFonts w:ascii="仿宋_GB2312" w:hAnsi="仿宋_GB2312" w:cs="仿宋_GB2312" w:eastAsia="仿宋_GB2312"/>
              </w:rPr>
              <w:t xml:space="preserve"> 3、服务方式：委托第三方人力资源服务机构采用劳务派遣方式用工</w:t>
            </w:r>
            <w:r>
              <w:br/>
            </w:r>
            <w:r>
              <w:rPr>
                <w:rFonts w:ascii="仿宋_GB2312" w:hAnsi="仿宋_GB2312" w:cs="仿宋_GB2312" w:eastAsia="仿宋_GB2312"/>
              </w:rPr>
              <w:t xml:space="preserve"> （二）验收方法及标准：</w:t>
            </w:r>
            <w:r>
              <w:br/>
            </w:r>
            <w:r>
              <w:rPr>
                <w:rFonts w:ascii="仿宋_GB2312" w:hAnsi="仿宋_GB2312" w:cs="仿宋_GB2312" w:eastAsia="仿宋_GB2312"/>
              </w:rPr>
              <w:t xml:space="preserve"> 按本招标文件及中标方投标文件及国家和企业的相关政策、法规实施。</w:t>
            </w:r>
            <w:r>
              <w:br/>
            </w:r>
            <w:r>
              <w:rPr>
                <w:rFonts w:ascii="仿宋_GB2312" w:hAnsi="仿宋_GB2312" w:cs="仿宋_GB2312" w:eastAsia="仿宋_GB2312"/>
              </w:rPr>
              <w:t xml:space="preserve"> （三）、其他：</w:t>
            </w:r>
            <w:r>
              <w:br/>
            </w:r>
            <w:r>
              <w:rPr>
                <w:rFonts w:ascii="仿宋_GB2312" w:hAnsi="仿宋_GB2312" w:cs="仿宋_GB2312" w:eastAsia="仿宋_GB2312"/>
              </w:rPr>
              <w:t xml:space="preserve"> 1、项目的实质性要求：按本招标文件要求实施。</w:t>
            </w:r>
            <w:r>
              <w:br/>
            </w:r>
            <w:r>
              <w:rPr>
                <w:rFonts w:ascii="仿宋_GB2312" w:hAnsi="仿宋_GB2312" w:cs="仿宋_GB2312" w:eastAsia="仿宋_GB2312"/>
              </w:rPr>
              <w:t xml:space="preserve"> 2、合同的实质性条款：采购人与中标人的名称和住所、标的、数量、质量、价款或者报酬、履行期限及地点和方式、验收要求、违约责任、解决争议的方法等内容。</w:t>
            </w:r>
            <w:r>
              <w:br/>
            </w:r>
            <w:r>
              <w:rPr>
                <w:rFonts w:ascii="仿宋_GB2312" w:hAnsi="仿宋_GB2312" w:cs="仿宋_GB2312" w:eastAsia="仿宋_GB2312"/>
              </w:rPr>
              <w:t xml:space="preserve"> 3、安全标准：符合国家、地方和行业的相关政策、法规。</w:t>
            </w:r>
            <w:r>
              <w:br/>
            </w:r>
            <w:r>
              <w:rPr>
                <w:rFonts w:ascii="仿宋_GB2312" w:hAnsi="仿宋_GB2312" w:cs="仿宋_GB2312" w:eastAsia="仿宋_GB2312"/>
              </w:rPr>
              <w:t xml:space="preserve"> 4、法律法规规定的强制性标准：无</w:t>
            </w:r>
            <w:r>
              <w:br/>
            </w:r>
            <w:r>
              <w:rPr>
                <w:rFonts w:ascii="仿宋_GB2312" w:hAnsi="仿宋_GB2312" w:cs="仿宋_GB2312" w:eastAsia="仿宋_GB2312"/>
              </w:rPr>
              <w:t xml:space="preserve"> 5、 如项目实施过程中出现中标供应商不按投标文件、合同内容要求执行，无法满足于项目实施标准要求，采购人有权终止合同，并报政府采购管理部门严肃处理。</w:t>
            </w:r>
            <w:r>
              <w:br/>
            </w:r>
            <w:r>
              <w:rPr>
                <w:rFonts w:ascii="仿宋_GB2312" w:hAnsi="仿宋_GB2312" w:cs="仿宋_GB2312" w:eastAsia="仿宋_GB2312"/>
              </w:rPr>
              <w:t xml:space="preserve"> 6、 为避免出现管理服务费报价低于成本价或与市场价格明显偏离的削价竞争，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br/>
            </w:r>
            <w:r>
              <w:rPr>
                <w:rFonts w:ascii="仿宋_GB2312" w:hAnsi="仿宋_GB2312" w:cs="仿宋_GB2312" w:eastAsia="仿宋_GB2312"/>
              </w:rPr>
              <w:t xml:space="preserve"> 7、原劳务派遣人员优先录用，工资不低于原工资标准。</w:t>
            </w:r>
            <w:r>
              <w:br/>
            </w:r>
            <w:r>
              <w:rPr>
                <w:rFonts w:ascii="仿宋_GB2312" w:hAnsi="仿宋_GB2312" w:cs="仿宋_GB2312" w:eastAsia="仿宋_GB2312"/>
              </w:rPr>
              <w:t xml:space="preserve"> （四）、报价说明：</w:t>
            </w:r>
            <w:r>
              <w:br/>
            </w:r>
            <w:r>
              <w:rPr>
                <w:rFonts w:ascii="仿宋_GB2312" w:hAnsi="仿宋_GB2312" w:cs="仿宋_GB2312" w:eastAsia="仿宋_GB2312"/>
              </w:rPr>
              <w:t xml:space="preserve"> 1、本项目预算总价应包含(但不限于): 被招聘人员的基本工资、绩效工资、职称工资、特殊岗位津贴、管理费、一次性建档费、社保统筹费等各项费用。</w:t>
            </w:r>
            <w:r>
              <w:br/>
            </w:r>
            <w:r>
              <w:rPr>
                <w:rFonts w:ascii="仿宋_GB2312" w:hAnsi="仿宋_GB2312" w:cs="仿宋_GB2312" w:eastAsia="仿宋_GB2312"/>
              </w:rPr>
              <w:t xml:space="preserve"> 2、本项目费用最高限价：9518411.16元，报价超出最高限价按无效报价处理。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供应商资格要求</w:t>
            </w:r>
          </w:p>
        </w:tc>
        <w:tc>
          <w:tcPr>
            <w:tcW w:type="dxa" w:w="3322"/>
          </w:tcPr>
          <w:p>
            <w:pPr>
              <w:pStyle w:val="null3"/>
              <w:jc w:val="left"/>
            </w:pPr>
            <w:r>
              <w:rPr>
                <w:rFonts w:ascii="仿宋_GB2312" w:hAnsi="仿宋_GB2312" w:cs="仿宋_GB2312" w:eastAsia="仿宋_GB2312"/>
              </w:rPr>
              <w:t>具有人力资源服务许可证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残疾人福利性单位声明函 自觉抵制政府采购领域商业贿赂行为承诺书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组织实施方案</w:t>
            </w:r>
          </w:p>
        </w:tc>
        <w:tc>
          <w:tcPr>
            <w:tcW w:type="dxa" w:w="2492"/>
          </w:tcPr>
          <w:p>
            <w:pPr>
              <w:pStyle w:val="null3"/>
              <w:jc w:val="both"/>
            </w:pPr>
            <w:r>
              <w:rPr>
                <w:rFonts w:ascii="仿宋_GB2312" w:hAnsi="仿宋_GB2312" w:cs="仿宋_GB2312" w:eastAsia="仿宋_GB2312"/>
              </w:rPr>
              <w:t>投标人针对本项目采购需求提供的组织实施方案，包含但不限于： ①了解本项目服务特点；②制定的服务流程；③工作进度计划。 上述小项方案具有针对性和可行性，内容完整合理满足采购需求要求的每项得3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管理制度及方案</w:t>
            </w:r>
          </w:p>
        </w:tc>
        <w:tc>
          <w:tcPr>
            <w:tcW w:type="dxa" w:w="2492"/>
          </w:tcPr>
          <w:p>
            <w:pPr>
              <w:pStyle w:val="null3"/>
              <w:jc w:val="both"/>
            </w:pPr>
            <w:r>
              <w:rPr>
                <w:rFonts w:ascii="仿宋_GB2312" w:hAnsi="仿宋_GB2312" w:cs="仿宋_GB2312" w:eastAsia="仿宋_GB2312"/>
              </w:rPr>
              <w:t>投标人针对本项目采购需求提供的管理制度及方案，包含但不限于： ①岗位管理；②薪酬福利管理；③劳动合同管理；④劳务纠纷管理；⑤社会保障管理；⑥档案管理。 上述小项方案具有针对性和可行性，内容完整合理满足采购需求要求的每项得2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投标人针对本项目采购需求提供的服务质量保证方案，包含但不限于： ①服务质量保证范围；②服务质量保证承诺；③服务质量保证措施； 上述小项方案具有针对性和可行性，内容完整合理满足采购需求要求的每项得3分。存在一般缺陷：方案内容前后不一致、前后逻辑错误、内容有缺失，但不影响项目的实施，每存在一项缺陷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服务应急预案</w:t>
            </w:r>
          </w:p>
        </w:tc>
        <w:tc>
          <w:tcPr>
            <w:tcW w:type="dxa" w:w="2492"/>
          </w:tcPr>
          <w:p>
            <w:pPr>
              <w:pStyle w:val="null3"/>
              <w:jc w:val="both"/>
            </w:pPr>
            <w:r>
              <w:rPr>
                <w:rFonts w:ascii="仿宋_GB2312" w:hAnsi="仿宋_GB2312" w:cs="仿宋_GB2312" w:eastAsia="仿宋_GB2312"/>
              </w:rPr>
              <w:t>投标人针对本项目采购需求提供的服务应急预案，包含但不限于： ①突发事件分析及应对措施；②、应急人员安排； 上述小项方案具有针对性和可行性，内容完整合理满足采购需求要求的每项得5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投标人针对本项目采购需求提供的培训方案，包含但不限于： ①培训内容；②培训计划；③培训形式；④培训成果； 上述小项方案具有针对性和可行性，内容完整合理满足采购需求要求的每项得2.5分。存在一般缺陷：方案内容前后不一致、前后逻辑错误、内容有缺失，但不影响项目的实施，每存在一项缺陷扣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2021年1月1日（合同签订时间）起至今投标人为业主单位提供一项类似服务业绩的得2分，满分10分；须提供合同复印件关键页加盖公章。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项目负责人：具备人力资源管理师证书得5分。服务团体人员除项目负责人外具备人力资源管理师证书得5分。本项满分10分。注：提供政府相关部门颁发的有效证书复印件加盖公章及2025年1月1日至今在本公司缴纳一个月社保的证明材料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[ZJ（琼）2025]20250500001[GK]-1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2025-2027年度劳务派遣聘用工作人员工作项目(二次)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2025-2027年度劳务派遣聘用工作人员工作项目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9518411.16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