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海南省高级人民法院机关安保项目(二次)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ZKGSF(ZB)-20251615R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海南省高级人民法院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海南省高级人民法院</w:t>
      </w:r>
      <w:r>
        <w:rPr>
          <w:rFonts w:ascii="仿宋_GB2312" w:hAnsi="仿宋_GB2312" w:cs="仿宋_GB2312" w:eastAsia="仿宋_GB2312"/>
        </w:rPr>
        <w:t xml:space="preserve"> 的委托，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海南省高级人民法院机关安保项目(二次)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ZKGSF(ZB)-20251615R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海南省高级人民法院机关安保项目(二次)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2,865,654.00元</w:t>
      </w:r>
      <w:r>
        <w:rPr>
          <w:rFonts w:ascii="仿宋_GB2312" w:hAnsi="仿宋_GB2312" w:cs="仿宋_GB2312" w:eastAsia="仿宋_GB2312"/>
        </w:rPr>
        <w:t>贰佰捌拾陆万伍仟陆佰伍拾肆元整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合同签订日起两年，合同一年一签，采购人视上一年服务情况和考核结果，决定是否续签第二年服务合同</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提供在当地公安机关备案，持有公安机关颁发的《保安服务许可证》（提供复印件加盖公章）；：供应商须提供在当地公安机关备案，持有公安机关颁发的《保安服务许可证》（提供复印件加盖公章）；</w:t>
      </w:r>
    </w:p>
    <w:p>
      <w:pPr>
        <w:pStyle w:val="null3"/>
        <w:jc w:val="left"/>
      </w:pPr>
      <w:r>
        <w:rPr>
          <w:rFonts w:ascii="仿宋_GB2312" w:hAnsi="仿宋_GB2312" w:cs="仿宋_GB2312" w:eastAsia="仿宋_GB2312"/>
        </w:rPr>
        <w:t>2、参加政府采购活动前三年内，在经营活动中没有环保类行政处罚记录（提供声明函并加盖公章）；：参加政府采购活动前三年内，在经营活动中没有环保类行政处罚记录（提供声明函并加盖公章）；</w:t>
      </w:r>
    </w:p>
    <w:p>
      <w:pPr>
        <w:pStyle w:val="null3"/>
        <w:jc w:val="left"/>
      </w:pPr>
      <w:r>
        <w:rPr>
          <w:rFonts w:ascii="仿宋_GB2312" w:hAnsi="仿宋_GB2312" w:cs="仿宋_GB2312" w:eastAsia="仿宋_GB2312"/>
        </w:rPr>
        <w:t>3、供应商在“信用中国”网站（www.creditchina.gov.cn）未被列入失信被执行人、重大税收违法失信主体，在中国政府采购网（www.ccgp.gov.cn）未被列入政府采购严重违法失信行为记录名单。：供应商在“信用中国”网站（www.creditchina.gov.cn）未被列入失信被执行人、重大税收违法失信主体，在中国政府采购网（www.ccgp.gov.cn）未被列入政府采购严重违法失信行为记录名单。</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2.本项目不接受联合体投标。3.采购项目需要落实的政府采购政策：《政府采购促进中小企业发展管理办法》《财政部印发通知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海南省高级人民法院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符家文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66962135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蔡广杰、韩文芳、李伟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0898-68591077</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采购包1：2,865,654.00元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90天（从提交响应文件的截止之日起算的90天内有效）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代理服务费收费标准：参照海南省物价局《海南省物价局关于降低部分招标代理服务收费标准的通知》（琼价费管〔2011〕225号）规定的标准九三折进行计算（不足5000元按5000元收取）收取代理费用。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如投标人在非开标现场上传的电子标书的IP地址相同，则IP地址相同的投标按无效标处理。16.1述标和/或产（样）品演（展）示：无。 16.2采购需求：采购标的物需按照国家相关标准、行业标准、地方标准或者其他标准、规范执行。 16.3委托代表人的资格条件：投标时须提供法定代表人授权委托书和被授权人身份证复印件。 16.4委托代表人的代理权限：委托代表人只能代表委托人处置投标活动中的一般事务。提出质疑、投诉等特殊事项，必须经法定代表人特别授权。 16.5是否允许选择性报价：不接受选择性报价 16.6本项目所属行业：根据《统计上大中小微型企业划分办法（2017）》，本项目所属行业为：租赁和商务服务业。 16.7采购项目需要落实的政府采购政策：《政府采购促进中小企业发展管理办法》《财政部印发通知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联系人：符家文</w:t>
      </w:r>
    </w:p>
    <w:p>
      <w:pPr>
        <w:pStyle w:val="null3"/>
        <w:jc w:val="left"/>
      </w:pPr>
      <w:r>
        <w:rPr>
          <w:rFonts w:ascii="仿宋_GB2312" w:hAnsi="仿宋_GB2312" w:cs="仿宋_GB2312" w:eastAsia="仿宋_GB2312"/>
        </w:rPr>
        <w:t>联系电话：0898-66962135</w:t>
      </w:r>
    </w:p>
    <w:p>
      <w:pPr>
        <w:pStyle w:val="null3"/>
        <w:jc w:val="left"/>
      </w:pPr>
      <w:r>
        <w:rPr>
          <w:rFonts w:ascii="仿宋_GB2312" w:hAnsi="仿宋_GB2312" w:cs="仿宋_GB2312" w:eastAsia="仿宋_GB2312"/>
        </w:rPr>
        <w:t>地址：海南省海口市龙昆南路123号</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 xml:space="preserve"> 针对我院司法警察总队人员老化，警力不足的现实问题，拟采取政府向社会购买服务的方式，设置一支专业化的安保服务队伍</w:t>
      </w:r>
      <w:r>
        <w:rPr>
          <w:rFonts w:ascii="仿宋_GB2312" w:hAnsi="仿宋_GB2312" w:cs="仿宋_GB2312" w:eastAsia="仿宋_GB2312"/>
          <w:sz w:val="21"/>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2,865,654.00</w:t>
      </w:r>
    </w:p>
    <w:p>
      <w:pPr>
        <w:pStyle w:val="null3"/>
        <w:jc w:val="left"/>
      </w:pPr>
      <w:r>
        <w:rPr>
          <w:rFonts w:ascii="仿宋_GB2312" w:hAnsi="仿宋_GB2312" w:cs="仿宋_GB2312" w:eastAsia="仿宋_GB2312"/>
        </w:rPr>
        <w:t>采购包最高限价（元）: 2,865,654.00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2,865,654.00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2,865,654.00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详见第三章-其他商务要求一、报价说明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（一）服务内容</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服务内容为：</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1.维护守护区域内高院机关合法的人身、财产权益、维护守护区域内的正常秩序。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2.协助司法警察总队做好法官庭审、信访接待、应急事件处置等工作。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3.负责法官庭审、接访现场安全保卫工作，会同本院相关部门做好来院上访人员的接待、疏导工作。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4.落实防火、防盗、防爆炸、防破坏等治安防范措施，发现隐患立即报告高院机关司法警察总队，并在职权范围内予以处置。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对发生在守护区域内的违法行为、治安灾害事故在职权范围内予以制止及时报告高院机关司法警察总队带班干部和公安机关，同时保护现场，协助公安机关维护现场秩序，对现行违法犯罪嫌疑人及时控制并报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6.制止无关人员进入守护区域，及时发现和清理守护区域内的闲杂人员。</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7.定期检查审判大楼及生活区安检、消防设备，对存在问题及隐患的及时报告司法警察总队。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8.24小时在岗履行高院机关所设门卫、监控等值班职责；正课时间做好安检、传达、巡查等安全保卫各项工作职责，对来访人员及车辆做好接待、登记、检查。</w:t>
            </w:r>
          </w:p>
          <w:p>
            <w:pPr>
              <w:pStyle w:val="null3"/>
              <w:jc w:val="both"/>
            </w:pPr>
            <w:r>
              <w:rPr>
                <w:rFonts w:ascii="仿宋_GB2312" w:hAnsi="仿宋_GB2312" w:cs="仿宋_GB2312" w:eastAsia="仿宋_GB2312"/>
                <w:sz w:val="21"/>
              </w:rPr>
              <w:t>9.履行司法警察总队安排的其它工作。</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（二）人员要求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要求安保人员</w:t>
            </w:r>
            <w:r>
              <w:rPr>
                <w:rFonts w:ascii="仿宋_GB2312" w:hAnsi="仿宋_GB2312" w:cs="仿宋_GB2312" w:eastAsia="仿宋_GB2312"/>
                <w:sz w:val="21"/>
              </w:rPr>
              <w:t>22名（其中：男性19名、女性3名），年龄不得超过50周岁，能熟练操作监控系统、安检设备、体能、技能水平达到人民警察基本要求且获得安保员资格，有从事安保工作经历。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（三）人员待遇</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安保人员待遇包括基本工资、节假日补助、社保、住房公积金等。</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）工作管理要求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 安保公司必须对上岗人员进行资格审查和岗位培训，提高其政治和业务素质，并及时查处派驻人员的违规行为，要保证人员的稳定，未经采购人批准不得随意更换。</w:t>
            </w:r>
          </w:p>
          <w:p>
            <w:pPr>
              <w:pStyle w:val="null3"/>
              <w:jc w:val="both"/>
            </w:pPr>
            <w:r>
              <w:rPr>
                <w:rFonts w:ascii="仿宋_GB2312" w:hAnsi="仿宋_GB2312" w:cs="仿宋_GB2312" w:eastAsia="仿宋_GB2312"/>
                <w:sz w:val="21"/>
              </w:rPr>
              <w:t>2、管理人员和专业技术人员要持证上岗，员工要统一着装，佩带明显标志，工作规范，作风严谨，文明服务，在岗位期间不得从事与工作无关的事情，必须保持良好的精神状态。管理坚持原则、慎密严谨；服务以人为本、主动热情；处理问题高度警惕、有理有节。</w:t>
            </w:r>
          </w:p>
          <w:p>
            <w:pPr>
              <w:pStyle w:val="null3"/>
              <w:jc w:val="both"/>
            </w:pPr>
            <w:r>
              <w:rPr>
                <w:rFonts w:ascii="仿宋_GB2312" w:hAnsi="仿宋_GB2312" w:cs="仿宋_GB2312" w:eastAsia="仿宋_GB2312"/>
                <w:sz w:val="21"/>
              </w:rPr>
              <w:t>3、安保公司要加强对队伍的管理，确保上岗人员在我院无违法违纪违规事件发生，确保管辖区域安全、有序、卫生。</w:t>
            </w:r>
          </w:p>
          <w:p>
            <w:pPr>
              <w:pStyle w:val="null3"/>
              <w:jc w:val="both"/>
            </w:pPr>
            <w:r>
              <w:rPr>
                <w:rFonts w:ascii="仿宋_GB2312" w:hAnsi="仿宋_GB2312" w:cs="仿宋_GB2312" w:eastAsia="仿宋_GB2312"/>
                <w:sz w:val="21"/>
              </w:rPr>
              <w:t>4、上岗人员严禁与干部职工、来访人员发生语言冲突或出手伤及他人人身安全；执勤过程中不得有下列行为：限制他人人身自由、搜查他人身体或者侮辱、殴打他人；扣押、没收他人证件、财物；阻碍依法执行公务；参与追索债务、采用暴力或者以暴力相威胁的手段处置纠纷；删改或者扩散保安服务中形成的监控影像资料、报警记录；侵犯个人隐私或者泄露在保安服务中获知的国家秘密、商业秘密以及甲方明确要求保密的信息；违反法律、行政法规的其他行为。</w:t>
            </w:r>
          </w:p>
          <w:p>
            <w:pPr>
              <w:pStyle w:val="null3"/>
              <w:jc w:val="both"/>
            </w:pPr>
            <w:r>
              <w:rPr>
                <w:rFonts w:ascii="仿宋_GB2312" w:hAnsi="仿宋_GB2312" w:cs="仿宋_GB2312" w:eastAsia="仿宋_GB2312"/>
                <w:sz w:val="21"/>
              </w:rPr>
              <w:t>5、要保持同本项目对接人的密切联系，遇有重大事项及时报告和反馈信息，尊重采购人的意见，接受项目采购方的提议、监督和指导。</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）安保岗位需求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工作岗位六个，分别为：监控室岗；诉讼服务中心岗；北附楼岗；西门值班室岗；北门值班岗；二楼大厅。此外，设置日常安全巡逻小组。</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）整体服务需求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1、人员素质要求高,除了常规安保服务，还要能熟练操作监控设备、安检设备，体能、技能达到人民警察基本要求。</w:t>
            </w:r>
          </w:p>
          <w:p>
            <w:pPr>
              <w:pStyle w:val="null3"/>
              <w:jc w:val="both"/>
            </w:pPr>
            <w:r>
              <w:rPr>
                <w:rFonts w:ascii="仿宋_GB2312" w:hAnsi="仿宋_GB2312" w:cs="仿宋_GB2312" w:eastAsia="仿宋_GB2312"/>
                <w:sz w:val="21"/>
              </w:rPr>
              <w:t>2、人员设置和排班要符合实际。</w:t>
            </w:r>
          </w:p>
          <w:p>
            <w:pPr>
              <w:pStyle w:val="null3"/>
              <w:jc w:val="both"/>
            </w:pPr>
            <w:r>
              <w:rPr>
                <w:rFonts w:ascii="仿宋_GB2312" w:hAnsi="仿宋_GB2312" w:cs="仿宋_GB2312" w:eastAsia="仿宋_GB2312"/>
                <w:sz w:val="21"/>
              </w:rPr>
              <w:t>3、需要和省高院领导、法警总队能有效沟通，能领悟、执行好客户的要求。</w:t>
            </w:r>
          </w:p>
          <w:p>
            <w:pPr>
              <w:pStyle w:val="null3"/>
              <w:jc w:val="both"/>
            </w:pPr>
            <w:r>
              <w:rPr>
                <w:rFonts w:ascii="仿宋_GB2312" w:hAnsi="仿宋_GB2312" w:cs="仿宋_GB2312" w:eastAsia="仿宋_GB2312"/>
                <w:sz w:val="21"/>
              </w:rPr>
              <w:t>4、合同签订后全面展开服务工作。</w:t>
            </w:r>
          </w:p>
          <w:p>
            <w:pPr>
              <w:pStyle w:val="null3"/>
              <w:jc w:val="both"/>
            </w:pPr>
            <w:r>
              <w:rPr>
                <w:rFonts w:ascii="仿宋_GB2312" w:hAnsi="仿宋_GB2312" w:cs="仿宋_GB2312" w:eastAsia="仿宋_GB2312"/>
                <w:sz w:val="21"/>
              </w:rPr>
              <w:t>5、要保证保安员工资待遇，按法律规定缴纳社保、公积金。</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服务地点及期限</w:t>
            </w:r>
            <w:r>
              <w:rPr>
                <w:rFonts w:ascii="仿宋_GB2312" w:hAnsi="仿宋_GB2312" w:cs="仿宋_GB2312" w:eastAsia="仿宋_GB2312"/>
                <w:sz w:val="21"/>
                <w:b/>
              </w:rPr>
              <w:t>：</w:t>
            </w:r>
          </w:p>
          <w:p>
            <w:pPr>
              <w:pStyle w:val="null3"/>
              <w:ind w:firstLine="400"/>
              <w:jc w:val="both"/>
            </w:pPr>
            <w:r>
              <w:rPr>
                <w:rFonts w:ascii="仿宋_GB2312" w:hAnsi="仿宋_GB2312" w:cs="仿宋_GB2312" w:eastAsia="仿宋_GB2312"/>
                <w:sz w:val="21"/>
              </w:rPr>
              <w:t>1、合同履行期限（服务期限）：</w:t>
            </w:r>
            <w:r>
              <w:rPr>
                <w:rFonts w:ascii="仿宋_GB2312" w:hAnsi="仿宋_GB2312" w:cs="仿宋_GB2312" w:eastAsia="仿宋_GB2312"/>
                <w:sz w:val="21"/>
              </w:rPr>
              <w:t>合同签订日起两年，合同一年一签，采购人视上一年服务情况和考核结果，决定是否续签第二年服务合同</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2、服务地点：</w:t>
            </w:r>
            <w:r>
              <w:rPr>
                <w:rFonts w:ascii="仿宋_GB2312" w:hAnsi="仿宋_GB2312" w:cs="仿宋_GB2312" w:eastAsia="仿宋_GB2312"/>
                <w:sz w:val="21"/>
              </w:rPr>
              <w:t>海南省高级人民法院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3、</w:t>
            </w:r>
            <w:r>
              <w:rPr>
                <w:rFonts w:ascii="仿宋_GB2312" w:hAnsi="仿宋_GB2312" w:cs="仿宋_GB2312" w:eastAsia="仿宋_GB2312"/>
                <w:sz w:val="21"/>
              </w:rPr>
              <w:t>付款方式：</w:t>
            </w:r>
            <w:r>
              <w:rPr>
                <w:rFonts w:ascii="仿宋_GB2312" w:hAnsi="仿宋_GB2312" w:cs="仿宋_GB2312" w:eastAsia="仿宋_GB2312"/>
                <w:sz w:val="21"/>
              </w:rPr>
              <w:t>按每季度考核结果为依据，支付当季服务费用</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w:t>
            </w:r>
            <w:r>
              <w:rPr>
                <w:rFonts w:ascii="仿宋_GB2312" w:hAnsi="仿宋_GB2312" w:cs="仿宋_GB2312" w:eastAsia="仿宋_GB2312"/>
                <w:sz w:val="21"/>
                <w:b/>
              </w:rPr>
              <w:t>）考核评价方</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考核评价内容：考核评价内容主要包括安保人员的着装仪表、礼节礼貌、日常执勤、安全检查、来访接待、车辆引导、车位预留、应急处突等八个方面。具体考核评价内容见《高院机关安保服务满意度调查问卷》。</w:t>
            </w:r>
          </w:p>
          <w:p>
            <w:pPr>
              <w:pStyle w:val="null3"/>
              <w:jc w:val="both"/>
            </w:pPr>
            <w:r>
              <w:rPr>
                <w:rFonts w:ascii="仿宋_GB2312" w:hAnsi="仿宋_GB2312" w:cs="仿宋_GB2312" w:eastAsia="仿宋_GB2312"/>
                <w:sz w:val="21"/>
              </w:rPr>
              <w:t>2、考核评价时间：考核评价按季度进行。</w:t>
            </w:r>
          </w:p>
          <w:p>
            <w:pPr>
              <w:pStyle w:val="null3"/>
              <w:jc w:val="both"/>
            </w:pPr>
            <w:r>
              <w:rPr>
                <w:rFonts w:ascii="仿宋_GB2312" w:hAnsi="仿宋_GB2312" w:cs="仿宋_GB2312" w:eastAsia="仿宋_GB2312"/>
                <w:sz w:val="21"/>
              </w:rPr>
              <w:t>3、考核评价方式：考核评价在院党组领导下，由法警总队负责组织实施。在本院范围内，OA办公系统线上发起《高院机关安保服务满意度调查问卷》，由本院各部门根据安保大队服务质量进行考核评价。考核成绩实行百分制。</w:t>
            </w:r>
          </w:p>
          <w:p>
            <w:pPr>
              <w:pStyle w:val="null3"/>
              <w:jc w:val="both"/>
            </w:pPr>
            <w:r>
              <w:rPr>
                <w:rFonts w:ascii="仿宋_GB2312" w:hAnsi="仿宋_GB2312" w:cs="仿宋_GB2312" w:eastAsia="仿宋_GB2312"/>
                <w:sz w:val="21"/>
              </w:rPr>
              <w:t>4、考核评价结果与运用：</w:t>
            </w:r>
          </w:p>
          <w:p>
            <w:pPr>
              <w:pStyle w:val="null3"/>
              <w:jc w:val="both"/>
            </w:pPr>
            <w:r>
              <w:rPr>
                <w:rFonts w:ascii="仿宋_GB2312" w:hAnsi="仿宋_GB2312" w:cs="仿宋_GB2312" w:eastAsia="仿宋_GB2312"/>
                <w:sz w:val="21"/>
              </w:rPr>
              <w:t>考核评价综合成绩</w:t>
            </w:r>
            <w:r>
              <w:rPr>
                <w:rFonts w:ascii="仿宋_GB2312" w:hAnsi="仿宋_GB2312" w:cs="仿宋_GB2312" w:eastAsia="仿宋_GB2312"/>
                <w:sz w:val="21"/>
              </w:rPr>
              <w:t>=各部门考核评价总分÷各部门数量。考核评价分为非常满意、满意、较满意、一般、不满意五个等级。非常满意评分为100分；满意评分为90分；较满意评分为80分；一般评分为70分;不满意评分为60分以下。</w:t>
            </w:r>
          </w:p>
          <w:p>
            <w:pPr>
              <w:pStyle w:val="null3"/>
              <w:jc w:val="both"/>
            </w:pPr>
            <w:r>
              <w:rPr>
                <w:rFonts w:ascii="仿宋_GB2312" w:hAnsi="仿宋_GB2312" w:cs="仿宋_GB2312" w:eastAsia="仿宋_GB2312"/>
                <w:sz w:val="21"/>
              </w:rPr>
              <w:t>法警总队根据各部门考核评定结果，形成总体满意度汇总表，综合评判安保服务质量，评分结果为</w:t>
            </w:r>
            <w:r>
              <w:rPr>
                <w:rFonts w:ascii="仿宋_GB2312" w:hAnsi="仿宋_GB2312" w:cs="仿宋_GB2312" w:eastAsia="仿宋_GB2312"/>
                <w:sz w:val="21"/>
              </w:rPr>
              <w:t>80分以上，支付当季度安保服务费用；评分结果为80分以下，延迟支付当季度安保服务费用，并进行工作作风整改，满意度达标后支付当季度安保服务费用。</w:t>
            </w:r>
          </w:p>
          <w:p>
            <w:pPr>
              <w:pStyle w:val="null3"/>
              <w:jc w:val="both"/>
            </w:pPr>
            <w:r>
              <w:rPr>
                <w:rFonts w:ascii="仿宋_GB2312" w:hAnsi="仿宋_GB2312" w:cs="仿宋_GB2312" w:eastAsia="仿宋_GB2312"/>
                <w:sz w:val="21"/>
              </w:rPr>
              <w:t>5、高院机关安保服务满意度调查问卷：</w:t>
            </w:r>
          </w:p>
          <w:p>
            <w:pPr>
              <w:pStyle w:val="null3"/>
              <w:jc w:val="both"/>
            </w:pPr>
            <w:r>
              <w:rPr>
                <w:rFonts w:ascii="仿宋_GB2312" w:hAnsi="仿宋_GB2312" w:cs="仿宋_GB2312" w:eastAsia="仿宋_GB2312"/>
                <w:sz w:val="21"/>
              </w:rPr>
              <w:t>1. 对安保人员着装配戴、仪容仪表是否满意？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2. 对安保人员礼节礼貌、服务态度是否满意？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3. 对安保人员日常执勤、巡查工作是否满意？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4. 对安保人员安全检查工作是否满意？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5. 对安保人员来访接待工作是否满意？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6. 对安保人员配合预留车位是否满意？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7. 对安保人员引导车辆出入、维护停放秩序是否满意？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8. 对安保人员处突反应速度是否满意？</w:t>
            </w:r>
          </w:p>
          <w:p>
            <w:pPr>
              <w:pStyle w:val="null3"/>
              <w:jc w:val="both"/>
            </w:pPr>
            <w:r>
              <w:rPr>
                <w:rFonts w:ascii="仿宋_GB2312" w:hAnsi="仿宋_GB2312" w:cs="仿宋_GB2312" w:eastAsia="仿宋_GB2312"/>
                <w:sz w:val="21"/>
              </w:rPr>
              <w:t>□非常满意   □满意   □较满意   □一般   □不满意</w:t>
            </w:r>
          </w:p>
          <w:p>
            <w:pPr>
              <w:pStyle w:val="null3"/>
              <w:jc w:val="both"/>
            </w:pPr>
            <w:r>
              <w:rPr>
                <w:rFonts w:ascii="仿宋_GB2312" w:hAnsi="仿宋_GB2312" w:cs="仿宋_GB2312" w:eastAsia="仿宋_GB2312"/>
                <w:sz w:val="21"/>
              </w:rPr>
              <w:t>9.您对机关安保工作还有什么意见或建议？</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）必须满足条款</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中标单位派遣人员必须符合甲方规范管理和实际工作需求。中标单位人员的招聘、录用、辞退、必须符合《劳动合同法》。</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报价说明：</w:t>
      </w:r>
    </w:p>
    <w:p>
      <w:pPr>
        <w:pStyle w:val="null3"/>
        <w:jc w:val="left"/>
      </w:pPr>
      <w:r>
        <w:rPr>
          <w:rFonts w:ascii="仿宋_GB2312" w:hAnsi="仿宋_GB2312" w:cs="仿宋_GB2312" w:eastAsia="仿宋_GB2312"/>
          <w:sz w:val="21"/>
        </w:rPr>
        <w:t>1、本项目预算总价应包含(但不限于): 报价中必须包含整个项目所需的全部内容，并含培训、招聘、含税发票、雇员费用、社保、工会、体检费及后续服务等合同实施过程中应预见和不可预见费用等。</w:t>
      </w:r>
    </w:p>
    <w:p>
      <w:pPr>
        <w:pStyle w:val="null3"/>
        <w:jc w:val="left"/>
      </w:pPr>
      <w:r>
        <w:rPr>
          <w:rFonts w:ascii="仿宋_GB2312" w:hAnsi="仿宋_GB2312" w:cs="仿宋_GB2312" w:eastAsia="仿宋_GB2312"/>
          <w:sz w:val="21"/>
        </w:rPr>
        <w:t>2、本项目采购服务的预算为：人民币286.5654万元，其中，2025年度为139.788万元；2026年度为146.7774万元，本项目采用总价报价方式且不得超出每年度的限价，成交供应商的最终磋商报价即为成交合同的总价。供应商任何超出上述预算总价的磋商报价，均视为无效报价。</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其他要求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为避免出现供应商为达到成交目的而刻意削价竞争，可能影响项目质量或者不能诚信履约。磋商小组认为供应商的报价明显低于其他通过资格审查的供应商报价的，则供应商须提供相关非低价竞标的佐证依据,该等佐证文件将作为响应文件的组成部分并获得磋商小组评审通过,若供应商不提供或提供的佐证文件未能通过磋商小组评审,均作为无效报价处理。</w:t>
      </w:r>
    </w:p>
    <w:p>
      <w:pPr>
        <w:pStyle w:val="null3"/>
        <w:jc w:val="left"/>
      </w:pPr>
      <w:r>
        <w:rPr>
          <w:rFonts w:ascii="仿宋_GB2312" w:hAnsi="仿宋_GB2312" w:cs="仿宋_GB2312" w:eastAsia="仿宋_GB2312"/>
          <w:sz w:val="21"/>
        </w:rPr>
        <w:t>2、如项目实施过程中出现成交供应商不按响应文件或合同内容要求执行，无法满足于项目实施要求、降低服务质量标准等行为，采购人有权终止合同，没收履约保证金，并报政府采购监管部门严肃处理。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条款为不允许偏离的实质性要求和条件，如不满足则认定其响应无效。“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供应商承诺函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供应商承诺函 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供应商承诺函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符合法律、行政法规规定的其他条件声明函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供应商须提供在当地公安机关备案，持有公安机关颁发的《保安服务许可证》（提供复印件加盖公章）；</w:t>
            </w:r>
          </w:p>
        </w:tc>
        <w:tc>
          <w:tcPr>
            <w:tcW w:type="dxa" w:w="3322"/>
          </w:tcPr>
          <w:p>
            <w:pPr>
              <w:pStyle w:val="null3"/>
              <w:jc w:val="left"/>
            </w:pPr>
            <w:r>
              <w:rPr>
                <w:rFonts w:ascii="仿宋_GB2312" w:hAnsi="仿宋_GB2312" w:cs="仿宋_GB2312" w:eastAsia="仿宋_GB2312"/>
              </w:rPr>
              <w:t>供应商须提供在当地公安机关备案，持有公安机关颁发的《保安服务许可证》（提供复印件加盖公章）；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参加政府采购活动前三年内，在经营活动中没有环保类行政处罚记录（提供声明函并加盖公章）；</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tc>
        <w:tc>
          <w:tcPr>
            <w:tcW w:type="dxa" w:w="3322"/>
          </w:tcPr>
          <w:p>
            <w:pPr>
              <w:pStyle w:val="null3"/>
              <w:jc w:val="left"/>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投标（响应）报价明细表 残疾人福利性单位声明函 符合法律、行政法规规定的其他条件声明函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投标（响应）报价明细表 残疾人福利性单位声明函 符合法律、行政法规规定的其他条件声明函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投标（响应）报价明细表 残疾人福利性单位声明函 符合法律、行政法规规定的其他条件声明函 供应商应提交的相关证明材料 服务方案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技术部分57.00分</w:t>
            </w:r>
          </w:p>
          <w:p>
            <w:pPr>
              <w:pStyle w:val="null3"/>
              <w:jc w:val="left"/>
            </w:pPr>
            <w:r>
              <w:rPr>
                <w:rFonts w:ascii="仿宋_GB2312" w:hAnsi="仿宋_GB2312" w:cs="仿宋_GB2312" w:eastAsia="仿宋_GB2312"/>
              </w:rPr>
              <w:t>商务部分33.00分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投标单位提供项目培训方案；包括①培训的范围及目标②培训需求分析③培训方案设计与计划④培训效果评估与反馈。评分标准：本项满分12分，每缺少一项扣3分，每有一项内容存在缺陷的该项扣1.5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管理方案</w:t>
            </w:r>
          </w:p>
        </w:tc>
        <w:tc>
          <w:tcPr>
            <w:tcW w:type="dxa" w:w="2492"/>
          </w:tcPr>
          <w:p>
            <w:pPr>
              <w:pStyle w:val="null3"/>
              <w:jc w:val="left"/>
            </w:pPr>
            <w:r>
              <w:rPr>
                <w:rFonts w:ascii="仿宋_GB2312" w:hAnsi="仿宋_GB2312" w:cs="仿宋_GB2312" w:eastAsia="仿宋_GB2312"/>
              </w:rPr>
              <w:t>投标单位提供管理方案；包括①管理组织机构及职责分工②内控管理制度与流程③人事管理制度（必须包含保安员人员招聘、上岗资格审核、人员培训、人员管理及考核办法等）④管辖区域的安全、有序及环境卫生管理制度。 评分标准：本项满分12分，每缺少一项扣3分，每有一项内容存在缺陷的该项扣1.5分，未提供不得分。 注：内容存在缺陷是指： 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诉讼纠纷处理方案</w:t>
            </w:r>
          </w:p>
        </w:tc>
        <w:tc>
          <w:tcPr>
            <w:tcW w:type="dxa" w:w="2492"/>
          </w:tcPr>
          <w:p>
            <w:pPr>
              <w:pStyle w:val="null3"/>
              <w:jc w:val="left"/>
            </w:pPr>
            <w:r>
              <w:rPr>
                <w:rFonts w:ascii="仿宋_GB2312" w:hAnsi="仿宋_GB2312" w:cs="仿宋_GB2312" w:eastAsia="仿宋_GB2312"/>
              </w:rPr>
              <w:t>投标单位提供诉讼纠纷处理方案；包括①案情分析与评估②证据收集与整理③案件重点难点理解及分析④具有常规系统化处理诉讼纠纷的管理流程。 评分标准：本项满分12分，每缺少一项扣3分，每有一项内容存在缺陷的该项扣1.5分，未提供不得分。 注：内容存在缺陷是指： 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实施方案-应急服务（防恐怖袭击、防群体性事件、消防灭火等）</w:t>
            </w:r>
          </w:p>
        </w:tc>
        <w:tc>
          <w:tcPr>
            <w:tcW w:type="dxa" w:w="2492"/>
          </w:tcPr>
          <w:p>
            <w:pPr>
              <w:pStyle w:val="null3"/>
              <w:jc w:val="left"/>
            </w:pPr>
            <w:r>
              <w:rPr>
                <w:rFonts w:ascii="仿宋_GB2312" w:hAnsi="仿宋_GB2312" w:cs="仿宋_GB2312" w:eastAsia="仿宋_GB2312"/>
              </w:rPr>
              <w:t>投标单位提供应急服务方案，包括①消防灭火预案 ②防恐怖袭击预案③群体性事件应急疏散预案④重大安全事故、自然灾害应急预案⑤治安刑事案件预案。 评分标准：本项满分7分，每缺少一项扣1.4分，每有一项内容存在缺陷的该项扣0.7分，未提供不得分。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实施方案-门岗秩序维护</w:t>
            </w:r>
          </w:p>
        </w:tc>
        <w:tc>
          <w:tcPr>
            <w:tcW w:type="dxa" w:w="2492"/>
          </w:tcPr>
          <w:p>
            <w:pPr>
              <w:pStyle w:val="null3"/>
              <w:jc w:val="left"/>
            </w:pPr>
            <w:r>
              <w:rPr>
                <w:rFonts w:ascii="仿宋_GB2312" w:hAnsi="仿宋_GB2312" w:cs="仿宋_GB2312" w:eastAsia="仿宋_GB2312"/>
              </w:rPr>
              <w:t>投标单位提供门岗秩序维护方案，包括①核心职责与工作目标 ②日常工作流程与规范③沟通与服务技巧④常见问题与应急处置⑤岗位素质与行为规范。 评分标准：本项满分7分，每缺少一项扣1.4分，每有一项内容存在缺陷的该项扣0.7分，未提供不得分。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实施方案-安全巡逻秩序</w:t>
            </w:r>
          </w:p>
        </w:tc>
        <w:tc>
          <w:tcPr>
            <w:tcW w:type="dxa" w:w="2492"/>
          </w:tcPr>
          <w:p>
            <w:pPr>
              <w:pStyle w:val="null3"/>
              <w:jc w:val="left"/>
            </w:pPr>
            <w:r>
              <w:rPr>
                <w:rFonts w:ascii="仿宋_GB2312" w:hAnsi="仿宋_GB2312" w:cs="仿宋_GB2312" w:eastAsia="仿宋_GB2312"/>
              </w:rPr>
              <w:t>投标单位提供安全巡逻秩序方案，包括①清晰的巡逻频次与时间 ②规范的巡逻人员行为准则③标准化的工作流程④常见问题与应急处置⑤完善的记录与报告系统。 评分标准：本项满分7分，每缺少一项扣1.4分，每有一项内容存在缺陷的该项扣0.7分，未提供不得分。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行业经验及业绩</w:t>
            </w:r>
          </w:p>
        </w:tc>
        <w:tc>
          <w:tcPr>
            <w:tcW w:type="dxa" w:w="2492"/>
          </w:tcPr>
          <w:p>
            <w:pPr>
              <w:pStyle w:val="null3"/>
              <w:jc w:val="left"/>
            </w:pPr>
            <w:r>
              <w:rPr>
                <w:rFonts w:ascii="仿宋_GB2312" w:hAnsi="仿宋_GB2312" w:cs="仿宋_GB2312" w:eastAsia="仿宋_GB2312"/>
              </w:rPr>
              <w:t>1）供应商于2022年1月1日（以合同签订时间为准）至今具有类似安保服务项目业绩，每提供一个得2分，最高得10分。 2）以上业绩中如有属于政府单位或司法系统安保类型项目经验的，每个加1分，最多加5分。 注：提供合同关键页复印件并加盖公章，原件备查。</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项目团队人员配备-1）项目管理人员或安保队长：</w:t>
            </w:r>
          </w:p>
        </w:tc>
        <w:tc>
          <w:tcPr>
            <w:tcW w:type="dxa" w:w="2492"/>
          </w:tcPr>
          <w:p>
            <w:pPr>
              <w:pStyle w:val="null3"/>
              <w:jc w:val="left"/>
            </w:pPr>
            <w:r>
              <w:rPr>
                <w:rFonts w:ascii="仿宋_GB2312" w:hAnsi="仿宋_GB2312" w:cs="仿宋_GB2312" w:eastAsia="仿宋_GB2312"/>
              </w:rPr>
              <w:t>(1)具备高级(一级或以上)人力资源管理师或一级保安师资格，得3分； (2)具备中级(二级)人力资源管理师或二级保安师资格，得2分； (3)具备初级(三级)人力资源管理师或三级保安师资格, 得1分； (4)除具备以上资格证书外，同时持有退役军人证的，加1分。 注：第（1）~（3）不重复得分，以上最多得4分。须提供相关资格证书及在本单位缴纳近3个月的社保证明复印件加盖公章，不提供或提供不全不得分；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项目团队人员配备-2）项目安保人员（秩序维护员）</w:t>
            </w:r>
          </w:p>
        </w:tc>
        <w:tc>
          <w:tcPr>
            <w:tcW w:type="dxa" w:w="2492"/>
          </w:tcPr>
          <w:p>
            <w:pPr>
              <w:pStyle w:val="null3"/>
              <w:jc w:val="left"/>
            </w:pPr>
            <w:r>
              <w:rPr>
                <w:rFonts w:ascii="仿宋_GB2312" w:hAnsi="仿宋_GB2312" w:cs="仿宋_GB2312" w:eastAsia="仿宋_GB2312"/>
              </w:rPr>
              <w:t>其他安保人员（不含管理人员）持有安保上岗证或退役军人证的，每人得0.5分，最多可得8分； 注：须提供相关资格证书及在本单位缴纳近3个月的社保证明复印件加盖公章，不提供或提供不全不得分。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资质认证</w:t>
            </w:r>
          </w:p>
        </w:tc>
        <w:tc>
          <w:tcPr>
            <w:tcW w:type="dxa" w:w="2492"/>
          </w:tcPr>
          <w:p>
            <w:pPr>
              <w:pStyle w:val="null3"/>
              <w:jc w:val="left"/>
            </w:pPr>
            <w:r>
              <w:rPr>
                <w:rFonts w:ascii="仿宋_GB2312" w:hAnsi="仿宋_GB2312" w:cs="仿宋_GB2312" w:eastAsia="仿宋_GB2312"/>
              </w:rPr>
              <w:t>1)具有ISO9001质量管理体系认证，得2分； 2)具有OHSAS18001职业健康安全体系认证，得2分； 3)具有ISO14001环境管理体系认证证书，得2分。 注：每项认证均在有效期内且覆盖安保服务范围，提供证书或证明复印件并加盖公章，否则不得分。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ZKGSF(ZB)-20251615R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海南省高级人民法院机关安保项目(二次)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2865654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详见附件：供应商承诺函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