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举办四项2025年竞技体育和青少年体育赛事活动项目(二次)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[0700]20250700003[GK]-1</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海南体育职业技术学院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中国通用咨询投资有限公司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海南体育职业技术学院</w:t>
      </w:r>
      <w:r>
        <w:rPr>
          <w:rFonts w:ascii="仿宋_GB2312" w:hAnsi="仿宋_GB2312" w:cs="仿宋_GB2312" w:eastAsia="仿宋_GB2312"/>
        </w:rPr>
        <w:t xml:space="preserve"> 委托， </w:t>
      </w:r>
      <w:r>
        <w:rPr>
          <w:rFonts w:ascii="仿宋_GB2312" w:hAnsi="仿宋_GB2312" w:cs="仿宋_GB2312" w:eastAsia="仿宋_GB2312"/>
        </w:rPr>
        <w:t>中国通用咨询投资有限公司</w:t>
      </w:r>
      <w:r>
        <w:rPr>
          <w:rFonts w:ascii="仿宋_GB2312" w:hAnsi="仿宋_GB2312" w:cs="仿宋_GB2312" w:eastAsia="仿宋_GB2312"/>
        </w:rPr>
        <w:t xml:space="preserve"> 对 </w:t>
      </w:r>
      <w:r>
        <w:rPr>
          <w:rFonts w:ascii="仿宋_GB2312" w:hAnsi="仿宋_GB2312" w:cs="仿宋_GB2312" w:eastAsia="仿宋_GB2312"/>
        </w:rPr>
        <w:t>举办四项2025年竞技体育和青少年体育赛事活动项目(二次)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[0700]20250700003[GK]-1</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举办四项2025年竞技体育和青少年体育赛事活动项目(二次)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1,200,000.00元</w:t>
      </w:r>
      <w:r>
        <w:rPr>
          <w:rFonts w:ascii="仿宋_GB2312" w:hAnsi="仿宋_GB2312" w:cs="仿宋_GB2312" w:eastAsia="仿宋_GB2312"/>
        </w:rPr>
        <w:t>壹佰贰拾万元整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签订合同之日起至委托业务结束之日止（具体以合同签订为准）</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签订合同之日起至委托业务结束之日止（具体以合同签订为准）</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指定发布媒体为中国政府采购网（网址www.ccgp.gov.cn）、海南省政府采购网（海南省政府采购智慧云平台）（网址https://ccgp-hainan.gov.cn/）、全国公共资源交易平台（海南省海口市）（https://ggzy.haikou.gov.cn/）。关于本项目采购文件的补遗、澄清及变更信息以上述网站公告为准，代理机构不再另行通知，采购文件与更正公告的内容相互矛盾时，以最后发出的更正公告内容为准。 2、投标人须在海南政府采购网(https://www.ccgp-hainan.gov.cn/zhuzhan/)中的海南省政府采购电子化交易管理系统平台进行注册并完善信息，然后下载参与投标项目电子招标文件（数据包）及其他文件； 3、电子标（招标文件数据包后缀名.wtbwj）:必须使用投标工具（帮助中心下载）制作电子版的投标文件， 并使用数字证书（https://www.yuque.com/haonan123/bzzx /ugmn1f）进行签字和加密，投标截至时间前，必须登录系统上传加密的电子投标文件（后 缀名. wenc）,开标前必须进入电子开标大厅在线签到（未签到视为无效投标）； 注意事项：电子标采用全程电子化操 作，供应商应详细阅读海南政府采购网的通知《海南省财政厅关于进一步推进政府采购全流 程电子化的通知》，供应商使用交易系统遇到问题可致电技术支持：0898-68546705。</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海南体育职业技术学院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海南省海口市国兴大道体坛路2号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程老师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0898-65360598</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中国通用咨询投资有限公司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北京市丰台区西三环中路90号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100071</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周璟煜</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0898-65801980</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采购包1：550,000.00元</w:t>
            </w:r>
          </w:p>
          <w:p>
            <w:pPr>
              <w:pStyle w:val="null3"/>
              <w:jc w:val="left"/>
            </w:pPr>
            <w:r>
              <w:rPr>
                <w:rFonts w:ascii="仿宋_GB2312" w:hAnsi="仿宋_GB2312" w:cs="仿宋_GB2312" w:eastAsia="仿宋_GB2312"/>
              </w:rPr>
              <w:t>采购包2：650,000.00元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60</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代理服务费收费标准：代理服务费收费标准：本次采购活动按招标代理协议的约定参考《海南省物价局关于降低部分招标代理服务收费标准的通知》(琼价费管[2011] 225号)文按8折向每包的中标人收取招标代理服务费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投标人无须到达开标现场，远程按时参加在线开标解密即可。本项目不接受供应商的电子备用投标文件，以供应商成功加密后递交至海南省政府采购智慧云平台的电子投标文件为准，因投标人自身原因导致无法解密或解密失败的，自行承担不利后果。 2.本项目为非专门面向中小企业，给予小微企业的价格扣除优惠为10%。 3.供应商如遇技术问题自行联系海南省政府采购智慧云平台客服。</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联系人：周工</w:t>
      </w:r>
    </w:p>
    <w:p>
      <w:pPr>
        <w:pStyle w:val="null3"/>
        <w:jc w:val="left"/>
      </w:pPr>
      <w:r>
        <w:rPr>
          <w:rFonts w:ascii="仿宋_GB2312" w:hAnsi="仿宋_GB2312" w:cs="仿宋_GB2312" w:eastAsia="仿宋_GB2312"/>
        </w:rPr>
        <w:t>联系电话：0898-68591980</w:t>
      </w:r>
    </w:p>
    <w:p>
      <w:pPr>
        <w:pStyle w:val="null3"/>
        <w:jc w:val="left"/>
      </w:pPr>
      <w:r>
        <w:rPr>
          <w:rFonts w:ascii="仿宋_GB2312" w:hAnsi="仿宋_GB2312" w:cs="仿宋_GB2312" w:eastAsia="仿宋_GB2312"/>
        </w:rPr>
        <w:t>地址：海南省海口市龙华区明珠路7号华润大厦B座1403</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1、项目名称</w:t>
      </w:r>
      <w:r>
        <w:rPr>
          <w:rFonts w:ascii="仿宋_GB2312" w:hAnsi="仿宋_GB2312" w:cs="仿宋_GB2312" w:eastAsia="仿宋_GB2312"/>
          <w:sz w:val="24"/>
        </w:rPr>
        <w:t>：</w:t>
      </w:r>
      <w:r>
        <w:rPr>
          <w:rFonts w:ascii="仿宋_GB2312" w:hAnsi="仿宋_GB2312" w:cs="仿宋_GB2312" w:eastAsia="仿宋_GB2312"/>
          <w:sz w:val="24"/>
        </w:rPr>
        <w:t>海南体育职业技术学院（海南省训练竞赛管理中心）举办四项</w:t>
      </w:r>
      <w:r>
        <w:rPr>
          <w:rFonts w:ascii="仿宋_GB2312" w:hAnsi="仿宋_GB2312" w:cs="仿宋_GB2312" w:eastAsia="仿宋_GB2312"/>
          <w:sz w:val="24"/>
        </w:rPr>
        <w:t>2025年竞技体育和青少年体育赛事活动</w:t>
      </w:r>
    </w:p>
    <w:p>
      <w:pPr>
        <w:pStyle w:val="null3"/>
        <w:ind w:firstLine="560"/>
        <w:jc w:val="both"/>
      </w:pPr>
      <w:r>
        <w:rPr>
          <w:rFonts w:ascii="仿宋_GB2312" w:hAnsi="仿宋_GB2312" w:cs="仿宋_GB2312" w:eastAsia="仿宋_GB2312"/>
          <w:sz w:val="24"/>
        </w:rPr>
        <w:t>2、项目预算：</w:t>
      </w:r>
      <w:r>
        <w:rPr>
          <w:rFonts w:ascii="仿宋_GB2312" w:hAnsi="仿宋_GB2312" w:cs="仿宋_GB2312" w:eastAsia="仿宋_GB2312"/>
          <w:sz w:val="24"/>
        </w:rPr>
        <w:t>1,200,000.00</w:t>
      </w:r>
      <w:r>
        <w:rPr>
          <w:rFonts w:ascii="仿宋_GB2312" w:hAnsi="仿宋_GB2312" w:cs="仿宋_GB2312" w:eastAsia="仿宋_GB2312"/>
          <w:sz w:val="24"/>
        </w:rPr>
        <w:t>元，其中采购包</w:t>
      </w:r>
      <w:r>
        <w:rPr>
          <w:rFonts w:ascii="仿宋_GB2312" w:hAnsi="仿宋_GB2312" w:cs="仿宋_GB2312" w:eastAsia="仿宋_GB2312"/>
          <w:sz w:val="24"/>
        </w:rPr>
        <w:t>1：</w:t>
      </w:r>
      <w:r>
        <w:rPr>
          <w:rFonts w:ascii="仿宋_GB2312" w:hAnsi="仿宋_GB2312" w:cs="仿宋_GB2312" w:eastAsia="仿宋_GB2312"/>
          <w:sz w:val="24"/>
        </w:rPr>
        <w:t>2025年海南省“昌江杯”十里画廊攀岩赛</w:t>
      </w:r>
      <w:r>
        <w:rPr>
          <w:rFonts w:ascii="仿宋_GB2312" w:hAnsi="仿宋_GB2312" w:cs="仿宋_GB2312" w:eastAsia="仿宋_GB2312"/>
          <w:sz w:val="24"/>
        </w:rPr>
        <w:t>55</w:t>
      </w:r>
      <w:r>
        <w:rPr>
          <w:rFonts w:ascii="仿宋_GB2312" w:hAnsi="仿宋_GB2312" w:cs="仿宋_GB2312" w:eastAsia="仿宋_GB2312"/>
          <w:sz w:val="24"/>
        </w:rPr>
        <w:t>万元；</w:t>
      </w:r>
      <w:r>
        <w:rPr>
          <w:rFonts w:ascii="仿宋_GB2312" w:hAnsi="仿宋_GB2312" w:cs="仿宋_GB2312" w:eastAsia="仿宋_GB2312"/>
          <w:sz w:val="24"/>
        </w:rPr>
        <w:t>采购包</w:t>
      </w:r>
      <w:r>
        <w:rPr>
          <w:rFonts w:ascii="仿宋_GB2312" w:hAnsi="仿宋_GB2312" w:cs="仿宋_GB2312" w:eastAsia="仿宋_GB2312"/>
          <w:sz w:val="24"/>
        </w:rPr>
        <w:t>2：</w:t>
      </w:r>
      <w:r>
        <w:rPr>
          <w:rFonts w:ascii="仿宋_GB2312" w:hAnsi="仿宋_GB2312" w:cs="仿宋_GB2312" w:eastAsia="仿宋_GB2312"/>
          <w:sz w:val="24"/>
        </w:rPr>
        <w:t>2025年海南省自行车联赛</w:t>
      </w:r>
      <w:r>
        <w:rPr>
          <w:rFonts w:ascii="仿宋_GB2312" w:hAnsi="仿宋_GB2312" w:cs="仿宋_GB2312" w:eastAsia="仿宋_GB2312"/>
          <w:sz w:val="24"/>
        </w:rPr>
        <w:t>65</w:t>
      </w:r>
      <w:r>
        <w:rPr>
          <w:rFonts w:ascii="仿宋_GB2312" w:hAnsi="仿宋_GB2312" w:cs="仿宋_GB2312" w:eastAsia="仿宋_GB2312"/>
          <w:sz w:val="24"/>
        </w:rPr>
        <w:t>万元</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550,000.00</w:t>
      </w:r>
    </w:p>
    <w:p>
      <w:pPr>
        <w:pStyle w:val="null3"/>
        <w:jc w:val="left"/>
      </w:pPr>
      <w:r>
        <w:rPr>
          <w:rFonts w:ascii="仿宋_GB2312" w:hAnsi="仿宋_GB2312" w:cs="仿宋_GB2312" w:eastAsia="仿宋_GB2312"/>
        </w:rPr>
        <w:t>采购包最高限价（元）: 550,000.00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C06040100-体育组织服务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650,000.00</w:t>
      </w:r>
    </w:p>
    <w:p>
      <w:pPr>
        <w:pStyle w:val="null3"/>
        <w:jc w:val="left"/>
      </w:pPr>
      <w:r>
        <w:rPr>
          <w:rFonts w:ascii="仿宋_GB2312" w:hAnsi="仿宋_GB2312" w:cs="仿宋_GB2312" w:eastAsia="仿宋_GB2312"/>
        </w:rPr>
        <w:t>采购包最高限价（元）: 650,000.00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C06040100-体育组织服务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C06040100-体育组织服务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C06040100-体育组织服务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标的名称：C06040100-体育组织服务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1"/>
              </w:rPr>
              <w:t>采购包</w:t>
            </w:r>
            <w:r>
              <w:rPr>
                <w:rFonts w:ascii="仿宋_GB2312" w:hAnsi="仿宋_GB2312" w:cs="仿宋_GB2312" w:eastAsia="仿宋_GB2312"/>
                <w:sz w:val="21"/>
              </w:rPr>
              <w:t>1</w:t>
            </w:r>
          </w:p>
          <w:p>
            <w:pPr>
              <w:pStyle w:val="null3"/>
              <w:jc w:val="center"/>
            </w:pPr>
            <w:r>
              <w:rPr>
                <w:rFonts w:ascii="仿宋_GB2312" w:hAnsi="仿宋_GB2312" w:cs="仿宋_GB2312" w:eastAsia="仿宋_GB2312"/>
                <w:sz w:val="21"/>
                <w:b/>
              </w:rPr>
              <w:t>2025年海南省“昌江杯”十里画廊攀岩赛</w:t>
            </w:r>
            <w:r>
              <w:rPr>
                <w:rFonts w:ascii="仿宋_GB2312" w:hAnsi="仿宋_GB2312" w:cs="仿宋_GB2312" w:eastAsia="仿宋_GB2312"/>
                <w:sz w:val="21"/>
                <w:b/>
              </w:rPr>
              <w:t>采购需求</w:t>
            </w:r>
          </w:p>
          <w:p>
            <w:pPr>
              <w:pStyle w:val="null3"/>
              <w:jc w:val="left"/>
            </w:pPr>
            <w:r>
              <w:rPr>
                <w:rFonts w:ascii="仿宋_GB2312" w:hAnsi="仿宋_GB2312" w:cs="仿宋_GB2312" w:eastAsia="仿宋_GB2312"/>
                <w:sz w:val="21"/>
              </w:rPr>
              <w:t>一、项目概况</w:t>
            </w:r>
          </w:p>
          <w:p>
            <w:pPr>
              <w:pStyle w:val="null3"/>
              <w:jc w:val="left"/>
            </w:pPr>
            <w:r>
              <w:rPr>
                <w:rFonts w:ascii="仿宋_GB2312" w:hAnsi="仿宋_GB2312" w:cs="仿宋_GB2312" w:eastAsia="仿宋_GB2312"/>
                <w:sz w:val="21"/>
              </w:rPr>
              <w:t>为提高海南攀岩运动普及度和关注度，加快培养攀岩人才，吸引大量的运动员、教练、观众和攀岩爱好者前来，带动当地的旅游消费，良好的宣传效果能让更多人了解昌江的自然风光、人文特色，有益于打造昌江攀岩的亮丽名片。利用昌江十里画廊独特的自然资源，结合昌江</w:t>
            </w:r>
            <w:r>
              <w:rPr>
                <w:rFonts w:ascii="仿宋_GB2312" w:hAnsi="仿宋_GB2312" w:cs="仿宋_GB2312" w:eastAsia="仿宋_GB2312"/>
                <w:sz w:val="21"/>
              </w:rPr>
              <w:t>“昌化江畔木棉红”的传统赏花季，吸引全国攀岩爱好者前来挑战，打造体育+旅游融合赛事品牌。</w:t>
            </w:r>
          </w:p>
          <w:p>
            <w:pPr>
              <w:pStyle w:val="null3"/>
              <w:jc w:val="left"/>
            </w:pPr>
            <w:r>
              <w:rPr>
                <w:rFonts w:ascii="仿宋_GB2312" w:hAnsi="仿宋_GB2312" w:cs="仿宋_GB2312" w:eastAsia="仿宋_GB2312"/>
                <w:sz w:val="21"/>
              </w:rPr>
              <w:t>（一）办赛方式</w:t>
            </w:r>
          </w:p>
          <w:p>
            <w:pPr>
              <w:pStyle w:val="null3"/>
              <w:jc w:val="left"/>
            </w:pPr>
            <w:r>
              <w:rPr>
                <w:rFonts w:ascii="仿宋_GB2312" w:hAnsi="仿宋_GB2312" w:cs="仿宋_GB2312" w:eastAsia="仿宋_GB2312"/>
                <w:sz w:val="21"/>
              </w:rPr>
              <w:t>本次赛事采取政府主导、市场化运作的方式举办。运营企业负责竞赛组织、安全保障、赛场医疗急救、赛场应急保障（含熔断机制）、赛事宣传（含舆情应对方案）、后勤接待、现场搭建、开幕式、颁奖仪式等执行工作。</w:t>
            </w:r>
          </w:p>
          <w:p>
            <w:pPr>
              <w:pStyle w:val="null3"/>
              <w:jc w:val="left"/>
            </w:pPr>
            <w:r>
              <w:rPr>
                <w:rFonts w:ascii="仿宋_GB2312" w:hAnsi="仿宋_GB2312" w:cs="仿宋_GB2312" w:eastAsia="仿宋_GB2312"/>
                <w:sz w:val="21"/>
              </w:rPr>
              <w:t>（二）办赛单位</w:t>
            </w:r>
          </w:p>
          <w:p>
            <w:pPr>
              <w:pStyle w:val="null3"/>
              <w:jc w:val="left"/>
            </w:pPr>
            <w:r>
              <w:rPr>
                <w:rFonts w:ascii="仿宋_GB2312" w:hAnsi="仿宋_GB2312" w:cs="仿宋_GB2312" w:eastAsia="仿宋_GB2312"/>
                <w:sz w:val="21"/>
              </w:rPr>
              <w:t>主办单位：海南省旅游和文化广电体育厅</w:t>
            </w:r>
          </w:p>
          <w:p>
            <w:pPr>
              <w:pStyle w:val="null3"/>
              <w:jc w:val="left"/>
            </w:pPr>
            <w:r>
              <w:rPr>
                <w:rFonts w:ascii="仿宋_GB2312" w:hAnsi="仿宋_GB2312" w:cs="仿宋_GB2312" w:eastAsia="仿宋_GB2312"/>
                <w:sz w:val="21"/>
              </w:rPr>
              <w:t>承办单位：海南体育职业技术学院</w:t>
            </w:r>
          </w:p>
          <w:p>
            <w:pPr>
              <w:pStyle w:val="null3"/>
              <w:jc w:val="left"/>
            </w:pPr>
            <w:r>
              <w:rPr>
                <w:rFonts w:ascii="仿宋_GB2312" w:hAnsi="仿宋_GB2312" w:cs="仿宋_GB2312" w:eastAsia="仿宋_GB2312"/>
                <w:sz w:val="21"/>
              </w:rPr>
              <w:t>（海南省训练竞赛管理中心）</w:t>
            </w:r>
          </w:p>
          <w:p>
            <w:pPr>
              <w:pStyle w:val="null3"/>
              <w:jc w:val="left"/>
            </w:pPr>
            <w:r>
              <w:rPr>
                <w:rFonts w:ascii="仿宋_GB2312" w:hAnsi="仿宋_GB2312" w:cs="仿宋_GB2312" w:eastAsia="仿宋_GB2312"/>
                <w:sz w:val="21"/>
              </w:rPr>
              <w:t>（三）赛事名称</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rPr>
              <w:t>2025年海南省“昌江杯”十里画廊攀岩赛</w:t>
            </w:r>
          </w:p>
          <w:p>
            <w:pPr>
              <w:pStyle w:val="null3"/>
              <w:jc w:val="left"/>
            </w:pPr>
            <w:r>
              <w:rPr>
                <w:rFonts w:ascii="仿宋_GB2312" w:hAnsi="仿宋_GB2312" w:cs="仿宋_GB2312" w:eastAsia="仿宋_GB2312"/>
                <w:sz w:val="21"/>
              </w:rPr>
              <w:t>（四）活动时间</w:t>
            </w:r>
          </w:p>
          <w:p>
            <w:pPr>
              <w:pStyle w:val="null3"/>
              <w:jc w:val="left"/>
            </w:pPr>
            <w:r>
              <w:rPr>
                <w:rFonts w:ascii="仿宋_GB2312" w:hAnsi="仿宋_GB2312" w:cs="仿宋_GB2312" w:eastAsia="仿宋_GB2312"/>
                <w:sz w:val="21"/>
              </w:rPr>
              <w:t>2025年</w:t>
            </w:r>
            <w:r>
              <w:rPr>
                <w:rFonts w:ascii="仿宋_GB2312" w:hAnsi="仿宋_GB2312" w:cs="仿宋_GB2312" w:eastAsia="仿宋_GB2312"/>
                <w:sz w:val="21"/>
              </w:rPr>
              <w:t>7</w:t>
            </w:r>
            <w:r>
              <w:rPr>
                <w:rFonts w:ascii="仿宋_GB2312" w:hAnsi="仿宋_GB2312" w:cs="仿宋_GB2312" w:eastAsia="仿宋_GB2312"/>
                <w:sz w:val="21"/>
              </w:rPr>
              <w:t>-12月（具体办赛时间以组委会发布为准）</w:t>
            </w:r>
          </w:p>
          <w:p>
            <w:pPr>
              <w:pStyle w:val="null3"/>
              <w:jc w:val="left"/>
            </w:pPr>
            <w:r>
              <w:rPr>
                <w:rFonts w:ascii="仿宋_GB2312" w:hAnsi="仿宋_GB2312" w:cs="仿宋_GB2312" w:eastAsia="仿宋_GB2312"/>
                <w:sz w:val="21"/>
              </w:rPr>
              <w:t>（五）活动地点</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rPr>
              <w:t>海南省昌江县王下乡黎花里景区（具体地点以组委会最终确定的为准）</w:t>
            </w:r>
          </w:p>
          <w:p>
            <w:pPr>
              <w:pStyle w:val="null3"/>
              <w:jc w:val="left"/>
            </w:pPr>
            <w:r>
              <w:rPr>
                <w:rFonts w:ascii="仿宋_GB2312" w:hAnsi="仿宋_GB2312" w:cs="仿宋_GB2312" w:eastAsia="仿宋_GB2312"/>
                <w:sz w:val="21"/>
              </w:rPr>
              <w:t>（六）预算金额：</w:t>
            </w:r>
            <w:r>
              <w:rPr>
                <w:rFonts w:ascii="仿宋_GB2312" w:hAnsi="仿宋_GB2312" w:cs="仿宋_GB2312" w:eastAsia="仿宋_GB2312"/>
                <w:sz w:val="21"/>
              </w:rPr>
              <w:t>55万元；最高限价55万元。</w:t>
            </w:r>
          </w:p>
          <w:p>
            <w:pPr>
              <w:pStyle w:val="null3"/>
              <w:jc w:val="left"/>
            </w:pPr>
            <w:r>
              <w:rPr>
                <w:rFonts w:ascii="仿宋_GB2312" w:hAnsi="仿宋_GB2312" w:cs="仿宋_GB2312" w:eastAsia="仿宋_GB2312"/>
                <w:sz w:val="21"/>
              </w:rPr>
              <w:t>（七）服务期限：签订合同之日起至委托业务结束之日止（具体以合同签订为准）</w:t>
            </w:r>
          </w:p>
          <w:p>
            <w:pPr>
              <w:pStyle w:val="null3"/>
              <w:jc w:val="left"/>
            </w:pPr>
            <w:r>
              <w:rPr>
                <w:rFonts w:ascii="仿宋_GB2312" w:hAnsi="仿宋_GB2312" w:cs="仿宋_GB2312" w:eastAsia="仿宋_GB2312"/>
                <w:sz w:val="21"/>
              </w:rPr>
              <w:t>（八）合同签订方式中标方与海南体育职业技术学院（海南省训练竞赛管理中心）签订采购合同。</w:t>
            </w:r>
          </w:p>
          <w:p>
            <w:pPr>
              <w:pStyle w:val="null3"/>
              <w:jc w:val="left"/>
            </w:pPr>
            <w:r>
              <w:rPr>
                <w:rFonts w:ascii="仿宋_GB2312" w:hAnsi="仿宋_GB2312" w:cs="仿宋_GB2312" w:eastAsia="仿宋_GB2312"/>
                <w:sz w:val="21"/>
              </w:rPr>
              <w:t>二、技术和服务要求</w:t>
            </w:r>
          </w:p>
          <w:p>
            <w:pPr>
              <w:pStyle w:val="null3"/>
              <w:jc w:val="left"/>
            </w:pPr>
            <w:r>
              <w:rPr>
                <w:rFonts w:ascii="仿宋_GB2312" w:hAnsi="仿宋_GB2312" w:cs="仿宋_GB2312" w:eastAsia="仿宋_GB2312"/>
                <w:sz w:val="21"/>
              </w:rPr>
              <w:t>（一）活动策划统筹和组织</w:t>
            </w:r>
          </w:p>
          <w:p>
            <w:pPr>
              <w:pStyle w:val="null3"/>
              <w:jc w:val="left"/>
            </w:pPr>
            <w:r>
              <w:rPr>
                <w:rFonts w:ascii="仿宋_GB2312" w:hAnsi="仿宋_GB2312" w:cs="仿宋_GB2312" w:eastAsia="仿宋_GB2312"/>
                <w:sz w:val="21"/>
              </w:rPr>
              <w:t>1.投标人需成立专项工作组，提供赛事策划及执行方案，组织执行2025年海南省“昌江杯”十里画廊攀岩赛，保证负责赛事活动的安全有序执行。</w:t>
            </w:r>
          </w:p>
          <w:p>
            <w:pPr>
              <w:pStyle w:val="null3"/>
              <w:jc w:val="left"/>
            </w:pPr>
            <w:r>
              <w:rPr>
                <w:rFonts w:ascii="仿宋_GB2312" w:hAnsi="仿宋_GB2312" w:cs="仿宋_GB2312" w:eastAsia="仿宋_GB2312"/>
                <w:sz w:val="21"/>
              </w:rPr>
              <w:t>2. 赛事规模及竞赛组别：</w:t>
            </w:r>
          </w:p>
          <w:p>
            <w:pPr>
              <w:pStyle w:val="null3"/>
              <w:jc w:val="left"/>
            </w:pPr>
            <w:r>
              <w:rPr>
                <w:rFonts w:ascii="仿宋_GB2312" w:hAnsi="仿宋_GB2312" w:cs="仿宋_GB2312" w:eastAsia="仿宋_GB2312"/>
                <w:sz w:val="21"/>
              </w:rPr>
              <w:t>参赛运动员约</w:t>
            </w:r>
            <w:r>
              <w:rPr>
                <w:rFonts w:ascii="仿宋_GB2312" w:hAnsi="仿宋_GB2312" w:cs="仿宋_GB2312" w:eastAsia="仿宋_GB2312"/>
                <w:sz w:val="21"/>
              </w:rPr>
              <w:t>60人</w:t>
            </w:r>
          </w:p>
          <w:p>
            <w:pPr>
              <w:pStyle w:val="null3"/>
              <w:jc w:val="left"/>
            </w:pPr>
            <w:r>
              <w:rPr>
                <w:rFonts w:ascii="仿宋_GB2312" w:hAnsi="仿宋_GB2312" w:cs="仿宋_GB2312" w:eastAsia="仿宋_GB2312"/>
                <w:sz w:val="21"/>
              </w:rPr>
              <w:t>（最终项目以竞赛通知为准。）</w:t>
            </w:r>
          </w:p>
          <w:p>
            <w:pPr>
              <w:pStyle w:val="null3"/>
              <w:jc w:val="left"/>
            </w:pPr>
            <w:r>
              <w:rPr>
                <w:rFonts w:ascii="仿宋_GB2312" w:hAnsi="仿宋_GB2312" w:cs="仿宋_GB2312" w:eastAsia="仿宋_GB2312"/>
                <w:sz w:val="21"/>
              </w:rPr>
              <w:t>3.在满足赛事可执行性的前提下，赛事策划执行方案需设计合理的赛事规程，并结合海南自然资源优势和气候优势，充分宣传、展示海南体育旅游的魅力，体现本省的竞赛水平和办赛特色。</w:t>
            </w:r>
          </w:p>
          <w:p>
            <w:pPr>
              <w:pStyle w:val="null3"/>
              <w:jc w:val="left"/>
            </w:pPr>
            <w:r>
              <w:rPr>
                <w:rFonts w:ascii="仿宋_GB2312" w:hAnsi="仿宋_GB2312" w:cs="仿宋_GB2312" w:eastAsia="仿宋_GB2312"/>
                <w:sz w:val="21"/>
              </w:rPr>
              <w:t>4.对赛事进行合理安排，并按采购要求执行赛事，投标人需提供清晰、简洁的报名流程，确保参赛者可通过线上、线下等多渠道进行报名，同时做好报名信息的保密工作。</w:t>
            </w:r>
          </w:p>
          <w:p>
            <w:pPr>
              <w:pStyle w:val="null3"/>
              <w:jc w:val="left"/>
            </w:pPr>
            <w:r>
              <w:rPr>
                <w:rFonts w:ascii="仿宋_GB2312" w:hAnsi="仿宋_GB2312" w:cs="仿宋_GB2312" w:eastAsia="仿宋_GB2312"/>
                <w:sz w:val="21"/>
              </w:rPr>
              <w:t>5.有效对接主办方和各办赛组委会部门，将比赛筹备工作落实到位。</w:t>
            </w:r>
          </w:p>
          <w:p>
            <w:pPr>
              <w:pStyle w:val="null3"/>
              <w:jc w:val="left"/>
            </w:pPr>
            <w:r>
              <w:rPr>
                <w:rFonts w:ascii="仿宋_GB2312" w:hAnsi="仿宋_GB2312" w:cs="仿宋_GB2312" w:eastAsia="仿宋_GB2312"/>
                <w:sz w:val="21"/>
              </w:rPr>
              <w:t>6.招募赛事相关工作人员：裁判、志愿者、医疗人员、安保、宣传及其他赛事相关工作人员。安排竞赛组织人员用餐及饮用水，安排专人负责后勤保障工作。</w:t>
            </w:r>
          </w:p>
          <w:p>
            <w:pPr>
              <w:pStyle w:val="null3"/>
              <w:jc w:val="left"/>
            </w:pPr>
            <w:r>
              <w:rPr>
                <w:rFonts w:ascii="仿宋_GB2312" w:hAnsi="仿宋_GB2312" w:cs="仿宋_GB2312" w:eastAsia="仿宋_GB2312"/>
                <w:sz w:val="21"/>
              </w:rPr>
              <w:t>7.拥有丰富的赞助商品牌资源,负责对接主办方推介的赞助商资源，促成赛事赞助。负责落实各项赞助商权益工作，赞助商接待工作。</w:t>
            </w:r>
          </w:p>
          <w:p>
            <w:pPr>
              <w:pStyle w:val="null3"/>
              <w:jc w:val="left"/>
            </w:pPr>
            <w:r>
              <w:rPr>
                <w:rFonts w:ascii="仿宋_GB2312" w:hAnsi="仿宋_GB2312" w:cs="仿宋_GB2312" w:eastAsia="仿宋_GB2312"/>
                <w:sz w:val="21"/>
              </w:rPr>
              <w:t>8.拥有丰富的赛事运营经验，负责赛事整体布局；规划及布置活动现场嘉宾观赛区、竞赛办公区、媒体区、医疗救护区等。</w:t>
            </w:r>
          </w:p>
          <w:p>
            <w:pPr>
              <w:pStyle w:val="null3"/>
              <w:jc w:val="left"/>
            </w:pPr>
            <w:r>
              <w:rPr>
                <w:rFonts w:ascii="仿宋_GB2312" w:hAnsi="仿宋_GB2312" w:cs="仿宋_GB2312" w:eastAsia="仿宋_GB2312"/>
                <w:sz w:val="21"/>
              </w:rPr>
              <w:t>9.按时收集赛事相关材料及数据：比赛技术统计、照片视频等其他相关数据。</w:t>
            </w:r>
          </w:p>
          <w:p>
            <w:pPr>
              <w:pStyle w:val="null3"/>
              <w:jc w:val="left"/>
            </w:pPr>
            <w:r>
              <w:rPr>
                <w:rFonts w:ascii="仿宋_GB2312" w:hAnsi="仿宋_GB2312" w:cs="仿宋_GB2312" w:eastAsia="仿宋_GB2312"/>
                <w:sz w:val="21"/>
              </w:rPr>
              <w:t>10.按照项目比赛规则的标准要求进行比赛场地布置，包含导引指示牌、各类宣传牌等，制定比赛场地布置方案，包含各类平面布置图、效果图。比赛场地布置方案须经采购人同意后组织实施。</w:t>
            </w:r>
          </w:p>
          <w:p>
            <w:pPr>
              <w:pStyle w:val="null3"/>
              <w:jc w:val="left"/>
            </w:pPr>
            <w:r>
              <w:rPr>
                <w:rFonts w:ascii="仿宋_GB2312" w:hAnsi="仿宋_GB2312" w:cs="仿宋_GB2312" w:eastAsia="仿宋_GB2312"/>
                <w:sz w:val="21"/>
              </w:rPr>
              <w:t>11.负责采购制作赛事相关物资，包含各类比赛器材、执裁器材、各类奖牌、证书、参赛号码牌等赛事用品。</w:t>
            </w:r>
          </w:p>
          <w:p>
            <w:pPr>
              <w:pStyle w:val="null3"/>
              <w:jc w:val="left"/>
            </w:pPr>
            <w:r>
              <w:rPr>
                <w:rFonts w:ascii="仿宋_GB2312" w:hAnsi="仿宋_GB2312" w:cs="仿宋_GB2312" w:eastAsia="仿宋_GB2312"/>
                <w:sz w:val="21"/>
              </w:rPr>
              <w:t>12.负责活动前期、举办期间及撤场的各项工作统筹执行。</w:t>
            </w:r>
          </w:p>
          <w:p>
            <w:pPr>
              <w:pStyle w:val="null3"/>
              <w:jc w:val="left"/>
            </w:pPr>
            <w:r>
              <w:rPr>
                <w:rFonts w:ascii="仿宋_GB2312" w:hAnsi="仿宋_GB2312" w:cs="仿宋_GB2312" w:eastAsia="仿宋_GB2312"/>
                <w:sz w:val="21"/>
              </w:rPr>
              <w:t>13.因攀岩项目的特殊性，团队成员应具有相关赛事运营的专业人员，并提供承办过同等级别或以上攀岩相关体育赛事的成功案例（只需提供级别较高的</w:t>
            </w:r>
            <w:r>
              <w:rPr>
                <w:rFonts w:ascii="仿宋_GB2312" w:hAnsi="仿宋_GB2312" w:cs="仿宋_GB2312" w:eastAsia="仿宋_GB2312"/>
                <w:sz w:val="21"/>
              </w:rPr>
              <w:t>4</w:t>
            </w:r>
            <w:r>
              <w:rPr>
                <w:rFonts w:ascii="仿宋_GB2312" w:hAnsi="仿宋_GB2312" w:cs="仿宋_GB2312" w:eastAsia="仿宋_GB2312"/>
                <w:sz w:val="21"/>
              </w:rPr>
              <w:t>份赛事协议复印件，赛事级别越高、办赛特色越显著者为佳）。</w:t>
            </w:r>
          </w:p>
          <w:p>
            <w:pPr>
              <w:pStyle w:val="null3"/>
              <w:jc w:val="left"/>
            </w:pPr>
            <w:r>
              <w:rPr>
                <w:rFonts w:ascii="仿宋_GB2312" w:hAnsi="仿宋_GB2312" w:cs="仿宋_GB2312" w:eastAsia="仿宋_GB2312"/>
                <w:sz w:val="21"/>
              </w:rPr>
              <w:t>14. 赛事活动应在赛事活动现场体现“中国体育彩票”LOGO并在显著位置设置展示“中国体育彩票资助”宣传内容，包括但不限于赛事仪式舞台、背景板、赛事拱门、指示牌、选手服装、奖牌、工作人员服装等。接受体育彩票公益金资助的体育运动队，应根据体育彩票公益金宣传需要，积极参与体育彩票公益宣传活动。在与使用体育彩票公益金的项目实施第三方单位签订委托协议时，应在协议中明确实施单位按照有关要求对体育彩票公益金资助项目进行宣传。</w:t>
            </w:r>
          </w:p>
          <w:p>
            <w:pPr>
              <w:pStyle w:val="null3"/>
              <w:jc w:val="left"/>
            </w:pPr>
            <w:r>
              <w:rPr>
                <w:rFonts w:ascii="仿宋_GB2312" w:hAnsi="仿宋_GB2312" w:cs="仿宋_GB2312" w:eastAsia="仿宋_GB2312"/>
                <w:sz w:val="21"/>
              </w:rPr>
              <w:t>15.对赛事热点事件的策划及传播可通过今日头条、抖音、小红书等媒体平台，以及海南日报、南海网等官方媒体进行广泛宣传，吸引线上观众。</w:t>
            </w:r>
          </w:p>
          <w:p>
            <w:pPr>
              <w:pStyle w:val="null3"/>
              <w:jc w:val="left"/>
            </w:pPr>
            <w:r>
              <w:rPr>
                <w:rFonts w:ascii="仿宋_GB2312" w:hAnsi="仿宋_GB2312" w:cs="仿宋_GB2312" w:eastAsia="仿宋_GB2312"/>
                <w:sz w:val="21"/>
              </w:rPr>
              <w:t>16.负责赛事赛后奖励、奖杯及奖牌发放。</w:t>
            </w:r>
          </w:p>
          <w:p>
            <w:pPr>
              <w:pStyle w:val="null3"/>
              <w:jc w:val="left"/>
            </w:pPr>
            <w:r>
              <w:rPr>
                <w:rFonts w:ascii="仿宋_GB2312" w:hAnsi="仿宋_GB2312" w:cs="仿宋_GB2312" w:eastAsia="仿宋_GB2312"/>
                <w:sz w:val="21"/>
              </w:rPr>
              <w:t>17.负责主办方交办的其他事项。</w:t>
            </w:r>
          </w:p>
          <w:p>
            <w:pPr>
              <w:pStyle w:val="null3"/>
              <w:jc w:val="left"/>
            </w:pPr>
            <w:r>
              <w:rPr>
                <w:rFonts w:ascii="仿宋_GB2312" w:hAnsi="仿宋_GB2312" w:cs="仿宋_GB2312" w:eastAsia="仿宋_GB2312"/>
                <w:sz w:val="21"/>
              </w:rPr>
              <w:t>（二）宣传推广</w:t>
            </w:r>
          </w:p>
          <w:p>
            <w:pPr>
              <w:pStyle w:val="null3"/>
              <w:jc w:val="left"/>
            </w:pPr>
            <w:r>
              <w:rPr>
                <w:rFonts w:ascii="仿宋_GB2312" w:hAnsi="仿宋_GB2312" w:cs="仿宋_GB2312" w:eastAsia="仿宋_GB2312"/>
                <w:sz w:val="21"/>
              </w:rPr>
              <w:t>1.宣传报道：围绕赛事特点策划赛事传播主题，拟定赛事宣传方案，策划热点传播事件。邀请不少于5家媒体现场报道、总播报不少于10次，网络、手机端等新媒体报道不少于20篇。加强赛前、赛后的媒体宣传，扩大赛事影响力，带动周边衍生品及产业的良性快速发展。</w:t>
            </w:r>
          </w:p>
          <w:p>
            <w:pPr>
              <w:pStyle w:val="null3"/>
              <w:jc w:val="left"/>
            </w:pPr>
            <w:r>
              <w:rPr>
                <w:rFonts w:ascii="仿宋_GB2312" w:hAnsi="仿宋_GB2312" w:cs="仿宋_GB2312" w:eastAsia="仿宋_GB2312"/>
                <w:sz w:val="21"/>
              </w:rPr>
              <w:t>2.拍摄宣传：赛前宣传期间负责拍摄制作宣传片 1 个（30 秒以上）。 比赛期间通过视频、图文等形式进行多维度报道。需提供不少于2个航拍机位。</w:t>
            </w:r>
          </w:p>
          <w:p>
            <w:pPr>
              <w:pStyle w:val="null3"/>
              <w:jc w:val="left"/>
            </w:pPr>
            <w:r>
              <w:rPr>
                <w:rFonts w:ascii="仿宋_GB2312" w:hAnsi="仿宋_GB2312" w:cs="仿宋_GB2312" w:eastAsia="仿宋_GB2312"/>
                <w:sz w:val="21"/>
              </w:rPr>
              <w:t>3.网络直播：比赛期间提供网络直播渠道（图片或视频直播）。</w:t>
            </w:r>
          </w:p>
          <w:p>
            <w:pPr>
              <w:pStyle w:val="null3"/>
              <w:jc w:val="left"/>
            </w:pPr>
            <w:r>
              <w:rPr>
                <w:rFonts w:ascii="仿宋_GB2312" w:hAnsi="仿宋_GB2312" w:cs="仿宋_GB2312" w:eastAsia="仿宋_GB2312"/>
                <w:sz w:val="21"/>
              </w:rPr>
              <w:t>三、商务要求</w:t>
            </w:r>
          </w:p>
          <w:p>
            <w:pPr>
              <w:pStyle w:val="null3"/>
              <w:jc w:val="left"/>
            </w:pPr>
            <w:r>
              <w:rPr>
                <w:rFonts w:ascii="仿宋_GB2312" w:hAnsi="仿宋_GB2312" w:cs="仿宋_GB2312" w:eastAsia="仿宋_GB2312"/>
                <w:sz w:val="21"/>
              </w:rPr>
              <w:t>（一）赛事活动费用</w:t>
            </w:r>
          </w:p>
          <w:p>
            <w:pPr>
              <w:pStyle w:val="null3"/>
              <w:jc w:val="left"/>
            </w:pPr>
            <w:r>
              <w:rPr>
                <w:rFonts w:ascii="仿宋_GB2312" w:hAnsi="仿宋_GB2312" w:cs="仿宋_GB2312" w:eastAsia="仿宋_GB2312"/>
                <w:sz w:val="21"/>
              </w:rPr>
              <w:t>本次赛事活动经费</w:t>
            </w:r>
            <w:r>
              <w:rPr>
                <w:rFonts w:ascii="仿宋_GB2312" w:hAnsi="仿宋_GB2312" w:cs="仿宋_GB2312" w:eastAsia="仿宋_GB2312"/>
                <w:sz w:val="21"/>
              </w:rPr>
              <w:t>55万元由政府支持，主要用于招标代理费、赛事保险、赛事宣传、背景板、赛事所需物料、裁判员和工作人员的食宿与后勤保障、比赛设备租赁、奖牌证书、以及赛事人员劳务等费用。不足部分经费由中标人负责，可以通过筹措方式获得，通过筹措所得资金（包括冠名费用、报名费及衍生产品的销售收入等），整体打包，自负盈亏。赞助、招商、冠名及特许商品，其中涉及物资类的赞助由中标人安排用于本次赛事活动，但必须本着勤俭节约原则，若有结余，归采购人所有；涉及资金类的赞助，全部归中标人所有。中标人在确定赛事冠名赞助商前须征求采购人意见。</w:t>
            </w:r>
          </w:p>
          <w:p>
            <w:pPr>
              <w:pStyle w:val="null3"/>
              <w:jc w:val="left"/>
            </w:pPr>
            <w:r>
              <w:rPr>
                <w:rFonts w:ascii="仿宋_GB2312" w:hAnsi="仿宋_GB2312" w:cs="仿宋_GB2312" w:eastAsia="仿宋_GB2312"/>
                <w:sz w:val="21"/>
              </w:rPr>
              <w:t>（二）付款方式</w:t>
            </w:r>
          </w:p>
          <w:p>
            <w:pPr>
              <w:pStyle w:val="null3"/>
              <w:jc w:val="left"/>
            </w:pPr>
            <w:r>
              <w:rPr>
                <w:rFonts w:ascii="仿宋_GB2312" w:hAnsi="仿宋_GB2312" w:cs="仿宋_GB2312" w:eastAsia="仿宋_GB2312"/>
                <w:sz w:val="21"/>
              </w:rPr>
              <w:t>合同签订后，采购人凭中标人提供的有效发票支付合同金额的</w:t>
            </w:r>
            <w:r>
              <w:rPr>
                <w:rFonts w:ascii="仿宋_GB2312" w:hAnsi="仿宋_GB2312" w:cs="仿宋_GB2312" w:eastAsia="仿宋_GB2312"/>
                <w:sz w:val="21"/>
              </w:rPr>
              <w:t xml:space="preserve"> 50%；项目完成验收时，中标方须提供项目服务明细的验收证明材料及赛事评估报告，采购人逐一核对服务条款内容及数量的佐证材料进行验收，对未按服务条款内容及数量执行的部分，予以核减；赛事结束后，采购人确认中标人如约履行各项义务、完成各项善后工作，经采购人验收合格且收到中标人出具的有效发票后，采购人向中标人支付剩余合同款项。</w:t>
            </w:r>
          </w:p>
          <w:p>
            <w:pPr>
              <w:pStyle w:val="null3"/>
              <w:jc w:val="left"/>
            </w:pPr>
            <w:r>
              <w:rPr>
                <w:rFonts w:ascii="仿宋_GB2312" w:hAnsi="仿宋_GB2312" w:cs="仿宋_GB2312" w:eastAsia="仿宋_GB2312"/>
                <w:sz w:val="21"/>
              </w:rPr>
              <w:t>（三）赛事保障</w:t>
            </w:r>
          </w:p>
          <w:p>
            <w:pPr>
              <w:pStyle w:val="null3"/>
              <w:jc w:val="left"/>
            </w:pPr>
            <w:r>
              <w:rPr>
                <w:rFonts w:ascii="仿宋_GB2312" w:hAnsi="仿宋_GB2312" w:cs="仿宋_GB2312" w:eastAsia="仿宋_GB2312"/>
                <w:sz w:val="21"/>
              </w:rPr>
              <w:t>1.中标人须为本次比赛购买选手意外身故、猝死保险不低于30万元，赛事组织责任保险不低于100万元。</w:t>
            </w:r>
          </w:p>
          <w:p>
            <w:pPr>
              <w:pStyle w:val="null3"/>
              <w:jc w:val="left"/>
            </w:pPr>
            <w:r>
              <w:rPr>
                <w:rFonts w:ascii="仿宋_GB2312" w:hAnsi="仿宋_GB2312" w:cs="仿宋_GB2312" w:eastAsia="仿宋_GB2312"/>
                <w:sz w:val="21"/>
              </w:rPr>
              <w:t>2.为保障赛事顺利举办，中标人应按主办单位要求聘请不少于5名裁判员，其中国家级裁判不少于1人，一级裁判不少于2人。</w:t>
            </w:r>
          </w:p>
          <w:p>
            <w:pPr>
              <w:pStyle w:val="null3"/>
              <w:jc w:val="left"/>
            </w:pPr>
            <w:r>
              <w:rPr>
                <w:rFonts w:ascii="仿宋_GB2312" w:hAnsi="仿宋_GB2312" w:cs="仿宋_GB2312" w:eastAsia="仿宋_GB2312"/>
                <w:sz w:val="21"/>
              </w:rPr>
              <w:t>（四）项目实施能力</w:t>
            </w:r>
          </w:p>
          <w:p>
            <w:pPr>
              <w:pStyle w:val="null3"/>
              <w:jc w:val="left"/>
            </w:pPr>
            <w:r>
              <w:rPr>
                <w:rFonts w:ascii="仿宋_GB2312" w:hAnsi="仿宋_GB2312" w:cs="仿宋_GB2312" w:eastAsia="仿宋_GB2312"/>
                <w:sz w:val="21"/>
              </w:rPr>
              <w:t>投标人应有能力补足赛事不足经费以保障赛事顺利进行。</w:t>
            </w:r>
          </w:p>
          <w:p>
            <w:pPr>
              <w:pStyle w:val="null3"/>
              <w:jc w:val="left"/>
            </w:pPr>
            <w:r>
              <w:rPr>
                <w:rFonts w:ascii="仿宋_GB2312" w:hAnsi="仿宋_GB2312" w:cs="仿宋_GB2312" w:eastAsia="仿宋_GB2312"/>
                <w:sz w:val="21"/>
              </w:rPr>
              <w:t>（五）赛事活动组织经验要求投标人需具有丰富的赛事活动组织经验，熟悉赛事办赛标准流程，赛事申请流程，具有主动协调组委会各部门配合支持赛事举办的经验和能力。</w:t>
            </w:r>
          </w:p>
          <w:p>
            <w:pPr>
              <w:pStyle w:val="null3"/>
              <w:jc w:val="left"/>
            </w:pPr>
            <w:r>
              <w:rPr>
                <w:rFonts w:ascii="仿宋_GB2312" w:hAnsi="仿宋_GB2312" w:cs="仿宋_GB2312" w:eastAsia="仿宋_GB2312"/>
                <w:sz w:val="21"/>
              </w:rPr>
              <w:t>（六）投标人以完成赛事目标为准，负责对接落实赛事举办场地，场地需满足赛事策划方案的具体要求，搭建符合要求的比赛场景。中标人需承担包含竞赛器材租赁、竞赛组织、人员招募、赛事搭建、赛事宣传、裁判员聘请等与赛事举办有关的成本费用（包括但不限于人员成本、耗材成本、设施设备维护保养等）。</w:t>
            </w:r>
          </w:p>
          <w:p>
            <w:pPr>
              <w:pStyle w:val="null3"/>
              <w:jc w:val="left"/>
            </w:pPr>
            <w:r>
              <w:rPr>
                <w:rFonts w:ascii="仿宋_GB2312" w:hAnsi="仿宋_GB2312" w:cs="仿宋_GB2312" w:eastAsia="仿宋_GB2312"/>
                <w:sz w:val="21"/>
              </w:rPr>
              <w:t>（七）安全责任：中标人承担运行赛事举办过程中的安全责任，并承担由此产生的一切费用，甲方不承担任何连带责任。</w:t>
            </w:r>
          </w:p>
          <w:p>
            <w:pPr>
              <w:pStyle w:val="null3"/>
              <w:jc w:val="left"/>
            </w:pPr>
            <w:r>
              <w:rPr>
                <w:rFonts w:ascii="仿宋_GB2312" w:hAnsi="仿宋_GB2312" w:cs="仿宋_GB2312" w:eastAsia="仿宋_GB2312"/>
                <w:sz w:val="21"/>
              </w:rPr>
              <w:t>（八）中标人需确保赛事活动举办过程中涉及相关场地、器材、技术工具等功能完好，能保障赛事活动期间正常顺利使用，涉及费用由中标人承担。</w:t>
            </w:r>
          </w:p>
          <w:p>
            <w:pPr>
              <w:pStyle w:val="null3"/>
              <w:jc w:val="left"/>
            </w:pPr>
            <w:r>
              <w:rPr>
                <w:rFonts w:ascii="仿宋_GB2312" w:hAnsi="仿宋_GB2312" w:cs="仿宋_GB2312" w:eastAsia="仿宋_GB2312"/>
                <w:sz w:val="21"/>
              </w:rPr>
              <w:t>（九）中标人应在签订合同后</w:t>
            </w:r>
            <w:r>
              <w:rPr>
                <w:rFonts w:ascii="仿宋_GB2312" w:hAnsi="仿宋_GB2312" w:cs="仿宋_GB2312" w:eastAsia="仿宋_GB2312"/>
                <w:sz w:val="21"/>
              </w:rPr>
              <w:t>7天内完成项目管理团队配备及相关准备工作，具体时间以招标人要求时间为准。</w:t>
            </w:r>
          </w:p>
          <w:p>
            <w:pPr>
              <w:pStyle w:val="null3"/>
              <w:jc w:val="left"/>
            </w:pPr>
            <w:r>
              <w:rPr>
                <w:rFonts w:ascii="仿宋_GB2312" w:hAnsi="仿宋_GB2312" w:cs="仿宋_GB2312" w:eastAsia="仿宋_GB2312"/>
                <w:sz w:val="21"/>
              </w:rPr>
              <w:t>（十）中标人不得将赛事活动相关权益委托、转包给第三方。</w:t>
            </w:r>
          </w:p>
          <w:p>
            <w:pPr>
              <w:pStyle w:val="null3"/>
              <w:jc w:val="left"/>
            </w:pPr>
            <w:r>
              <w:rPr>
                <w:rFonts w:ascii="仿宋_GB2312" w:hAnsi="仿宋_GB2312" w:cs="仿宋_GB2312" w:eastAsia="仿宋_GB2312"/>
                <w:sz w:val="21"/>
              </w:rPr>
              <w:t>（十一）其它服务内容及需求</w:t>
            </w:r>
          </w:p>
          <w:p>
            <w:pPr>
              <w:pStyle w:val="null3"/>
              <w:jc w:val="left"/>
            </w:pPr>
            <w:r>
              <w:rPr>
                <w:rFonts w:ascii="仿宋_GB2312" w:hAnsi="仿宋_GB2312" w:cs="仿宋_GB2312" w:eastAsia="仿宋_GB2312"/>
                <w:sz w:val="21"/>
              </w:rPr>
              <w:t>1.投标人应严格按照已确认的服务方案和工作流程提供服务，无条件地接受采购人对其工作质量的监督检查。</w:t>
            </w:r>
          </w:p>
          <w:p>
            <w:pPr>
              <w:pStyle w:val="null3"/>
              <w:jc w:val="left"/>
            </w:pPr>
            <w:r>
              <w:rPr>
                <w:rFonts w:ascii="仿宋_GB2312" w:hAnsi="仿宋_GB2312" w:cs="仿宋_GB2312" w:eastAsia="仿宋_GB2312"/>
                <w:sz w:val="21"/>
              </w:rPr>
              <w:t>2.在服务期限内，项目组成员应保持稳定，以保证服务工作的正常进行。投标人可根据项目实际需求和业务需要对成员作出合理调整。若更换项目负责人，应以相当资格与技能的人员替换，同时须经采购人备案同意后方可更换。</w:t>
            </w:r>
          </w:p>
          <w:p>
            <w:pPr>
              <w:pStyle w:val="null3"/>
              <w:jc w:val="left"/>
            </w:pPr>
            <w:r>
              <w:rPr>
                <w:rFonts w:ascii="仿宋_GB2312" w:hAnsi="仿宋_GB2312" w:cs="仿宋_GB2312" w:eastAsia="仿宋_GB2312"/>
                <w:sz w:val="21"/>
              </w:rPr>
              <w:t>3.投标人须保障采购人在使用其货物、服务及其任何部分不受到第三方关于侵犯专利权、商标权或工业设计的指控。任何第三方如果提出侵权指控，投标人须与第三方交涉并承担由此而引起的一切法律责任和费用。</w:t>
            </w:r>
          </w:p>
          <w:p>
            <w:pPr>
              <w:pStyle w:val="null3"/>
              <w:jc w:val="left"/>
            </w:pPr>
            <w:r>
              <w:rPr>
                <w:rFonts w:ascii="仿宋_GB2312" w:hAnsi="仿宋_GB2312" w:cs="仿宋_GB2312" w:eastAsia="仿宋_GB2312"/>
                <w:sz w:val="21"/>
              </w:rPr>
              <w:t>4.项目执行中，采购人可根据项目的实际情况对部分服务内容进行调整。项目执行中，中标人如确有需要对项目计划实施内容进行调整，应得到采购人同意，并向采购人提供包括活动详细策划与各阶段活动组织实施方案及活动预算等，具体由双方协商。</w:t>
            </w:r>
          </w:p>
          <w:p>
            <w:pPr>
              <w:pStyle w:val="null3"/>
              <w:jc w:val="left"/>
            </w:pPr>
            <w:r>
              <w:rPr>
                <w:rFonts w:ascii="仿宋_GB2312" w:hAnsi="仿宋_GB2312" w:cs="仿宋_GB2312" w:eastAsia="仿宋_GB2312"/>
                <w:sz w:val="21"/>
              </w:rPr>
              <w:t>5.中标人要保持同采购人的密切联系，遇有重大事项及时报告和反馈信息，尊重采购人的意见，接受采购人的提议、监督和指导。</w:t>
            </w:r>
          </w:p>
          <w:p>
            <w:pPr>
              <w:pStyle w:val="null3"/>
              <w:jc w:val="left"/>
            </w:pPr>
            <w:r>
              <w:rPr>
                <w:rFonts w:ascii="仿宋_GB2312" w:hAnsi="仿宋_GB2312" w:cs="仿宋_GB2312" w:eastAsia="仿宋_GB2312"/>
                <w:sz w:val="21"/>
              </w:rPr>
              <w:t>6. 赛事完成后7日内，中标人须向采购人提供赛事活动相关资料，并作为尾款支付的验收依据。材料应包含：（1）筹备材料（包括实施方案、筹备工作日志、采购文件等材料，纸质版和电子版）；（2）秩序册、成绩册（一式两份原件，纸质版和电子版）；（3）赛事期间的图片和视频两套（刻光盘）；（4）赛事总结（纸质版和电子版）；（5）物料验收单和赛事验收报告（纸质版和电子版）。</w:t>
            </w:r>
          </w:p>
          <w:p>
            <w:pPr>
              <w:pStyle w:val="null3"/>
              <w:jc w:val="left"/>
            </w:pPr>
            <w:r>
              <w:rPr>
                <w:rFonts w:ascii="仿宋_GB2312" w:hAnsi="仿宋_GB2312" w:cs="仿宋_GB2312" w:eastAsia="仿宋_GB2312"/>
                <w:sz w:val="21"/>
              </w:rPr>
              <w:t>（十二）绩效目标达成承诺书（提供承诺书）</w:t>
            </w:r>
          </w:p>
          <w:p>
            <w:pPr>
              <w:pStyle w:val="null3"/>
              <w:jc w:val="left"/>
            </w:pPr>
            <w:r>
              <w:rPr>
                <w:rFonts w:ascii="仿宋_GB2312" w:hAnsi="仿宋_GB2312" w:cs="仿宋_GB2312" w:eastAsia="仿宋_GB2312"/>
                <w:sz w:val="21"/>
              </w:rPr>
              <w:t>四、其他商务要求</w:t>
            </w:r>
          </w:p>
          <w:p>
            <w:pPr>
              <w:pStyle w:val="null3"/>
              <w:jc w:val="both"/>
            </w:pPr>
            <w:r>
              <w:rPr>
                <w:rFonts w:ascii="仿宋_GB2312" w:hAnsi="仿宋_GB2312" w:cs="仿宋_GB2312" w:eastAsia="仿宋_GB2312"/>
                <w:sz w:val="21"/>
              </w:rPr>
              <w:t>具体以合同签订为准。</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标的名称：C06040100-体育组织服务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center"/>
            </w:pPr>
            <w:r>
              <w:rPr>
                <w:rFonts w:ascii="仿宋_GB2312" w:hAnsi="仿宋_GB2312" w:cs="仿宋_GB2312" w:eastAsia="仿宋_GB2312"/>
                <w:sz w:val="28"/>
                <w:b/>
              </w:rPr>
              <w:t>采购包</w:t>
            </w:r>
            <w:r>
              <w:rPr>
                <w:rFonts w:ascii="仿宋_GB2312" w:hAnsi="仿宋_GB2312" w:cs="仿宋_GB2312" w:eastAsia="仿宋_GB2312"/>
                <w:sz w:val="28"/>
                <w:b/>
              </w:rPr>
              <w:t>2</w:t>
            </w:r>
          </w:p>
          <w:p>
            <w:pPr>
              <w:pStyle w:val="null3"/>
              <w:jc w:val="center"/>
            </w:pPr>
            <w:r>
              <w:rPr>
                <w:rFonts w:ascii="仿宋_GB2312" w:hAnsi="仿宋_GB2312" w:cs="仿宋_GB2312" w:eastAsia="仿宋_GB2312"/>
                <w:sz w:val="21"/>
                <w:b/>
              </w:rPr>
              <w:t>2025年海南省自行车联赛</w:t>
            </w:r>
            <w:r>
              <w:rPr>
                <w:rFonts w:ascii="仿宋_GB2312" w:hAnsi="仿宋_GB2312" w:cs="仿宋_GB2312" w:eastAsia="仿宋_GB2312"/>
                <w:sz w:val="21"/>
                <w:b/>
              </w:rPr>
              <w:t>采购需求</w:t>
            </w:r>
          </w:p>
          <w:p>
            <w:pPr>
              <w:pStyle w:val="null3"/>
              <w:jc w:val="left"/>
            </w:pPr>
            <w:r>
              <w:rPr>
                <w:rFonts w:ascii="仿宋_GB2312" w:hAnsi="仿宋_GB2312" w:cs="仿宋_GB2312" w:eastAsia="仿宋_GB2312"/>
                <w:sz w:val="21"/>
              </w:rPr>
              <w:t>一、</w:t>
            </w:r>
            <w:r>
              <w:rPr>
                <w:rFonts w:ascii="仿宋_GB2312" w:hAnsi="仿宋_GB2312" w:cs="仿宋_GB2312" w:eastAsia="仿宋_GB2312"/>
                <w:sz w:val="21"/>
              </w:rPr>
              <w:t>项目背景</w:t>
            </w:r>
          </w:p>
          <w:p>
            <w:pPr>
              <w:pStyle w:val="null3"/>
              <w:jc w:val="left"/>
            </w:pPr>
            <w:r>
              <w:rPr>
                <w:rFonts w:ascii="仿宋_GB2312" w:hAnsi="仿宋_GB2312" w:cs="仿宋_GB2312" w:eastAsia="仿宋_GB2312"/>
                <w:sz w:val="21"/>
              </w:rPr>
              <w:t>为深入贯彻习近平总书记关于海南自由贸易港建设的重要讲话精神，落实国家关于建设海南自由贸易港和国际旅游消费中心的方案要求，依据《海南省进一步促进文体旅商展联动扩大消费若干措施》的指导方针，持续推动体育旅游产业的规模扩张与产业链强化，提升质量与效率，积极促进我省自行车竞技水平的提升，推动全民健身运动的深入开展，致力于打造</w:t>
            </w:r>
            <w:r>
              <w:rPr>
                <w:rFonts w:ascii="仿宋_GB2312" w:hAnsi="仿宋_GB2312" w:cs="仿宋_GB2312" w:eastAsia="仿宋_GB2312"/>
                <w:sz w:val="21"/>
              </w:rPr>
              <w:t>“跟着赛事去旅行”赛事活动品牌。结合海南两环旅游公路资源、生态资源、人文资源等优势，计划继续举办2025年海南省自行车联赛。</w:t>
            </w:r>
          </w:p>
          <w:p>
            <w:pPr>
              <w:pStyle w:val="null3"/>
              <w:jc w:val="left"/>
            </w:pPr>
            <w:r>
              <w:rPr>
                <w:rFonts w:ascii="仿宋_GB2312" w:hAnsi="仿宋_GB2312" w:cs="仿宋_GB2312" w:eastAsia="仿宋_GB2312"/>
                <w:sz w:val="21"/>
              </w:rPr>
              <w:t>二、项目目标</w:t>
            </w:r>
          </w:p>
          <w:p>
            <w:pPr>
              <w:pStyle w:val="null3"/>
              <w:jc w:val="left"/>
            </w:pPr>
            <w:r>
              <w:rPr>
                <w:rFonts w:ascii="仿宋_GB2312" w:hAnsi="仿宋_GB2312" w:cs="仿宋_GB2312" w:eastAsia="仿宋_GB2312"/>
                <w:sz w:val="21"/>
              </w:rPr>
              <w:t>1.将骑行竞赛+旅游+文化+休闲娱乐有机结合，打造海南体育旅游新品牌，助力海南全域旅游、国家体育旅游示范区和自贸港建设。</w:t>
            </w:r>
          </w:p>
          <w:p>
            <w:pPr>
              <w:pStyle w:val="null3"/>
              <w:jc w:val="left"/>
            </w:pPr>
            <w:r>
              <w:rPr>
                <w:rFonts w:ascii="仿宋_GB2312" w:hAnsi="仿宋_GB2312" w:cs="仿宋_GB2312" w:eastAsia="仿宋_GB2312"/>
                <w:sz w:val="21"/>
              </w:rPr>
              <w:t>2.以赛促旅，助力两环旅游公路向2.0版本优化升级和旅游开发的产品打造。</w:t>
            </w:r>
          </w:p>
          <w:p>
            <w:pPr>
              <w:pStyle w:val="null3"/>
              <w:jc w:val="left"/>
            </w:pPr>
            <w:r>
              <w:rPr>
                <w:rFonts w:ascii="仿宋_GB2312" w:hAnsi="仿宋_GB2312" w:cs="仿宋_GB2312" w:eastAsia="仿宋_GB2312"/>
                <w:sz w:val="21"/>
              </w:rPr>
              <w:t>3.为赛段沿线景点集客引流，吸引全国骑行运动爱好者与旅游人群广泛关注和积极参与，通过赛事实现海南深度旅游，使海南成为全国骑行旅游目的地；并助力全民健身，提升民众自行车运动参与度。</w:t>
            </w:r>
          </w:p>
          <w:p>
            <w:pPr>
              <w:pStyle w:val="null3"/>
              <w:jc w:val="left"/>
            </w:pPr>
            <w:r>
              <w:rPr>
                <w:rFonts w:ascii="仿宋_GB2312" w:hAnsi="仿宋_GB2312" w:cs="仿宋_GB2312" w:eastAsia="仿宋_GB2312"/>
                <w:sz w:val="21"/>
              </w:rPr>
              <w:t>三、赛事单位</w:t>
            </w:r>
          </w:p>
          <w:p>
            <w:pPr>
              <w:pStyle w:val="null3"/>
              <w:jc w:val="left"/>
            </w:pPr>
            <w:r>
              <w:rPr>
                <w:rFonts w:ascii="仿宋_GB2312" w:hAnsi="仿宋_GB2312" w:cs="仿宋_GB2312" w:eastAsia="仿宋_GB2312"/>
                <w:sz w:val="21"/>
              </w:rPr>
              <w:t>主办单位：海南省旅游和文化广电体育厅</w:t>
            </w:r>
          </w:p>
          <w:p>
            <w:pPr>
              <w:pStyle w:val="null3"/>
              <w:jc w:val="left"/>
            </w:pPr>
            <w:r>
              <w:rPr>
                <w:rFonts w:ascii="仿宋_GB2312" w:hAnsi="仿宋_GB2312" w:cs="仿宋_GB2312" w:eastAsia="仿宋_GB2312"/>
                <w:sz w:val="21"/>
              </w:rPr>
              <w:t>举办地市、县、自治县人民政府</w:t>
            </w:r>
          </w:p>
          <w:p>
            <w:pPr>
              <w:pStyle w:val="null3"/>
              <w:jc w:val="left"/>
            </w:pPr>
            <w:r>
              <w:rPr>
                <w:rFonts w:ascii="仿宋_GB2312" w:hAnsi="仿宋_GB2312" w:cs="仿宋_GB2312" w:eastAsia="仿宋_GB2312"/>
                <w:sz w:val="21"/>
              </w:rPr>
              <w:t>承办单位：海南体育职业技术学院</w:t>
            </w:r>
          </w:p>
          <w:p>
            <w:pPr>
              <w:pStyle w:val="null3"/>
              <w:jc w:val="left"/>
            </w:pPr>
            <w:r>
              <w:rPr>
                <w:rFonts w:ascii="仿宋_GB2312" w:hAnsi="仿宋_GB2312" w:cs="仿宋_GB2312" w:eastAsia="仿宋_GB2312"/>
                <w:sz w:val="21"/>
              </w:rPr>
              <w:t>（海南省训练竞赛管理中心）</w:t>
            </w:r>
          </w:p>
          <w:p>
            <w:pPr>
              <w:pStyle w:val="null3"/>
              <w:jc w:val="left"/>
            </w:pPr>
            <w:r>
              <w:rPr>
                <w:rFonts w:ascii="仿宋_GB2312" w:hAnsi="仿宋_GB2312" w:cs="仿宋_GB2312" w:eastAsia="仿宋_GB2312"/>
                <w:sz w:val="21"/>
              </w:rPr>
              <w:t>各市县旅游和文化广电体育局</w:t>
            </w:r>
          </w:p>
          <w:p>
            <w:pPr>
              <w:pStyle w:val="null3"/>
              <w:jc w:val="left"/>
            </w:pPr>
            <w:r>
              <w:rPr>
                <w:rFonts w:ascii="仿宋_GB2312" w:hAnsi="仿宋_GB2312" w:cs="仿宋_GB2312" w:eastAsia="仿宋_GB2312"/>
                <w:sz w:val="21"/>
              </w:rPr>
              <w:t>协办单位：相关单项体育协会、俱乐部</w:t>
            </w:r>
          </w:p>
          <w:p>
            <w:pPr>
              <w:pStyle w:val="null3"/>
              <w:jc w:val="left"/>
            </w:pPr>
            <w:r>
              <w:rPr>
                <w:rFonts w:ascii="仿宋_GB2312" w:hAnsi="仿宋_GB2312" w:cs="仿宋_GB2312" w:eastAsia="仿宋_GB2312"/>
                <w:sz w:val="21"/>
              </w:rPr>
              <w:t>四、技术要求</w:t>
            </w:r>
          </w:p>
          <w:p>
            <w:pPr>
              <w:pStyle w:val="null3"/>
              <w:jc w:val="left"/>
            </w:pPr>
            <w:r>
              <w:rPr>
                <w:rFonts w:ascii="仿宋_GB2312" w:hAnsi="仿宋_GB2312" w:cs="仿宋_GB2312" w:eastAsia="仿宋_GB2312"/>
                <w:sz w:val="21"/>
              </w:rPr>
              <w:t>（一）项目名称：</w:t>
            </w:r>
            <w:r>
              <w:rPr>
                <w:rFonts w:ascii="仿宋_GB2312" w:hAnsi="仿宋_GB2312" w:cs="仿宋_GB2312" w:eastAsia="仿宋_GB2312"/>
                <w:sz w:val="21"/>
              </w:rPr>
              <w:t>2025年海南省自行车联赛。</w:t>
            </w:r>
          </w:p>
          <w:p>
            <w:pPr>
              <w:pStyle w:val="null3"/>
              <w:jc w:val="left"/>
            </w:pPr>
            <w:r>
              <w:rPr>
                <w:rFonts w:ascii="仿宋_GB2312" w:hAnsi="仿宋_GB2312" w:cs="仿宋_GB2312" w:eastAsia="仿宋_GB2312"/>
                <w:sz w:val="21"/>
              </w:rPr>
              <w:t>（二）赛事时间：</w:t>
            </w:r>
            <w:r>
              <w:rPr>
                <w:rFonts w:ascii="仿宋_GB2312" w:hAnsi="仿宋_GB2312" w:cs="仿宋_GB2312" w:eastAsia="仿宋_GB2312"/>
                <w:sz w:val="21"/>
              </w:rPr>
              <w:t>2025年7月-11月（拟定）</w:t>
            </w:r>
          </w:p>
          <w:p>
            <w:pPr>
              <w:pStyle w:val="null3"/>
              <w:jc w:val="left"/>
            </w:pPr>
            <w:r>
              <w:rPr>
                <w:rFonts w:ascii="仿宋_GB2312" w:hAnsi="仿宋_GB2312" w:cs="仿宋_GB2312" w:eastAsia="仿宋_GB2312"/>
                <w:sz w:val="21"/>
              </w:rPr>
              <w:t>（三）赛事地点：琼海市、陵水黎族自治县（拟定）</w:t>
            </w:r>
          </w:p>
          <w:p>
            <w:pPr>
              <w:pStyle w:val="null3"/>
              <w:jc w:val="left"/>
            </w:pPr>
            <w:r>
              <w:rPr>
                <w:rFonts w:ascii="仿宋_GB2312" w:hAnsi="仿宋_GB2312" w:cs="仿宋_GB2312" w:eastAsia="仿宋_GB2312"/>
                <w:sz w:val="21"/>
              </w:rPr>
              <w:t>（四）赛事项目：个人计时赛、公路大组赛。</w:t>
            </w:r>
          </w:p>
          <w:p>
            <w:pPr>
              <w:pStyle w:val="null3"/>
              <w:jc w:val="left"/>
            </w:pPr>
            <w:r>
              <w:rPr>
                <w:rFonts w:ascii="仿宋_GB2312" w:hAnsi="仿宋_GB2312" w:cs="仿宋_GB2312" w:eastAsia="仿宋_GB2312"/>
                <w:sz w:val="21"/>
              </w:rPr>
              <w:t>（五）赛事组别：设置男子公开组（</w:t>
            </w:r>
            <w:r>
              <w:rPr>
                <w:rFonts w:ascii="仿宋_GB2312" w:hAnsi="仿宋_GB2312" w:cs="仿宋_GB2312" w:eastAsia="仿宋_GB2312"/>
                <w:sz w:val="21"/>
              </w:rPr>
              <w:t>18-40岁）、男子40岁以上组（41-60岁）、男子少年组（12-17岁）、女子组（12-60岁）。</w:t>
            </w:r>
          </w:p>
          <w:p>
            <w:pPr>
              <w:pStyle w:val="null3"/>
              <w:jc w:val="left"/>
            </w:pPr>
            <w:r>
              <w:rPr>
                <w:rFonts w:ascii="仿宋_GB2312" w:hAnsi="仿宋_GB2312" w:cs="仿宋_GB2312" w:eastAsia="仿宋_GB2312"/>
                <w:sz w:val="21"/>
              </w:rPr>
              <w:t>（六）赛事规模：每站约</w:t>
            </w:r>
            <w:r>
              <w:rPr>
                <w:rFonts w:ascii="仿宋_GB2312" w:hAnsi="仿宋_GB2312" w:cs="仿宋_GB2312" w:eastAsia="仿宋_GB2312"/>
                <w:sz w:val="21"/>
              </w:rPr>
              <w:t>400人，两站四场共计1600人。</w:t>
            </w:r>
          </w:p>
          <w:p>
            <w:pPr>
              <w:pStyle w:val="null3"/>
              <w:jc w:val="left"/>
            </w:pPr>
            <w:r>
              <w:rPr>
                <w:rFonts w:ascii="仿宋_GB2312" w:hAnsi="仿宋_GB2312" w:cs="仿宋_GB2312" w:eastAsia="仿宋_GB2312"/>
                <w:sz w:val="21"/>
              </w:rPr>
              <w:t>（七）配套活动：（待定）</w:t>
            </w:r>
          </w:p>
          <w:p>
            <w:pPr>
              <w:pStyle w:val="null3"/>
              <w:jc w:val="left"/>
            </w:pPr>
            <w:r>
              <w:rPr>
                <w:rFonts w:ascii="仿宋_GB2312" w:hAnsi="仿宋_GB2312" w:cs="仿宋_GB2312" w:eastAsia="仿宋_GB2312"/>
                <w:sz w:val="21"/>
              </w:rPr>
              <w:t>（八）赛事奖励：（待定）</w:t>
            </w:r>
          </w:p>
          <w:p>
            <w:pPr>
              <w:pStyle w:val="null3"/>
              <w:jc w:val="left"/>
            </w:pPr>
            <w:r>
              <w:rPr>
                <w:rFonts w:ascii="仿宋_GB2312" w:hAnsi="仿宋_GB2312" w:cs="仿宋_GB2312" w:eastAsia="仿宋_GB2312"/>
                <w:sz w:val="21"/>
              </w:rPr>
              <w:t>1.本次比赛各组别设置个人奖、总决赛设置团队总积分奖；</w:t>
            </w:r>
          </w:p>
          <w:p>
            <w:pPr>
              <w:pStyle w:val="null3"/>
              <w:jc w:val="left"/>
            </w:pPr>
            <w:r>
              <w:rPr>
                <w:rFonts w:ascii="仿宋_GB2312" w:hAnsi="仿宋_GB2312" w:cs="仿宋_GB2312" w:eastAsia="仿宋_GB2312"/>
                <w:sz w:val="21"/>
              </w:rPr>
              <w:t>2.各组别奖励（现金，前三名颁发奖杯）。</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1）男子公开组、男子40岁以上组录取前15名给予奖励；</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2）男子少年组、女子公开组录取前10名给予奖励；</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3）团队总积分排名前15名给予奖励。</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4）计分办法</w:t>
            </w:r>
          </w:p>
          <w:tbl>
            <w:tblPr>
              <w:tblInd w:type="dxa" w:w="135"/>
              <w:tblBorders>
                <w:top w:val="none" w:color="000000" w:sz="4"/>
                <w:left w:val="none" w:color="000000" w:sz="4"/>
                <w:bottom w:val="none" w:color="000000" w:sz="4"/>
                <w:right w:val="none" w:color="000000" w:sz="4"/>
                <w:insideH w:val="none"/>
                <w:insideV w:val="none"/>
              </w:tblBorders>
            </w:tblPr>
            <w:tblGrid>
              <w:gridCol w:w="425"/>
              <w:gridCol w:w="425"/>
              <w:gridCol w:w="429"/>
              <w:gridCol w:w="420"/>
              <w:gridCol w:w="429"/>
              <w:gridCol w:w="425"/>
            </w:tblGrid>
            <w:tr>
              <w:tc>
                <w:tcPr>
                  <w:tcW w:type="dxa" w:w="4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名次</w:t>
                  </w:r>
                </w:p>
              </w:tc>
              <w:tc>
                <w:tcPr>
                  <w:tcW w:type="dxa" w:w="4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积分</w:t>
                  </w:r>
                </w:p>
              </w:tc>
              <w:tc>
                <w:tcPr>
                  <w:tcW w:type="dxa" w:w="4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名次</w:t>
                  </w:r>
                </w:p>
              </w:tc>
              <w:tc>
                <w:tcPr>
                  <w:tcW w:type="dxa" w:w="4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积分</w:t>
                  </w:r>
                </w:p>
              </w:tc>
              <w:tc>
                <w:tcPr>
                  <w:tcW w:type="dxa" w:w="4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名次</w:t>
                  </w:r>
                </w:p>
              </w:tc>
              <w:tc>
                <w:tcPr>
                  <w:tcW w:type="dxa" w:w="4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积分</w:t>
                  </w:r>
                </w:p>
              </w:tc>
            </w:tr>
            <w:tr>
              <w:tc>
                <w:tcPr>
                  <w:tcW w:type="dxa" w:w="4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第一名</w:t>
                  </w:r>
                </w:p>
              </w:tc>
              <w:tc>
                <w:tcPr>
                  <w:tcW w:type="dxa" w:w="4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w:t>
                  </w:r>
                </w:p>
              </w:tc>
              <w:tc>
                <w:tcPr>
                  <w:tcW w:type="dxa" w:w="4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第二名</w:t>
                  </w:r>
                </w:p>
              </w:tc>
              <w:tc>
                <w:tcPr>
                  <w:tcW w:type="dxa" w:w="4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4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第三名</w:t>
                  </w:r>
                </w:p>
              </w:tc>
              <w:tc>
                <w:tcPr>
                  <w:tcW w:type="dxa" w:w="4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r>
            <w:tr>
              <w:tc>
                <w:tcPr>
                  <w:tcW w:type="dxa" w:w="4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第四名</w:t>
                  </w:r>
                </w:p>
              </w:tc>
              <w:tc>
                <w:tcPr>
                  <w:tcW w:type="dxa" w:w="4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27</w:t>
                  </w:r>
                </w:p>
              </w:tc>
              <w:tc>
                <w:tcPr>
                  <w:tcW w:type="dxa" w:w="4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第五名</w:t>
                  </w:r>
                </w:p>
              </w:tc>
              <w:tc>
                <w:tcPr>
                  <w:tcW w:type="dxa" w:w="4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26</w:t>
                  </w:r>
                </w:p>
              </w:tc>
              <w:tc>
                <w:tcPr>
                  <w:tcW w:type="dxa" w:w="4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第六名</w:t>
                  </w:r>
                </w:p>
              </w:tc>
              <w:tc>
                <w:tcPr>
                  <w:tcW w:type="dxa" w:w="4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25</w:t>
                  </w:r>
                </w:p>
              </w:tc>
            </w:tr>
            <w:tr>
              <w:tc>
                <w:tcPr>
                  <w:tcW w:type="dxa" w:w="4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第七名</w:t>
                  </w:r>
                </w:p>
              </w:tc>
              <w:tc>
                <w:tcPr>
                  <w:tcW w:type="dxa" w:w="4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w:t>
                  </w:r>
                </w:p>
              </w:tc>
              <w:tc>
                <w:tcPr>
                  <w:tcW w:type="dxa" w:w="4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第八名</w:t>
                  </w:r>
                </w:p>
              </w:tc>
              <w:tc>
                <w:tcPr>
                  <w:tcW w:type="dxa" w:w="4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23</w:t>
                  </w:r>
                </w:p>
              </w:tc>
              <w:tc>
                <w:tcPr>
                  <w:tcW w:type="dxa" w:w="4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第九名</w:t>
                  </w:r>
                </w:p>
              </w:tc>
              <w:tc>
                <w:tcPr>
                  <w:tcW w:type="dxa" w:w="4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22</w:t>
                  </w:r>
                </w:p>
              </w:tc>
            </w:tr>
            <w:tr>
              <w:tc>
                <w:tcPr>
                  <w:tcW w:type="dxa" w:w="4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第十名</w:t>
                  </w:r>
                </w:p>
              </w:tc>
              <w:tc>
                <w:tcPr>
                  <w:tcW w:type="dxa" w:w="4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w:t>
                  </w:r>
                </w:p>
              </w:tc>
              <w:tc>
                <w:tcPr>
                  <w:tcW w:type="dxa" w:w="4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11-20</w:t>
                  </w:r>
                </w:p>
              </w:tc>
              <w:tc>
                <w:tcPr>
                  <w:tcW w:type="dxa" w:w="4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w:t>
                  </w:r>
                </w:p>
              </w:tc>
              <w:tc>
                <w:tcPr>
                  <w:tcW w:type="dxa" w:w="4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21-30</w:t>
                  </w:r>
                </w:p>
              </w:tc>
              <w:tc>
                <w:tcPr>
                  <w:tcW w:type="dxa" w:w="4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w:t>
                  </w:r>
                </w:p>
              </w:tc>
            </w:tr>
            <w:tr>
              <w:tc>
                <w:tcPr>
                  <w:tcW w:type="dxa" w:w="4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31-50</w:t>
                  </w:r>
                </w:p>
              </w:tc>
              <w:tc>
                <w:tcPr>
                  <w:tcW w:type="dxa" w:w="4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w:t>
                  </w:r>
                </w:p>
              </w:tc>
              <w:tc>
                <w:tcPr>
                  <w:tcW w:type="dxa" w:w="4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51-80</w:t>
                  </w:r>
                </w:p>
              </w:tc>
              <w:tc>
                <w:tcPr>
                  <w:tcW w:type="dxa" w:w="4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4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80之后</w:t>
                  </w:r>
                </w:p>
              </w:tc>
              <w:tc>
                <w:tcPr>
                  <w:tcW w:type="dxa" w:w="4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bl>
          <w:p>
            <w:pPr>
              <w:pStyle w:val="null3"/>
              <w:jc w:val="left"/>
            </w:pPr>
            <w:r>
              <w:rPr>
                <w:rFonts w:ascii="仿宋_GB2312" w:hAnsi="仿宋_GB2312" w:cs="仿宋_GB2312" w:eastAsia="仿宋_GB2312"/>
                <w:sz w:val="21"/>
              </w:rPr>
              <w:t>（九）裁判团队：裁判长、裁判员由赛事组委会统一选派，不足则从承办单位选调；仲裁委员会人员组成和职责范围按《仲裁委员会条例》执行。</w:t>
            </w:r>
          </w:p>
          <w:p>
            <w:pPr>
              <w:pStyle w:val="null3"/>
              <w:jc w:val="left"/>
            </w:pPr>
            <w:r>
              <w:rPr>
                <w:rFonts w:ascii="仿宋_GB2312" w:hAnsi="仿宋_GB2312" w:cs="仿宋_GB2312" w:eastAsia="仿宋_GB2312"/>
                <w:sz w:val="21"/>
              </w:rPr>
              <w:t>（十）参赛资格：</w:t>
            </w:r>
          </w:p>
          <w:p>
            <w:pPr>
              <w:pStyle w:val="null3"/>
              <w:jc w:val="left"/>
            </w:pPr>
            <w:r>
              <w:rPr>
                <w:rFonts w:ascii="仿宋_GB2312" w:hAnsi="仿宋_GB2312" w:cs="仿宋_GB2312" w:eastAsia="仿宋_GB2312"/>
                <w:sz w:val="21"/>
              </w:rPr>
              <w:t>1.身体健康的自行车爱好者均可参赛，不限国籍和户籍。</w:t>
            </w:r>
          </w:p>
          <w:p>
            <w:pPr>
              <w:pStyle w:val="null3"/>
              <w:jc w:val="left"/>
            </w:pPr>
            <w:r>
              <w:rPr>
                <w:rFonts w:ascii="仿宋_GB2312" w:hAnsi="仿宋_GB2312" w:cs="仿宋_GB2312" w:eastAsia="仿宋_GB2312"/>
                <w:sz w:val="21"/>
              </w:rPr>
              <w:t>2.所有现役的职业车手(大中华地区包括大陆、港澳台注册车手，其他国家包括UCI 注册车手，参加洲际比赛以及此级别以上的车队队员等)和注册退役未满两年的车手不能报名本次比赛。</w:t>
            </w:r>
          </w:p>
          <w:p>
            <w:pPr>
              <w:pStyle w:val="null3"/>
              <w:jc w:val="left"/>
            </w:pPr>
            <w:r>
              <w:rPr>
                <w:rFonts w:ascii="仿宋_GB2312" w:hAnsi="仿宋_GB2312" w:cs="仿宋_GB2312" w:eastAsia="仿宋_GB2312"/>
                <w:sz w:val="21"/>
              </w:rPr>
              <w:t>3.未成年者参赛必须提供监护人同意参赛证明，所有未成年人参赛必须获得父母、监护人等的同意并授权，所发生的一切后果由其本人及其父母、监护人承担。</w:t>
            </w:r>
          </w:p>
          <w:p>
            <w:pPr>
              <w:pStyle w:val="null3"/>
              <w:jc w:val="left"/>
            </w:pPr>
            <w:r>
              <w:rPr>
                <w:rFonts w:ascii="仿宋_GB2312" w:hAnsi="仿宋_GB2312" w:cs="仿宋_GB2312" w:eastAsia="仿宋_GB2312"/>
                <w:sz w:val="21"/>
              </w:rPr>
              <w:t>4.组委会将为每位参赛人员购买比赛当日的人身意外伤害保险，赛事保险为比赛当日 出发点到结束点的保险责任，不包括往返赛场途中骑行、会场骑行、试骑、热身等非比赛期间、非比赛场地发生的风险责任。</w:t>
            </w:r>
          </w:p>
          <w:p>
            <w:pPr>
              <w:pStyle w:val="null3"/>
              <w:jc w:val="left"/>
            </w:pPr>
            <w:r>
              <w:rPr>
                <w:rFonts w:ascii="仿宋_GB2312" w:hAnsi="仿宋_GB2312" w:cs="仿宋_GB2312" w:eastAsia="仿宋_GB2312"/>
                <w:sz w:val="21"/>
              </w:rPr>
              <w:t>5.参加者承诺遵守比赛的各项规定，自愿承担由此产生一切风险与损失或伤害。所有参赛人员须在报到（签到）时提交本人签署的《参赛免责声明书》。</w:t>
            </w:r>
          </w:p>
          <w:p>
            <w:pPr>
              <w:pStyle w:val="null3"/>
              <w:jc w:val="left"/>
            </w:pPr>
            <w:r>
              <w:rPr>
                <w:rFonts w:ascii="仿宋_GB2312" w:hAnsi="仿宋_GB2312" w:cs="仿宋_GB2312" w:eastAsia="仿宋_GB2312"/>
                <w:sz w:val="21"/>
              </w:rPr>
              <w:t>6.参加者清楚、了解、获知比赛可能存在的风险，这些风险可能来自于参加者自身或其他人，也可能来自于比赛器材、场地等。</w:t>
            </w:r>
          </w:p>
          <w:p>
            <w:pPr>
              <w:pStyle w:val="null3"/>
              <w:jc w:val="left"/>
            </w:pPr>
            <w:r>
              <w:rPr>
                <w:rFonts w:ascii="仿宋_GB2312" w:hAnsi="仿宋_GB2312" w:cs="仿宋_GB2312" w:eastAsia="仿宋_GB2312"/>
                <w:sz w:val="21"/>
              </w:rPr>
              <w:t>7.参加者自愿放弃对赛事主办方、承办方、协办方、赞助方及相关所有个人和单位提出针对比赛中发生的任何损失、伤害进行任何索赔、法律诉讼的权利，这种损失、伤害包括且不限于自身缺乏耐力、体力、技术、经验或因其他参与者不当作为或与其他方发生碰撞、器材问题等。</w:t>
            </w:r>
          </w:p>
          <w:p>
            <w:pPr>
              <w:pStyle w:val="null3"/>
              <w:jc w:val="left"/>
            </w:pPr>
            <w:r>
              <w:rPr>
                <w:rFonts w:ascii="仿宋_GB2312" w:hAnsi="仿宋_GB2312" w:cs="仿宋_GB2312" w:eastAsia="仿宋_GB2312"/>
                <w:sz w:val="21"/>
              </w:rPr>
              <w:t>8.因天气等不可抗因素（含政策因素）导致比赛推迟、延期、取消的，组委会不承担由此对参赛者产生的费用及责</w:t>
            </w:r>
          </w:p>
          <w:p>
            <w:pPr>
              <w:pStyle w:val="null3"/>
              <w:jc w:val="left"/>
            </w:pPr>
            <w:r>
              <w:rPr>
                <w:rFonts w:ascii="仿宋_GB2312" w:hAnsi="仿宋_GB2312" w:cs="仿宋_GB2312" w:eastAsia="仿宋_GB2312"/>
                <w:sz w:val="21"/>
              </w:rPr>
              <w:t>任。</w:t>
            </w:r>
          </w:p>
          <w:p>
            <w:pPr>
              <w:pStyle w:val="null3"/>
              <w:jc w:val="left"/>
            </w:pPr>
            <w:r>
              <w:rPr>
                <w:rFonts w:ascii="仿宋_GB2312" w:hAnsi="仿宋_GB2312" w:cs="仿宋_GB2312" w:eastAsia="仿宋_GB2312"/>
                <w:sz w:val="21"/>
              </w:rPr>
              <w:t>9.所有与赛人员，应自觉维护赛场清洁；凡乱扔垃圾物品者，将予以处罚,做到文明参赛,尊重裁判,尊重组委会工作人员和志愿者,尊重比赛对手,赛出风格,赛出水平。参赛人员涉及交通、食宿费用自理。</w:t>
            </w:r>
          </w:p>
          <w:p>
            <w:pPr>
              <w:pStyle w:val="null3"/>
              <w:jc w:val="left"/>
            </w:pPr>
            <w:r>
              <w:rPr>
                <w:rFonts w:ascii="仿宋_GB2312" w:hAnsi="仿宋_GB2312" w:cs="仿宋_GB2312" w:eastAsia="仿宋_GB2312"/>
                <w:sz w:val="21"/>
              </w:rPr>
              <w:t>（十一）赛事服务及其他：经费应包括但不限于人员劳务、现场氛围布置、竞赛布置、奖杯奖牌、服装、赛事用水、摄影摄像、车辆租赁、医疗服务、赛事办公、裁判员食宿等。</w:t>
            </w:r>
          </w:p>
          <w:p>
            <w:pPr>
              <w:pStyle w:val="null3"/>
              <w:jc w:val="left"/>
            </w:pPr>
            <w:r>
              <w:rPr>
                <w:rFonts w:ascii="仿宋_GB2312" w:hAnsi="仿宋_GB2312" w:cs="仿宋_GB2312" w:eastAsia="仿宋_GB2312"/>
                <w:sz w:val="21"/>
              </w:rPr>
              <w:t>（十二）赛事预算：</w:t>
            </w:r>
            <w:r>
              <w:rPr>
                <w:rFonts w:ascii="仿宋_GB2312" w:hAnsi="仿宋_GB2312" w:cs="仿宋_GB2312" w:eastAsia="仿宋_GB2312"/>
                <w:sz w:val="21"/>
              </w:rPr>
              <w:t>2025年海南省自行车联赛策划组织运营服务工作，预算65万元。</w:t>
            </w:r>
          </w:p>
          <w:p>
            <w:pPr>
              <w:pStyle w:val="null3"/>
              <w:jc w:val="left"/>
            </w:pPr>
            <w:r>
              <w:rPr>
                <w:rFonts w:ascii="仿宋_GB2312" w:hAnsi="仿宋_GB2312" w:cs="仿宋_GB2312" w:eastAsia="仿宋_GB2312"/>
                <w:sz w:val="21"/>
              </w:rPr>
              <w:t>（十三）赛事完成后</w:t>
            </w:r>
            <w:r>
              <w:rPr>
                <w:rFonts w:ascii="仿宋_GB2312" w:hAnsi="仿宋_GB2312" w:cs="仿宋_GB2312" w:eastAsia="仿宋_GB2312"/>
                <w:sz w:val="21"/>
              </w:rPr>
              <w:t>7日内，中标人须向采购人提供赛事活动相关资料，并作为尾款支付的验收依据。材料应包含：（1）筹备材料（包括实施方案、筹备工作日志、采购文件等材料，纸质版和电子版）；（2）秩序册、成绩册（一式两份原件，纸质版和电子版）；（3）赛事期间的图片和视频两套（刻光盘）；（4）赛事总结（纸质版和电子版）；（5）物料验收单和赛事验收报告（纸质版和电子版）。</w:t>
            </w:r>
          </w:p>
          <w:p>
            <w:pPr>
              <w:pStyle w:val="null3"/>
              <w:jc w:val="left"/>
            </w:pPr>
            <w:r>
              <w:rPr>
                <w:rFonts w:ascii="仿宋_GB2312" w:hAnsi="仿宋_GB2312" w:cs="仿宋_GB2312" w:eastAsia="仿宋_GB2312"/>
                <w:sz w:val="21"/>
              </w:rPr>
              <w:t>五、招标内容</w:t>
            </w:r>
          </w:p>
          <w:p>
            <w:pPr>
              <w:pStyle w:val="null3"/>
              <w:jc w:val="left"/>
            </w:pPr>
            <w:r>
              <w:rPr>
                <w:rFonts w:ascii="仿宋_GB2312" w:hAnsi="仿宋_GB2312" w:cs="仿宋_GB2312" w:eastAsia="仿宋_GB2312"/>
                <w:sz w:val="21"/>
              </w:rPr>
              <w:t>（一）赛事策划与执行</w:t>
            </w:r>
          </w:p>
          <w:p>
            <w:pPr>
              <w:pStyle w:val="null3"/>
              <w:jc w:val="left"/>
            </w:pPr>
            <w:r>
              <w:rPr>
                <w:rFonts w:ascii="仿宋_GB2312" w:hAnsi="仿宋_GB2312" w:cs="仿宋_GB2312" w:eastAsia="仿宋_GB2312"/>
                <w:sz w:val="21"/>
              </w:rPr>
              <w:t>1.制定赛事总体方案、执行方案、应急预案等。</w:t>
            </w:r>
          </w:p>
          <w:p>
            <w:pPr>
              <w:pStyle w:val="null3"/>
              <w:jc w:val="left"/>
            </w:pPr>
            <w:r>
              <w:rPr>
                <w:rFonts w:ascii="仿宋_GB2312" w:hAnsi="仿宋_GB2312" w:cs="仿宋_GB2312" w:eastAsia="仿宋_GB2312"/>
                <w:sz w:val="21"/>
              </w:rPr>
              <w:t>2.负责赛事报名、选手服务、赛事物资筹备、场地布置、赛事安全保障等工作。</w:t>
            </w:r>
          </w:p>
          <w:p>
            <w:pPr>
              <w:pStyle w:val="null3"/>
              <w:jc w:val="left"/>
            </w:pPr>
            <w:r>
              <w:rPr>
                <w:rFonts w:ascii="仿宋_GB2312" w:hAnsi="仿宋_GB2312" w:cs="仿宋_GB2312" w:eastAsia="仿宋_GB2312"/>
                <w:sz w:val="21"/>
              </w:rPr>
              <w:t>3.组织赛事开幕式、闭幕式及相关配套活动。</w:t>
            </w:r>
          </w:p>
          <w:p>
            <w:pPr>
              <w:pStyle w:val="null3"/>
              <w:jc w:val="left"/>
            </w:pPr>
            <w:r>
              <w:rPr>
                <w:rFonts w:ascii="仿宋_GB2312" w:hAnsi="仿宋_GB2312" w:cs="仿宋_GB2312" w:eastAsia="仿宋_GB2312"/>
                <w:sz w:val="21"/>
              </w:rPr>
              <w:t>（二）赛事宣传推广</w:t>
            </w:r>
          </w:p>
          <w:p>
            <w:pPr>
              <w:pStyle w:val="null3"/>
              <w:jc w:val="left"/>
            </w:pPr>
            <w:r>
              <w:rPr>
                <w:rFonts w:ascii="仿宋_GB2312" w:hAnsi="仿宋_GB2312" w:cs="仿宋_GB2312" w:eastAsia="仿宋_GB2312"/>
                <w:sz w:val="21"/>
              </w:rPr>
              <w:t>1.制定赛事宣传推广方案，利用多种媒体平台进行全方位宣传。</w:t>
            </w:r>
          </w:p>
          <w:p>
            <w:pPr>
              <w:pStyle w:val="null3"/>
              <w:jc w:val="left"/>
            </w:pPr>
            <w:r>
              <w:rPr>
                <w:rFonts w:ascii="仿宋_GB2312" w:hAnsi="仿宋_GB2312" w:cs="仿宋_GB2312" w:eastAsia="仿宋_GB2312"/>
                <w:sz w:val="21"/>
              </w:rPr>
              <w:t>2.负责赛事品牌形象设计、宣传物料制作等工作。</w:t>
            </w:r>
          </w:p>
          <w:p>
            <w:pPr>
              <w:pStyle w:val="null3"/>
              <w:jc w:val="left"/>
            </w:pPr>
            <w:r>
              <w:rPr>
                <w:rFonts w:ascii="仿宋_GB2312" w:hAnsi="仿宋_GB2312" w:cs="仿宋_GB2312" w:eastAsia="仿宋_GB2312"/>
                <w:sz w:val="21"/>
              </w:rPr>
              <w:t>3.邀请媒体记者进行赛事报道，扩大赛事影响力。</w:t>
            </w:r>
          </w:p>
          <w:p>
            <w:pPr>
              <w:pStyle w:val="null3"/>
              <w:jc w:val="left"/>
            </w:pPr>
            <w:r>
              <w:rPr>
                <w:rFonts w:ascii="仿宋_GB2312" w:hAnsi="仿宋_GB2312" w:cs="仿宋_GB2312" w:eastAsia="仿宋_GB2312"/>
                <w:sz w:val="21"/>
              </w:rPr>
              <w:t>（三）赛事招商合作</w:t>
            </w:r>
          </w:p>
          <w:p>
            <w:pPr>
              <w:pStyle w:val="null3"/>
              <w:jc w:val="left"/>
            </w:pPr>
            <w:r>
              <w:rPr>
                <w:rFonts w:ascii="仿宋_GB2312" w:hAnsi="仿宋_GB2312" w:cs="仿宋_GB2312" w:eastAsia="仿宋_GB2312"/>
                <w:sz w:val="21"/>
              </w:rPr>
              <w:t>1.负责赛事招商工作，寻求赛事冠名商、合作伙伴、供应商等。</w:t>
            </w:r>
          </w:p>
          <w:p>
            <w:pPr>
              <w:pStyle w:val="null3"/>
              <w:jc w:val="left"/>
            </w:pPr>
            <w:r>
              <w:rPr>
                <w:rFonts w:ascii="仿宋_GB2312" w:hAnsi="仿宋_GB2312" w:cs="仿宋_GB2312" w:eastAsia="仿宋_GB2312"/>
                <w:sz w:val="21"/>
              </w:rPr>
              <w:t>2.制定招商方案，设计招商权益，并负责招商合同的签订和执行。</w:t>
            </w:r>
          </w:p>
          <w:p>
            <w:pPr>
              <w:pStyle w:val="null3"/>
              <w:jc w:val="left"/>
            </w:pPr>
            <w:r>
              <w:rPr>
                <w:rFonts w:ascii="仿宋_GB2312" w:hAnsi="仿宋_GB2312" w:cs="仿宋_GB2312" w:eastAsia="仿宋_GB2312"/>
                <w:sz w:val="21"/>
              </w:rPr>
              <w:t>（四）赛事医疗保障</w:t>
            </w:r>
          </w:p>
          <w:p>
            <w:pPr>
              <w:pStyle w:val="null3"/>
              <w:jc w:val="left"/>
            </w:pPr>
            <w:r>
              <w:rPr>
                <w:rFonts w:ascii="仿宋_GB2312" w:hAnsi="仿宋_GB2312" w:cs="仿宋_GB2312" w:eastAsia="仿宋_GB2312"/>
                <w:sz w:val="21"/>
              </w:rPr>
              <w:t>1.制定赛事医疗保障方案，配备专业的医疗团队和急救设备。</w:t>
            </w:r>
          </w:p>
          <w:p>
            <w:pPr>
              <w:pStyle w:val="null3"/>
              <w:jc w:val="left"/>
            </w:pPr>
            <w:r>
              <w:rPr>
                <w:rFonts w:ascii="仿宋_GB2312" w:hAnsi="仿宋_GB2312" w:cs="仿宋_GB2312" w:eastAsia="仿宋_GB2312"/>
                <w:sz w:val="21"/>
              </w:rPr>
              <w:t>2.在赛道沿线设置医疗点，为参赛选手提供及时的医疗救助。</w:t>
            </w:r>
          </w:p>
          <w:p>
            <w:pPr>
              <w:pStyle w:val="null3"/>
              <w:jc w:val="left"/>
            </w:pPr>
            <w:r>
              <w:rPr>
                <w:rFonts w:ascii="仿宋_GB2312" w:hAnsi="仿宋_GB2312" w:cs="仿宋_GB2312" w:eastAsia="仿宋_GB2312"/>
                <w:sz w:val="21"/>
              </w:rPr>
              <w:t>3.制定赛事安全保障方案，负责赛事期间的安全保卫工作。</w:t>
            </w:r>
          </w:p>
          <w:p>
            <w:pPr>
              <w:pStyle w:val="null3"/>
              <w:jc w:val="left"/>
            </w:pPr>
            <w:r>
              <w:rPr>
                <w:rFonts w:ascii="仿宋_GB2312" w:hAnsi="仿宋_GB2312" w:cs="仿宋_GB2312" w:eastAsia="仿宋_GB2312"/>
                <w:sz w:val="21"/>
              </w:rPr>
              <w:t>4.协调公安、交通等部门，确保赛事安全有序进行。</w:t>
            </w:r>
          </w:p>
          <w:p>
            <w:pPr>
              <w:pStyle w:val="null3"/>
              <w:jc w:val="left"/>
            </w:pPr>
            <w:r>
              <w:rPr>
                <w:rFonts w:ascii="仿宋_GB2312" w:hAnsi="仿宋_GB2312" w:cs="仿宋_GB2312" w:eastAsia="仿宋_GB2312"/>
                <w:sz w:val="21"/>
              </w:rPr>
              <w:t>六、商务要求</w:t>
            </w:r>
          </w:p>
          <w:p>
            <w:pPr>
              <w:pStyle w:val="null3"/>
              <w:jc w:val="left"/>
            </w:pPr>
            <w:r>
              <w:rPr>
                <w:rFonts w:ascii="仿宋_GB2312" w:hAnsi="仿宋_GB2312" w:cs="仿宋_GB2312" w:eastAsia="仿宋_GB2312"/>
                <w:sz w:val="21"/>
              </w:rPr>
              <w:t>（一）赛事名称：</w:t>
            </w:r>
            <w:r>
              <w:rPr>
                <w:rFonts w:ascii="仿宋_GB2312" w:hAnsi="仿宋_GB2312" w:cs="仿宋_GB2312" w:eastAsia="仿宋_GB2312"/>
                <w:sz w:val="21"/>
              </w:rPr>
              <w:t>2025年海南省自行车联赛</w:t>
            </w:r>
          </w:p>
          <w:p>
            <w:pPr>
              <w:pStyle w:val="null3"/>
              <w:jc w:val="left"/>
            </w:pPr>
            <w:r>
              <w:rPr>
                <w:rFonts w:ascii="仿宋_GB2312" w:hAnsi="仿宋_GB2312" w:cs="仿宋_GB2312" w:eastAsia="仿宋_GB2312"/>
                <w:sz w:val="21"/>
              </w:rPr>
              <w:t>（二）赛事地点：琼海市、陵水黎族自治县（拟定）</w:t>
            </w:r>
          </w:p>
          <w:p>
            <w:pPr>
              <w:pStyle w:val="null3"/>
              <w:jc w:val="left"/>
            </w:pPr>
            <w:r>
              <w:rPr>
                <w:rFonts w:ascii="仿宋_GB2312" w:hAnsi="仿宋_GB2312" w:cs="仿宋_GB2312" w:eastAsia="仿宋_GB2312"/>
                <w:sz w:val="21"/>
              </w:rPr>
              <w:t>（三）服务期限：合同签订生效后至合作结束。</w:t>
            </w:r>
          </w:p>
          <w:p>
            <w:pPr>
              <w:pStyle w:val="null3"/>
              <w:jc w:val="left"/>
            </w:pPr>
            <w:r>
              <w:rPr>
                <w:rFonts w:ascii="仿宋_GB2312" w:hAnsi="仿宋_GB2312" w:cs="仿宋_GB2312" w:eastAsia="仿宋_GB2312"/>
                <w:sz w:val="21"/>
              </w:rPr>
              <w:t>（四）成果交付地点：采购人指定的交付地点。</w:t>
            </w:r>
          </w:p>
          <w:p>
            <w:pPr>
              <w:pStyle w:val="null3"/>
              <w:jc w:val="left"/>
            </w:pPr>
            <w:r>
              <w:rPr>
                <w:rFonts w:ascii="仿宋_GB2312" w:hAnsi="仿宋_GB2312" w:cs="仿宋_GB2312" w:eastAsia="仿宋_GB2312"/>
                <w:sz w:val="21"/>
              </w:rPr>
              <w:t>（五）付款方式：合同签订后，采购人凭中标人提供的有效发票支付合同金额的</w:t>
            </w:r>
            <w:r>
              <w:rPr>
                <w:rFonts w:ascii="仿宋_GB2312" w:hAnsi="仿宋_GB2312" w:cs="仿宋_GB2312" w:eastAsia="仿宋_GB2312"/>
                <w:sz w:val="21"/>
              </w:rPr>
              <w:t>50%；项目完成验收时，中标方须提供项目服务明细的验收证明材料及赛事评估报告，采购人逐一核对服务条款内容及数量的佐证材料进行验收，对未按服务条款内容及数量执行的部分，予以核减；赛事结束后，采购人确认中标人如约履行各项义务、完成各项善后工作，经采购人验收合格且收到中标人出具的有效发票后，采购人向中标人支付剩余合同款项。</w:t>
            </w:r>
          </w:p>
          <w:p>
            <w:pPr>
              <w:pStyle w:val="null3"/>
              <w:jc w:val="left"/>
            </w:pPr>
            <w:r>
              <w:rPr>
                <w:rFonts w:ascii="仿宋_GB2312" w:hAnsi="仿宋_GB2312" w:cs="仿宋_GB2312" w:eastAsia="仿宋_GB2312"/>
                <w:sz w:val="21"/>
              </w:rPr>
              <w:t>（六）报价：报价应为一切相关费用的包干价</w:t>
            </w:r>
            <w:r>
              <w:rPr>
                <w:rFonts w:ascii="仿宋_GB2312" w:hAnsi="仿宋_GB2312" w:cs="仿宋_GB2312" w:eastAsia="仿宋_GB2312"/>
                <w:sz w:val="21"/>
              </w:rPr>
              <w:t>,不得高于采购预算金额,否则将被否决,实际费用超出报价部分由成交投标人自行筹措解决。</w:t>
            </w:r>
          </w:p>
          <w:p>
            <w:pPr>
              <w:pStyle w:val="null3"/>
              <w:jc w:val="left"/>
            </w:pPr>
            <w:r>
              <w:rPr>
                <w:rFonts w:ascii="仿宋_GB2312" w:hAnsi="仿宋_GB2312" w:cs="仿宋_GB2312" w:eastAsia="仿宋_GB2312"/>
                <w:sz w:val="21"/>
              </w:rPr>
              <w:t>七、媒体宣传</w:t>
            </w:r>
          </w:p>
          <w:p>
            <w:pPr>
              <w:pStyle w:val="null3"/>
              <w:jc w:val="left"/>
            </w:pPr>
            <w:r>
              <w:rPr>
                <w:rFonts w:ascii="仿宋_GB2312" w:hAnsi="仿宋_GB2312" w:cs="仿宋_GB2312" w:eastAsia="仿宋_GB2312"/>
                <w:sz w:val="21"/>
              </w:rPr>
              <w:t>（一）赛事前期</w:t>
            </w:r>
          </w:p>
          <w:p>
            <w:pPr>
              <w:pStyle w:val="null3"/>
              <w:jc w:val="left"/>
            </w:pPr>
            <w:r>
              <w:rPr>
                <w:rFonts w:ascii="仿宋_GB2312" w:hAnsi="仿宋_GB2312" w:cs="仿宋_GB2312" w:eastAsia="仿宋_GB2312"/>
                <w:sz w:val="21"/>
              </w:rPr>
              <w:t>通过各公众号，俱乐部、朋友圈共同启动报名招募，广泛发布赛事推广信息，利用省内各大媒体对赛事进行全方位、多视角的宣传报道。结合海南环岛公路媒体进行宣传。</w:t>
            </w:r>
          </w:p>
          <w:p>
            <w:pPr>
              <w:pStyle w:val="null3"/>
              <w:jc w:val="left"/>
            </w:pPr>
            <w:r>
              <w:rPr>
                <w:rFonts w:ascii="仿宋_GB2312" w:hAnsi="仿宋_GB2312" w:cs="仿宋_GB2312" w:eastAsia="仿宋_GB2312"/>
                <w:sz w:val="21"/>
              </w:rPr>
              <w:t>（二）赛事期间</w:t>
            </w:r>
          </w:p>
          <w:p>
            <w:pPr>
              <w:pStyle w:val="null3"/>
              <w:jc w:val="left"/>
            </w:pPr>
            <w:r>
              <w:rPr>
                <w:rFonts w:ascii="仿宋_GB2312" w:hAnsi="仿宋_GB2312" w:cs="仿宋_GB2312" w:eastAsia="仿宋_GB2312"/>
                <w:sz w:val="21"/>
              </w:rPr>
              <w:t>充分利用网络直播平台、电视、官方融媒体，以及人民网、新华网、央视网、中国新闻网、海南视窗、凤凰网、南海网、海南在线等国内主流网络媒体，加大网络宣传和传播力度，持续提高赛事影响力，争取宣传平台做到全面覆盖。结合海南环岛公路媒体进行，鼓励参赛人员进行自媒体宣传，培育赛事</w:t>
            </w:r>
            <w:r>
              <w:rPr>
                <w:rFonts w:ascii="仿宋_GB2312" w:hAnsi="仿宋_GB2312" w:cs="仿宋_GB2312" w:eastAsia="仿宋_GB2312"/>
                <w:sz w:val="21"/>
              </w:rPr>
              <w:t>KOL人群。</w:t>
            </w:r>
          </w:p>
          <w:p>
            <w:pPr>
              <w:pStyle w:val="null3"/>
              <w:jc w:val="left"/>
            </w:pPr>
            <w:r>
              <w:rPr>
                <w:rFonts w:ascii="仿宋_GB2312" w:hAnsi="仿宋_GB2312" w:cs="仿宋_GB2312" w:eastAsia="仿宋_GB2312"/>
                <w:sz w:val="21"/>
              </w:rPr>
              <w:t>（三）赛事后期</w:t>
            </w:r>
          </w:p>
          <w:p>
            <w:pPr>
              <w:pStyle w:val="null3"/>
              <w:jc w:val="left"/>
            </w:pPr>
            <w:r>
              <w:rPr>
                <w:rFonts w:ascii="仿宋_GB2312" w:hAnsi="仿宋_GB2312" w:cs="仿宋_GB2312" w:eastAsia="仿宋_GB2312"/>
                <w:sz w:val="21"/>
              </w:rPr>
              <w:t>通过纸媒、电台、新媒体、抖音、小红书朋友圈报道赛事情况，力争扩大赛事的影响力。</w:t>
            </w:r>
          </w:p>
          <w:p>
            <w:pPr>
              <w:pStyle w:val="null3"/>
              <w:jc w:val="left"/>
            </w:pPr>
            <w:r>
              <w:rPr>
                <w:rFonts w:ascii="仿宋_GB2312" w:hAnsi="仿宋_GB2312" w:cs="仿宋_GB2312" w:eastAsia="仿宋_GB2312"/>
                <w:sz w:val="21"/>
              </w:rPr>
              <w:t>八、熔断机制应用</w:t>
            </w:r>
          </w:p>
          <w:p>
            <w:pPr>
              <w:pStyle w:val="null3"/>
              <w:jc w:val="left"/>
            </w:pPr>
            <w:r>
              <w:rPr>
                <w:rFonts w:ascii="仿宋_GB2312" w:hAnsi="仿宋_GB2312" w:cs="仿宋_GB2312" w:eastAsia="仿宋_GB2312"/>
                <w:sz w:val="21"/>
              </w:rPr>
              <w:t>根据国家体育总局颁布的《关于进一步加强体育赛事活动安全监管服务的意见》（体规字〔</w:t>
            </w:r>
            <w:r>
              <w:rPr>
                <w:rFonts w:ascii="仿宋_GB2312" w:hAnsi="仿宋_GB2312" w:cs="仿宋_GB2312" w:eastAsia="仿宋_GB2312"/>
                <w:sz w:val="21"/>
              </w:rPr>
              <w:t>2021〕3号）要求，此次赛事执行以下熔断机制。</w:t>
            </w:r>
          </w:p>
          <w:p>
            <w:pPr>
              <w:pStyle w:val="null3"/>
              <w:jc w:val="left"/>
            </w:pPr>
            <w:r>
              <w:rPr>
                <w:rFonts w:ascii="仿宋_GB2312" w:hAnsi="仿宋_GB2312" w:cs="仿宋_GB2312" w:eastAsia="仿宋_GB2312"/>
                <w:sz w:val="21"/>
              </w:rPr>
              <w:t>1.出现以下情况，执行委员将及时中止比赛</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1）自然灾害，包括水旱灾害、气象灾害、地震灾害、地质灾害、海洋灾害、生物灾害和森林草原火灾等；</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2）事故灾难，包括各类安全事故、交通运输事故、公共体育设施和设备事故、环境污染和生态破坏事件等；</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3）公共卫生事件，包括传染病疫情、群体性不明原因疾病、食品安全和职业危害、动物疫情以及其他严重影响公众健康和生命安全的事件；</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4）社会安全事件，包括恐怖袭击事件、经济安全事件和涉外突发事件等；</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5）其他可能导致不再具备办赛条件的情形。</w:t>
            </w:r>
          </w:p>
          <w:p>
            <w:pPr>
              <w:pStyle w:val="null3"/>
              <w:jc w:val="left"/>
            </w:pPr>
            <w:r>
              <w:rPr>
                <w:rFonts w:ascii="仿宋_GB2312" w:hAnsi="仿宋_GB2312" w:cs="仿宋_GB2312" w:eastAsia="仿宋_GB2312"/>
                <w:sz w:val="21"/>
              </w:rPr>
              <w:t>2.善后处理</w:t>
            </w:r>
          </w:p>
          <w:p>
            <w:pPr>
              <w:pStyle w:val="null3"/>
              <w:jc w:val="both"/>
            </w:pPr>
            <w:r>
              <w:rPr>
                <w:rFonts w:ascii="仿宋_GB2312" w:hAnsi="仿宋_GB2312" w:cs="仿宋_GB2312" w:eastAsia="仿宋_GB2312"/>
                <w:sz w:val="21"/>
              </w:rPr>
              <w:t>当出现以上状况后，执行委员会与组委会、相关主管部门及时请示，并商议出妥善的处理办法，并快速、有效执行。</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1）服务期限：签订合同之日起至委托业务结束之日止（具体以合同签订为准）。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2）活动地点：采购人指定。</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1）服务期限：签订合同之日起至委托业务结束之日止（具体以合同签订为准）。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2）活动地点：采购人指定。</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sz w:val="24"/>
        </w:rPr>
        <w:t>采购包</w:t>
      </w:r>
      <w:r>
        <w:rPr>
          <w:rFonts w:ascii="仿宋_GB2312" w:hAnsi="仿宋_GB2312" w:cs="仿宋_GB2312" w:eastAsia="仿宋_GB2312"/>
          <w:sz w:val="24"/>
        </w:rPr>
        <w:t>1：</w:t>
      </w:r>
      <w:r>
        <w:br/>
      </w:r>
      <w:r>
        <w:rPr>
          <w:rFonts w:ascii="仿宋_GB2312" w:hAnsi="仿宋_GB2312" w:cs="仿宋_GB2312" w:eastAsia="仿宋_GB2312"/>
          <w:sz w:val="24"/>
        </w:rPr>
        <w:t>（</w:t>
      </w:r>
      <w:r>
        <w:rPr>
          <w:rFonts w:ascii="仿宋_GB2312" w:hAnsi="仿宋_GB2312" w:cs="仿宋_GB2312" w:eastAsia="仿宋_GB2312"/>
          <w:sz w:val="24"/>
        </w:rPr>
        <w:t>1）服务期限：签订合同之日起至委托业务结束之日止（具体以合同签订为准）。</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2）活动地点：采购人指定。</w:t>
      </w:r>
    </w:p>
    <w:p>
      <w:pPr>
        <w:pStyle w:val="null3"/>
        <w:spacing w:before="105" w:after="105"/>
        <w:jc w:val="left"/>
      </w:pPr>
      <w:r>
        <w:rPr>
          <w:rFonts w:ascii="仿宋_GB2312" w:hAnsi="仿宋_GB2312" w:cs="仿宋_GB2312" w:eastAsia="仿宋_GB2312"/>
          <w:sz w:val="24"/>
        </w:rPr>
        <w:t>采购包</w:t>
      </w:r>
      <w:r>
        <w:rPr>
          <w:rFonts w:ascii="仿宋_GB2312" w:hAnsi="仿宋_GB2312" w:cs="仿宋_GB2312" w:eastAsia="仿宋_GB2312"/>
          <w:sz w:val="24"/>
        </w:rPr>
        <w:t>2：</w:t>
      </w:r>
      <w:r>
        <w:br/>
      </w:r>
      <w:r>
        <w:rPr>
          <w:rFonts w:ascii="仿宋_GB2312" w:hAnsi="仿宋_GB2312" w:cs="仿宋_GB2312" w:eastAsia="仿宋_GB2312"/>
          <w:sz w:val="24"/>
        </w:rPr>
        <w:t>（</w:t>
      </w:r>
      <w:r>
        <w:rPr>
          <w:rFonts w:ascii="仿宋_GB2312" w:hAnsi="仿宋_GB2312" w:cs="仿宋_GB2312" w:eastAsia="仿宋_GB2312"/>
          <w:sz w:val="24"/>
        </w:rPr>
        <w:t>1）服务期限：签订合同之日起至委托业务结束之日止（具体以合同签订为准）。</w:t>
      </w:r>
    </w:p>
    <w:p>
      <w:pPr>
        <w:pStyle w:val="null3"/>
        <w:spacing w:before="105" w:after="105"/>
        <w:jc w:val="left"/>
      </w:pPr>
      <w:r>
        <w:rPr>
          <w:rFonts w:ascii="仿宋_GB2312" w:hAnsi="仿宋_GB2312" w:cs="仿宋_GB2312" w:eastAsia="仿宋_GB2312"/>
          <w:sz w:val="24"/>
        </w:rPr>
        <w:t>（</w:t>
      </w:r>
      <w:r>
        <w:rPr>
          <w:rFonts w:ascii="仿宋_GB2312" w:hAnsi="仿宋_GB2312" w:cs="仿宋_GB2312" w:eastAsia="仿宋_GB2312"/>
          <w:sz w:val="24"/>
        </w:rPr>
        <w:t>2）活动地点：采购人指定。</w:t>
      </w:r>
    </w:p>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（1）具体赛事场所需满足赛事要求，并征求采购人同意。若赛事场所不满足赛事要求或未经采购人同意视为中标供应商违约。 （2）供应商须保证在本项目投标过程中所提供资料真实有效，若发现有伪造编制，弄虚作假骗取中标，采购人将取消中标资格，并将其不良行为上报有关行政主管部门。</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自觉抵制政府采购领域商业贿赂行为承诺书 符合法律、行政法规规定的声明函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自觉抵制政府采购领域商业贿赂行为承诺书 符合法律、行政法规规定的声明函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投标方案 开标（报价）一览表 中小企业声明函 商务应答表 自觉抵制政府采购领域商业贿赂行为承诺书 封面 商业信誉、财务会计制度、缴纳税收和社保的承诺函 具有独立承担民事责任的能力证明文件 符合法律、行政法规规定的声明函 投标人承诺函 项目业绩 其他材料 投标函 投标（响应）报价明细表 残疾人福利性单位声明函 供应商应提交的相关证明材料 无重大违法记录声明函 无不良信用记录承诺函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符合法律、行政法规规定的声明函 投标人承诺函 其他材料 投标函 投标（响应）报价明细表 残疾人福利性单位声明函 供应商应提交的相关证明材料 无重大违法记录声明函 无不良信用记录承诺函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 开标（报价）一览表 投标（响应）报价明细表 商务应答表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投标人承诺函 其他材料 投标函 投标（响应）报价明细表 残疾人福利性单位声明函 供应商应提交的相关证明材料 法定代表人资格证明书或法定代表人授权委托书 投标保证金缴纳证明材料 监狱企业的证明文件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其他材料 开标（报价）一览表 投标函 投标（响应）报价明细表 供应商应提交的相关证明材料 封面</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投标方案 开标（报价）一览表 中小企业声明函 项目业绩表 商务应答表 自觉抵制政府采购领域商业贿赂行为承诺书 封面 商业信誉、财务会计制度、缴纳税收和社保的承诺函 具有独立承担民事责任的能力证明文件 符合法律、行政法规规定的声明函 投标人承诺函 投标函 其他材料 投标（响应）报价明细表 残疾人福利性单位声明函 供应商应提交的相关证明材料 无重大违法记录声明函 无不良信用记录承诺函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符合法律、行政法规规定的声明函 投标人承诺函 投标函 其他材料 投标（响应）报价明细表 残疾人福利性单位声明函 供应商应提交的相关证明材料 无重大违法记录声明函 无不良信用记录承诺函 法定代表人资格证明书或法定代表人授权委托书 投标保证金缴纳证明材料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其他材料 投标（响应）报价明细表 商务应答表 技术参数响应表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投标人承诺函 投标函 其他材料 残疾人福利性单位声明函 供应商应提交的相关证明材料 法定代表人资格证明书或法定代表人授权委托书 投标保证金缴纳证明材料 监狱企业的证明文件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其他材料 开标（报价）一览表 投标函 供应商应提交的相关证明材料 封面</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技术部分70.00分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策划执行方案</w:t>
            </w:r>
          </w:p>
        </w:tc>
        <w:tc>
          <w:tcPr>
            <w:tcW w:type="dxa" w:w="2492"/>
          </w:tcPr>
          <w:p>
            <w:pPr>
              <w:pStyle w:val="null3"/>
              <w:jc w:val="both"/>
            </w:pPr>
            <w:r>
              <w:rPr>
                <w:rFonts w:ascii="仿宋_GB2312" w:hAnsi="仿宋_GB2312" w:cs="仿宋_GB2312" w:eastAsia="仿宋_GB2312"/>
              </w:rPr>
              <w:t>根据投标人提供的策划执行方案进行综合评审，内容包含但不限于：赛事规程、赛事统筹规划、执行工作计划安排、赛事特色亮点规划、竞赛保障方案、报名工作方案等。 1、策划执行方案完全涵盖以上内容且高于项目采购需求、科学合理、可操作性强，赛事组织工作科学安全，环节设置顺畅合理，符合赛事相关标准的得15分； 2、策划执行方案能够满足项目采购需求、具有可操作性强，赛事组织工作及环节设置能够保证赛事顺利举办，符合赛事相关标准的得11分； 3、方案虽然存在缺陷，但基本满足采购需求的得8分； 4、方案存在严重缺陷，不能够满足采购需求的得5分；5、不提供方案的得0分。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投标方案</w:t>
            </w:r>
          </w:p>
        </w:tc>
      </w:tr>
      <w:tr>
        <w:tc>
          <w:tcPr>
            <w:tcW w:type="dxa" w:w="831"/>
            <w:vMerge/>
          </w:tcPr>
          <w:p/>
        </w:tc>
        <w:tc>
          <w:tcPr>
            <w:tcW w:type="dxa" w:w="1661"/>
          </w:tcPr>
          <w:p>
            <w:pPr>
              <w:pStyle w:val="null3"/>
              <w:jc w:val="both"/>
            </w:pPr>
            <w:r>
              <w:rPr>
                <w:rFonts w:ascii="仿宋_GB2312" w:hAnsi="仿宋_GB2312" w:cs="仿宋_GB2312" w:eastAsia="仿宋_GB2312"/>
              </w:rPr>
              <w:t>赛事应急预案</w:t>
            </w:r>
          </w:p>
        </w:tc>
        <w:tc>
          <w:tcPr>
            <w:tcW w:type="dxa" w:w="2492"/>
          </w:tcPr>
          <w:p>
            <w:pPr>
              <w:pStyle w:val="null3"/>
              <w:jc w:val="both"/>
            </w:pPr>
            <w:r>
              <w:rPr>
                <w:rFonts w:ascii="仿宋_GB2312" w:hAnsi="仿宋_GB2312" w:cs="仿宋_GB2312" w:eastAsia="仿宋_GB2312"/>
              </w:rPr>
              <w:t>根据投标人提供的赛事活动应急方案进行综合评审，包含但不限于：保障措施及处置流程、天气影响应急方案、紧急疏散应急预案、现场搭建应急管理方案、突发公共事件的应急响应、其他应急应对方案等。 1、活动应急预案细致全面，处置流程科学，应急预案合理的得10分； 2、 活动应急预案基本内容完整，具有可操作的处置流程，可实施的应对方法的得7分； 3、方案虽然存在缺陷，但具有一定的可实施性的得5分； 4、方案存在严重缺陷，不具有可实施性的得3分；5、不提供方案的得0分。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投标方案</w:t>
            </w:r>
          </w:p>
        </w:tc>
      </w:tr>
      <w:tr>
        <w:tc>
          <w:tcPr>
            <w:tcW w:type="dxa" w:w="831"/>
            <w:vMerge/>
          </w:tcPr>
          <w:p/>
        </w:tc>
        <w:tc>
          <w:tcPr>
            <w:tcW w:type="dxa" w:w="1661"/>
          </w:tcPr>
          <w:p>
            <w:pPr>
              <w:pStyle w:val="null3"/>
              <w:jc w:val="both"/>
            </w:pPr>
            <w:r>
              <w:rPr>
                <w:rFonts w:ascii="仿宋_GB2312" w:hAnsi="仿宋_GB2312" w:cs="仿宋_GB2312" w:eastAsia="仿宋_GB2312"/>
              </w:rPr>
              <w:t>宣传推广方案</w:t>
            </w:r>
          </w:p>
        </w:tc>
        <w:tc>
          <w:tcPr>
            <w:tcW w:type="dxa" w:w="2492"/>
          </w:tcPr>
          <w:p>
            <w:pPr>
              <w:pStyle w:val="null3"/>
              <w:jc w:val="both"/>
            </w:pPr>
            <w:r>
              <w:rPr>
                <w:rFonts w:ascii="仿宋_GB2312" w:hAnsi="仿宋_GB2312" w:cs="仿宋_GB2312" w:eastAsia="仿宋_GB2312"/>
              </w:rPr>
              <w:t>根据投标人对该活动的宣传推广方案进行综合评审，包含但不限于：赛事背景及目标、媒体宣传人员配置、宣传渠道等多方位、多角度、多渠道、多形式媒体宣传报道、赛事组织与筹备、舆情应对及处理等。 1、宣传推广方案及实施计划、高于项目采购需求、科学合理、可操作性强、媒体宣传人员配备力量充足、宣传能够覆盖国内大部分主流媒体，媒体传播策划内容精准、传播渠道广、合作媒体矩阵强大，更便于执行的得10分； 2、媒体宣传推广方案及实施计划、能够满足项目采购需求、合理可操作、媒体宣传人员配备基本满足、宣传能够覆盖国内一些主流媒体，媒体传播策划内容准确的得7分； 3、方案虽然存在缺陷，但基本满足采购需求的得5分； 4、方案存在严重缺陷，不能够满足采购需求的得3分；5、不提供方案的得0分。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投标方案</w:t>
            </w:r>
          </w:p>
        </w:tc>
      </w:tr>
      <w:tr>
        <w:tc>
          <w:tcPr>
            <w:tcW w:type="dxa" w:w="831"/>
            <w:vMerge/>
          </w:tcPr>
          <w:p/>
        </w:tc>
        <w:tc>
          <w:tcPr>
            <w:tcW w:type="dxa" w:w="1661"/>
          </w:tcPr>
          <w:p>
            <w:pPr>
              <w:pStyle w:val="null3"/>
              <w:jc w:val="both"/>
            </w:pPr>
            <w:r>
              <w:rPr>
                <w:rFonts w:ascii="仿宋_GB2312" w:hAnsi="仿宋_GB2312" w:cs="仿宋_GB2312" w:eastAsia="仿宋_GB2312"/>
              </w:rPr>
              <w:t>安全保卫方案</w:t>
            </w:r>
          </w:p>
        </w:tc>
        <w:tc>
          <w:tcPr>
            <w:tcW w:type="dxa" w:w="2492"/>
          </w:tcPr>
          <w:p>
            <w:pPr>
              <w:pStyle w:val="null3"/>
              <w:jc w:val="both"/>
            </w:pPr>
            <w:r>
              <w:rPr>
                <w:rFonts w:ascii="仿宋_GB2312" w:hAnsi="仿宋_GB2312" w:cs="仿宋_GB2312" w:eastAsia="仿宋_GB2312"/>
              </w:rPr>
              <w:t>根据投标人提供的赛事活动安全保卫方案进行综合评审，包含但不限于：赛事安保职责划分方案、赛场安保方案、安全维稳方案、危机管理突发事件处置方案、安全器材配备等。 1、安全保卫方案细致合理，职责划分较为明确，物资、人力配置科学，应急预案合理的得10分； 2、 安全保卫方案及对应措施一般，职责划分基本清晰，具有基本的物资、人力配置的得7分； 3、方案虽然存在缺陷，但具有一定的可实施性的得5分； 4、方案存在严重缺陷，不具有可实施性的得3分；5、不提供方案的得0分。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投标方案</w:t>
            </w:r>
          </w:p>
        </w:tc>
      </w:tr>
      <w:tr>
        <w:tc>
          <w:tcPr>
            <w:tcW w:type="dxa" w:w="831"/>
            <w:vMerge/>
          </w:tcPr>
          <w:p/>
        </w:tc>
        <w:tc>
          <w:tcPr>
            <w:tcW w:type="dxa" w:w="1661"/>
          </w:tcPr>
          <w:p>
            <w:pPr>
              <w:pStyle w:val="null3"/>
              <w:jc w:val="both"/>
            </w:pPr>
            <w:r>
              <w:rPr>
                <w:rFonts w:ascii="仿宋_GB2312" w:hAnsi="仿宋_GB2312" w:cs="仿宋_GB2312" w:eastAsia="仿宋_GB2312"/>
              </w:rPr>
              <w:t>医疗救护方案</w:t>
            </w:r>
          </w:p>
        </w:tc>
        <w:tc>
          <w:tcPr>
            <w:tcW w:type="dxa" w:w="2492"/>
          </w:tcPr>
          <w:p>
            <w:pPr>
              <w:pStyle w:val="null3"/>
              <w:jc w:val="both"/>
            </w:pPr>
            <w:r>
              <w:rPr>
                <w:rFonts w:ascii="仿宋_GB2312" w:hAnsi="仿宋_GB2312" w:cs="仿宋_GB2312" w:eastAsia="仿宋_GB2312"/>
              </w:rPr>
              <w:t>根据投标人提供的赛事活动医疗救护方案进行综合评审，包含但不限于：赛事综合医疗救护体系、物资及人力配置合理性、医疗应急预案、选手健康要求等。 1、医疗救护方案及对应措施细致，救护体系全面，物资、人力配置科学，应急预案合理的得10分； 2、 医疗救护方案及对应措施一般，具有相对完整的救护体系，具有基本的物资、人力配置的得7分； 3、方案虽然存在缺陷，但具有一定的可实施性的得5分； 4、方案存在严重缺陷，不具有可实施性的得3分；5、不提供方案的得0分。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投标方案</w:t>
            </w:r>
          </w:p>
        </w:tc>
      </w:tr>
      <w:tr>
        <w:tc>
          <w:tcPr>
            <w:tcW w:type="dxa" w:w="831"/>
            <w:vMerge/>
          </w:tcPr>
          <w:p/>
        </w:tc>
        <w:tc>
          <w:tcPr>
            <w:tcW w:type="dxa" w:w="1661"/>
          </w:tcPr>
          <w:p>
            <w:pPr>
              <w:pStyle w:val="null3"/>
              <w:jc w:val="both"/>
            </w:pPr>
            <w:r>
              <w:rPr>
                <w:rFonts w:ascii="仿宋_GB2312" w:hAnsi="仿宋_GB2312" w:cs="仿宋_GB2312" w:eastAsia="仿宋_GB2312"/>
              </w:rPr>
              <w:t>项目相关资源</w:t>
            </w:r>
          </w:p>
        </w:tc>
        <w:tc>
          <w:tcPr>
            <w:tcW w:type="dxa" w:w="2492"/>
          </w:tcPr>
          <w:p>
            <w:pPr>
              <w:pStyle w:val="null3"/>
              <w:jc w:val="both"/>
            </w:pPr>
            <w:r>
              <w:rPr>
                <w:rFonts w:ascii="仿宋_GB2312" w:hAnsi="仿宋_GB2312" w:cs="仿宋_GB2312" w:eastAsia="仿宋_GB2312"/>
              </w:rPr>
              <w:t>根据投标人提供的项目相关资源进行综合评审，包括但不限于：裁判人员、执行团队人员、参赛运动员、设备器材、合作单位、相关经验等。 1、项目相关资源丰富，科学合理，人员配置充分且具有丰富的相关经验的得15分； 2、项目相关资源一般，完整全面，分工合理，人员配置能够满足采购需求的得11分； 3、项目相关资源较差，但基本满足采购需求的得8分； 4、项目相关资源非常差，不具有可实施性的得5分；5、不提供方案的得0分。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投标方案</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项目经验</w:t>
            </w:r>
          </w:p>
        </w:tc>
        <w:tc>
          <w:tcPr>
            <w:tcW w:type="dxa" w:w="2492"/>
          </w:tcPr>
          <w:p>
            <w:pPr>
              <w:pStyle w:val="null3"/>
              <w:jc w:val="both"/>
            </w:pPr>
            <w:r>
              <w:rPr>
                <w:rFonts w:ascii="仿宋_GB2312" w:hAnsi="仿宋_GB2312" w:cs="仿宋_GB2312" w:eastAsia="仿宋_GB2312"/>
              </w:rPr>
              <w:t>2022年1月1日(以合同签订时间为准)以来，每提供一项类似赛事经验的项目业绩得5分，满分20分。证明材料:提供合同关键页复印件(包括但不限于合同名称页合同主要内容页、合同签订日期页、合同双方签字盖章页)并加盖投标人公章，否则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项目业绩</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技术部分70.00分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策划执行方案</w:t>
            </w:r>
          </w:p>
        </w:tc>
        <w:tc>
          <w:tcPr>
            <w:tcW w:type="dxa" w:w="2492"/>
          </w:tcPr>
          <w:p>
            <w:pPr>
              <w:pStyle w:val="null3"/>
              <w:jc w:val="both"/>
            </w:pPr>
            <w:r>
              <w:rPr>
                <w:rFonts w:ascii="仿宋_GB2312" w:hAnsi="仿宋_GB2312" w:cs="仿宋_GB2312" w:eastAsia="仿宋_GB2312"/>
              </w:rPr>
              <w:t>根据投标人提供的策划执行方案进行综合评审，内容包含但不限于：赛事规程、赛事统筹规划、执行工作计划安排、赛事特色亮点规划、竞赛保障方案、报名工作方案等。 1、策划执行方案完全涵盖以上内容且高于项目采购需求、科学合理、可操作性强，赛事组织工作科学安全，环节设置顺畅合理，符合赛事相关标准的得15分； 2、策划执行方案能够满足项目采购需求、具有可操作性强，赛事组织工作及环节设置能够保证赛事顺利举办，符合赛事相关标准的得11分； 3、方案虽然存在缺陷，但基本满足采购需求的得8分； 4、方案存在严重缺陷，不能够满足采购需求的得5分；5、不提供方案的得0分。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投标方案</w:t>
            </w:r>
          </w:p>
        </w:tc>
      </w:tr>
      <w:tr>
        <w:tc>
          <w:tcPr>
            <w:tcW w:type="dxa" w:w="831"/>
            <w:vMerge/>
          </w:tcPr>
          <w:p/>
        </w:tc>
        <w:tc>
          <w:tcPr>
            <w:tcW w:type="dxa" w:w="1661"/>
          </w:tcPr>
          <w:p>
            <w:pPr>
              <w:pStyle w:val="null3"/>
              <w:jc w:val="both"/>
            </w:pPr>
            <w:r>
              <w:rPr>
                <w:rFonts w:ascii="仿宋_GB2312" w:hAnsi="仿宋_GB2312" w:cs="仿宋_GB2312" w:eastAsia="仿宋_GB2312"/>
              </w:rPr>
              <w:t>赛事应急预案</w:t>
            </w:r>
          </w:p>
        </w:tc>
        <w:tc>
          <w:tcPr>
            <w:tcW w:type="dxa" w:w="2492"/>
          </w:tcPr>
          <w:p>
            <w:pPr>
              <w:pStyle w:val="null3"/>
              <w:jc w:val="both"/>
            </w:pPr>
            <w:r>
              <w:rPr>
                <w:rFonts w:ascii="仿宋_GB2312" w:hAnsi="仿宋_GB2312" w:cs="仿宋_GB2312" w:eastAsia="仿宋_GB2312"/>
              </w:rPr>
              <w:t>根据投标人提供的赛事活动应急方案进行综合评审，包含但不限于：保障措施及处置流程、天气影响应急方案、紧急疏散应急预案、现场搭建应急管理方案、突发公共事件的应急响应、其他应急应对方案等。 1、活动应急预案细致全面，处置流程科学，应急预案合理的得10分； 2、 活动应急预案基本内容完整，具有可操作的处置流程，可实施的应对方法的得7分； 3、方案虽然存在缺陷，但具有一定的可实施性的得5分； 4、方案存在严重缺陷，不具有可实施性的得3分；5、不提供方案的得0分。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投标方案</w:t>
            </w:r>
          </w:p>
        </w:tc>
      </w:tr>
      <w:tr>
        <w:tc>
          <w:tcPr>
            <w:tcW w:type="dxa" w:w="831"/>
            <w:vMerge/>
          </w:tcPr>
          <w:p/>
        </w:tc>
        <w:tc>
          <w:tcPr>
            <w:tcW w:type="dxa" w:w="1661"/>
          </w:tcPr>
          <w:p>
            <w:pPr>
              <w:pStyle w:val="null3"/>
              <w:jc w:val="both"/>
            </w:pPr>
            <w:r>
              <w:rPr>
                <w:rFonts w:ascii="仿宋_GB2312" w:hAnsi="仿宋_GB2312" w:cs="仿宋_GB2312" w:eastAsia="仿宋_GB2312"/>
              </w:rPr>
              <w:t>宣传推广方案</w:t>
            </w:r>
          </w:p>
        </w:tc>
        <w:tc>
          <w:tcPr>
            <w:tcW w:type="dxa" w:w="2492"/>
          </w:tcPr>
          <w:p>
            <w:pPr>
              <w:pStyle w:val="null3"/>
              <w:jc w:val="both"/>
            </w:pPr>
            <w:r>
              <w:rPr>
                <w:rFonts w:ascii="仿宋_GB2312" w:hAnsi="仿宋_GB2312" w:cs="仿宋_GB2312" w:eastAsia="仿宋_GB2312"/>
              </w:rPr>
              <w:t>根据投标人对该活动的宣传推广方案进行综合评审，包含但不限于：赛事背景及目标、媒体宣传人员配置、宣传渠道等多方位、多角度、多渠道、多形式媒体宣传报道、赛事组织与筹备、舆情应对及处理等。 1、宣传推广方案及实施计划、高于项目采购需求、科学合理、可操作性强、媒体宣传人员配备力量充足、宣传能够覆盖国内大部分主流媒体，媒体传播策划内容精准、传播渠道广、合作媒体矩阵强大，更便于执行的得10分； 2、媒体宣传推广方案及实施计划、能够满足项目采购需求、合理可操作、媒体宣传人员配备基本满足、宣传能够覆盖国内一些主流媒体，媒体传播策划内容准确的得7分； 3、方案虽然存在缺陷，但基本满足采购需求的得5分； 4、方案存在严重缺陷，不能够满足采购需求的得3分；5、不提供方案的得0分。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投标方案</w:t>
            </w:r>
          </w:p>
        </w:tc>
      </w:tr>
      <w:tr>
        <w:tc>
          <w:tcPr>
            <w:tcW w:type="dxa" w:w="831"/>
            <w:vMerge/>
          </w:tcPr>
          <w:p/>
        </w:tc>
        <w:tc>
          <w:tcPr>
            <w:tcW w:type="dxa" w:w="1661"/>
          </w:tcPr>
          <w:p>
            <w:pPr>
              <w:pStyle w:val="null3"/>
              <w:jc w:val="both"/>
            </w:pPr>
            <w:r>
              <w:rPr>
                <w:rFonts w:ascii="仿宋_GB2312" w:hAnsi="仿宋_GB2312" w:cs="仿宋_GB2312" w:eastAsia="仿宋_GB2312"/>
              </w:rPr>
              <w:t>安全保卫方案</w:t>
            </w:r>
          </w:p>
        </w:tc>
        <w:tc>
          <w:tcPr>
            <w:tcW w:type="dxa" w:w="2492"/>
          </w:tcPr>
          <w:p>
            <w:pPr>
              <w:pStyle w:val="null3"/>
              <w:jc w:val="both"/>
            </w:pPr>
            <w:r>
              <w:rPr>
                <w:rFonts w:ascii="仿宋_GB2312" w:hAnsi="仿宋_GB2312" w:cs="仿宋_GB2312" w:eastAsia="仿宋_GB2312"/>
              </w:rPr>
              <w:t>根据投标人提供的赛事活动安全保卫方案进行综合评审，包含但不限于：赛事安保职责划分方案、赛场安保方案、安全维稳方案、危机管理突发事件处置方案、安全器材配备等。 1、安全保卫方案细致合理，职责划分较为明确，物资、人力配置科学，应急预案合理的得10分； 2、 安全保卫方案及对应措施一般，职责划分基本清晰，具有基本的物资、人力配置的得7分； 3、方案虽然存在缺陷，但具有一定的可实施性的得5分； 4、方案存在严重缺陷，不具有可实施性的得3分；5、不提供方案的得0分。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投标方案</w:t>
            </w:r>
          </w:p>
        </w:tc>
      </w:tr>
      <w:tr>
        <w:tc>
          <w:tcPr>
            <w:tcW w:type="dxa" w:w="831"/>
            <w:vMerge/>
          </w:tcPr>
          <w:p/>
        </w:tc>
        <w:tc>
          <w:tcPr>
            <w:tcW w:type="dxa" w:w="1661"/>
          </w:tcPr>
          <w:p>
            <w:pPr>
              <w:pStyle w:val="null3"/>
              <w:jc w:val="both"/>
            </w:pPr>
            <w:r>
              <w:rPr>
                <w:rFonts w:ascii="仿宋_GB2312" w:hAnsi="仿宋_GB2312" w:cs="仿宋_GB2312" w:eastAsia="仿宋_GB2312"/>
              </w:rPr>
              <w:t>医疗救护方案</w:t>
            </w:r>
          </w:p>
        </w:tc>
        <w:tc>
          <w:tcPr>
            <w:tcW w:type="dxa" w:w="2492"/>
          </w:tcPr>
          <w:p>
            <w:pPr>
              <w:pStyle w:val="null3"/>
              <w:jc w:val="both"/>
            </w:pPr>
            <w:r>
              <w:rPr>
                <w:rFonts w:ascii="仿宋_GB2312" w:hAnsi="仿宋_GB2312" w:cs="仿宋_GB2312" w:eastAsia="仿宋_GB2312"/>
              </w:rPr>
              <w:t>根据投标人提供的赛事活动医疗救护方案进行综合评审，包含但不限于：赛事综合医疗救护体系、物资及人力配置合理性、医疗应急预案、选手健康要求等。 1、医疗救护方案及对应措施细致，救护体系全面，物资、人力配置科学，应急预案合理的得10分； 2、 医疗救护方案及对应措施一般，具有相对完整的救护体系，具有基本的物资、人力配置的得7分； 3、方案虽然存在缺陷，但具有一定的可实施性的得5分； 4、方案存在严重缺陷，不具有可实施性的得3分；5、不提供方案的得0分。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投标方案</w:t>
            </w:r>
          </w:p>
        </w:tc>
      </w:tr>
      <w:tr>
        <w:tc>
          <w:tcPr>
            <w:tcW w:type="dxa" w:w="831"/>
            <w:vMerge/>
          </w:tcPr>
          <w:p/>
        </w:tc>
        <w:tc>
          <w:tcPr>
            <w:tcW w:type="dxa" w:w="1661"/>
          </w:tcPr>
          <w:p>
            <w:pPr>
              <w:pStyle w:val="null3"/>
              <w:jc w:val="both"/>
            </w:pPr>
            <w:r>
              <w:rPr>
                <w:rFonts w:ascii="仿宋_GB2312" w:hAnsi="仿宋_GB2312" w:cs="仿宋_GB2312" w:eastAsia="仿宋_GB2312"/>
              </w:rPr>
              <w:t>项目相关资源</w:t>
            </w:r>
          </w:p>
        </w:tc>
        <w:tc>
          <w:tcPr>
            <w:tcW w:type="dxa" w:w="2492"/>
          </w:tcPr>
          <w:p>
            <w:pPr>
              <w:pStyle w:val="null3"/>
              <w:jc w:val="both"/>
            </w:pPr>
            <w:r>
              <w:rPr>
                <w:rFonts w:ascii="仿宋_GB2312" w:hAnsi="仿宋_GB2312" w:cs="仿宋_GB2312" w:eastAsia="仿宋_GB2312"/>
              </w:rPr>
              <w:t>根据投标人提供的项目相关资源进行综合评审，包括但不限于：裁判人员、执行团队人员、参赛运动员、设备器材、合作单位、相关经验等。 1、项目相关资源丰富，科学合理，人员配置充分且具有丰富的相关经验的得15分； 2、项目相关资源一般，完整全面，分工合理，人员配置能够满足采购需求的得11分； 3、项目相关资源较差，但基本满足采购需求的得8分； 4、项目相关资源非常差，不具有可实施性的得5分；5、不提供方案的得0分。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投标方案</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项目经验</w:t>
            </w:r>
          </w:p>
        </w:tc>
        <w:tc>
          <w:tcPr>
            <w:tcW w:type="dxa" w:w="2492"/>
          </w:tcPr>
          <w:p>
            <w:pPr>
              <w:pStyle w:val="null3"/>
              <w:jc w:val="both"/>
            </w:pPr>
            <w:r>
              <w:rPr>
                <w:rFonts w:ascii="仿宋_GB2312" w:hAnsi="仿宋_GB2312" w:cs="仿宋_GB2312" w:eastAsia="仿宋_GB2312"/>
              </w:rPr>
              <w:t>2022年1月1日(以合同签订时间为准)以来，每提供一项类似赛事经验的项目业绩得5分，满分20分。证明材料:提供合同关键页复印件(包括但不限于合同名称页合同主要内容页、合同签订日期页、合同双方签字盖章页)并加盖投标人公章，否则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项目业绩表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[0700]20250700003[GK]-1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举办四项2025年竞技体育和青少年体育赛事活动项目(二次)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2025年海南省“昌江杯”十里画廊攀岩赛</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C06040100-体育组织服务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550000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[0700]20250700003[GK]-1</w:t>
      </w:r>
    </w:p>
    <w:p>
      <w:pPr>
        <w:pStyle w:val="null3"/>
        <w:jc w:val="left"/>
      </w:pPr>
      <w:r>
        <w:rPr>
          <w:rFonts w:ascii="仿宋_GB2312" w:hAnsi="仿宋_GB2312" w:cs="仿宋_GB2312" w:eastAsia="仿宋_GB2312"/>
        </w:rPr>
        <w:t>项目名称：</w:t>
      </w:r>
      <w:r>
        <w:rPr>
          <w:rFonts w:ascii="仿宋_GB2312" w:hAnsi="仿宋_GB2312" w:cs="仿宋_GB2312" w:eastAsia="仿宋_GB2312"/>
        </w:rPr>
        <w:t>举办四项2025年竞技体育和青少年体育赛事活动项目(二次)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2025年海南省自行车联赛</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C06040100-体育组织服务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650000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详见附件：符合法律、行政法规规定的声明函</w:t>
      </w:r>
    </w:p>
    <w:p>
      <w:pPr>
        <w:pStyle w:val="null3"/>
        <w:ind w:firstLine="960"/>
        <w:jc w:val="left"/>
      </w:pPr>
      <w:r>
        <w:rPr>
          <w:rFonts w:ascii="仿宋_GB2312" w:hAnsi="仿宋_GB2312" w:cs="仿宋_GB2312" w:eastAsia="仿宋_GB2312"/>
        </w:rPr>
        <w:t>详见附件：项目业绩</w:t>
      </w:r>
    </w:p>
    <w:p>
      <w:pPr>
        <w:pStyle w:val="null3"/>
        <w:ind w:firstLine="960"/>
        <w:jc w:val="left"/>
      </w:pPr>
      <w:r>
        <w:rPr>
          <w:rFonts w:ascii="仿宋_GB2312" w:hAnsi="仿宋_GB2312" w:cs="仿宋_GB2312" w:eastAsia="仿宋_GB2312"/>
        </w:rPr>
        <w:t>详见附件：投标方案</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详见附件：无不良信用记录承诺函</w:t>
      </w:r>
    </w:p>
    <w:p>
      <w:pPr>
        <w:pStyle w:val="null3"/>
        <w:ind w:firstLine="960"/>
        <w:jc w:val="left"/>
      </w:pPr>
      <w:r>
        <w:rPr>
          <w:rFonts w:ascii="仿宋_GB2312" w:hAnsi="仿宋_GB2312" w:cs="仿宋_GB2312" w:eastAsia="仿宋_GB2312"/>
        </w:rPr>
        <w:t>详见附件：符合法律、行政法规规定的声明函</w:t>
      </w:r>
    </w:p>
    <w:p>
      <w:pPr>
        <w:pStyle w:val="null3"/>
        <w:ind w:firstLine="960"/>
        <w:jc w:val="left"/>
      </w:pPr>
      <w:r>
        <w:rPr>
          <w:rFonts w:ascii="仿宋_GB2312" w:hAnsi="仿宋_GB2312" w:cs="仿宋_GB2312" w:eastAsia="仿宋_GB2312"/>
        </w:rPr>
        <w:t>详见附件：项目业绩表</w:t>
      </w:r>
    </w:p>
    <w:p>
      <w:pPr>
        <w:pStyle w:val="null3"/>
        <w:ind w:firstLine="960"/>
        <w:jc w:val="left"/>
      </w:pPr>
      <w:r>
        <w:rPr>
          <w:rFonts w:ascii="仿宋_GB2312" w:hAnsi="仿宋_GB2312" w:cs="仿宋_GB2312" w:eastAsia="仿宋_GB2312"/>
        </w:rPr>
        <w:t>详见附件：投标方案</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