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临高县财政局预结算评审咨询服务框架协议采购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K4690240002025000003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临高县财政局</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海南和信源招标代理有限公司</w:t>
      </w:r>
      <w:r>
        <w:rPr>
          <w:rFonts w:ascii="仿宋_GB2312" w:hAnsi="仿宋_GB2312" w:cs="仿宋_GB2312" w:eastAsia="仿宋_GB2312"/>
        </w:rPr>
        <w:t>受</w:t>
      </w:r>
      <w:r>
        <w:rPr>
          <w:rFonts w:ascii="仿宋_GB2312" w:hAnsi="仿宋_GB2312" w:cs="仿宋_GB2312" w:eastAsia="仿宋_GB2312"/>
        </w:rPr>
        <w:t>临高县财政局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临高县财政局预结算评审咨询服务框架协议采购</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根据临高县财政预结算评审需要，临高县财政局拟通过框架协议采购方式征集6家供应商完成2025年度及2026年度临高县财政预结算评审咨询服务工作</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K4690240002025000003</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临高县财政局预结算评审咨询服务框架协议采购</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1、供应商应在海南省工程建设标准定额信息网完成《诚信档案手册》登记：提供电子版海南省建设工程造价咨询企业信用管理手册并加盖公章</w:t>
      </w:r>
    </w:p>
    <w:p>
      <w:pPr>
        <w:pStyle w:val="null3"/>
        <w:jc w:val="left"/>
      </w:pPr>
      <w:r>
        <w:rPr>
          <w:rFonts w:ascii="仿宋_GB2312" w:hAnsi="仿宋_GB2312" w:cs="仿宋_GB2312" w:eastAsia="仿宋_GB2312"/>
        </w:rPr>
        <w:t>2、投标人必须为未被列入信用中国“重大税收违法失信主体”、中国执行信息公开网 “失信被执行人”、中国政府采购网“严重违法失信行为记录名单”：提供承诺函或相关证明材料并加盖投标人电子公章，承诺函格式不限，由投标人自拟</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3、单位负责人为同一人或者存在直接控股、管理关系的不同供应商，不得参加同一合同项下的政府采购活动：提供承诺函并加盖投标人电子公章，承诺函格式不限，由投标人自拟</w:t>
      </w:r>
    </w:p>
    <w:p>
      <w:pPr>
        <w:pStyle w:val="null3"/>
        <w:jc w:val="left"/>
      </w:pPr>
      <w:r>
        <w:rPr>
          <w:rFonts w:ascii="仿宋_GB2312" w:hAnsi="仿宋_GB2312" w:cs="仿宋_GB2312" w:eastAsia="仿宋_GB2312"/>
        </w:rPr>
        <w:t>4、项目负责人：在本单位注册的国家一级注册造价工程师 证明材料：提供注册证及2025年1月至今连续3个月的社保证明材料（须由社会保障部门盖章确认）复印件加盖公章。可为分公司人员，如退休人员请提供退休证及劳动合同。证明文件原国家建设部颁发的造价工程师注册证书等同于国家一级造价工程师注册证书。</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海南省框架协议电子化采购系统，登录方式及地址：通过框架协议电子化采购系统（https://ccgp-hainan.gov.cn/gpfa-main-web/index?regionguid=2466001）供应商用户登录，或在海南省政府采购智慧云平台完成注册，然后进入海南省政府采购智慧云平台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海南省框架协议电子化采购系统”-操作指南查看相应的系统操作手册，并严格按照操作指南要求进行系统操作。在登录、使用海南省框架协议电子化采购系统前，应当按照要求完成供应商注册和信息完善，加入海南省框架协议电子化采购系统供应商库。</w:t>
      </w:r>
    </w:p>
    <w:p>
      <w:pPr>
        <w:pStyle w:val="null3"/>
        <w:ind w:firstLine="480"/>
        <w:jc w:val="left"/>
      </w:pPr>
      <w:r>
        <w:rPr>
          <w:rFonts w:ascii="仿宋_GB2312" w:hAnsi="仿宋_GB2312" w:cs="仿宋_GB2312" w:eastAsia="仿宋_GB2312"/>
        </w:rPr>
        <w:t>(二) 供应商应当使用纳入海南省政府采购智慧云平台数字证书（CA）互认平台的数字证书及签章（以下简称“互认的证书及签章”），进行系统操作。使用供应商互认的证书及签章登录海南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海南省政府采购智慧云平台-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七、本征集邀请在海南省政府采购智慧云平台以公告形式发布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临高县财政局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0898-28276855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如框架协议期满，因新一期框架协议征集出现废标、质疑投诉等特殊情形，导致新一期框架协议不能按时签订的，本框架协议继续履行，直至新一期框架协议签订为止。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 xml:space="preserve"> 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 xml:space="preserve"> 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 xml:space="preserve"> 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代理服务费用收取对象：采购单位</w:t>
            </w:r>
          </w:p>
          <w:p>
            <w:pPr>
              <w:pStyle w:val="null3"/>
              <w:jc w:val="left"/>
            </w:pPr>
            <w:r>
              <w:rPr>
                <w:rFonts w:ascii="仿宋_GB2312" w:hAnsi="仿宋_GB2312" w:cs="仿宋_GB2312" w:eastAsia="仿宋_GB2312"/>
              </w:rPr>
              <w:t>代理服务费收费标准：根据《国家发展改革委关于降低部分建设项目收费标准规范收费行为等有关问题的通知》发改价格[20111534号规定，双方同意招标代理服务费参照标准，金额为12690.00元</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海南省政府采购网</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海南省政府采购网</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临高县财政局</w:t>
                  </w:r>
                </w:p>
              </w:tc>
              <w:tc>
                <w:tcPr>
                  <w:tcW w:type="dxa" w:w="2239"/>
                </w:tcPr>
                <w:p>
                  <w:pPr>
                    <w:pStyle w:val="null3"/>
                    <w:jc w:val="left"/>
                  </w:pPr>
                  <w:r>
                    <w:rPr>
                      <w:rFonts w:ascii="仿宋_GB2312" w:hAnsi="仿宋_GB2312" w:cs="仿宋_GB2312" w:eastAsia="仿宋_GB2312"/>
                    </w:rPr>
                    <w:t>采购单位</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p>
              </w:tc>
              <w:tc>
                <w:tcPr>
                  <w:tcW w:type="dxa" w:w="1866"/>
                </w:tcPr>
                <w:p>
                  <w:pPr>
                    <w:pStyle w:val="null3"/>
                    <w:ind w:firstLine="480"/>
                    <w:jc w:val="left"/>
                  </w:pPr>
                  <w:r>
                    <w:rPr>
                      <w:rFonts w:ascii="仿宋_GB2312" w:hAnsi="仿宋_GB2312" w:cs="仿宋_GB2312" w:eastAsia="仿宋_GB2312"/>
                    </w:rPr>
                    <w:t>由采购人或者服务对象依据入围产品价格、质量以及服务便利性、用户评价等因素，从第一阶段入围供应商中直接选定。</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临高县财政局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3、解密响应文件（实质性要求）</w:t>
      </w:r>
    </w:p>
    <w:p>
      <w:pPr>
        <w:pStyle w:val="null3"/>
        <w:ind w:firstLine="480"/>
        <w:jc w:val="both"/>
      </w:pPr>
      <w:r>
        <w:rPr>
          <w:rFonts w:ascii="仿宋_GB2312" w:hAnsi="仿宋_GB2312" w:cs="仿宋_GB2312" w:eastAsia="仿宋_GB2312"/>
        </w:rPr>
        <w:t>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4、开启</w:t>
      </w:r>
    </w:p>
    <w:p>
      <w:pPr>
        <w:pStyle w:val="null3"/>
        <w:ind w:firstLine="480"/>
        <w:jc w:val="both"/>
      </w:pPr>
      <w:r>
        <w:rPr>
          <w:rFonts w:ascii="仿宋_GB2312" w:hAnsi="仿宋_GB2312" w:cs="仿宋_GB2312" w:eastAsia="仿宋_GB2312"/>
        </w:rPr>
        <w:t>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海南和信源招标代理有限公司</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海南和信源招标代理有限公司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海南和信源招标代理有限公司</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地址：海口市蓝天路12-1号国机中洋公馆2号楼1101室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评审咨询服务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科学研究和技术服务业</w:t>
            </w:r>
          </w:p>
        </w:tc>
        <w:tc>
          <w:tcPr>
            <w:tcW w:type="dxa" w:w="831"/>
          </w:tcPr>
          <w:p>
            <w:pPr>
              <w:pStyle w:val="null3"/>
              <w:jc w:val="right"/>
            </w:pPr>
            <w:r>
              <w:rPr>
                <w:rFonts w:ascii="仿宋_GB2312" w:hAnsi="仿宋_GB2312" w:cs="仿宋_GB2312" w:eastAsia="仿宋_GB2312"/>
              </w:rPr>
              <w:t>以实际采购为准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开展业务应成立工作团队，设立项目负责人1名，专业技术人员4名。</w:t>
            </w:r>
          </w:p>
        </w:tc>
        <w:tc>
          <w:tcPr>
            <w:tcW w:type="dxa" w:w="1846"/>
          </w:tcPr>
          <w:p>
            <w:pPr>
              <w:pStyle w:val="null3"/>
              <w:jc w:val="left"/>
            </w:pPr>
            <w:r>
              <w:rPr>
                <w:rFonts w:ascii="仿宋_GB2312" w:hAnsi="仿宋_GB2312" w:cs="仿宋_GB2312" w:eastAsia="仿宋_GB2312"/>
              </w:rPr>
              <w:t>团队工作人员须具备包括但不限于开展预算评审，竣工结算审核等相关业务执业资格工作能力和工作经验。</w:t>
            </w:r>
          </w:p>
        </w:tc>
        <w:tc>
          <w:tcPr>
            <w:tcW w:type="dxa" w:w="1846"/>
          </w:tcPr>
          <w:p>
            <w:pPr>
              <w:pStyle w:val="null3"/>
              <w:jc w:val="left"/>
            </w:pPr>
            <w:r>
              <w:rPr>
                <w:rFonts w:ascii="仿宋_GB2312" w:hAnsi="仿宋_GB2312" w:cs="仿宋_GB2312" w:eastAsia="仿宋_GB2312"/>
              </w:rPr>
              <w:t>5</w:t>
            </w:r>
          </w:p>
        </w:tc>
        <w:tc>
          <w:tcPr>
            <w:tcW w:type="dxa" w:w="1846"/>
          </w:tcPr>
          <w:p>
            <w:pPr>
              <w:pStyle w:val="null3"/>
              <w:jc w:val="left"/>
            </w:pPr>
            <w:r>
              <w:rPr>
                <w:rFonts w:ascii="仿宋_GB2312" w:hAnsi="仿宋_GB2312" w:cs="仿宋_GB2312" w:eastAsia="仿宋_GB2312"/>
              </w:rPr>
              <w:t>人</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采购标的：评审咨询服务（评审咨询服务）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征集人根据各项目实际需要从入围供应商中选定服务单位，并与成交供应商签订采购合同，委托其负责临高县财政预结算评审咨询服务。</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1. 入围供应商需指派专人担任本服务期的管理及咨询负责人，管理及咨询负责人应能与征集人和相关单位有效沟通，确保审核质量并承担相应责任。</w:t>
              <w:br/>
              <w:t>2. 本项目采用的咨询规范、标准，依据国家法律、法规执行“独立、公正、科学”的行业准则，若国家有新的规定从其执行。</w:t>
              <w:br/>
              <w:t>3. 供应商在接受委托任务后应积极主动地与征集人联系，落实具体事宜，安排充足的人员在规定的时间内完成委托任务，并将安排的负责人及相关工作人员姓名与联系电话书面反馈给征集人。</w:t>
              <w:br/>
              <w:t>4. 为加强对中标人的管理，提高预结算评审咨询质量，结合实际评审过程管理考核等因素，采购单位根据对中标人项目评审咨询质量考核，对考核未通过的单位有权暂停安排项目、扣减劳务费用或终止委托等措施。</w:t>
              <w:br/>
              <w:t>5. 中标人在合同履约期间，因违纪违法、重大责任事故或被造价行业管理部门通报批评、整改、建议注销或处罚的，采购单位有权取消其中标资格且终止委托服务，并保留对其进一步处理的权利，其余下的业务采购人可平均分摊至其他中标人。</w:t>
              <w:br/>
              <w:t>6. 供应商不得以任何形式对外提供、泄漏或公开评审项目的有关情况，如项目信息、评审结果等。如发现供应商有违规情况并经查实的，征集人有权终止协议并追究供应商违约责任。</w:t>
              <w:br/>
              <w:t>7. 供应商已为拟委托审核的项目提供预算编制工作的，应主动向征集人提出不能再接受该项目的审核服务委托。如发现供应商有违规情况并经查实的，征集人有权终止协议并追究供应商违约责任。</w:t>
              <w:br/>
              <w:t>8. 不得向项目建设单位收取任何费用，在未经许可、非工作需要情况下不得私自接触建设单位项目管理人员。服务期内，供应商出现违反廉洁从业规定时，征集人将实行一票否决，终止协议并追究供应商相关责任。</w:t>
              <w:br/>
              <w:t>9. 征集人认为有必要时，可以约谈、询问供应商的法人代表及相关负责人，供应商不得拒绝。</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自框架协议签订之日起 2年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临高县</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一次付清</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1）正常推进的项目，供应商提交经征集人验收合格的项目预算审核报告，并获得政府批复后支付。</w:t>
              <w:br/>
              <w:t>2）由于政府原因导致项目暂停、取消或变更审批主体等情形，根据项目预算审核工作开展情况按如下原则支付：</w:t>
              <w:br/>
              <w:t>①供应商已开展委托项目预算审核工作，对项目送审资料已出具书面审查意见，但未出具项目预算初步审核结果的，依据供应商出具的书面审查意见和征集人经验收合格且同意支付意见，支付该项目全部审核咨询服务费的15%；</w:t>
              <w:br/>
              <w:t>②供应商已完成委托项目预算初步审核工作，并已将项目预算初步审核结果报送征集人，依据项目预算初步审核报告和征集人经验收合格且同意支付意见，支付该项目全部审核咨询服务费的50%；</w:t>
              <w:br/>
              <w:t>③供应商已完成委托项目预算审核工作，并已将项目预算审核报告报送征集人，依据项目预算审核报告和征集人经验收合格且同意支付意见，支付该项目全部审核咨询服务费的100%。</w:t>
              <w:br/>
              <w:t>3）由于政府原因导致项目暂停、取消或变更审批主体等情形发生，且征集人已按相应比例支付审核咨询服务费的项目，如项目在协议有效期内重新启动或继续推进的，供应商有义务按征集人要求重新或继续完成该项目预算审核工作。因项目重启或继续推进需增加审核咨询服务费的，双方协商确定。</w:t>
              <w:br/>
              <w:t>4）征集人支付条件成就后，供应商向征集人提出付款申请，征集人在收到供应商提出的付款申请和发票后一个月内支付项目预算审核咨询服务费。若受预算未到位、审批流程等政府内部工作造成延迟支付合同款项的，不视为逾期支付和违约，征集人无需因此支付利息或违约金。</w:t>
              <w:br/>
              <w:t>5）征集人以银行转账方式向供应商支付审核咨询服务费。供应商指定协议载明的供应商银行账号为收款银行账号。如供应商变更收款账户信息的，应在征集人付款前七个工作日以书面形式通知征集人。否则，相应责任由供应商自行承担。征集人支付咨询服务费前，供应商应开具相应金额的发票作为请款资料，否则征集人有权拒绝付款，由此造成逾期付款的责任及后果均由供应商自行承担。</w:t>
              <w:br/>
              <w:t>6）征集人有权在审核咨询服务费中扣除供应商应付的违约金及赔偿款等费用。</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售后服务</w:t>
            </w:r>
          </w:p>
        </w:tc>
        <w:tc>
          <w:tcPr>
            <w:tcW w:type="dxa" w:w="2076"/>
          </w:tcPr>
          <w:p>
            <w:pPr>
              <w:pStyle w:val="null3"/>
              <w:jc w:val="left"/>
            </w:pPr>
            <w:r>
              <w:rPr>
                <w:rFonts w:ascii="仿宋_GB2312" w:hAnsi="仿宋_GB2312" w:cs="仿宋_GB2312" w:eastAsia="仿宋_GB2312"/>
              </w:rPr>
              <w:t>1.质量保证期：按行业规定</w:t>
              <w:br/>
              <w:t>2.处理问题响应时间：根据实际需求及时响应，到达征集人指定现场。</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一、确定第一阶段入围供应商</w:t>
              <w:br/>
              <w:t>1）预估第一阶段入围供应商的数量：6家（若提交响应文件和符合资格条件、实质性要求的供应商在6家（含）以下，则全部入围第一阶段）</w:t>
              <w:br/>
              <w:t>2）若提交响应文件和符合资格条件、实质性要求的供应商在6家以上，则采用质量优先法确定第一阶段入围供应商。对投标供应商在服务内容、服务水平、履约能力、服务经验等方面进行综合评审，对可量化指标划分等次作为评分项。</w:t>
              <w:br/>
              <w:t>3）在确定第一阶段入围供应商时，提交投标文件和符合资格条件、实质性要求的供应商数量少于3家，按采购失败处理。</w:t>
              <w:br/>
              <w:t>二、确定第二阶段成交供应商方式：直接选定。</w:t>
              <w:br/>
              <w:t>确定第二阶段成交供应商应当由采购人或者服务对象依据入围产品价格、质量以及服务便利性、用户评价等因素，从第一阶段入围供应商中直接选定。</w:t>
              <w:br/>
              <w:t>三、提交服务成果时间及要求：详见附件-临高县政府投资项目预（结）算审核咨询服务中介机构管理办法。</w:t>
              <w:br/>
              <w:t>以征集人与成交供应商签订的采购合同约定为准。原则上供应商提交时，可先提交电子版，确认后再打印足额份数签认。</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服务标准</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元</w:t>
            </w:r>
          </w:p>
        </w:tc>
        <w:tc>
          <w:tcPr>
            <w:tcW w:type="dxa" w:w="1234"/>
          </w:tcPr>
          <w:p>
            <w:pPr>
              <w:pStyle w:val="null3"/>
              <w:jc w:val="right"/>
            </w:pPr>
            <w:r>
              <w:rPr>
                <w:rFonts w:ascii="仿宋_GB2312" w:hAnsi="仿宋_GB2312" w:cs="仿宋_GB2312" w:eastAsia="仿宋_GB2312"/>
              </w:rPr>
              <w:t>最高限价：5,000,000.00</w:t>
            </w:r>
          </w:p>
        </w:tc>
        <w:tc>
          <w:tcPr>
            <w:tcW w:type="dxa" w:w="1234"/>
          </w:tcPr>
          <w:p>
            <w:pPr>
              <w:pStyle w:val="null3"/>
              <w:jc w:val="left"/>
            </w:pPr>
            <w:r>
              <w:rPr>
                <w:rFonts w:ascii="仿宋_GB2312" w:hAnsi="仿宋_GB2312" w:cs="仿宋_GB2312" w:eastAsia="仿宋_GB2312"/>
              </w:rPr>
              <w:t>单价</w:t>
            </w:r>
          </w:p>
        </w:tc>
        <w:tc>
          <w:tcPr>
            <w:tcW w:type="dxa" w:w="12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报价说明：供应商投标报价统一按500万元填写，供应商的响应报价已包括了实施和完成咨询服务工作所需的审核费、踏勘现场费、差旅费、食宿费、通讯费等全部费用，征集人不再另行支付任何费用。 2.评审取费标准：详见附件（临高县财政局收费标准）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投标人应提交的相关证明</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供应商应在海南省工程建设标准定额信息网完成《诚信档案手册》登记</w:t>
            </w:r>
          </w:p>
        </w:tc>
        <w:tc>
          <w:tcPr>
            <w:tcW w:type="dxa" w:w="3322"/>
          </w:tcPr>
          <w:p>
            <w:pPr>
              <w:pStyle w:val="null3"/>
              <w:jc w:val="left"/>
            </w:pPr>
            <w:r>
              <w:rPr>
                <w:rFonts w:ascii="仿宋_GB2312" w:hAnsi="仿宋_GB2312" w:cs="仿宋_GB2312" w:eastAsia="仿宋_GB2312"/>
              </w:rPr>
              <w:t>提供电子版海南省建设工程造价咨询企业信用管理手册并加盖公章</w:t>
            </w:r>
          </w:p>
        </w:tc>
        <w:tc>
          <w:tcPr>
            <w:tcW w:type="dxa" w:w="1661"/>
          </w:tcPr>
          <w:p>
            <w:pPr>
              <w:pStyle w:val="null3"/>
              <w:jc w:val="left"/>
            </w:pPr>
            <w:r>
              <w:rPr>
                <w:rFonts w:ascii="仿宋_GB2312" w:hAnsi="仿宋_GB2312" w:cs="仿宋_GB2312" w:eastAsia="仿宋_GB2312"/>
              </w:rPr>
              <w:t>投标人应提交的相关证明</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投标人必须为未被列入信用中国“重大税收违法失信主体”、中国执行信息公开网 “失信被执行人”、中国政府采购网“严重违法失信行为记录名单”</w:t>
            </w:r>
          </w:p>
        </w:tc>
        <w:tc>
          <w:tcPr>
            <w:tcW w:type="dxa" w:w="3322"/>
          </w:tcPr>
          <w:p>
            <w:pPr>
              <w:pStyle w:val="null3"/>
              <w:jc w:val="left"/>
            </w:pPr>
            <w:r>
              <w:rPr>
                <w:rFonts w:ascii="仿宋_GB2312" w:hAnsi="仿宋_GB2312" w:cs="仿宋_GB2312" w:eastAsia="仿宋_GB2312"/>
              </w:rPr>
              <w:t>提供承诺函或相关证明材料并加盖投标人电子公章，承诺函格式不限，由投标人自拟</w:t>
            </w:r>
          </w:p>
        </w:tc>
        <w:tc>
          <w:tcPr>
            <w:tcW w:type="dxa" w:w="1661"/>
          </w:tcPr>
          <w:p>
            <w:pPr>
              <w:pStyle w:val="null3"/>
              <w:jc w:val="left"/>
            </w:pPr>
            <w:r>
              <w:rPr>
                <w:rFonts w:ascii="仿宋_GB2312" w:hAnsi="仿宋_GB2312" w:cs="仿宋_GB2312" w:eastAsia="仿宋_GB2312"/>
              </w:rPr>
              <w:t>投标人应提交的相关证明</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提供承诺函并加盖投标人电子公章，承诺函格式不限，由投标人自拟</w:t>
            </w:r>
          </w:p>
        </w:tc>
        <w:tc>
          <w:tcPr>
            <w:tcW w:type="dxa" w:w="1661"/>
          </w:tcPr>
          <w:p>
            <w:pPr>
              <w:pStyle w:val="null3"/>
              <w:jc w:val="left"/>
            </w:pPr>
            <w:r>
              <w:rPr>
                <w:rFonts w:ascii="仿宋_GB2312" w:hAnsi="仿宋_GB2312" w:cs="仿宋_GB2312" w:eastAsia="仿宋_GB2312"/>
              </w:rPr>
              <w:t>投标人应提交的相关证明</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在本单位注册的国家一级注册造价工程师</w:t>
              <w:br/>
              <w:t>证明材料：提供注册证及2025年1月至今连续3个月的社保证明材料（须由社会保障部门盖章确认）复印件加盖公章。可为分公司人员，如退休人员请提供退休证及劳动合同。证明文件原国家建设部颁发的造价工程师注册证书等同于国家一级造价工程师注册证书。</w:t>
            </w:r>
          </w:p>
        </w:tc>
        <w:tc>
          <w:tcPr>
            <w:tcW w:type="dxa" w:w="1661"/>
          </w:tcPr>
          <w:p>
            <w:pPr>
              <w:pStyle w:val="null3"/>
              <w:jc w:val="left"/>
            </w:pPr>
            <w:r>
              <w:rPr>
                <w:rFonts w:ascii="仿宋_GB2312" w:hAnsi="仿宋_GB2312" w:cs="仿宋_GB2312" w:eastAsia="仿宋_GB2312"/>
              </w:rPr>
              <w:t>投标人应提交的相关证明</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2、审查供应商响应文件等是否满足征集文件要求，并作出评价；</w:t>
      </w:r>
    </w:p>
    <w:p>
      <w:pPr>
        <w:pStyle w:val="null3"/>
        <w:ind w:firstLine="480"/>
        <w:jc w:val="both"/>
      </w:pPr>
      <w:r>
        <w:rPr>
          <w:rFonts w:ascii="仿宋_GB2312" w:hAnsi="仿宋_GB2312" w:cs="仿宋_GB2312" w:eastAsia="仿宋_GB2312"/>
        </w:rPr>
        <w:t>3、根据需要要求征集人对征集文件作出解释；根据需要要求供应商对响应文件有关事项作出澄清、说明或者更正；</w:t>
      </w:r>
    </w:p>
    <w:p>
      <w:pPr>
        <w:pStyle w:val="null3"/>
        <w:ind w:firstLine="480"/>
        <w:jc w:val="left"/>
      </w:pPr>
      <w:r>
        <w:rPr>
          <w:rFonts w:ascii="仿宋_GB2312" w:hAnsi="仿宋_GB2312" w:cs="仿宋_GB2312" w:eastAsia="仿宋_GB2312"/>
        </w:rPr>
        <w:t>4、确定入围供应商名单；</w:t>
      </w:r>
    </w:p>
    <w:p>
      <w:pPr>
        <w:pStyle w:val="null3"/>
        <w:ind w:firstLine="480"/>
        <w:jc w:val="both"/>
      </w:pPr>
      <w:r>
        <w:rPr>
          <w:rFonts w:ascii="仿宋_GB2312" w:hAnsi="仿宋_GB2312" w:cs="仿宋_GB2312" w:eastAsia="仿宋_GB2312"/>
        </w:rPr>
        <w:t>5、起草评审报告并进行签署；</w:t>
      </w:r>
    </w:p>
    <w:p>
      <w:pPr>
        <w:pStyle w:val="null3"/>
        <w:ind w:firstLine="480"/>
        <w:jc w:val="both"/>
      </w:pPr>
      <w:r>
        <w:rPr>
          <w:rFonts w:ascii="仿宋_GB2312" w:hAnsi="仿宋_GB2312" w:cs="仿宋_GB2312" w:eastAsia="仿宋_GB2312"/>
        </w:rPr>
        <w:t>6、向征集人、财政部门或者其他监督部门报告非法干预评审工作的行为；</w:t>
      </w:r>
    </w:p>
    <w:p>
      <w:pPr>
        <w:pStyle w:val="null3"/>
        <w:ind w:firstLine="480"/>
        <w:jc w:val="both"/>
      </w:pPr>
      <w:r>
        <w:rPr>
          <w:rFonts w:ascii="仿宋_GB2312" w:hAnsi="仿宋_GB2312" w:cs="仿宋_GB2312" w:eastAsia="仿宋_GB2312"/>
        </w:rPr>
        <w:t>7、法律、法规和规章规定的其他职责。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w:t>
            </w:r>
          </w:p>
        </w:tc>
        <w:tc>
          <w:tcPr>
            <w:tcW w:type="dxa" w:w="3322"/>
          </w:tcPr>
          <w:p>
            <w:pPr>
              <w:pStyle w:val="null3"/>
              <w:jc w:val="left"/>
            </w:pPr>
            <w:r>
              <w:rPr>
                <w:rFonts w:ascii="仿宋_GB2312" w:hAnsi="仿宋_GB2312" w:cs="仿宋_GB2312" w:eastAsia="仿宋_GB2312"/>
              </w:rPr>
              <w:t>按征集文件的规定编制、签署、盖章、签名</w:t>
            </w:r>
          </w:p>
        </w:tc>
        <w:tc>
          <w:tcPr>
            <w:tcW w:type="dxa" w:w="1661"/>
          </w:tcPr>
          <w:p>
            <w:pPr>
              <w:pStyle w:val="null3"/>
              <w:jc w:val="left"/>
            </w:pPr>
            <w:r>
              <w:rPr>
                <w:rFonts w:ascii="仿宋_GB2312" w:hAnsi="仿宋_GB2312" w:cs="仿宋_GB2312" w:eastAsia="仿宋_GB2312"/>
              </w:rPr>
              <w:t>报价一览表 报价明细表 投标人应提交的相关证明 商务应答表 服务内容及服务要求应答表 封面 响应函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投标有效期</w:t>
            </w:r>
          </w:p>
        </w:tc>
        <w:tc>
          <w:tcPr>
            <w:tcW w:type="dxa" w:w="3322"/>
          </w:tcPr>
          <w:p>
            <w:pPr>
              <w:pStyle w:val="null3"/>
              <w:jc w:val="left"/>
            </w:pPr>
            <w:r>
              <w:rPr>
                <w:rFonts w:ascii="仿宋_GB2312" w:hAnsi="仿宋_GB2312" w:cs="仿宋_GB2312" w:eastAsia="仿宋_GB2312"/>
              </w:rPr>
              <w:t>响应征集文件的要求</w:t>
            </w:r>
          </w:p>
        </w:tc>
        <w:tc>
          <w:tcPr>
            <w:tcW w:type="dxa" w:w="1661"/>
          </w:tcPr>
          <w:p>
            <w:pPr>
              <w:pStyle w:val="null3"/>
              <w:jc w:val="left"/>
            </w:pPr>
            <w:r>
              <w:rPr>
                <w:rFonts w:ascii="仿宋_GB2312" w:hAnsi="仿宋_GB2312" w:cs="仿宋_GB2312" w:eastAsia="仿宋_GB2312"/>
              </w:rPr>
              <w:t>投标人应提交的相关证明 响应函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报价</w:t>
            </w:r>
          </w:p>
        </w:tc>
        <w:tc>
          <w:tcPr>
            <w:tcW w:type="dxa" w:w="3322"/>
          </w:tcPr>
          <w:p>
            <w:pPr>
              <w:pStyle w:val="null3"/>
              <w:jc w:val="left"/>
            </w:pPr>
            <w:r>
              <w:rPr>
                <w:rFonts w:ascii="仿宋_GB2312" w:hAnsi="仿宋_GB2312" w:cs="仿宋_GB2312" w:eastAsia="仿宋_GB2312"/>
              </w:rPr>
              <w:t>响应征集文件的要求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无其他无效响应文件认定条件</w:t>
            </w:r>
          </w:p>
        </w:tc>
        <w:tc>
          <w:tcPr>
            <w:tcW w:type="dxa" w:w="1661"/>
          </w:tcPr>
          <w:p>
            <w:pPr>
              <w:pStyle w:val="null3"/>
              <w:jc w:val="left"/>
            </w:pPr>
            <w:r>
              <w:rPr>
                <w:rFonts w:ascii="仿宋_GB2312" w:hAnsi="仿宋_GB2312" w:cs="仿宋_GB2312" w:eastAsia="仿宋_GB2312"/>
              </w:rPr>
              <w:t>{{未填写}}</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5、对不同语言文本响应文件的解释发生异议的，以中文文本为准。</w:t>
      </w:r>
    </w:p>
    <w:p>
      <w:pPr>
        <w:pStyle w:val="null3"/>
        <w:ind w:firstLine="480"/>
        <w:jc w:val="left"/>
      </w:pPr>
      <w:r>
        <w:rPr>
          <w:rFonts w:ascii="仿宋_GB2312" w:hAnsi="仿宋_GB2312" w:cs="仿宋_GB2312" w:eastAsia="仿宋_GB2312"/>
        </w:rPr>
        <w:t>6、征集人宣布评审结束之前，供应商应通过框架协议电子化采购系统随时关注评审消息提示，及时响应评审委员会发出的澄清、说明或补正要求。供应商未能及时响应的，自行承担不利后果。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7、评审委员会应当积极履行澄清、说明或者更正的职责，不得滥用权力。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（1）评审委员会按淘汰率计算得出淘汰供应商数量，即淘汰供应商数量=有效报价供应商数量*淘汰率。计算出的淘汰供应商数量存在小数的，按照四舍五入的原则，确定需要淘汰供应商的数量。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评审细则及标准</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价格评审：10.00分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1月至今承投标人承接（建筑、市政公共工程、水利水电、交通工程、信息工程等）任一类型）类似相关业绩经验(包括但不限于预结算评审、竣工结算审核、招标控制价编制等)，送审造价金额5000万元（不含）以下的每个项目得2分；送审造价金额5000万元（含）以上的每个项目得4分；满分20分。</w:t>
              <w:br/>
              <w:t>证明材料：提供合同或中标通知书复印件加盖公章，以合同或中标通知书签订时间为准。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投标人应提交的相关证明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项目负责人除具有在本单位注册的国家一级注册造价工程师外，同时具有中级职称得1分，同时具有高级或以上职称得2分。</w:t>
              <w:br/>
              <w:t>证明材料：提供注册证、职称证及2025年1月至今连续3个月的社保证明材料（须由社会保障部门盖章确认）复印件加盖公章。可为分公司人员，如退休人员请提供退休证及劳动合同证明文件原国家建设部颁发的造价工程师注册证书等同于国家一级造价工程师注册证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项目团队（除项目负责人外）</w:t>
            </w:r>
          </w:p>
        </w:tc>
        <w:tc>
          <w:tcPr>
            <w:tcW w:type="dxa" w:w="2492"/>
          </w:tcPr>
          <w:p>
            <w:pPr>
              <w:pStyle w:val="null3"/>
              <w:jc w:val="left"/>
            </w:pPr>
            <w:r>
              <w:rPr>
                <w:rFonts w:ascii="仿宋_GB2312" w:hAnsi="仿宋_GB2312" w:cs="仿宋_GB2312" w:eastAsia="仿宋_GB2312"/>
              </w:rPr>
              <w:t>拟派本项目的造价团队人员（除项目负责人外）：</w:t>
              <w:br/>
              <w:t>（1）具有本单位注册的二级造价师每人得1分，最高得2分，具有本单位注册的国家一级注册造价工程师且在有效注册期内的每人得2分，最高得8分，此小项满分8分；</w:t>
              <w:br/>
              <w:t>（2）团队人员达6-8人1分，9-11人以上2分，12及以上3分；</w:t>
              <w:br/>
              <w:t>（3）具有一级造价师人员专业类型2个得2分，3个得3分，4个得4分；</w:t>
              <w:br/>
              <w:t>（4）团队人员中同时具有中级职称的每人1分，同时具有高级或以上职称，每人2分，最高得8分。</w:t>
              <w:br/>
              <w:t>备注：团队人员需具有相关造价工程师证书，同一人具备不同专业的，不重复计分；同一人具备不同级别注册造价师的，不重复计分；原国家建设部颁发的造价工程师注册证书等同于国家一级造价工程师注册证书</w:t>
              <w:br/>
              <w:t>证明材料：注册证、职称证及2025年1月至今连续3个月的社保证明材料（须由社会保障部门盖章确认）复印件加盖公章。可为分公司人员，如退休人员请提供退休证及劳动合同证明文件。</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投标人应提交的相关证明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项目服务实施方案</w:t>
            </w:r>
          </w:p>
        </w:tc>
        <w:tc>
          <w:tcPr>
            <w:tcW w:type="dxa" w:w="2492"/>
          </w:tcPr>
          <w:p>
            <w:pPr>
              <w:pStyle w:val="null3"/>
              <w:jc w:val="left"/>
            </w:pPr>
            <w:r>
              <w:rPr>
                <w:rFonts w:ascii="仿宋_GB2312" w:hAnsi="仿宋_GB2312" w:cs="仿宋_GB2312" w:eastAsia="仿宋_GB2312"/>
              </w:rPr>
              <w:t>项目服务实施方案科学合理、规范、可实施性强，各环节衔接科学合理有详细的措施方案，得15分; 项目服务实施方案较科学合理、较规范、可实施性较强，各环节衔接较科学合理，有较详细的措施方案，得12分; 项目服务实施方案编制一般，得9分; 项目服务实施方案编制较差，得6分; 缺项，得0分。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工作重点、难点分析及控制方案</w:t>
            </w:r>
          </w:p>
        </w:tc>
        <w:tc>
          <w:tcPr>
            <w:tcW w:type="dxa" w:w="2492"/>
          </w:tcPr>
          <w:p>
            <w:pPr>
              <w:pStyle w:val="null3"/>
              <w:jc w:val="left"/>
            </w:pPr>
            <w:r>
              <w:rPr>
                <w:rFonts w:ascii="仿宋_GB2312" w:hAnsi="仿宋_GB2312" w:cs="仿宋_GB2312" w:eastAsia="仿宋_GB2312"/>
              </w:rPr>
              <w:t>工作重点、难点分析全面合理，控制方案科学、可行，得5分;工作重点、难点分析较全面合理，控制方案较科学、较可行，得4分; 工作重点、难点分析及控制方案一般，得3分;工作重点、难点分析及控制方案较差，得2分; 缺项，得0分。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投标人应提交的相关证明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质量控制措施</w:t>
            </w:r>
          </w:p>
        </w:tc>
        <w:tc>
          <w:tcPr>
            <w:tcW w:type="dxa" w:w="2492"/>
          </w:tcPr>
          <w:p>
            <w:pPr>
              <w:pStyle w:val="null3"/>
              <w:jc w:val="left"/>
            </w:pPr>
            <w:r>
              <w:rPr>
                <w:rFonts w:ascii="仿宋_GB2312" w:hAnsi="仿宋_GB2312" w:cs="仿宋_GB2312" w:eastAsia="仿宋_GB2312"/>
              </w:rPr>
              <w:t>质量控制措施完善细致、措施健全、切实可行，得5分;</w:t>
              <w:br/>
              <w:t>质量控制措施较完善细致、措施较健全、较切实可行，得4分;</w:t>
              <w:br/>
              <w:t xml:space="preserve"> 质量控制措施一般，得3分;</w:t>
              <w:br/>
              <w:t xml:space="preserve"> 质量控制措施较差，得2分;</w:t>
              <w:br/>
              <w:t>缺项，得0分。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投标人应提交的相关证明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进度控制措施</w:t>
            </w:r>
          </w:p>
        </w:tc>
        <w:tc>
          <w:tcPr>
            <w:tcW w:type="dxa" w:w="2492"/>
          </w:tcPr>
          <w:p>
            <w:pPr>
              <w:pStyle w:val="null3"/>
              <w:jc w:val="left"/>
            </w:pPr>
            <w:r>
              <w:rPr>
                <w:rFonts w:ascii="仿宋_GB2312" w:hAnsi="仿宋_GB2312" w:cs="仿宋_GB2312" w:eastAsia="仿宋_GB2312"/>
              </w:rPr>
              <w:t>进度控制措施完善细致、措施健全、切实可行，得5分;进度控制措施较完善细致、措施较健全、较切实可行，得4分;进度控制措施一般，得3分; 进度控制措施较差，得2分; 缺项，得 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投标人应提交的相关证明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保密制度</w:t>
            </w:r>
          </w:p>
        </w:tc>
        <w:tc>
          <w:tcPr>
            <w:tcW w:type="dxa" w:w="2492"/>
          </w:tcPr>
          <w:p>
            <w:pPr>
              <w:pStyle w:val="null3"/>
              <w:jc w:val="left"/>
            </w:pPr>
            <w:r>
              <w:rPr>
                <w:rFonts w:ascii="仿宋_GB2312" w:hAnsi="仿宋_GB2312" w:cs="仿宋_GB2312" w:eastAsia="仿宋_GB2312"/>
              </w:rPr>
              <w:t>保密制度合理完善、内容详尽，得5分; 保密制度较合理完善、内容较详尽，得4分; 保密制度一般，得3分;保密制度较差，得2分; 缺项，得0分。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廉洁和守信制度</w:t>
            </w:r>
          </w:p>
        </w:tc>
        <w:tc>
          <w:tcPr>
            <w:tcW w:type="dxa" w:w="2492"/>
          </w:tcPr>
          <w:p>
            <w:pPr>
              <w:pStyle w:val="null3"/>
              <w:jc w:val="left"/>
            </w:pPr>
            <w:r>
              <w:rPr>
                <w:rFonts w:ascii="仿宋_GB2312" w:hAnsi="仿宋_GB2312" w:cs="仿宋_GB2312" w:eastAsia="仿宋_GB2312"/>
              </w:rPr>
              <w:t>廉洁和守信制度合理完善、内容详尽，得5分；廉洁和守信制度较合理完善、内容较详尽，得4分；廉洁和守信制度一般，得3分；廉洁和守信制度较差，得2分； 缺项，得0分。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服务承诺</w:t>
            </w:r>
          </w:p>
        </w:tc>
        <w:tc>
          <w:tcPr>
            <w:tcW w:type="dxa" w:w="2492"/>
          </w:tcPr>
          <w:p>
            <w:pPr>
              <w:pStyle w:val="null3"/>
              <w:jc w:val="left"/>
            </w:pPr>
            <w:r>
              <w:rPr>
                <w:rFonts w:ascii="仿宋_GB2312" w:hAnsi="仿宋_GB2312" w:cs="仿宋_GB2312" w:eastAsia="仿宋_GB2312"/>
              </w:rPr>
              <w:t>服务承诺合理完善、有利于项目实施，得5分；服务承诺较合理完善、较有利于项目实施，得4分; 服务承诺一般，得3分; 服务承诺较差，得2分；缺项，得0分。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投标人应提交的相关证明</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评审内容</w:t>
            </w:r>
          </w:p>
        </w:tc>
        <w:tc>
          <w:tcPr>
            <w:tcW w:type="dxa" w:w="2076"/>
          </w:tcPr>
          <w:p>
            <w:pPr>
              <w:pStyle w:val="null3"/>
              <w:jc w:val="left"/>
            </w:pPr>
            <w:r>
              <w:rPr>
                <w:rFonts w:ascii="仿宋_GB2312" w:hAnsi="仿宋_GB2312" w:cs="仿宋_GB2312" w:eastAsia="仿宋_GB2312"/>
              </w:rPr>
              <w:t xml:space="preserve"> 具体标准和要求</w:t>
            </w:r>
          </w:p>
        </w:tc>
        <w:tc>
          <w:tcPr>
            <w:tcW w:type="dxa" w:w="1038"/>
          </w:tcPr>
          <w:p>
            <w:pPr>
              <w:pStyle w:val="null3"/>
              <w:jc w:val="left"/>
            </w:pPr>
            <w:r>
              <w:rPr>
                <w:rFonts w:ascii="仿宋_GB2312" w:hAnsi="仿宋_GB2312" w:cs="仿宋_GB2312" w:eastAsia="仿宋_GB2312"/>
              </w:rPr>
              <w:t>分值</w:t>
            </w:r>
          </w:p>
        </w:tc>
        <w:tc>
          <w:tcPr>
            <w:tcW w:type="dxa" w:w="2076"/>
          </w:tcPr>
          <w:p>
            <w:pPr>
              <w:pStyle w:val="null3"/>
              <w:jc w:val="center"/>
            </w:pPr>
            <w:r>
              <w:rPr>
                <w:rFonts w:ascii="仿宋_GB2312" w:hAnsi="仿宋_GB2312" w:cs="仿宋_GB2312" w:eastAsia="仿宋_GB2312"/>
              </w:rPr>
              <w:t xml:space="preserve"> 关联投标（响应）文件格式文件</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投标价格得分</w:t>
            </w:r>
          </w:p>
        </w:tc>
        <w:tc>
          <w:tcPr>
            <w:tcW w:type="dxa" w:w="2076"/>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1038"/>
          </w:tcPr>
          <w:p>
            <w:pPr>
              <w:pStyle w:val="null3"/>
              <w:jc w:val="right"/>
            </w:pPr>
            <w:r>
              <w:rPr>
                <w:rFonts w:ascii="仿宋_GB2312" w:hAnsi="仿宋_GB2312" w:cs="仿宋_GB2312" w:eastAsia="仿宋_GB2312"/>
              </w:rPr>
              <w:t>10.00</w:t>
            </w:r>
          </w:p>
        </w:tc>
        <w:tc>
          <w:tcPr>
            <w:tcW w:type="dxa" w:w="2076"/>
          </w:tcPr>
          <w:p>
            <w:pPr>
              <w:pStyle w:val="null3"/>
              <w:jc w:val="left"/>
            </w:pPr>
            <w:r>
              <w:rPr>
                <w:rFonts w:ascii="仿宋_GB2312" w:hAnsi="仿宋_GB2312" w:cs="仿宋_GB2312" w:eastAsia="仿宋_GB2312"/>
              </w:rPr>
              <w:t>报价一览表 报价明细表</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（一）若本项目授权评审委员会在评审报告确定的入围供应商候选人名单中按顺序直接确定入围供应商，确认后征集人在框架协议系统门户网站上发布入围结果公告，同时向入围供应商发出入围通知书。</w:t>
      </w:r>
    </w:p>
    <w:p>
      <w:pPr>
        <w:pStyle w:val="null3"/>
        <w:ind w:firstLine="480"/>
        <w:jc w:val="both"/>
      </w:pPr>
      <w:r>
        <w:rPr>
          <w:rFonts w:ascii="仿宋_GB2312" w:hAnsi="仿宋_GB2312" w:cs="仿宋_GB2312" w:eastAsia="仿宋_GB2312"/>
        </w:rPr>
        <w:t>（二）若本项目由征集人确认入围供应商则按以下规定执行：</w:t>
      </w:r>
    </w:p>
    <w:p>
      <w:pPr>
        <w:pStyle w:val="null3"/>
        <w:ind w:firstLine="480"/>
        <w:jc w:val="both"/>
      </w:pPr>
      <w:r>
        <w:rPr>
          <w:rFonts w:ascii="仿宋_GB2312" w:hAnsi="仿宋_GB2312" w:cs="仿宋_GB2312" w:eastAsia="仿宋_GB2312"/>
        </w:rPr>
        <w:t>1、征集人在评审报告确定的入围供应商候选人名单中按顺序确定入围供应商。</w:t>
      </w:r>
    </w:p>
    <w:p>
      <w:pPr>
        <w:pStyle w:val="null3"/>
        <w:ind w:firstLine="480"/>
        <w:jc w:val="left"/>
      </w:pPr>
      <w:r>
        <w:rPr>
          <w:rFonts w:ascii="仿宋_GB2312" w:hAnsi="仿宋_GB2312" w:cs="仿宋_GB2312" w:eastAsia="仿宋_GB2312"/>
        </w:rPr>
        <w:t>2、评审委员会在框架协议系统中编制评审情况，生成评审报告。</w:t>
      </w:r>
    </w:p>
    <w:p>
      <w:pPr>
        <w:pStyle w:val="null3"/>
        <w:ind w:firstLine="480"/>
        <w:jc w:val="left"/>
      </w:pPr>
      <w:r>
        <w:rPr>
          <w:rFonts w:ascii="仿宋_GB2312" w:hAnsi="仿宋_GB2312" w:cs="仿宋_GB2312" w:eastAsia="仿宋_GB2312"/>
        </w:rPr>
        <w:t>3、征集人应当在评审结束后2个工作日内将评审报告征集人内部进行确认。</w:t>
      </w:r>
    </w:p>
    <w:p>
      <w:pPr>
        <w:pStyle w:val="null3"/>
        <w:ind w:firstLine="480"/>
        <w:jc w:val="left"/>
      </w:pPr>
      <w:r>
        <w:rPr>
          <w:rFonts w:ascii="仿宋_GB2312" w:hAnsi="仿宋_GB2312" w:cs="仿宋_GB2312" w:eastAsia="仿宋_GB2312"/>
        </w:rPr>
        <w:t>4、征集人在收到评审报告5个工作日内未按评审报告推荐的入围供应商候选人顺序确定入围供应商，又不能说明合法理由的，视同按评审报告推荐的顺序确定入围供应商名单。</w:t>
      </w:r>
    </w:p>
    <w:p>
      <w:pPr>
        <w:pStyle w:val="null3"/>
        <w:ind w:firstLine="480"/>
        <w:jc w:val="left"/>
      </w:pPr>
      <w:r>
        <w:rPr>
          <w:rFonts w:ascii="仿宋_GB2312" w:hAnsi="仿宋_GB2312" w:cs="仿宋_GB2312" w:eastAsia="仿宋_GB2312"/>
        </w:rPr>
        <w:t>5、征集人应当自入围供应商确定之日起 2 个工作日内，在框架协议系统门户网站上公告入围结果。</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8、出现本条规定应当停止评审情形的，评审委员会应当通过框架协议电子化采购系统编制评审专家停止评审说明并发送给征集人，并在海南省政府采购智慧云平台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K4690240002025000003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临高县财政局预结算评审咨询服务框架协议采购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服务标准</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报价要求</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服务标准</w:t>
            </w:r>
          </w:p>
        </w:tc>
        <w:tc>
          <w:tcPr>
            <w:tcW w:type="dxa" w:w="1187"/>
          </w:tcPr>
          <w:p>
            <w:pPr>
              <w:pStyle w:val="null3"/>
              <w:jc w:val="left"/>
            </w:pPr>
            <w:r>
              <w:rPr>
                <w:rFonts w:ascii="仿宋_GB2312" w:hAnsi="仿宋_GB2312" w:cs="仿宋_GB2312" w:eastAsia="仿宋_GB2312"/>
              </w:rPr>
              <w:t xml:space="preserve"> 服务标准</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5,000,000元</w:t>
            </w:r>
          </w:p>
        </w:tc>
        <w:tc>
          <w:tcPr>
            <w:tcW w:type="dxa" w:w="1187"/>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187"/>
          </w:tcPr>
          <w:p>
            <w:pPr>
              <w:pStyle w:val="null3"/>
              <w:jc w:val="left"/>
            </w:pPr>
            <w:r>
              <w:rPr>
                <w:rFonts w:ascii="仿宋_GB2312" w:hAnsi="仿宋_GB2312" w:cs="仿宋_GB2312" w:eastAsia="仿宋_GB2312"/>
              </w:rPr>
              <w:t xml:space="preserve"> 单价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K4690240002025000003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临高县财政局预结算评审咨询服务框架协议采购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服务标准</w:t>
            </w:r>
          </w:p>
        </w:tc>
        <w:tc>
          <w:tcPr>
            <w:tcW w:type="dxa" w:w="1384"/>
          </w:tcPr>
          <w:p>
            <w:pPr>
              <w:pStyle w:val="null3"/>
              <w:jc w:val="left"/>
            </w:pPr>
            <w:r>
              <w:rPr>
                <w:rFonts w:ascii="仿宋_GB2312" w:hAnsi="仿宋_GB2312" w:cs="仿宋_GB2312" w:eastAsia="仿宋_GB2312"/>
              </w:rPr>
              <w:t xml:space="preserve"> 项</w:t>
            </w:r>
          </w:p>
        </w:tc>
        <w:tc>
          <w:tcPr>
            <w:tcW w:type="dxa" w:w="1384"/>
          </w:tcPr>
          <w:p>
            <w:pPr>
              <w:pStyle w:val="null3"/>
              <w:jc w:val="left"/>
            </w:pPr>
            <w:r>
              <w:rPr>
                <w:rFonts w:ascii="仿宋_GB2312" w:hAnsi="仿宋_GB2312" w:cs="仿宋_GB2312" w:eastAsia="仿宋_GB2312"/>
              </w:rPr>
              <w:t xml:space="preserve"> 5,000,000元</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384"/>
          </w:tcPr>
          <w:p>
            <w:pPr>
              <w:pStyle w:val="null3"/>
              <w:jc w:val="left"/>
            </w:pPr>
            <w:r>
              <w:rPr>
                <w:rFonts w:ascii="仿宋_GB2312" w:hAnsi="仿宋_GB2312" w:cs="仿宋_GB2312" w:eastAsia="仿宋_GB2312"/>
              </w:rPr>
              <w:t xml:space="preserve"> 单价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征集项目名称：</w:t>
      </w:r>
      <w:r>
        <w:rPr>
          <w:rFonts w:ascii="仿宋_GB2312" w:hAnsi="仿宋_GB2312" w:cs="仿宋_GB2312" w:eastAsia="仿宋_GB2312"/>
        </w:rPr>
        <w:t>${projectName}</w:t>
      </w:r>
    </w:p>
    <w:p>
      <w:pPr>
        <w:pStyle w:val="null3"/>
        <w:jc w:val="left"/>
      </w:pPr>
      <w:r>
        <w:rPr>
          <w:rFonts w:ascii="仿宋_GB2312" w:hAnsi="仿宋_GB2312" w:cs="仿宋_GB2312" w:eastAsia="仿宋_GB2312"/>
        </w:rPr>
        <w:t xml:space="preserve"> 征集项目编号：</w:t>
      </w:r>
      <w:r>
        <w:rPr>
          <w:rFonts w:ascii="仿宋_GB2312" w:hAnsi="仿宋_GB2312" w:cs="仿宋_GB2312" w:eastAsia="仿宋_GB2312"/>
        </w:rPr>
        <w:t>${projectCode}</w:t>
      </w:r>
    </w:p>
    <w:p>
      <w:pPr>
        <w:pStyle w:val="null3"/>
        <w:jc w:val="left"/>
      </w:pPr>
      <w:r>
        <w:rPr>
          <w:rFonts w:ascii="仿宋_GB2312" w:hAnsi="仿宋_GB2312" w:cs="仿宋_GB2312" w:eastAsia="仿宋_GB2312"/>
        </w:rPr>
        <w:t xml:space="preserve"> 采购包号：</w:t>
      </w:r>
      <w:r>
        <w:rPr>
          <w:rFonts w:ascii="仿宋_GB2312" w:hAnsi="仿宋_GB2312" w:cs="仿宋_GB2312" w:eastAsia="仿宋_GB2312"/>
        </w:rPr>
        <w:t>${packageId}</w:t>
      </w:r>
      <w:r>
        <w:br/>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br/>
      </w:r>
    </w:p>
    <w:p>
      <w:pPr>
        <w:pStyle w:val="null3"/>
        <w:jc w:val="left"/>
      </w:pPr>
      <w:r>
        <w:rPr>
          <w:rFonts w:ascii="仿宋_GB2312" w:hAnsi="仿宋_GB2312" w:cs="仿宋_GB2312" w:eastAsia="仿宋_GB2312"/>
        </w:rPr>
        <w:t>服务人员组成要求</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服务人员要求</w:t>
            </w:r>
          </w:p>
        </w:tc>
        <w:tc>
          <w:tcPr>
            <w:tcW w:type="dxa" w:w="1661"/>
          </w:tcPr>
          <w:p>
            <w:pPr>
              <w:pStyle w:val="null3"/>
              <w:jc w:val="left"/>
            </w:pPr>
            <w:r>
              <w:rPr>
                <w:rFonts w:ascii="仿宋_GB2312" w:hAnsi="仿宋_GB2312" w:cs="仿宋_GB2312" w:eastAsia="仿宋_GB2312"/>
              </w:rPr>
              <w:t>数量</w:t>
            </w:r>
          </w:p>
        </w:tc>
        <w:tc>
          <w:tcPr>
            <w:tcW w:type="dxa" w:w="166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操作</w:t>
            </w:r>
          </w:p>
        </w:tc>
      </w:tr>
      <w:tr>
        <w:tc>
          <w:tcPr>
            <w:tcW w:type="dxa" w:w="166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要求员、资质要求</w:t>
            </w:r>
          </w:p>
        </w:tc>
        <w:tc>
          <w:tcPr>
            <w:tcW w:type="dxa" w:w="166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r>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设置一至二名联络员，建立联络制度，如联络员联系电话有变动，应在实际发生变化时两个工作日内通知采购人</w:t>
            </w:r>
          </w:p>
        </w:tc>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bl>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海南省政府采购框架协议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 xml:space="preserve"> 征集人（甲方）：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ind w:firstLine="480"/>
        <w:jc w:val="left"/>
      </w:pPr>
      <w:r>
        <w:rPr>
          <w:rFonts w:ascii="仿宋_GB2312" w:hAnsi="仿宋_GB2312" w:cs="仿宋_GB2312" w:eastAsia="仿宋_GB2312"/>
        </w:rPr>
        <w:t xml:space="preserve"> 入围供应商（乙方）：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 xml:space="preserve"> 采购项目名称：</w:t>
      </w:r>
    </w:p>
    <w:p>
      <w:pPr>
        <w:pStyle w:val="null3"/>
        <w:ind w:firstLine="480"/>
        <w:jc w:val="left"/>
      </w:pPr>
      <w:r>
        <w:rPr>
          <w:rFonts w:ascii="仿宋_GB2312" w:hAnsi="仿宋_GB2312" w:cs="仿宋_GB2312" w:eastAsia="仿宋_GB2312"/>
        </w:rPr>
        <w:t xml:space="preserve"> 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 xml:space="preserve"> 1.标的名称：</w:t>
      </w:r>
    </w:p>
    <w:p>
      <w:pPr>
        <w:pStyle w:val="null3"/>
        <w:ind w:firstLine="480"/>
        <w:jc w:val="left"/>
      </w:pPr>
      <w:r>
        <w:rPr>
          <w:rFonts w:ascii="仿宋_GB2312" w:hAnsi="仿宋_GB2312" w:cs="仿宋_GB2312" w:eastAsia="仿宋_GB2312"/>
        </w:rPr>
        <w:t xml:space="preserve"> 2.服务内容：</w:t>
      </w:r>
    </w:p>
    <w:p>
      <w:pPr>
        <w:pStyle w:val="null3"/>
        <w:ind w:firstLine="480"/>
        <w:jc w:val="left"/>
      </w:pPr>
      <w:r>
        <w:rPr>
          <w:rFonts w:ascii="仿宋_GB2312" w:hAnsi="仿宋_GB2312" w:cs="仿宋_GB2312" w:eastAsia="仿宋_GB2312"/>
        </w:rPr>
        <w:t xml:space="preserve"> 3.服务要求</w:t>
      </w:r>
    </w:p>
    <w:p>
      <w:pPr>
        <w:pStyle w:val="null3"/>
        <w:ind w:firstLine="480"/>
        <w:jc w:val="left"/>
      </w:pPr>
      <w:r>
        <w:rPr>
          <w:rFonts w:ascii="仿宋_GB2312" w:hAnsi="仿宋_GB2312" w:cs="仿宋_GB2312" w:eastAsia="仿宋_GB2312"/>
        </w:rPr>
        <w:t xml:space="preserve"> (1)服务交付或者实施的地域范围：</w:t>
      </w:r>
    </w:p>
    <w:p>
      <w:pPr>
        <w:pStyle w:val="null3"/>
        <w:ind w:firstLine="480"/>
        <w:jc w:val="left"/>
      </w:pPr>
      <w:r>
        <w:rPr>
          <w:rFonts w:ascii="仿宋_GB2312" w:hAnsi="仿宋_GB2312" w:cs="仿宋_GB2312" w:eastAsia="仿宋_GB2312"/>
        </w:rPr>
        <w:t xml:space="preserve"> (2)服务期限：</w:t>
      </w:r>
    </w:p>
    <w:p>
      <w:pPr>
        <w:pStyle w:val="null3"/>
        <w:ind w:firstLine="480"/>
        <w:jc w:val="left"/>
      </w:pPr>
      <w:r>
        <w:rPr>
          <w:rFonts w:ascii="仿宋_GB2312" w:hAnsi="仿宋_GB2312" w:cs="仿宋_GB2312" w:eastAsia="仿宋_GB2312"/>
        </w:rPr>
        <w:t xml:space="preserve"> (3)考核（验收）标准和方法：</w:t>
      </w:r>
    </w:p>
    <w:p>
      <w:pPr>
        <w:pStyle w:val="null3"/>
        <w:ind w:firstLine="480"/>
        <w:jc w:val="left"/>
      </w:pPr>
      <w:r>
        <w:rPr>
          <w:rFonts w:ascii="仿宋_GB2312" w:hAnsi="仿宋_GB2312" w:cs="仿宋_GB2312" w:eastAsia="仿宋_GB2312"/>
        </w:rPr>
        <w:t xml:space="preserve"> (4)违约责任：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 xml:space="preserve"> （一）入围服务内容：</w:t>
      </w:r>
    </w:p>
    <w:p>
      <w:pPr>
        <w:pStyle w:val="null3"/>
        <w:ind w:firstLine="480"/>
        <w:jc w:val="left"/>
      </w:pPr>
      <w:r>
        <w:rPr>
          <w:rFonts w:ascii="仿宋_GB2312" w:hAnsi="仿宋_GB2312" w:cs="仿宋_GB2312" w:eastAsia="仿宋_GB2312"/>
        </w:rPr>
        <w:t xml:space="preserve"> （二）入围服务标准：</w:t>
      </w:r>
    </w:p>
    <w:p>
      <w:pPr>
        <w:pStyle w:val="null3"/>
        <w:ind w:firstLine="480"/>
        <w:jc w:val="left"/>
      </w:pPr>
      <w:r>
        <w:rPr>
          <w:rFonts w:ascii="仿宋_GB2312" w:hAnsi="仿宋_GB2312" w:cs="仿宋_GB2312" w:eastAsia="仿宋_GB2312"/>
        </w:rPr>
        <w:t xml:space="preserve"> （三）协议价格：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 xml:space="preserve"> 1.适用框架协议的采购人：</w:t>
      </w:r>
    </w:p>
    <w:p>
      <w:pPr>
        <w:pStyle w:val="null3"/>
        <w:ind w:firstLine="480"/>
        <w:jc w:val="left"/>
      </w:pPr>
      <w:r>
        <w:rPr>
          <w:rFonts w:ascii="仿宋_GB2312" w:hAnsi="仿宋_GB2312" w:cs="仿宋_GB2312" w:eastAsia="仿宋_GB2312"/>
        </w:rPr>
        <w:t xml:space="preserve"> 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 xml:space="preserve"> 1.支付方式：</w:t>
      </w:r>
    </w:p>
    <w:p>
      <w:pPr>
        <w:pStyle w:val="null3"/>
        <w:ind w:firstLine="480"/>
        <w:jc w:val="left"/>
      </w:pPr>
      <w:r>
        <w:rPr>
          <w:rFonts w:ascii="仿宋_GB2312" w:hAnsi="仿宋_GB2312" w:cs="仿宋_GB2312" w:eastAsia="仿宋_GB2312"/>
        </w:rPr>
        <w:t xml:space="preserve"> 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 xml:space="preserve"> 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 xml:space="preserve"> 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 xml:space="preserve"> 1.入围供应商清退规则：</w:t>
      </w:r>
    </w:p>
    <w:p>
      <w:pPr>
        <w:pStyle w:val="null3"/>
        <w:ind w:firstLine="480"/>
        <w:jc w:val="left"/>
      </w:pPr>
      <w:r>
        <w:rPr>
          <w:rFonts w:ascii="仿宋_GB2312" w:hAnsi="仿宋_GB2312" w:cs="仿宋_GB2312" w:eastAsia="仿宋_GB2312"/>
        </w:rPr>
        <w:t xml:space="preserve"> 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 xml:space="preserve"> 1）恶意串通谋取入围或者合同成交的；</w:t>
      </w:r>
    </w:p>
    <w:p>
      <w:pPr>
        <w:pStyle w:val="null3"/>
        <w:ind w:firstLine="480"/>
        <w:jc w:val="left"/>
      </w:pPr>
      <w:r>
        <w:rPr>
          <w:rFonts w:ascii="仿宋_GB2312" w:hAnsi="仿宋_GB2312" w:cs="仿宋_GB2312" w:eastAsia="仿宋_GB2312"/>
        </w:rPr>
        <w:t xml:space="preserve"> 2）提供虚假材料谋取入围或者合同成交的；</w:t>
      </w:r>
    </w:p>
    <w:p>
      <w:pPr>
        <w:pStyle w:val="null3"/>
        <w:ind w:firstLine="480"/>
        <w:jc w:val="left"/>
      </w:pPr>
      <w:r>
        <w:rPr>
          <w:rFonts w:ascii="仿宋_GB2312" w:hAnsi="仿宋_GB2312" w:cs="仿宋_GB2312" w:eastAsia="仿宋_GB2312"/>
        </w:rPr>
        <w:t xml:space="preserve"> 3）无正当理由拒不接受合同授予的；</w:t>
      </w:r>
    </w:p>
    <w:p>
      <w:pPr>
        <w:pStyle w:val="null3"/>
        <w:ind w:firstLine="480"/>
        <w:jc w:val="left"/>
      </w:pPr>
      <w:r>
        <w:rPr>
          <w:rFonts w:ascii="仿宋_GB2312" w:hAnsi="仿宋_GB2312" w:cs="仿宋_GB2312" w:eastAsia="仿宋_GB2312"/>
        </w:rPr>
        <w:t xml:space="preserve"> 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 xml:space="preserve"> 5）框架协议有效期内，被禁止或限制参加政府采购活动的；</w:t>
      </w:r>
    </w:p>
    <w:p>
      <w:pPr>
        <w:pStyle w:val="null3"/>
        <w:ind w:firstLine="480"/>
        <w:jc w:val="left"/>
      </w:pPr>
      <w:r>
        <w:rPr>
          <w:rFonts w:ascii="仿宋_GB2312" w:hAnsi="仿宋_GB2312" w:cs="仿宋_GB2312" w:eastAsia="仿宋_GB2312"/>
        </w:rPr>
        <w:t xml:space="preserve"> 6）框架协议约定的其他情形；</w:t>
      </w:r>
    </w:p>
    <w:p>
      <w:pPr>
        <w:pStyle w:val="null3"/>
        <w:ind w:firstLine="480"/>
        <w:jc w:val="left"/>
      </w:pPr>
      <w:r>
        <w:rPr>
          <w:rFonts w:ascii="仿宋_GB2312" w:hAnsi="仿宋_GB2312" w:cs="仿宋_GB2312" w:eastAsia="仿宋_GB2312"/>
        </w:rPr>
        <w:t xml:space="preserve"> 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 xml:space="preserve"> 2.入围供应商补充规则：</w:t>
      </w:r>
    </w:p>
    <w:p>
      <w:pPr>
        <w:pStyle w:val="null3"/>
        <w:ind w:firstLine="480"/>
        <w:jc w:val="left"/>
      </w:pPr>
      <w:r>
        <w:rPr>
          <w:rFonts w:ascii="仿宋_GB2312" w:hAnsi="仿宋_GB2312" w:cs="仿宋_GB2312" w:eastAsia="仿宋_GB2312"/>
        </w:rPr>
        <w:t xml:space="preserve"> 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 xml:space="preserve"> （一）征集人的权利和义务</w:t>
      </w:r>
    </w:p>
    <w:p>
      <w:pPr>
        <w:pStyle w:val="null3"/>
        <w:ind w:firstLine="480"/>
        <w:jc w:val="left"/>
      </w:pPr>
      <w:r>
        <w:rPr>
          <w:rFonts w:ascii="仿宋_GB2312" w:hAnsi="仿宋_GB2312" w:cs="仿宋_GB2312" w:eastAsia="仿宋_GB2312"/>
        </w:rPr>
        <w:t xml:space="preserve"> 1.为本协议第二阶段合同授予提供工作便利；</w:t>
      </w:r>
    </w:p>
    <w:p>
      <w:pPr>
        <w:pStyle w:val="null3"/>
        <w:ind w:firstLine="480"/>
        <w:jc w:val="left"/>
      </w:pPr>
      <w:r>
        <w:rPr>
          <w:rFonts w:ascii="仿宋_GB2312" w:hAnsi="仿宋_GB2312" w:cs="仿宋_GB2312" w:eastAsia="仿宋_GB2312"/>
        </w:rPr>
        <w:t xml:space="preserve"> 2.对本协议第二阶段最高限价和需求标准执行情况进行管理；</w:t>
      </w:r>
    </w:p>
    <w:p>
      <w:pPr>
        <w:pStyle w:val="null3"/>
        <w:ind w:firstLine="480"/>
        <w:jc w:val="left"/>
      </w:pPr>
      <w:r>
        <w:rPr>
          <w:rFonts w:ascii="仿宋_GB2312" w:hAnsi="仿宋_GB2312" w:cs="仿宋_GB2312" w:eastAsia="仿宋_GB2312"/>
        </w:rPr>
        <w:t xml:space="preserve"> 3.对本协议第二阶段确定成交供应商情况进行管理；</w:t>
      </w:r>
    </w:p>
    <w:p>
      <w:pPr>
        <w:pStyle w:val="null3"/>
        <w:ind w:firstLine="480"/>
        <w:jc w:val="left"/>
      </w:pPr>
      <w:r>
        <w:rPr>
          <w:rFonts w:ascii="仿宋_GB2312" w:hAnsi="仿宋_GB2312" w:cs="仿宋_GB2312" w:eastAsia="仿宋_GB2312"/>
        </w:rPr>
        <w:t xml:space="preserve"> 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 xml:space="preserve"> 5.公开本协议的第二阶段成交结果；</w:t>
      </w:r>
    </w:p>
    <w:p>
      <w:pPr>
        <w:pStyle w:val="null3"/>
        <w:ind w:firstLine="480"/>
        <w:jc w:val="left"/>
      </w:pPr>
      <w:r>
        <w:rPr>
          <w:rFonts w:ascii="仿宋_GB2312" w:hAnsi="仿宋_GB2312" w:cs="仿宋_GB2312" w:eastAsia="仿宋_GB2312"/>
        </w:rPr>
        <w:t xml:space="preserve"> 6.办理入围供应商清退和补充相关事宜；</w:t>
      </w:r>
    </w:p>
    <w:p>
      <w:pPr>
        <w:pStyle w:val="null3"/>
        <w:ind w:firstLine="480"/>
        <w:jc w:val="left"/>
      </w:pPr>
      <w:r>
        <w:rPr>
          <w:rFonts w:ascii="仿宋_GB2312" w:hAnsi="仿宋_GB2312" w:cs="仿宋_GB2312" w:eastAsia="仿宋_GB2312"/>
        </w:rPr>
        <w:t xml:space="preserve"> 7.监督方在服务履约中的相关事宜。</w:t>
      </w:r>
    </w:p>
    <w:p>
      <w:pPr>
        <w:pStyle w:val="null3"/>
        <w:ind w:firstLine="480"/>
        <w:jc w:val="left"/>
      </w:pPr>
      <w:r>
        <w:rPr>
          <w:rFonts w:ascii="仿宋_GB2312" w:hAnsi="仿宋_GB2312" w:cs="仿宋_GB2312" w:eastAsia="仿宋_GB2312"/>
        </w:rPr>
        <w:t xml:space="preserve"> （二）入围供应商的权利与义务</w:t>
      </w:r>
    </w:p>
    <w:p>
      <w:pPr>
        <w:pStyle w:val="null3"/>
        <w:ind w:firstLine="480"/>
        <w:jc w:val="left"/>
      </w:pPr>
      <w:r>
        <w:rPr>
          <w:rFonts w:ascii="仿宋_GB2312" w:hAnsi="仿宋_GB2312" w:cs="仿宋_GB2312" w:eastAsia="仿宋_GB2312"/>
        </w:rPr>
        <w:t xml:space="preserve"> 1.在本协议有效期内，按照本协议约定的入围服务和协议价格向服务对象提供服务；</w:t>
      </w:r>
    </w:p>
    <w:p>
      <w:pPr>
        <w:pStyle w:val="null3"/>
        <w:ind w:firstLine="480"/>
        <w:jc w:val="left"/>
      </w:pPr>
      <w:r>
        <w:rPr>
          <w:rFonts w:ascii="仿宋_GB2312" w:hAnsi="仿宋_GB2312" w:cs="仿宋_GB2312" w:eastAsia="仿宋_GB2312"/>
        </w:rPr>
        <w:t xml:space="preserve"> 2.对本协议履行形况和采购合同情况向征集人进行反馈与评价；</w:t>
      </w:r>
    </w:p>
    <w:p>
      <w:pPr>
        <w:pStyle w:val="null3"/>
        <w:ind w:firstLine="480"/>
        <w:jc w:val="left"/>
      </w:pPr>
      <w:r>
        <w:rPr>
          <w:rFonts w:ascii="仿宋_GB2312" w:hAnsi="仿宋_GB2312" w:cs="仿宋_GB2312" w:eastAsia="仿宋_GB2312"/>
        </w:rPr>
        <w:t xml:space="preserve"> 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 xml:space="preserve"> 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 xml:space="preserve"> 5.积极配合工作，自觉接受甲方对乙方履约情况的监督、检查和考评；</w:t>
      </w:r>
    </w:p>
    <w:p>
      <w:pPr>
        <w:pStyle w:val="null3"/>
        <w:ind w:firstLine="480"/>
        <w:jc w:val="left"/>
      </w:pPr>
      <w:r>
        <w:rPr>
          <w:rFonts w:ascii="仿宋_GB2312" w:hAnsi="仿宋_GB2312" w:cs="仿宋_GB2312" w:eastAsia="仿宋_GB2312"/>
        </w:rPr>
        <w:t xml:space="preserve"> 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 xml:space="preserve"> 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 xml:space="preserve"> 自双方签字盖章后发生法律效力。</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海南省政府采购框架协议______________合同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xml:space="preserve"> ￥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 xml:space="preserve"> 服务内容：</w:t>
      </w:r>
    </w:p>
    <w:p>
      <w:pPr>
        <w:pStyle w:val="null3"/>
        <w:ind w:firstLine="480"/>
        <w:jc w:val="left"/>
      </w:pPr>
      <w:r>
        <w:rPr>
          <w:rFonts w:ascii="仿宋_GB2312" w:hAnsi="仿宋_GB2312" w:cs="仿宋_GB2312" w:eastAsia="仿宋_GB2312"/>
        </w:rPr>
        <w:t xml:space="preserve"> 服务标准：</w:t>
      </w:r>
    </w:p>
    <w:p>
      <w:pPr>
        <w:pStyle w:val="null3"/>
        <w:ind w:firstLine="480"/>
        <w:jc w:val="left"/>
      </w:pPr>
      <w:r>
        <w:rPr>
          <w:rFonts w:ascii="仿宋_GB2312" w:hAnsi="仿宋_GB2312" w:cs="仿宋_GB2312" w:eastAsia="仿宋_GB2312"/>
        </w:rPr>
        <w:t xml:space="preserve"> 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 xml:space="preserve"> 合同定价方式：固定价格合同</w:t>
      </w:r>
    </w:p>
    <w:p>
      <w:pPr>
        <w:pStyle w:val="null3"/>
        <w:ind w:firstLine="480"/>
        <w:jc w:val="left"/>
      </w:pPr>
      <w:r>
        <w:rPr>
          <w:rFonts w:ascii="仿宋_GB2312" w:hAnsi="仿宋_GB2312" w:cs="仿宋_GB2312" w:eastAsia="仿宋_GB2312"/>
        </w:rPr>
        <w:t xml:space="preserve"> 支付方式：</w:t>
      </w:r>
    </w:p>
    <w:p>
      <w:pPr>
        <w:pStyle w:val="null3"/>
        <w:ind w:firstLine="480"/>
        <w:jc w:val="left"/>
      </w:pPr>
      <w:r>
        <w:rPr>
          <w:rFonts w:ascii="仿宋_GB2312" w:hAnsi="仿宋_GB2312" w:cs="仿宋_GB2312" w:eastAsia="仿宋_GB2312"/>
        </w:rPr>
        <w:t xml:space="preserve"> 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 xml:space="preserve"> （一）甲方的权利和义务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 xml:space="preserve"> 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 xml:space="preserve"> 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 xml:space="preserve"> 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 xml:space="preserve"> 1.本合同由甲乙双方签字盖章后生效。</w:t>
      </w:r>
    </w:p>
    <w:p>
      <w:pPr>
        <w:pStyle w:val="null3"/>
        <w:ind w:firstLine="480"/>
        <w:jc w:val="left"/>
      </w:pPr>
      <w:r>
        <w:rPr>
          <w:rFonts w:ascii="仿宋_GB2312" w:hAnsi="仿宋_GB2312" w:cs="仿宋_GB2312" w:eastAsia="仿宋_GB2312"/>
        </w:rPr>
        <w:t xml:space="preserve"> 2.合同内容如有与国家法律法规强制性规定冲突的，从其规定。</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开户银行：</w:t>
      </w:r>
    </w:p>
    <w:p>
      <w:pPr>
        <w:pStyle w:val="null3"/>
        <w:ind w:firstLine="480"/>
        <w:jc w:val="left"/>
      </w:pPr>
      <w:r>
        <w:rPr>
          <w:rFonts w:ascii="仿宋_GB2312" w:hAnsi="仿宋_GB2312" w:cs="仿宋_GB2312" w:eastAsia="仿宋_GB2312"/>
        </w:rPr>
        <w:t xml:space="preserve"> 银行账号：</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