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海南大学基础实验教学仪器设备更新置换（第四批）-生命健康实验平台仪器设备更新(二次)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HD2025-1-005R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海南大学基础实验教学仪器设备更新置换（第四批）-生命健康实验平台仪器设备更新(二次)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HD2025-1-005R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海南大学基础实验教学仪器设备更新置换（第四批）-生命健康实验平台仪器设备更新(二次)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4,000,000.00元</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合同签订后60天内交货且安装调试完毕交付使用；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本项目需使用蓝色CA锁，CA数字证书认证咨询电话：0898-66668096/66664947。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海南省海口市人民大道58号海南大学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采购包1保证金金额：20,000.00元</w:t>
            </w:r>
          </w:p>
          <w:p>
            <w:pPr>
              <w:pStyle w:val="null3"/>
              <w:jc w:val="left"/>
            </w:pPr>
            <w:r>
              <w:rPr>
                <w:rFonts w:ascii="仿宋_GB2312" w:hAnsi="仿宋_GB2312" w:cs="仿宋_GB2312" w:eastAsia="仿宋_GB2312"/>
              </w:rPr>
              <w:t>缴交渠道：银行转账,支票、汇票、本票,</w:t>
            </w:r>
          </w:p>
          <w:p>
            <w:pPr>
              <w:pStyle w:val="null3"/>
              <w:jc w:val="left"/>
            </w:pPr>
            <w:r>
              <w:rPr>
                <w:rFonts w:ascii="仿宋_GB2312" w:hAnsi="仿宋_GB2312" w:cs="仿宋_GB2312" w:eastAsia="仿宋_GB2312"/>
              </w:rPr>
              <w:t>开户行名称：华采招标集团有限公司</w:t>
            </w:r>
          </w:p>
          <w:p>
            <w:pPr>
              <w:pStyle w:val="null3"/>
              <w:jc w:val="left"/>
            </w:pPr>
            <w:r>
              <w:rPr>
                <w:rFonts w:ascii="仿宋_GB2312" w:hAnsi="仿宋_GB2312" w:cs="仿宋_GB2312" w:eastAsia="仿宋_GB2312"/>
              </w:rPr>
              <w:t>开户银行：中国建设银行股份有限公司北京西客站支行</w:t>
            </w:r>
          </w:p>
          <w:p>
            <w:pPr>
              <w:pStyle w:val="null3"/>
              <w:jc w:val="left"/>
            </w:pPr>
            <w:r>
              <w:rPr>
                <w:rFonts w:ascii="仿宋_GB2312" w:hAnsi="仿宋_GB2312" w:cs="仿宋_GB2312" w:eastAsia="仿宋_GB2312"/>
              </w:rPr>
              <w:t>银行账号：11050165510000000292</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号”之规定的70%支付。中标供应商应在中标公告发布之日起3个工作日内，向招标代理机构缴纳招标代理服务费。 单位名称：华采招标集团有限公司海南分公司， 开户银行：中国农业银行海口科技支行， 银行帐号：21164001040015455。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付款方式：涉及中小企业的，严格按照《保障中小企业款项支付条例》（国务院令802号）等上级文件中的款项支付相关规定执行。如遇到国家法定节假日、学校寒暑假、财政资金到位不及时或财政资金指标调整、不可抗力因素（如自然灾害）等情况，付款周期顺延，甲方不承担由于付款延迟产生的一切责任。本合同采用第_（一）_种付款方式。（一）采取预付款的（预付款金额为50万元含以上）：本合同生效后，乙方向甲方提供有效期至少涵盖本合同指定到货时间点的预付款等额银行保函或者保险保函后，甲方应在5个工作日内向乙方支付合同总金额的 70 %的预付款，即人民币 元； 甲方收到本合同约定的所有货物并验收合格，同时2026年省财政配套经费下拨至学校后，对于满足合同约定支付条件的，自收到乙方开具的合法有效的增值税专用发票后5个工作日内将资金支付到合同约定的账户。在每次付款前，乙方应根据甲方财务管理要求及时提供有效、完整支付材料。16.2、投标保证金将被没收的情形：①投标人在投标文件中提供虚假材料的；②投标人在投标活动中有违反法律、违反政策规定行为的； 16.3、履约保证金将被没收：①中标人擅自转包、转让的；②中标人在投标活动中有违反法律、违反政策规定行为的；③采购合同规定的其他情形。 16.4、投标无效情形：①如投标人在非开标现场上传的电子标书的IP地址相同，则IP地址相同的投标按无效标处理。②如投标人提交的投标文件为虚假材料的，按无效标处理。 16.5述标和/或产（样）品演（展）示：无 16.6是否接受进口产品投标：否 16.7采购需求：（1）采购需求（参考配置及技术要求为定制产品除外） 本项目所有产品均不接受定制产品投标，否则将作为无效投标处理。（2）采购标的物需按照国家相关标准、行业标准、地方标准或者其他标准、规范执行。 16.8委托代表人的资格条件：投标时须提供法定代表人授权委托书和被授权人身份证复印件。 16.9委托代表人的代理权限：委托代表人只能代表委托人处置投标活动中的一般事务。提出质疑、投诉等特殊事项，必须经法定代表人特别授权。 16.10是否允许选择性报价：不接受选择性报价 16.11本项目所属行业：根据《统计上大中小微型企业划分办法（2017）》，本项目所属行业为工业。 16.12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16.13充分、公平竞争保障措施：提供相同品牌产品处理：（1）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1.项目编号：HD2025-1-005R</w:t>
      </w:r>
    </w:p>
    <w:p>
      <w:pPr>
        <w:pStyle w:val="null3"/>
        <w:jc w:val="both"/>
      </w:pPr>
      <w:r>
        <w:rPr>
          <w:rFonts w:ascii="仿宋_GB2312" w:hAnsi="仿宋_GB2312" w:cs="仿宋_GB2312" w:eastAsia="仿宋_GB2312"/>
          <w:sz w:val="21"/>
        </w:rPr>
        <w:t>2.项目名称：海南大学基础实验教学仪器设备更新置换（第四批）-生命健康实验平台仪器设</w:t>
      </w:r>
      <w:r>
        <w:rPr>
          <w:rFonts w:ascii="仿宋_GB2312" w:hAnsi="仿宋_GB2312" w:cs="仿宋_GB2312" w:eastAsia="仿宋_GB2312"/>
          <w:sz w:val="21"/>
        </w:rPr>
        <w:t>备更新(二次)</w:t>
      </w:r>
    </w:p>
    <w:p>
      <w:pPr>
        <w:pStyle w:val="null3"/>
        <w:jc w:val="both"/>
      </w:pPr>
      <w:r>
        <w:rPr>
          <w:rFonts w:ascii="仿宋_GB2312" w:hAnsi="仿宋_GB2312" w:cs="仿宋_GB2312" w:eastAsia="仿宋_GB2312"/>
          <w:sz w:val="21"/>
        </w:rPr>
        <w:t>3.预算金额：人民币400万元。</w:t>
      </w:r>
    </w:p>
    <w:p>
      <w:pPr>
        <w:pStyle w:val="null3"/>
        <w:jc w:val="both"/>
      </w:pPr>
      <w:r>
        <w:rPr>
          <w:rFonts w:ascii="仿宋_GB2312" w:hAnsi="仿宋_GB2312" w:cs="仿宋_GB2312" w:eastAsia="仿宋_GB2312"/>
          <w:sz w:val="21"/>
        </w:rPr>
        <w:t>4.最高限价：人民币400万元。（报价超过最高限价，按无效响应文件处理）</w:t>
      </w:r>
    </w:p>
    <w:p>
      <w:pPr>
        <w:pStyle w:val="null3"/>
        <w:jc w:val="both"/>
      </w:pPr>
      <w:r>
        <w:rPr>
          <w:rFonts w:ascii="仿宋_GB2312" w:hAnsi="仿宋_GB2312" w:cs="仿宋_GB2312" w:eastAsia="仿宋_GB2312"/>
          <w:sz w:val="21"/>
        </w:rPr>
        <w:t>5.交货期：合同签订后60天内交货且安装调试完毕交付使用；</w:t>
      </w:r>
    </w:p>
    <w:p>
      <w:pPr>
        <w:pStyle w:val="null3"/>
        <w:jc w:val="both"/>
      </w:pPr>
      <w:r>
        <w:rPr>
          <w:rFonts w:ascii="仿宋_GB2312" w:hAnsi="仿宋_GB2312" w:cs="仿宋_GB2312" w:eastAsia="仿宋_GB2312"/>
          <w:sz w:val="21"/>
        </w:rPr>
        <w:t>项目概况（采购标的）核心产品：</w:t>
      </w:r>
    </w:p>
    <w:p>
      <w:pPr>
        <w:pStyle w:val="null3"/>
        <w:jc w:val="left"/>
      </w:pPr>
      <w:r>
        <w:rPr>
          <w:rFonts w:ascii="仿宋_GB2312" w:hAnsi="仿宋_GB2312" w:cs="仿宋_GB2312" w:eastAsia="仿宋_GB2312"/>
          <w:sz w:val="28"/>
          <w:b/>
          <w:color w:val="000000"/>
        </w:rPr>
        <w:t>二、采购需求一览表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623"/>
        <w:gridCol w:w="1412"/>
        <w:gridCol w:w="683"/>
        <w:gridCol w:w="592"/>
        <w:gridCol w:w="1837"/>
        <w:gridCol w:w="1367"/>
        <w:gridCol w:w="1139"/>
        <w:gridCol w:w="653"/>
      </w:tblGrid>
      <w:tr>
        <w:tc>
          <w:tcPr>
            <w:tcW w:type="dxa" w:w="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采购品目名称</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预算单价</w:t>
            </w:r>
          </w:p>
          <w:p>
            <w:pPr>
              <w:pStyle w:val="null3"/>
              <w:jc w:val="center"/>
            </w:pPr>
            <w:r>
              <w:rPr>
                <w:rFonts w:ascii="仿宋_GB2312" w:hAnsi="仿宋_GB2312" w:cs="仿宋_GB2312" w:eastAsia="仿宋_GB2312"/>
                <w:sz w:val="21"/>
                <w:color w:val="000000"/>
              </w:rPr>
              <w:t>（单价限价）</w:t>
            </w:r>
          </w:p>
          <w:p>
            <w:pPr>
              <w:pStyle w:val="null3"/>
              <w:jc w:val="center"/>
            </w:pPr>
            <w:r>
              <w:rPr>
                <w:rFonts w:ascii="仿宋_GB2312" w:hAnsi="仿宋_GB2312" w:cs="仿宋_GB2312" w:eastAsia="仿宋_GB2312"/>
                <w:sz w:val="21"/>
                <w:color w:val="000000"/>
              </w:rPr>
              <w:t>（元）</w:t>
            </w:r>
          </w:p>
        </w:tc>
        <w:tc>
          <w:tcPr>
            <w:tcW w:type="dxa" w:w="1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是否允许进口产品投标</w:t>
            </w:r>
          </w:p>
        </w:tc>
        <w:tc>
          <w:tcPr>
            <w:tcW w:type="dxa" w:w="1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是否核心产品</w:t>
            </w:r>
            <w:r>
              <w:rPr>
                <w:rFonts w:ascii="仿宋_GB2312" w:hAnsi="仿宋_GB2312" w:cs="仿宋_GB2312" w:eastAsia="仿宋_GB2312"/>
                <w:sz w:val="21"/>
                <w:color w:val="000000"/>
              </w:rPr>
              <w:t xml:space="preserve">  </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生物组织冷冻包埋机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生物组织摊片烤片机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冷冻切片机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95000.00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数码生物显微系统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切片机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自动组织脱水机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倒置荧光显微镜</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正置显微镜</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倒置显微镜</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体式显微镜</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7750.00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人体生理实验系统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148000.00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人体生理实验大屏辅助教学系统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250000.00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除颤器</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粪便尿液分离代谢笼</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肺功能测定仪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动物跑步机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信息化集成化信号采集与处理系统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机能实验辅助教学系统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248000.00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全自动无创血压测量系统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离体组织器官恒温灌流系统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83000.00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恒温平滑肌实验系统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跳台实验视频分析系统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41000.00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离体心脏灌流装置</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23800.00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小鼠</w:t>
            </w:r>
            <w:r>
              <w:rPr>
                <w:rFonts w:ascii="仿宋_GB2312" w:hAnsi="仿宋_GB2312" w:cs="仿宋_GB2312" w:eastAsia="仿宋_GB2312"/>
                <w:sz w:val="20"/>
                <w:b/>
                <w:color w:val="000000"/>
              </w:rPr>
              <w:t>Y形迷宫</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39800.00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旷场实验系统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49800.00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实验性缺氧实验系统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群体动态心电记录仪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无影灯</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二氧化碳培养箱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智能多媒体一体机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39000.00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凝胶成像系统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酶标仪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垂直电泳系统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紫外可见分光光度计</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19000.00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超声波细胞破碎仪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水平电泳系统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超微量分光光度计</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基因扩增仪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脱色摇床</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1400.00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可见光分光光度计</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台式高速冷冻离心机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56000.00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低速离心机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9000.00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高压灭菌器</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56000.00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全温摇床</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超净工作台</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17500.00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智能热板仪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15800.00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恒温振荡培养箱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电子分析天平</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电热恒温鼓风干燥箱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7500.00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生化培养箱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冰箱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电子天平</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疲劳转棒仪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足趾容积测量仪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脑定位仪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23100.00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color w:val="000000"/>
        </w:rPr>
        <w:t>注：投标人报价如超过此单价限价的，将作为无效投标处理。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海南大学基础实验教学仪器设备更新置换（第四批）-生命健康实验平台仪器设备更新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海南大学基础实验教学仪器设备更新置换（第四批）-生命健康实验平台仪器设备更新（二次）</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标的名称：海南大学基础实验教学仪器设备更新置换（第四批）-生命健康实验平台仪器设备更新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生物组织冷冻包埋机（1台）：1.主蜡缸容积≥9.0升，一次可连续包埋至少3200个组织，可多次加温增加蜡韧性；双保温缸，一次可以处理大量的包埋盒,尺寸（mm）≥270*225mm；可推拉折叠的缸盖；蜡缸温度范围：0～99℃；保温盒温度范围：0～99℃；工作台温度范围：0～99℃；冷冻台温度：0～－40℃设置；</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配导蜡槽，可独立加温，残蜡可自动流入保温盒。配置防冷凝水溢出的分体大冷台，出蜡口旁配置双制冷器、双风扇制冷小冷台，小冷台制冷面积（cm²）≥8*9；分体冷冻台制冷面积（mm）≥330×320，可放置80个包埋盒；</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3.不锈钢台面，智能化软件控系统，全中文，≥4.3寸彩色触摸液晶显示器；具有智能键功能（可不看屏盲操作），在显示屏无显示和触摸功能损坏时，包埋机的主要功能可正常操作；</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2.生物组织摊片烤片机（1台）：1.全中文液晶显示；具定时开机和关机功能；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集摊漂.烘.烤于一体，热风循环设计；具有摊片、烘片、烤片3路温度控制系统；烤片烘片可双定时；摊片温度：室温～99℃可调；烤片温度：室温～99℃可调；烘片温度：室温～99℃可调；可同时烤片不少于150张玻片；</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3.冷冻切片机（1台）：1.冷冻室控温范围：0℃ - -50℃；冷冻台控温范围：0℃ - -60℃；样本夹头控温范围：0℃ - -50℃；冷冻台附加半导体制冷温度可达：-60℃；无霜冷冻台样本冷冻点位≥24个；冷冻台附加半导体制冷点位≥ 2个；半导体快速制冷工作时间≤15分钟；</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2.最大切片标本尺寸（mm）≥55×80；标本垂直运动行程≥62mm （可切超大样本）；水平运动行程≥20mm；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3.电动粗进速度2档：0.9mm/s.0.45mm/s；切片厚度：0.5μm-100μm可调；修片厚度:0μm-600μm可调；标本回缩值：0-60μm可调 ；</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4.数码生物显微系统（1套）：1.CFI无限远光学系统，可进行明场观察方式；放大倍数：40х—1000х；三目镜筒：倾斜角30º，双目瞳距：50mm—75mm。视点高度可调节，分光50/50，可实现显微镜和摄像系统同时观察；目镜：10X目镜，视场≥20mm，双目镜带屈光度调节；照明系统：白光LED照明。主机内置“复眼光学透镜”，在任何放大倍率下在视野边缘处也可实现均匀明亮的照明；</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物镜：平场消色差物镜4х，NA≥0.10，WD≥25mm;平场消色差物镜10х，NA≥0.25，WD≥6.7mm;平场消色差物镜40х，NA≥0.65，WD≥0.6mm;平场消色差物镜100х，NA≥1.25，WD≥0.14mm；聚光镜：阿贝式聚光镜NA≥1.25，叶片式孔径光栏，有对应于每个物镜位置的颜色标记；转换器：内定位四孔转换器；镜体采用一体化结构,机械筒长≥160 mm；载物台：带样品架，带游标校准，行程（mm）≥76х30；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调焦：共轴粗微调，采用交叉滚子导轨机构;调焦行程：向上2mm,向下13mm，粗调：37.7mm/转，微调：0.2mm/转；粗调带有调焦旋钮扭矩调节环，可调节粗调松紧；带有载物台移动限位器；阻尼式切片夹。具有自动限位装置；</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4.数码相机≥1800万像素彩色CMOS，靶面尺寸：≥1/1.8（7.37x4.92），帧率：17@4880x3720，40@2448x1836，50@1728x1296，曝光时间：0.02ms~15s，灵敏度：505mv with 1/30s，暗电流：0.1mv with 1/30s ，相机接口：C型接口，数据传输/供电方式：USB3.0；配套图像分析软件：具备多色合成.图像采集.景深拓展.大图拼接.图像测量等功能；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5.配置：主机一套（三目观察头一个、10X目镜一对、阿贝聚光器一个、平场消色差物镜一组（四颗，4X，10X， 40X，100X））；数码相机一台（含图像分析软件）；台式电脑一台，台式电脑配置：性能不低于i3处理器，≥8G内存，≥1T硬盘，≥27英寸显示器，USB3.0接口，windows11操作系统；</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6.为保证产品质量，投标供应商须提供产品来源声明函和针对该项目所投设备的售后服务承诺书并加盖有效公章。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5.切片机（1台）：1.≥4.3寸彩色触摸显示屏，实时显示；可自动修片，可在液晶屏上设置复位停留点，自动复位；具有智能键功能（可不看屏盲操作），在显示屏无显示或触摸功能损坏时可正常使用；</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液晶屏显示石蜡夹头位置、切片计数、切片厚度，一键直达任意设定位置；.切片厚度可达到≤0.5μm，有0位指示的精准定位系统；具修片功能，及标本回缩功能；刀片角度：0--10度可调；石蜡夹头上下移动距离≥60mm；前后移动距离≥20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6.自动组织脱水机（1台）：1.液晶显示屏，全中文菜单；.精铸内铸式双重保护干式加温，无需频繁加水； 采用独立双系统双温控，一套系统出现故障时，可切换到另一套使用；开放式、可任意设置吊篮停留滤液时间和吊篮振荡次数的起缸滤液设计，避免前一缸试剂带入后一缸造成混液；运行中可随时添加小标本；</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2.缸数量≥12个（9个脱水缸.3个蜡虹）；单缸容积≥1500ml ；单缸处理时间：0～99小时可调；单次处理标准组织盒≥75个。</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7.倒置荧光显微镜（1套）：▲一、主机参数：1.光学系统：CFI60无限远光学系统，齐焦距离为不低于60mm。放大倍数40-400倍；</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观察方法：明场，相差，荧光；照明：高发光白光LED照明，内置复眼照明，确保任何倍率下亮度完全一致；目镜筒：倾角:45度,瞳孔距离:50-75毫米；目镜：10倍目镜，视野：22mm，两个目镜都可以调节曲光度；调焦：通过物镜向上/向下运动,行程(手动):向上7毫米向下1.5毫米粗调:37.7毫米/每转,微调:0.2毫米/每转,粗调扭矩可调；五孔物镜转换器；聚光镜：长工作距离聚光镜（75mm工作距离，可以延伸到190mm）；</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3.物镜：切趾相差技术，能保证最佳的相差衬比，能消除通常相差观察中的晕圈等干扰现象。配置四颗平场荧光相差物镜：四倍平场荧光相差物镜N.A. ≥ 0.13, W.D. ≥16.5 mm；十倍平场荧光相差物镜N.A. ≥0.30, W.D. ≥15.2 mm；二十倍平场荧光相差物镜N.A. ≥ 0.45, W.D. 8.2-6.9mm；四十倍相差物镜N.A. ≥0.55, W.D. ≥ 2.1mm；</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二、荧光照明系统：4.主机内置荧光转盘，最多可安装三个滤色激发块，附加位置用于明场照明，所有明场通道不与荧光通道共用通道；荧光照明光源配：LED 照明器，内置复眼透镜，可以配置3种不同的荧光LED单元;可用波长:385nm，455nm，470nm，505nm，525nm，590nm，625nm；现配置470nm，560nm两个波长的激发光LED模块；滤色激发块：带通型蓝色激发荧光块一个EX 455-485 nm，DM 500 nm，BA505-555 nm；带通型绿色激发荧光块一个EX 545-575 nm，DM 585 nm，BA595-665 nm；转盘配置“噪声终结”装置。</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▲5.高强度单色LED荧光光源，寿命≥10,000 小时，内置复眼镜片，保证视野亮度均匀；具备照明强度记忆功能；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三、数码相机参数 6.像素≥900 万像素；芯片：彩色 CMOS 芯片，靶面尺寸≥1英寸。像素大小≥3.45μmx3.45μm；帧率≥34@4096x2160.60@2048x1080；曝光时间：0.1ms~15s 。图像分析软件：具备多色合成.图像采集.景深拓展.大图拼接.图像测量等功能。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7.计算机：台式电脑，性能不低于i5处理器，≥8G内存，≥1T硬盘，≥27英寸显示器，USB3.0接口，windows11操作系统。</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8.配置：主机一套（目镜一对、载物台移动尺一个、超长工作距离聚光镜一个、预定中心相差滑板一个、四倍平场荧光相差物镜一个、十倍平场荧光相差物镜一个、二十倍平场荧光相差物镜一个、四十倍相差物镜一个）、荧光光源（385nmLED荧光光源一个、470nmLED荧光光源一个、560nmLED荧光光源一个、带通型高级荧光滤色块一组（两通道， FITC.TEXAS RED））；彩色数码CCD一个；台式电脑一台；</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▲9.为保证产品质量，投标供应商须提供产品来源声明函和针对该项目所投设备不少于5年的质保和每年不少于两次巡检维护的售后服务承诺书并加盖有效公章。</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8.正置显微镜（2台）：1.CFI无限远光学系统，可进行明场观察方式；照明系统：高亮白光LED照明。主机内置“复眼光学透镜”，在任何放大倍率下在视野边缘处也可实现均匀明亮的照明；</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放大倍数：40х—1000х；目镜：10X目镜，视场≥20mm，双目镜带屈光度调节；物镜：平场消色差物镜4х，NA≥0.10，WD≥25mm;平场消色差物镜10х，NA≥0.25，WD≥6.7mm;平场消色差物镜40х，NA≥0.65，WD≥0.6mm;平场消色差物镜100х，NA≥1.25，WD≥0.14mm；</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3.三目镜筒：倾斜角30º，双目瞳距：50mm—75mm。视点高度可调节。分光50/50，可实现显微镜和摄像系统同时观察；聚光镜：阿贝式聚光镜NA≥1.25，叶片式孔径光栏，有对应于每个物镜位置的颜色标记；</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4.转换器：内定位四孔转换器；镜体采用一体化结构,机械筒长≥160 mm；载物台：带有样品架，带游标校准，行程（mm）≥76х30；调焦：共轴粗微调，采用交叉滚子导轨机构;调焦行程：向上2mm,向下13mm，粗调：37.7mm/转，微调：0.2mm/转；粗调带有调焦旋钮扭矩调节环，可调节粗调松紧；带有载物台移动限位器；阻尼式切片夹。具有独特的自动限位装置；</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5.配置：主机一套（三目观察头一个、10X目镜一对、阿贝聚光器一个、平场消色差物镜一组（四颗，4X，10X， 40X，100X））；</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6.为保证产品质量，投标供应商须提供产品来源声明函和针对该项目所投设备不少于5年的质保和每年不少于两次巡检维护的售后服务承诺书并加盖有效公章。</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9.倒置显微镜（2台）：1.光学系统：无限远光学系统，齐焦距离≥60mm；照明：高发光白光LED照明，内置复眼照明，确保视场内任何倍率下亮度完全一致；</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观察方法：明场，相差；放大倍数100-400倍；目镜筒：倾角:45度,瞳孔距离:50 - 75毫米；目镜：10倍目镜，视野≥22mm，两个目镜都可以调节曲光度；双目观察筒，观察筒可接数码相机，0/100%、100%/0分光棱镜旋转式操作，双目筒可转动调节方向；</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3.调焦：通过物镜向上/向下运动,行程(手动):向上≥7毫米向下≥1.5毫米粗调≥37.7毫米/每转,微调≤ 0.2毫米/每转,粗调扭矩可调；五孔物镜转换器；载物台≥170*247mm，附带玻璃型载物台环；行程（mm）≥126 (X) x78 (Y) ，配置通用样本夹具一个；</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4.聚光镜：长工作距离聚光镜（工作距离≥75mm，可以延伸到≥190mm）；物镜：切趾相差物镜N.A. ≥0.25, W.D. ≥6.2mm；切趾相差物镜N.A. ≥ 0.4, W.D. ≥ 3.1mm；切趾相差物镜N.A. ≥0.55, W.D. ≥2.1mm</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5.配置：主机一套（含目镜一对、载物台移动尺一个、培养皿托板一个、预定中心相差滑板一个、十倍切趾相差物镜一个、二十倍切趾相差物镜一个、四十倍切趾相差物镜一个）；</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6.为保证产品质量，投标供应商须提供产品来源声明函和针对该项目所投设备不少于5年的质保和每年不少于两次巡检维护的售后服务承诺书并加盖有效公章。</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10.体式显微镜（2台）：1.光学系统：内斜光路变焦系统；照明系统：LED透反照明；</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2.总放大倍数：根据所用目镜与物镜的组合不同，可以实现3.35-300×的总放大倍数;现有配置获得6.7-50的放大倍数；主机变倍范围：0.67×~5×；变焦比：7.5：1；瞳距调节范围：52~75 mm；工作距离≥115mm；</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3.目镜筒：三目镜筒，目镜筒为45º，集成0.55倍C型接口，可接数码相机；目镜：两个目镜带屈光度调节，视场数≥22mm；</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4.采用人机功能：密封设计（防尘、防油、防水）；防霉设计；防静电设计；彩色数码相机≥830万像素彩色 CMOS ，靶面尺寸：≥1/1.8”（7.37x4.92），相机接口：C 型接口，数据传输/供电方式：USB3.0；</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5.分析软件：具有多色合成功能；图像采集功能；视频采集功能；景深扩展功能；多图拼接功能；高动态 HDR功能；灰度测量功能；图像测量功能；</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6.配置：主机一台（10X目镜一对、透反射底座一个）；数码相机一台；台式电脑一台，台式电脑配置：性能不低于i3处理器，≥8G内存，≥1T硬盘，≥27英寸显示器，USB3.0接口，windows11操作系统。</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7.为保证产品质量，投标供应商须提供产品来源声明函和针对该项目所投设备不少于5年的质保和每年不少于两次巡检维护的售后服务承诺书并加盖有效公章。</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11.人体生理实验系统（1套）：一、硬件参数数 (一)人体生理实验工作台 1.工作台：集成化设计，尺寸（mm)≥ 1950×590×750（长×宽×高），底部带2只自锁式移动滑轮，整体可移动和固定；收纳抽屉≥ 2个，尺寸（mm)≥ 390×390×150mm（长×宽×高）；信号采集系统：内嵌于人体生理实验工作台内部，用于采集人体生理信号；数据处理工作站：用于接收各传感器所测数据，并进行处理、分析、生成实验报告等；</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二)信号采集仪器硬件（内置）技术参数：2.物理通道接口数≥4个；配置标准12导联全导联心电接口；物理通道接口扩展性：每个物理通道接口最多可扩展出8个采样通道；4个物理采样通道总共可扩展出32个采样通道；同时采样通道数≥16个；传感器类型与参数自动识别：识别到的传感器类型和参数在软件界面中呈现，当更换不同类型传感器时，软件界面上的传感器信息同时改变；量程：±50μV ~±1V；滤波器：同时具备硬件模拟滤波器、DSP 5阶贝塞尔滤波器、软件数字滤波器:（1）低通：1、2、 5、10、20、50、100、200、500、1k、2k、 5k、10k、20k、50k，合计15档 ；（2）高通（时间常数）：DC、5S、2s、1s、0.5s、0.2s、0.1s、0.05s、0.02s、0.01s、0.005s、0.002s、0.001s，合计13档 ；（3） 50Hz陷波：开、关两档可调；</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3.最大采样率≥800KHz；AD转换器：16位4通道同步采样；处理器：性能不低于浮点型DSP+ARM双核处理器；共模抑制比（CMMR）≥100dB;输入阻抗：10M@DC；信噪比≥100dB；等效输入噪声：电压峰峰值≤2.0μV；采样方式：支持连续采样、刺激触发采样、外部触发采样、程控采样；设备配置刺激器：波形：方波、模式：恒流输出方式、电流：0.5mA~20mA、时间步长：0.1ms~1ms；</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(三) 人体生理学实验系统附件包参数 4.中枢神经/感官系统附件包：1）脑电带：具有FPZ、POZ两位置脑电电极； （2）皮肤电阻传感器：记录人体因各种生理反应引起的皮肤电阻变化，测量范围：2.5uS-125uS，测量误差：±3%； （3）肌腱锤： 频率响应：0-10KHz； （4）位移换能器：采用加速度传感器，分辨率：≤1mg（60Hz），灵敏度&gt;≤200mV/g；能够捕捉微小的动作变化； （5）事件触发开关：合金材料制作，按钮响应； （6）指脉换能器：优质压电片式采集脉搏波； （7）信号输入线：双层屏蔽设计，内层电磁膜，外层金属网，有效抗电磁干扰；</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5.神经/肌肉系统附件包：(1) 握力换能器： ①测量范围：0~1200N； ②综合分辨率：≤0.2%F.S； ③非线性：≤0.1%F.S； ④输出电压：0~10mV； ⑤零点漂移：≤0.03%F.S； ⑥迟滞：≤0.05%F.S (2) 肌电肢夹：ABS医用工程塑料；黄铜导电，无干扰；外表镀镍； (3) 人体刺激器：专用于人体神经肌肉类的电刺激实验。 ①安全防护设计：隔离输出，内部设有安全保护； ②刺激输出过程含同步声光提示； ③刺激器纹波：≤500mVpp； ④静息漏电：≤0.1Vrms； ⑤输出波宽保护：10毫秒； ⑥输出刺激电流：0.5~20mA； ⑦步进：0.1mA； ⑧皮肤电阻适应范围：1K~11K（@10mA）； (4) 刺激电极：配合人体神经肌肉刺激器，用于刺激神经。 ①刺激警示：声光提示； ②控制方式：一键式按键启停； ③固定方法：扣式绑带； (5) 指力传感器：采用高精度的测力传感器采集刺激神经时所引起的手指肌肉收缩力。 ①结构：符合人体工学的转向握球设计，方便采集任一手指力； ②固定方式：吸盘式，适用多种光滑桌面； ③传感器绕轴转动方向：0~360º； ④传感器上下移动范围：0~5cm； (6) 信号输入线：双层屏蔽设计，内层电磁膜，外层金属网，有效抗电磁干扰；</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6.循环系统-血压/心音附件包：(1) 人体血压换能器：表式血压计，采集测量血压过程中的压力数据。 ①测量范围0~300 mmHg； ②误差：≤6 mmHg； ③失真：≤1%； ④线性度：≥98%； ⑤零点漂移：≤3mmHg； (2) 电子血压计：自动测量动脉血压。 ①收缩压量程：60～230 mmHg，舒张压量程：30～220 mmHg，脉搏数量程：30～200次/min； ②血压分辨率≤1mmHg； (3) 听诊器：钟式听头，适用于听诊低调杂音。 ①听头采用压模热锻而成，组织密度高，无沙孔，音质清晰； ②听头和盖圈采用CNC数控车床高精度加工，听诊时无杂音； (4) 指脉换能器：优质压电片式采集脉搏波。 ①频率响应：≥1500Hz； ②无源设计； (5) 心音换能器：用于测量心音、心尖搏动等信号。响应频率：10~1500Hz，灵敏度：≥20mV/F.S；</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7.循环系统-心电附件包：（1）全导联心电线：香蕉插头，支持心电吸球，心电夹，采用国际标准心电线，抗干扰能力强，接口标准15针； （2）心电肢夹：ABS医用工程塑料，镀镍四肢夹，金属均采用黄铜加工而成，外表镀镍，防止氧化，黄铜导电能力强，无干扰，适用于任何心电图机； （3）吸球电极：导电性优越，吸附性好，采集质量效果好； （4）心电输入线：卡扣式标准单通道导联心电信号输入线；</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8.呼吸系统附件包：（1）呼吸传感器：呼吸最大输入流速≥250L/min；采样率：100Hz；流动阻力：≤0.1 cmH2O/L/sec； （2）围带式呼吸换能器：最大延伸长度：≥100cm；适用胸围：76~120cm；频率响应：&gt;100Hz，量程：0~500mV，采样率：100Hz，分辨率：±10mV； （3）指脉换能器：优质压电片式采集脉搏波； （4）血氧传感器：血氧饱和度测量范围：30%～100%，血氧饱和度分辨率：≤1%； （5）气道阻塞模拟器：内腔直径≥6mm、17mm；</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9.能量代谢系统附件包：（1）代谢仪：氧气测量范围：5%~30%，测量误差：±3%；二氧化测量范围：0%~15%，测量误差±5%，流速测量范围：0~100SLM，测量误差：±2%，能量代谢测量误差：±5%； （2）代谢仪面罩：用于采集人体呼出的气体，内置隔离呼吸阀门，面罩内部腔体小，可以提高采集的精度； （3）代谢流量传感器：采集人体近端的呼出气体，5mS响应时间；实时数据，非模拟波。 （4）代谢专用气管：管长≥80cm，外直径≥5mm，将呼出的小部分气体导入到代谢仪主机用于分析，管体体积小，佩戴方便，提升了人活动的灵活性，提升整体舒适性；</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10.人体无线采集系统附件包：（1）代谢仪：氧气测量范围：5%~30%，测量误差：±3%；二氧化测量范围：0%~15%，测量误差±5%，流速测量范围：0~100SLM，测量误差：±2%，能量代谢测量误差：±5%； （2）代谢仪面罩：用于采集人体呼出的气体，内置隔离呼吸阀门，面罩内部腔体小，可以提高采集的精度； （3）代谢流量传感器：采集人体近端的呼出气体，5mS响应时间；实时数据，非模拟波。 （4）代谢专用气管：管长≥80cm，外直径≥5mm，将呼出的小部分气体导入到代谢仪主机用于分析，管体体积小，佩戴方便，提升了人活动的灵活性，提升整体舒适性；</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11.人体生理实验系统附件手推车：（1）塑料材质，白色，共四层，每层三个侧面有档杆（板），最上层一端有扶手； （2）底部带车轮，其中两个轮子带刹车；</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12.摆动测定系统附件包：（1）图像采集驱动软件； （2）数字图像采集硬件； （3）准确测量细胞的拍频，计算摆动的频率，幅度； （4）在样品中加入试剂后，短暂测量或定期记录长达24小时；</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13.动感单车附件包：（1）阻力调节：磁控阻力调节，档位：8档； （2）承重：约120kg； （3）单车重量：约25kg； （4）单车尺寸（mm）：约960 ×510 ×1280 mm（长宽高）； （5）显示屏：液晶显示屏幕，显示阻力、路程、速度、心率等内容；</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14.检查床附件包：（1）外形尺寸（mm）≥1790×590×460；可折叠收纳尺寸（mm）≥ 890×580×220； （2）重量＜33kg；承重≥100kg； （3）材质：碳钢+海绵+皮革；</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二、 软件参数 (一) 人体生理实验软件技术参数 15.软件显示通道数：1~64通道可变，同时采集并显示12导联心电波形；通道差异化采样率：不同通道可设置不同采样率进行数据采样、不同采样率的信号可同步记录及同步显示，差异化采样率在提高信号质量的同时减少存贮空间；硬件监听控制：可以通过软件控制信号采集仪器的监听功能，选择监听的通道号及音量；</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16.采样和反演同时进行：在信号实时采集过程中，可以同时打开以前记录的文件进行查看、对比、分析等操作；同时反演文件数≥4个；反演文件时可同步播放声音：可以在播放反演波形的同时播放信号声音，比如播放人体心音，便于学生从形态和声音两个方面理解生理信号；</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17.刺激器功能：可根据人体实验所需设置刺激器基本参数，如刺激强度、刺激频率和脉冲个数，也可设置高级参数，如强度增量、频率增量、脉冲增量、刺激脉宽。可在刺激参数调节区进行设置，也可从相应实验模块进行设置；</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18.通用数据处理：微分、积分、频率直方图、序列密度直方图、非序列密度直方图、频谱分析、平均血压、数字滤波分析以及基于包络算法的心率曲线分析等；</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19.心功能参数分析：PR、QT、QRS、ST、RR等间期分析，波段时程分析，波幅度分析，心电向量图，心音分析；肌电分析：积分肌电，均方根振幅，平均功率频率分析，中位频率分析，幅度分析，回归曲线分析；脑电分析：Alpha，Beta，Delta，Theta波分析；肺功能分析：肺活量分析，时间肺活量，最大肺活量，呼气流量（或流速）-容积曲线等分析；</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20.专业的心率变异分析：可显示Lorenz图，RR间期直方图，RR间期差值图，速度图以及功率谱分析图；心率变异可分析不低于23个时域、频域以及非线性指标，至少包括：Range、SDNN、DNN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21.代谢分析：基础代谢分析，能量代谢分析，自动计算呼吸商等；呼吸波为实时的真实波形；</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22.眼电分析：肌电分析、眼动幅度、眼动速度等；</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23.数据测量：单点测量、带Mark标记的两点测量、区间测量、实时测量，可测量出波形的最大、最小、平均值，时间、频率、面积等参数；</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24. 软件实验模块内嵌web电子教材，包括：24.（1）实验原理：生动形象的视频动画或图片讲解实验原理， （2）实验项目：包含图文并茂的实验说明、实验步骤和实验报告，（3）发展历史：了解人体生理参数的研究历程， （4）临床应用：基础医学与临床病例想结合， （5）文献：列举本实验设计中的参考文献， （6）思考题：涵盖原理与实验步骤的问题思考， （7）小测试：对实验相关知识的进一步巩固； 内嵌动画引导的实验操作指南： （1）神经肌肉实验包含＞40个视频动画； （2）循环系统实验包含＞ 40个视频动画；</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25.人体生理实验模块：包含中枢神经系统实验、神经肌肉实验、运动生理实验、循环系统、呼吸实验、感觉器官等类别至少22个人体生理实验模块；</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(二) 实验模块：26.中枢神经系统实验、神经肌肉实验、循环系统、呼吸实验、感觉器官实验、代谢系统实验、人体运动生理实验、人体综合实验；</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三、 安全认证：27.内置信号采集仪器通过省级医疗器械检验中心的注册检验或者获得CE认证，保证系统用于人体实验的安全性；</w:t>
            </w:r>
          </w:p>
        </w:tc>
      </w:tr>
      <w:tr>
        <w:tc>
          <w:tcPr>
            <w:tcW w:type="dxa" w:w="2769"/>
          </w:tcPr>
          <w:p>
            <w:pPr>
              <w:pStyle w:val="null3"/>
              <w:jc w:val="left"/>
            </w:pPr>
            <w:r>
              <w:rPr>
                <w:rFonts w:ascii="仿宋_GB2312" w:hAnsi="仿宋_GB2312" w:cs="仿宋_GB2312" w:eastAsia="仿宋_GB2312"/>
              </w:rPr>
              <w:t>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12.人体生理实验大屏辅助教学系统（1套）：1.显示屏尺寸≥86英寸液晶显示屏，物理分辨率≥3840x2160；刷新率≥60HZ，亮度≥330cd/㎡，对比度≥1200：1；显示屏防护≥4mm全钢化高防爆玻璃；触摸嵌入方式：内置一体式，非外挂式；红外感应识别触摸技术；书写方式：手指、触摸笔等不透光物体；多点触摸，触摸有效最小识别物2mm；喇叭：扬声器，自动音量控制，环绕声，均衡器；</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二、内置电脑参数：2.CPU型号性能不低于i7处理器，内存≥8G，存储≥240G以上硬盘；性能不低于Intel核芯显卡Intel HD Graphics； USB2.0、USB3.0、网络接口、MIC输入、HDMI输出、VGA输出、支持WiFi；Windows10操作系统、安卓系统可选；</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三．软件技术指标 3．电子白板：可以进行画笔设置，笔记与背景随意切换，笔记页面管理，撤销与恢复等功能；</w:t>
            </w:r>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▲4．实验内容：1) 内置实验模块数：不少于26个内置人体生理实验模块； 2) 内置实验模块内容： 每个内置实验模块包括六部分内容：电子教材，教学PPT（中英文可切换），实验录像，微课，理论测验以及扩展知识； 3) 电子教材：电子教材要求图文并茂，可实现鼠标点击翻页功能； 4) 教学PPT：至少包括实验目的、原理、实验对象、药品器材、方法步骤、注意事项以及思考题等； 5) 实验录像：人体生理实验的全流程操作录像； 6) 微课：高清视频录像，至少包括实验目的、原理、实验对象、药品器材、方法步骤、实验结果、注意事项以及思考题等部分的讲解讲解老师要利用大屏幕同步展示讲解的内容； 7) 理论测试： 每个实验模块至少不少于五道理论测试题目； 8) 扩展知识：相关的临床知识以及文献介绍等； 9) 自定义实验模块：系统支持用户自定义实验模块，每个自定义实验模块可以包括：PPT，实验录像，微课，测验以及扩展知识等内容 10) 自定义实验模块与系统内置实验模块融为一体，自动添加在内置实验模块后面，便于用户管理和操作；</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5.为保证产品质量，投标供应商须提供产品来源声明函和针对该项目所投设备的售后服务承诺书并加盖有效公章。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13.除颤器（2套）：1.具备中文语音提示、LED指示灯可视性提示功能；双相截顶指数波，最大输出能量≤200J；充电时间：从开始分析到最高能量除颤放电准备好时间≤7秒；患者阻抗测量范围：20-200Ω；除颤脉冲最大电压≤1100V；非可电击心律识别率（无人为干预）≥98.8%；电池：待机时间≥5年，最大能量除颤次数≥250次。</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14.粪便尿液分离代谢笼（1套）：1.笼架规格(mm)≥1410*550*1550；2层*5*2=20笼，水冲式不锈钢架子；用材:SLS304不锈钢板，SUS304不锈钢管立柱(mm)≥24x37x10；笼子规格(mm)≥240*200*200，笼盒为悬挂式；配耐酸碱，无毒，聚丙烯 PP 塑料笼盒、304 不锈钢网盖；≥200mlPP饮水瓶；带不锈钢料盒、自动饮水器；304不锈钢丝；点焊抛光。</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15.肺功能测定仪（1套）：1.至少可测量参数：呼吸频率、每分通气量、最大呼气流量、最大吸气流量、EF50、呼气时间、吸气时间、潮气量、呼气末期暂停、吸气末期暂停、累计体积、Penh、Rpef、Ncou（咳嗽）；具有哮喘实验自动化实验功能，用户可设置自动化模板，自动进行数据统计分析；</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配置多通道大容量的干燥吸附塔，每通道容积≥450ml；.配备专业版咳嗽检测功能，可自动识别咳嗽事件，自动绘制咳嗽波形；数据可回放，一键绘制原始波形，至少需包含对比分析、趋势分析、咳嗽分析、单波分析、整体分析等功能；</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配置专用的光激活信号结合模块，且通道数量≥2通道，光激活信号和呼吸波形必须在同一界面显示，点位同步，时间同步；配置至少包含：全身体积描记系统4通道，光激活结合模块控制主机，间接量热法测代谢测量模块；</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4.内置微孔高频振荡气溶胶雾化头，给药的量和速度可以通过软件调节；体积描记器采用透明材质，方便观察。集成传感器和药物雾化输入口；流量调节方式：主机旋钮调节、软件调节；具有自动一键标定功能，整个标定持续时间≤2min；</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▲5.具有间接量热法测代谢测量模块，至少可测量耗氧量、二氧化碳产生量、RER、EE等；</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6.为保证产品质量，投标供应商须提供产品来源声明函和针对该项目所投设备的售后服务承诺书并加盖有效公章。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16.动物跑步机（2套）：1.外形尺寸(mm)≥940×550×250；跑道组件重量≤7.5kg；跑道尺寸(mm)≥440×100×63（大鼠）、≥440×58×50（小鼠)；通道数：大鼠3通道，小鼠6通道；</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2.速度设定范围：0~60.0 m/min，调节步长0.1 m/min；速度偏差≤1%；坡度设定范围：0~15°；电刺激：刺激区域(mm)≥110×60；刺激强度范围：0.3~7mA（恒电流，脉冲刺激）；刺激脉冲频率：1、2、3 Hz三档可调</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7.记录数据：实验时间、动物信息、跑步时间、跑步率、跑步距离、落带次数、连续刺激次数等；</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8.控制方式≥7寸IPS高清彩色电容触屏，屏幕分辨率≥1024×600；实验数据存储空间≥8GB。</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17.信息化集成化信号采集与处理系统（3套）：一、硬件参数 1.整机外形尺寸(mm)≤1680*740*2110（长*宽*高）；实验台操作面积(mm)≤1100*740（长*宽），实验台面离地高度：730-930mm，升降行程≥200mm；输液架离地面高度≤1970mm，输液架移动范围≤850mm（两侧）；实验台面材质：ABS工程塑料；实验台面下屏蔽层：不锈钢层，尺寸(mm)≤1050×730×0.4（长*宽*高）；移动滚轮：带锁式万向移动滚轮，整个操作平台可全方位移动；可伸缩固定支柱：带可伸缩平台固定支柱，保证实验平台的平稳固定；实验照明系统：4×10W，自然光LED灯，色温≥3000K，角度可调，通过软件无线控制多种灯光组合；</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2.内置信号采集与处理系统：用于生物信号采集和数据处理、分析、生成实验报告等；内置实验室环境监测模块：可测量温度（精度≤0.1℃）、湿度、大气压，可在信号采集面板和软件中显示并记录到数据文件中；内置小动物肛温测量模块：测量并进行显示（精度≤0.1℃），可在无线控制终端上进行显示，配专用小动物肛温传感器；内置小动物呼吸机：①潮气量范围：0.1～99.9ml可调，调节及显示精度≤0.1ml；②呼吸时比：1-5:1-5；③呼吸频率：1～200次/分；④有大鼠、小鼠及家兔呼吸参数一键设置功能；⑤进气口和出气口一致在水平方向上；⑥通过软件无线控制呼吸机动物类型、潮气量、频率、呼吸时比等；</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3.双显示系统：①上下各一个显示器，下显示器≥12.5寸，上显示器≥23.8寸；②上显示器调节：高度升降范围不小于235mm，左右旋转不小于55度（绕Z轴旋转），上下倾角不小于70度（绕Y轴旋转），可竖屏（绕X轴旋转）；</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4.氧气调压系统：调压范围0-0.4MPa，可锁定，耐压1.5MPa；氧气输入为快接接口，可接湿化瓶；全导联心电接口≥1个标准12导联的全导联心电接口；</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5.通用物理采样通道≥4个；物理采样通道扩展：任意一个物理采样通道可扩展至8个实际数据采样通道，总计可进行32通道数据同时采样，并可对各个通道参数进行调节。如在一个物理通道上连接无线人体生理信号仪，该物理通道可同时采集体位、心电、呼吸、肺活量、脉搏、血氧、收缩压、舒张压等8个信号；量程：±1V、±500mV、±200mV、±100mV、±50mV、±20mV、±10mV、±5mV、±2mV、±1mV、±500uV、±200uV、±100uV、±50uV、±20uV，共15档；</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6.滤波器：同时具备硬件模拟滤波器、DSP 5阶贝塞尔滤波器、软件数字滤波器：1）低通：1、2、5、10、20、50、100、200、500、1k、2k、5k、10k、20k、50k，合计15档；2）高通（时间常数）：DC、5S、2s、1s、0.5s、0.2s、0.1s、0.05s、0.02s、0.01s、0.005s、0.002s、0.001s，合计13档 ；3）50Hz陷波：开、关两档可调；最大采样率≥800KHz，每个物理通道可采用不同采样率同时进行采样；</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7.AD转换器：16位4通道同步采样；共模抑制比（CMMR）≥100dB;输入阻抗：10MΩ@DC；信噪比≥100dB；等效输入噪声：电压峰峰值 ≤ 2.0μV；</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8.设备内置高级程控刺激器，刺激器参数包括： 1）波形：三角波、方波、正负方波、正弦波、用户编辑任意波形； 2）模式：恒流、恒压两种输出方式； 3）电压：-110V~110V；4）电流：-150mA~+150mA；5）时间步长：0.05ms；</w:t>
            </w:r>
          </w:p>
        </w:tc>
      </w:tr>
      <w:tr>
        <w:tc>
          <w:tcPr>
            <w:tcW w:type="dxa" w:w="2769"/>
          </w:tcPr>
          <w:p>
            <w:pPr>
              <w:pStyle w:val="null3"/>
              <w:jc w:val="left"/>
            </w:pPr>
            <w:r>
              <w:rPr>
                <w:rFonts w:ascii="仿宋_GB2312" w:hAnsi="仿宋_GB2312" w:cs="仿宋_GB2312" w:eastAsia="仿宋_GB2312"/>
              </w:rPr>
              <w:t>102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▲9.支持人体无创连续血压仪连接及数据采集：无线传输，无振动无噪音，测量范围0~299mmHg，精度 ±1mmHg；支持微型植入压力测量传感器的数据采集：探头直径1mm，测量范围-20mmHg~200mmHg，直接植入动物体内，代替传统液体传动方式的血压测量；真实实时波形数据，非模拟波形数据；</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二、软件参数：10.软件显示通道数：1~64通道可变，默认显示通道数为4通道，当同时采集12道全导联心电波形时软件界面上同时显示12道心电波形；同时打开反演文件数≥4个；实时采样和反演同时进行：在信号实时采样过程中，可在实时采样软件上同时打开以前记录的文件进行查看、对比、分析等操作；可播放反演文件声音：反演文件时，在波形反演同时可播放该波形声音，比如播放减压神经放电声音；通道差异化采样率设置：不同通道可设置不同采样率进行数据采样、不同采样率的信号波形可同步记录及同步显示；软件实验模块内嵌web电子教材：在一个实验模块页面内用生动形象的、图片、动图、视频讲解实验原理、目的、器材、步骤、操作过程。</w:t>
            </w:r>
          </w:p>
        </w:tc>
      </w:tr>
      <w:tr>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完全独立的中文版英文版操作软件，内含槲皮素抑制帕金森病小鼠多巴胺能神经元铁死亡课程，支持PC、手机等移动端全功能访问，课件设计符合手机横屏操作要求，载入和显示时间小于5秒。课件技术规范完全符合国际共享参考模型SCORM 1.2的标准格式，符合Scorm平台，方便获取学习成绩和过程记录等功能；</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12.通用数据处理：微分、积分、频率直方图、序列密度直方图、非序列密度直方图、频谱分析、平均血压、记滴趋势分析以及基于包络算法的心率曲线分析等；专用数据处理：血流动力学实验参数分析、心肌细胞动作电位参数测量、心功能参数分析，突触后电位分析，心率变异分析，心电向量图分析等，提供这些分析的DEMO数据供用户演示和学习；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13.专业的LTP数据分析功能：分析LTP波形最大斜率、平均斜率、直线回归斜率、自动标记关键点坐标；包含范围测量、自动测量、叠加波形、查找标签（波序号、自定义）、导出测量表（范围测量、自动测量结果）、显示/隐藏刺激线、显示LTP波位置等功能；数据测量：单点测量、带Mark标记的两点测量、区间测量、实时测量，可测量出波形的最大、最小、平均值，时间、频率、面积等参数；实验模块：系统内置不低于50个预先设定参数的实验模块；</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14.具有AI实验操作和实验结果自动评价功能：系统可以对实时采样或反演的家兔动脉血压调节实验操作过程(视频）及实验结果实施自动评价。评价步骤包括：家兔捉拿、麻醉、绑定、备皮、气管插管以及动脉插管；</w:t>
            </w:r>
          </w:p>
        </w:tc>
      </w:tr>
      <w:tr>
        <w:tc>
          <w:tcPr>
            <w:tcW w:type="dxa" w:w="2769"/>
          </w:tcPr>
          <w:p>
            <w:pPr>
              <w:pStyle w:val="null3"/>
              <w:jc w:val="left"/>
            </w:pPr>
            <w:r>
              <w:rPr>
                <w:rFonts w:ascii="仿宋_GB2312" w:hAnsi="仿宋_GB2312" w:cs="仿宋_GB2312" w:eastAsia="仿宋_GB2312"/>
              </w:rPr>
              <w:t>108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三、无线集中控制系统参数：▲15.具有嵌入一体机的无线平板控制终端，无需网络无需打开软件，直接通过平板对系统中各种集成设备；</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16.图形化控制界面：所有设备控制都采用图形化界面进行操作；控制设备自动识别与连接：集中控制系统可自动识别平台上的集成电子设备并实现自动连接；</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17.照明灯光控制：可进行独立灯光控制或多种组合灯光控制；小动物呼吸机控制：呼吸机启停可控，动物类型可选，潮气量、呼吸时比和呼吸频率可调，肺部压力动态指示；肛温仪：测量和显示小动物肛温；</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18.实验操作台升降控制：实验操作台面升降控制，控制模式包括：升至最高、降至最低、恢复、上升和下降单位高度，暂停升降等；</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四、配套附件：19.生物信号采集与分析系统附件包；高级手术器械包；加热兔台；数字恒温控制器；配置可收纳输液架；兔台尾部废液收集槽；</w:t>
            </w:r>
          </w:p>
        </w:tc>
      </w:tr>
      <w:tr>
        <w:tc>
          <w:tcPr>
            <w:tcW w:type="dxa" w:w="2769"/>
          </w:tcPr>
          <w:p>
            <w:pPr>
              <w:pStyle w:val="null3"/>
              <w:jc w:val="left"/>
            </w:pPr>
            <w:r>
              <w:rPr>
                <w:rFonts w:ascii="仿宋_GB2312" w:hAnsi="仿宋_GB2312" w:cs="仿宋_GB2312" w:eastAsia="仿宋_GB2312"/>
              </w:rPr>
              <w:t>113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18.机能实验辅助教学系统（1台）：一、主机参数：1.显示屏尺寸≥ 86英寸液晶显示屏，物理分辨率≥3840x2160；刷新率≥ 60HZ，亮度≥330 cd/㎡，对比度≥1200：1；显示屏防护≥ 4mm全钢化高防爆玻璃；触摸嵌入方式：内置一体式，非外挂式；触摸感应技术：红外感应识别触摸技术；响应时间：≤15ms；书写方式：手指、触摸笔等不透光物体；多点触摸；触摸有效最小识别物≤2mm；喇叭：扬声器，自动音量控制，环绕声，均衡器；</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二、内置电脑参数：2.CPU型号性能不低于i7处理器，内存≥8G，存储≥ 240G以上硬盘；性能不低于Intel核芯显卡Intel HD Graphics； USB2.0、USB3.0、网络接口、MIC输入、HDMI输出、VGA输出、支持WiFi； Windows 10操作系统、安卓系统可选；</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三、软件技术指标：3.电子白板：可以进行画笔设置，笔记与背景随意切换，笔记页面管理，撤销与恢复等功能；</w:t>
            </w:r>
          </w:p>
        </w:tc>
      </w:tr>
      <w:tr>
        <w:tc>
          <w:tcPr>
            <w:tcW w:type="dxa" w:w="2769"/>
          </w:tcPr>
          <w:p>
            <w:pPr>
              <w:pStyle w:val="null3"/>
              <w:jc w:val="left"/>
            </w:pPr>
            <w:r>
              <w:rPr>
                <w:rFonts w:ascii="仿宋_GB2312" w:hAnsi="仿宋_GB2312" w:cs="仿宋_GB2312" w:eastAsia="仿宋_GB2312"/>
              </w:rPr>
              <w:t>117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▲4．实验内容： 1) 内置实验模块数：60个内置机能学实验模块； 2) 内置实验模块内容：每个内置实验模块包括六部分内容：电子教材，教学PPT（中英文可以切换），实验录像，微课、理论测验，虚拟实验操作； 3) 电子教材：图文并茂，且支持鼠标点击进行页面放大/缩小、翻页、自动翻页、查看目录、略缩图等功能。 4) 教学PPT：内容至少包括实验目的、原理、实验对象、药品器材、方法步骤、注意事项以及思考题等。 5) 实验录像：高清视频实验动物手术操作录像，且支持暂停、快进、快退、停止播放、音量调节等功能。 6) 微课：高清视频录像，至少包括实验目的、原理、实验对象、药品器材、方法步骤、实验结果、注意事项以及思考题等部分的讲解，讲解老师要利用大屏幕同步展示讲解的内容。且支持暂停、快进、快退、停止播放、音量调节等功能。 7) 理论测试：每个实验模块至少不少于五道理论测试题目。且支持大屏端和手机扫二维码后答题成绩统计功能。 8) 虚拟实验：每个实验模块连接一个简单虚拟实验项目。 9) 扩展教学知识：基础机能学知识介绍，手术操作以及动物福利等 10) 自定义实验模块：系统支持用户自定义实验模块，每个自定义实验模块可以包括： PPT，电子教材，实验录像，微课，虚拟实验操作，测验等内容； 11) 自定义实验模块与系统内置实验模块融为一体，自动添加在内置实验模块后面，便于用户管理和操作； 12) 系统内置机能学实验教学模块列表；</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5.为保证产品质量，投标供应商须提供产品来源声明函和针对该项目所投设备的售后服务承诺书并加盖有效公章。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19.全自动无创血压测量系统（1套）：1.加热箱与信号采集系统集成一体，直接通过USB接口连接到计算机进行工作；测量原理：压力脉搏 + 血流容积变化；；计算机windows应用软件，具有全自动的无创血压测量及分析功</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2.配套设施完善：配备阻断器、传感器、鼠笼、加热箱；鼠笼规格齐全，可适应不同体重的大鼠及小鼠；通道数≥1通道；自导向性弧形设计鼠尾脉搏传感器，适用于不同体重的大鼠及小鼠能；</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3.自动化实验控制功能，可自动进行参数设置；箱体加热温度：室温~40°C ，温度显示精度：≤0.1°C；具有箱体漏气检测功能，可精确分析漏气所属位置；放气速率：1~12mmHg/s可调；分析指标：心率HR（bpm）.收缩压SBP（mmHg）.舒张压DBP（mmHg）及平均动脉压MAP（mmHg）；血压测量范围：10~300mmHg；心率测量范围：0~1000bpm；</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4.为保证产品质量，投标供应商须提供产品来源声明函和针对该项目所投设备的售后服务承诺书并加盖有效公章。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20.离体组织器官恒温灌流系统（1套）：一、主机参数： 1.设备尺寸(cm)≥60×30×72 （长*宽*高）；加热方式：水浴循环加热，温度范围：环境温度至50°C；储液瓶：1个，容积≥1200ml，用于营养液的储存；蛇形加热器≥4个，单个容积≥30ml，与储液器及浴槽相连接，用于营养液的预热；浴槽≥4个；容积≥20ml，深度≥60mm，具有保温作用；张力换能器≥±5g；</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2.灌流方式：手动打开进液阀门，营养液由上至下进行灌流；排液方式：手动打开放液阀门，将营养液排出；供氧方式：外接氧气瓶；具有氧气压力表，量程0-15Kpa，实时监测当前压力值，具有过载保护功能；一维调节组件：(1) 数量≥4个；(2) 材料：合金铝、青铜、不锈钢；(3) 高度调节：可调节范围 0-30 mm；具有微调旋钮，可精确调节组织预张力；(4) 传感器夹持器：用于传感器的固定，接口直径≥8mm；(5) 氧气调节阀：手动调节阀门控制进气量，阀门工作压力≤10 Kpa(6) 挂钩：4套组织挂钩/血管环挂钩；</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3.恒温水浴技术参数： 1)提供了两路恒温水的外循环； 2) 容量≥5.5升； 3) 循环方式：内、外循环两种； 4) 外循环数量≥2路； 5) 外循环流量≥6L/min左右（硅胶管内径φ6mm，长度0.5m）； 6) 控温：温度调控分辨率≤0.1℃; 7) 温度波动＜0.05℃（室温＞25℃，水温37℃）；</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二、信息化生物信号采集与分析系统参数：(一) 4.硬件参数：采样通道接口：4个物理采样通道，1个12导联全导联心电接口；物理采样通道扩展功能：仅占用1个物理通道即可同时采集≥8道信号，扩展无线传感器，可无线采集人体体位、心电、呼吸、肺活量、脉搏、血氧、收缩压、舒张压等信号，对扩展传感器进行参数调节；</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5.滤波器：同时具备硬件模拟滤波器、DSP 5阶贝塞尔滤波器、软件数字滤波器：1）低通：1、2、5、10、20、50、100、200、500、1k、2k、 5k, 10k,20k, 50k，合计15档；2)高通（时间常数）：DC、5S、2s、1s、0.5s、0.2s、0.1s、0.05s、0.02s、0.01s、0.005s、0.002s、0.001s，合计13档；3）50Hz带阻：关，低，中，高4档可调；</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6.最大采样率≥800KHz （物理通道最大200ksps*4，12导联通道 2ksps*12）；AD转换器：≥16位4通道同步采样；处理器：浮点型DSP+ARM双核处理器；共模抑制比（CMMR）≥100DB;输入阻抗：10M@DC；等效输入噪声：电压峰峰值≤2.0μV，信噪比≥100dB；</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(二) 软件参数：7.软件显示通道数：1~64通道可变，同时采集并显示12导联心电波形；同时反演文件数≥4（可同时打开多个文件进行反演）；采样和反演同时进行：在信号实时采集过程中，可以同时打开以前记录的文件进行查看、对比、分析等操作；通道差异化采样率：不同通道可设置不同采样率进行数据采样、不同采样率的信号可同步记录及同步显示；</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8.为保证产品质量，投标供应商须提供产品来源声明函和针对该项目所投设备的售后服务承诺书并加盖有效公章。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21.恒温平滑肌实验系统（1套）：1.温度调节范围：室温～40℃;最大加热功率≥150W;温度调节方式：薄膜按键;控温精度：±0.1℃； 显示精度：≤0.1℃；温度调节精度：≤0.1℃；加热过冲：≤0.2℃。</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2.药桶≥20ml 有内置可开关光源90度垂直照射平滑肌平面，光源离平滑肌距离不超过1.5厘米；药桶刻度精度：≤1 ml;桶内气量大小可调,空气或者外接氧气，可随意切换；水域的搅拌方式：内置式；控温方式：微电脑自动控温；</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22.跳台实验视频分析系统（1套）：1.全视频跟踪方式，每个通道独立摄像头模式，可完成8只以上小鼠的跳台实验；测定参数：观察时间，潜伏期，错误次数，活动轨迹等；自动观测通道数≥ 8道；采样方式：8通道视频独立采样；采样率：≤30 fps；图像分辨率≥352×288（单道采集）；实验时间：5~60min 可调；</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2.实验箱尺寸(mm)≥658(L)×395(W)×450(H)；单室尺寸(mm)≥155 (L)×140 (W)×398 (H)；跳台尺寸(mm)≥45（直径）×45（高）。</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23.离体心脏灌流装置（1套）：1.设备尺寸（cm）≥33×34×125（长*宽*高）；操作台:尺寸（cm）≥14×14×10（长*宽*高）；注射器夹持规格（ml）≥5(直径14mm)。</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2.具有2路灌流支路，可同时使用两种不同药液进行实验；灌注方式:重力（恒压），量程：60-80cmHg；</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3.储液瓶容积≥1200ml；心脏保温腔容积≥185ml，可为心脏提供恒温环境；蛇形加热器容积≥40ml，与储液瓶及保温腔相连接，用于营养液预热；溢流杯容积≥10ml，溢流口可保持灌流液面处于恒定高度，维持一定的灌注压或者前负荷；加热方式：水浴循环加热；温度范围：环境温度至50°C；</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24.小鼠Y形迷宫（1套）：一、硬件参数</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1.适用范围：分小鼠（YMT-200A小鼠版适用）、大鼠（YMT-200B大鼠版适用），不分黑白鼠；尺寸：小鼠单臂（mm）≥300(L)×60(W)×150(H)，大鼠单臂（mm）≥400(L)×100(W)×225(H)；食物槽：小鼠食物槽直径≥19mm，深度≥11mm；大鼠食物槽直径≥24mm，深度≥17mm；材质：医用ABS材质，无毒无异味，耐腐蚀，可水洗；</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二、软件参数：2.自动观测通道数：8通道32只动物；分析模式：实时分析、离线分析、批量分析、极速分析；适用范围：大小鼠、黑白鼠通用；软件识别方式：减差法；染色要求：无需动物染色也能识别目标采样率：实时分析10Hz；图像分辨率≥1280×720；屏幕分辨率：最低支持800×600。</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25.旷场实验系统（1套）：一、硬件参数 （一）实验箱 1.适用范围：小鼠（OFT-200A小鼠版适用）和大鼠（OFT-200B大鼠版适用），不分黑白鼠；产品尺寸≥大鼠尺寸1000mm(L)×1000mm(W)×400mm(H)；小鼠尺寸≥500mm(L)×500mm(W)×400mm(H)；</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二）行为学实验站：2.外形尺寸（mm）≥1860（L）×1740（W）×2050（H）；控制方式≥7英寸IPS高清电容触摸屏，内嵌Linux操作系统，屏幕分辨率≥1024×600；环境数据监测：温度（测量范围：-40~85℃，精度1℃），湿度（测量范围：0-100%RH，精度3%RH），气压（测量范围：30-110kPa，精度≤0.1kPa）；摄像系统：超清红外广角免驱摄像头，≥1/2.7高级CMOS感光芯片，清晰度≥1920×1080，采样率≥30帧/s，拍摄视野≥110°超广角无畸变，支持黑暗环境拍摄，更加符合啮齿类动物生活习性；照明系统：LED灯×4，总功率≤36W，亮度≥10级可调（对应参考照度0Lux、30Lux、60Lux、90Lux、120Lux、150Lux、180Lux、210Lux、240Lux、270Lux和300Lux） ；漫反射白光光源，光照均匀稳定；</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二、软件参数：3.8通道自动观测，可同时观测32只动物；适用大小鼠、黑白鼠；减差法、取色法，默认减差法软件识别方式；无需动物染色也能识别目标； 可选择25宫格、9宫格、回字格和圆切方，默认25宫格；适配所有USB摄像头和网络摄像头，不限摄像头采样率和分辨率；软件内部可直接调用摄像头驱动程序，摄像头参数可调节等。</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26.实验性缺氧实验系统（2套）：一、低氧实验装置 1.实验舱容积：300mL、500mL；数据监测：“五合一”物理采样通道： 1）温度监测：2.0~60.0℃，分辨率≤0.1℃，0.5℃； 2）湿度监测：10~90%RH，分辨率≤1%，±5%RH； 3）CO2浓度监测：0.01~20.00%，精度±70ppm（±5%）； 4）O2浓度监测：0.1~25.0%，±1%； 5）呼吸波：0~±20pa，1kHz；</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二、一氧化碳实验装置：5.实验舱容积：300mL、500mL；带进出口；数据监测：“五合一”物理采样通道： 1）温度监测：2.0~60.0℃，分辨率≤0.1℃，0.5℃； 2）湿度监测：10~90%RH，分辨率≤1%，±5%RH； 3）CO浓度监测：量程0~1000ppm（标准版），准确性±2%F.S(25℃）； 4）O2浓度监测：0.1~25.0%，±1%； 5）呼吸波：0~±20pa，1kHz；</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三、生物信号采集与分析系统硬件：6.物理通道接口数≥4个；物理通道接口扩展性：每个物理通道接口最多可扩展出8个采样通道，即4个物理采样通道总共可扩展出32个采样通道；同时采样通道数≥16个；</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四、生物信号采集与分析系统软件：7.实验性缺氧实验模块：实验目的、实验动物、药品与器材、方法步骤；数据分析： 1）呼吸深度：0~20pa自动分析； 2）呼吸频率：20~500bpm自动分析； 3）耗氧量分析：自动实时耗氧量曲线； 4）耗氧率分析：自动实时耗氧率曲线，mL/(g•min)；</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五、小动物呼吸系统：8.主要用于生物机能实验。呼吸机适用于大白鼠、豚鼠、仓鼠、兔、猫、猴及狗等实验动物；潮气量： 1-300ml可调，调节过程中随时显示当前调节的潮气量值；呼吸时比：可设置多达18种不同的呼吸时比，常用设置包括：1 : 1、1.25 : 1等；呼吸频率：1-200次/分可调；</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9.为保证产品质量，投标供应商须提供产品来源声明函和针对该项目所投设备的售后服务承诺书并加盖有效公章。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27.群体动态心电记录仪（1套）：一、主机参数：▲1.最多可同时对16人进行心电监测；重量≤8Kg； 心电监测器、数据传输器、监测器充电座、移动终端及一次性心电电极等部件集于战术箱，便携移动设计；</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二、群体动态心电记录仪战术箱：2.外形尺寸（长×宽×高）≤475mm×380mm×125mm；重量≤4Kg；有密码锁扣；</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三、心电监测器：3.外形尺寸（mm）≤107×25×14（长×宽×高传输距离：空旷场地≥10米；）；重量≤20g；测量位置：左侧胸部采集；采集原理：生物电信号采集；输入阻抗≥10MΩ；定标电压：1mV±2%；抗极化电压：±300mV；共模抑制比≥90dB；A/D 转换：≥16bit；采样率≥256点/秒/通道；心电电极：兼容标准医用一次性心电电极贴；</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四、数据传输器：4.外形尺寸（长×宽×高）≤80mm×32.2mm×12.6mm；重量≤25g；可连接心电监测器数量≥16个；传输距离：空旷场地≥10米；</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五、软件参数5.测试项目：心功能评价、体能评价、心律失常评价、精神压力评价；测试模式：按国家标准测试要求，心功能和体能分别进行下蹲及踏阶两项运动进行动态测试；心律失常及精神压力评价根据静态心电波形进行数据分析；通道数量：可同时显示16个通道心电；分析指标：实时心率、最高心率、最低心率、平均心率、心功能指数计算、心功能等级分析、劳动心率分析、劳动强度分析、最大摄氧量分析、体能分析、心律失常智能分析、心律失常手动分析、心率变异性分析、散点图分析、RR波间期直方图分析、RR波间期速度图分析、RR波间期功率谱图分析；</w:t>
            </w:r>
          </w:p>
        </w:tc>
      </w:tr>
      <w:tr>
        <w:tc>
          <w:tcPr>
            <w:tcW w:type="dxa" w:w="2769"/>
          </w:tcPr>
          <w:p>
            <w:pPr>
              <w:pStyle w:val="null3"/>
              <w:jc w:val="left"/>
            </w:pPr>
            <w:r>
              <w:rPr>
                <w:rFonts w:ascii="仿宋_GB2312" w:hAnsi="仿宋_GB2312" w:cs="仿宋_GB2312" w:eastAsia="仿宋_GB2312"/>
              </w:rPr>
              <w:t>155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28.无影灯（2台）：1.采用LED冷光源，使用寿命≥50000小时；医生头部温升≤1℃，术野温升≤1℃； 色温≥3000K；双头无影灯，母灯灯珠≥60颗，子灯灯珠≥45颗。母灯灯头直径≥70cm，子灯灯头直径≥50cm；采用弹簧臂，灯臂关节数≥6个。关节臂配备触摸控制面板，具备亮度提示和调节功能；母灯最大光照强度≥120,000LUX，子灯最大光照强度≥80,000LUX ；聚焦光柱≥80CM；色彩还原指数≥80ra；</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2.洁净区人员可通过中置消毒手柄移动手术灯位置，中置手柄可耐受≥130°高温高压蒸汽灭菌；配备光斑调节功能，旋转手柄调节光斑大小，照度不随光斑大小改变而变化；可卸式手柄外套，可在135℃高温下消毒，可操作灯体的聚焦、位置及角度。</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29.二氧化碳培养箱（2台）:1.气套式加热系统，加热迅速，温度、湿度恢复速度快；具有玻璃门加热或外门加热功能，有效避免玻璃门上产生冷凝水；标配虹吸泵，清洁方便；</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2.内部容积≥188L；温度控制范围：室温+5℃～50℃；Pt1000温度传感器，温度控制精度（℃）：±0.1℃，带独立传感器的超温保护装置；</w:t>
            </w:r>
          </w:p>
        </w:tc>
      </w:tr>
      <w:tr>
        <w:tc>
          <w:tcPr>
            <w:tcW w:type="dxa" w:w="2769"/>
          </w:tcPr>
          <w:p>
            <w:pPr>
              <w:pStyle w:val="null3"/>
              <w:jc w:val="left"/>
            </w:pPr>
            <w:r>
              <w:rPr>
                <w:rFonts w:ascii="仿宋_GB2312" w:hAnsi="仿宋_GB2312" w:cs="仿宋_GB2312" w:eastAsia="仿宋_GB2312"/>
              </w:rPr>
              <w:t>160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3.140℃高温干热灭菌，有效杀死箱体内微生物，灭菌效果达到99.99%（可提供灭菌测试报告），定期预防污染；灭菌时间12小时，其中140℃维持时间不低于2小时；灭菌过程中，无需去除所有传感器；对高温灭菌全过程进行实时监控，并在屏幕上实时显示高温灭菌流程不同阶段的各种状态信息；</w:t>
            </w:r>
          </w:p>
        </w:tc>
      </w:tr>
      <w:tr>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▲4.CO2传感器：采用可耐不低于190℃高温的红外传感器（IR传感器），响应灵敏，精度高，寿命不小于5年，在腔室内实时监测CO2浓度变化，且高温干热灭菌时免拆卸保持原位；开机时自动复位检测；</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5.CO2进气口配备HEPA高效过滤器，对粒径≥0.3μm颗粒物过滤效率为99.995％；</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5.为保证产品质量，投标供应商须提供产品来源声明函和针对该项目所投设备的售后服务承诺书并加盖有效公章。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30.智能多媒体一体机(2台)：1.整机屏幕采用≥86英寸，UHD超高清LED液晶屏，显示比例16:9，屏幕图像分辨率≥3840*2160；内置非独立的高清摄像头支持输出4:3.16:9比例的图片和视频；整机摄像头支持人脸识别.快速点人数.随机抽人，支持同时显示标记不少于60人，并显示人脸标记；</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2.设备需搭载总功率不低于60W的扩声系统，不低于2.2声道，扬声器位于设备上方，声音方向朝前，保证后排清晰，前排不震耳；整机内置非独立外扩展的8阵列麦克风；整机支持蓝牙功能；支持标准.听力.观影和AI空间感知音效模式，AI空间感知音效模式可通过内置麦克风采集教室物理环境声音，自动生成符合当前教室物理环境的频段、音量、音效；</w:t>
            </w:r>
          </w:p>
        </w:tc>
      </w:tr>
      <w:tr>
        <w:tc>
          <w:tcPr>
            <w:tcW w:type="dxa" w:w="2769"/>
          </w:tcPr>
          <w:p>
            <w:pPr>
              <w:pStyle w:val="null3"/>
              <w:jc w:val="left"/>
            </w:pPr>
            <w:r>
              <w:rPr>
                <w:rFonts w:ascii="仿宋_GB2312" w:hAnsi="仿宋_GB2312" w:cs="仿宋_GB2312" w:eastAsia="仿宋_GB2312"/>
              </w:rPr>
              <w:t>166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▲3.整机上边框内置非独式广角摄像头和智能拼接摄像头， 均支持 3D 降噪算法和数字宽动态范围成像WDR 技术，支持输出 MJPG. H.264 视频格式；</w:t>
            </w:r>
          </w:p>
        </w:tc>
      </w:tr>
      <w:tr>
        <w:tc>
          <w:tcPr>
            <w:tcW w:type="dxa" w:w="2769"/>
          </w:tcPr>
          <w:p>
            <w:pPr>
              <w:pStyle w:val="null3"/>
              <w:jc w:val="left"/>
            </w:pPr>
            <w:r>
              <w:rPr>
                <w:rFonts w:ascii="仿宋_GB2312" w:hAnsi="仿宋_GB2312" w:cs="仿宋_GB2312" w:eastAsia="仿宋_GB2312"/>
              </w:rPr>
              <w:t>167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▲4.整机支持发出频率为18kHz-22kHz超声波信号，智能手机通过麦克风接收后，智能手机与整机无需在同一局域网内，可实现配对，一键投屏，无需手动输入投屏码或扫码获取投屏码；</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5.功能音响：输出额定功率≥ 2x15W；音箱灵敏度≥85dB，1W/1M；信噪比≥80dB ；全频喇叭单元尺寸≥5英寸；距离音箱10米处声压级≥75dB；麦克风：采样率≥48KHz，16bit；扩音增益≥15dB；声频响150Hz-16kHz，声信噪比≥60dB；配合一体化有源音箱，扩音延时≤35ms；.电续航时间≥7小时；</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6.配置清单：智慧黑板 1套、功能音响 1套、领夹扩声麦 2个；</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7.为保证产品质量，投标供应商须提供产品来源声明函和针对该项目所投设备的售后服务承诺书并加盖有效公章。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31.凝胶成像系统（1套）：1.摄像头:高分辨率低照度超高速相机；感光效率: QE≥65%；有效像数≥500 万像素 曝光时间1ms-3000ms；像数密度:16 bit（0-65535色）；像数尺寸≥3.45um×3.45um；像素合并:1×1；动态范围≥4.8个数量级；电动镜头≥2000万解析度自动聚焦镜头，全程聚焦速度≤5S；</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2.白光样品板≥25x25cm LED冷光带刻度折叠式样品台，折叠于机器内部；紫外样品台：开门式抽屉灯管无影低背景样品台，波长302nm.面积≥21×21cm；切胶装置：抽屉开放式，防护装置590nm光学滤镜 有效防紫外线99.99% 防护面积≥30*30cm；滤光片:标配590nm波长；</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3.软件功能：软件具有自动曝光功能，精准估算样品时间，无需人工估算曝光时间，且还能调控积分拍摄；软件具有一键拍摄：自动调整灯光以及镜头。一键提前预览实验结果；</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4.为保证产品质量，投标供应商须提供产品来源声明函和针对该项目所投设备的售后服务承诺书并加盖有效公章。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32.酶标仪（2台）：1.波长范围：190nm-1000nm；波长准确度≤±1.0nm；波长重复性：≤0.2nm；分辨率：≤0.001Abs（显示）≤0.000001Abs（内部计算）；</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2.光源：长寿命闪烁氙灯；开机无需预热，可直接检测；测定范围：0-3.0OD；可实现1~24比色皿检测；</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3.采用CMOS检测器，可实现全板UV-VIS全波长实时光谱扫描；整板单孔UV-VIS全波长扫描仅需1s；单孔实时输出紫外-可见全波长光谱图；自带孵育加热功能。孵育温度：(室温+2℃)至65℃；微孔板类型：标准96孔酶标板（其余可扩展定制）；微量板模块：使用特制的微量石英板，可直接检测核酸和蛋白的吸光度.浓度以及纯度（96孔微量石英板选配</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4.为保证产品质量，投标供应商须提供产品来源声明函和针对该项目所投设备的售后服务承诺书并加盖有效公章。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33.垂直电泳系统（2台）：1.多用途电泳电源技术参数：4组并联输出； 输出电压：6-600V (显示精度：≤0.1V )；输出电流：4-600mA （显示精度：≤0.1mA）；</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2.小型垂直电泳槽技术参数：凝胶数量：1-4；凝胶类型：手灌胶与预制胶；铂金电极：铂金丝直径≥0.26mm，纯度为99.95%玻板尺寸：厚玻板（mm）≥101 x 82 ；短玻板（mm）≥101 x 73 ；凝胶尺寸：手灌胶 （mm）≥83 x 73 ；预制胶（mm）≥86 x 68 ；样品梳：10.15齿，1.0mm厚；10.15齿，1.5mm厚（选配）；10.15齿，0.75mm厚（选配）；缓冲液容积：2块胶≥700 ml；4块胶≥1000 ml；运行时间：标准SDS-PAGE凝胶35-45分钟(恒压200V)；</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3.小型转印电泳槽技术参数：转印方式：湿转；转印面积（mm）≥75 ×100；转印数量≥2块；缓冲液容积≥450ml；铂金电极：铂金丝直径≥0.26mm，纯度≥99.95%铂金丝；横向间距≥40mm ；转印时间≤60 min；冷却方式： 蓝冰冰盒。</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34.紫外可见分光光度计（2台）：1.波长范围：190-1100nm；波长准确度≤±0.5nm；光度准确性：±0.3%T （0—100%T）；光度重复性：≤0.15%T（0—100%T）光度范围 ：0-200%T、-0.3-3A、0-9999C；</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2.光谱带宽≤2nm；杂散光 ≤0.05%T@360nm；基线漂移：±0.001A/h（500nm处）；基线平直度：±0.002A；噪声水平：±0.001A（500nm处）；</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3.显示系统：≥128*64位大屏幕LCD；</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4.光源：进口长寿命钨灯、氘灯；检测器：进口硅光二极管。</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35.超声波细胞破碎仪（2台）：1.频率:20-25 KHz；显示方式≥7寸触摸显示屏；功率（ W）≥650（1%-100%）；配有变幅杆:2、6mm各一支；破碎容量:100μl-500 ml；占空比:0.1-99.9 %；温度报警:0-99.9℃（防止样品过热）；</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2.细胞膜电阻测量系统参数：电压范围：±199.0 mV；电压分辨率：0.1 mV；电阻范围：0—20000Ω；电阻分辨率：1Ω。</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36.水平电泳系统（2台）：1.多用途电泳电源技术参数：4组并联输出；输出电压：6-600V (显示精度：≤0.1V )；输出电流：4-600mA （显示精度：≤0.1mA）；</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2.电泳槽技术参数：电极铂金丝直径≥0.3mm，纯度≥99.95%，电场稳定；凝胶板规格（mm） ≥60×60(L×W)，≥120×60(长胶)，≥60×120（宽胶)，≥120×120；样品梳：11+25齿(1.0mm厚)；6+13齿(1.5mm厚)；8+18齿(1.5mm厚)；2+3齿(2.0mm厚)。</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37.超微量分光光度计（1台）：1.光程：1mm.0.5mm.0.1mm.0.05mm.0.02mm，光程根据样品浓度自动匹配最佳光程，无需手动设置；光源：长寿命脉冲氙闪灯；微量样品体积要求：0.3～2µL；</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2.检测器：3864-元素线性硅化CCD阵列；波长范围：185～910nm，波长精度≤±1nm，波长分辨≤2nm (FWHM at Hg 546nm)；吸光率精确度≤0.002 Abs；吸光率准确度≤ 1% (0.76吸光率在350nm)；吸光率范围≤0.002～750 Abs,等效于10mm；核酸测量范围≤2～37500 ng/µl （dsDNA）；蛋白质测量范围≤1～1120mg/ml（BSA）；</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3.内置方法：核酸、蛋白质、定量试剂盒、全波长扫描、微阵列等；具有一键导出扫描检测结果的图谱功能；开机无需等待，即开即用，1~5秒即可完成185nm~1100nm波长的数据采集；数据存储方法：内置≥64GB存储空间，可直接存储检测结果数据与自定义方法，检测结果自动保存为电子表格式，USB输出或网络转存数据；</w:t>
            </w:r>
          </w:p>
        </w:tc>
      </w:tr>
      <w:tr>
        <w:tc>
          <w:tcPr>
            <w:tcW w:type="dxa" w:w="2769"/>
          </w:tcPr>
          <w:p>
            <w:pPr>
              <w:pStyle w:val="null3"/>
              <w:jc w:val="left"/>
            </w:pPr>
            <w:r>
              <w:rPr>
                <w:rFonts w:ascii="仿宋_GB2312" w:hAnsi="仿宋_GB2312" w:cs="仿宋_GB2312" w:eastAsia="仿宋_GB2312"/>
              </w:rPr>
              <w:t>193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▲4.内置win10系统，带高清显示屏，全触控操作，内置蓝牙、Wi-Fi可实现异地操作，可无限打印检测结果；</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5.为保证产品质量，投标供应商须提供产品来源声明函和针对该项目所投设备的售后服务承诺书并加盖有效公章。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38.基因扩增仪（2台）：1.反应模块：0.2ml×96孔反应模块，适合96孔板、8联管、单管等标准耗材；仪器冷却/加热技术（温控方式）：Peliter半导体；彩色触摸屏，水晶屏幕，无反光。</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2.标配为快速反应模块，其最大变温速率≥3.5℃/S,能提高工作效率；温度控制范围：3-99℃；控温准确性≤±0.1℃；控温均一性≤±0.2℃；带有温度梯度功能，可同时对8个以上不同的温度点进行反应条件优化；热盖温度≥105℃；热盖采用非固定的方式，其高度可调，适合各种不同的耗材使用；</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3.为保证产品质量，投标供应商须提供产品来源声明函和针对该项目所投设备的售后服务承诺书并加盖有效公章。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39.脱色摇床（2台）：1.速度范围：40-200rpm；固定板面载重量≥8kg；定时范围：1分-99小时59分；运动方式:360°回旋；振荡幅度≥12mm；载物盘尺寸(mm)≥270*245；载物盘附件:专用器皿粘板。</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40.可见光分光光度计（1台）：1.波长范围：325-1000nm；光谱带宽：4nm；波长准确度：±2nm；波长重复性≤0.5nm；波长分辨率：0.1nm ；光度准确度：±0.5%T；光度重复性≤0.2%T；光度范围：0-200%T、-0.3-3A、0-9999C；杂散光≤0.2%T；稳定性：±0.002A/30min（500nm预热后）；</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41.台式高速冷冻离心机（2台）：1.最高转速≥18500r/min，转速精度≤±10r/min；最大相对离心力≥29300xg；最大容量：≥4×100ml，可选配不少于19款转子；温度设置范围：-20℃～+40℃，温度控制精度±1℃；</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2.整机噪音≤62dB(A)；；</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3.定时范围：1s～99min59s、1min～99h59min；具有启动计时、到转速计时、连续计时三种计时模式；加/减速曲线：≥11档加速曲线、≥12档减速曲线、≥10档为自定义档位，保障最佳离心效果</w:t>
            </w:r>
          </w:p>
        </w:tc>
      </w:tr>
      <w:tr>
        <w:tc>
          <w:tcPr>
            <w:tcW w:type="dxa" w:w="2769"/>
          </w:tcPr>
          <w:p>
            <w:pPr>
              <w:pStyle w:val="null3"/>
              <w:jc w:val="left"/>
            </w:pPr>
            <w:r>
              <w:rPr>
                <w:rFonts w:ascii="仿宋_GB2312" w:hAnsi="仿宋_GB2312" w:cs="仿宋_GB2312" w:eastAsia="仿宋_GB2312"/>
              </w:rPr>
              <w:t>203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▲3.可配备通过第三方认证的气密性角转子，有效防止气溶胶及液体外泄(需提供第三方证书)；</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4.控制系统≥7寸高清触摸屏控制；具有冷凝水槽防护功能，可避免冷凝水集聚，防止腐蚀，提高仪器使用寿命；</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5.配置要求：6*50ml尖底角转子 1个；24*1.5ml角转子 1个；12*10ml角转子1个；12*5ml适配器 1个；</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6.为保证产品质量，投标供应商须提供产品来源声明函和针对该项目所投设备的售后服务承诺书并加盖有效公章。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207</w:t>
            </w:r>
          </w:p>
        </w:tc>
        <w:tc>
          <w:tcPr>
            <w:tcW w:type="dxa" w:w="2769"/>
          </w:tcPr>
          <w:p/>
        </w:tc>
        <w:tc>
          <w:tcPr>
            <w:tcW w:type="dxa" w:w="2769"/>
          </w:tcPr>
          <w:p>
            <w:pPr>
              <w:pStyle w:val="null3"/>
              <w:jc w:val="left"/>
            </w:pPr>
            <w:r>
              <w:rPr>
                <w:rFonts w:ascii="仿宋_GB2312" w:hAnsi="仿宋_GB2312" w:cs="仿宋_GB2312" w:eastAsia="仿宋_GB2312"/>
              </w:rPr>
              <w:t>42.低速离心机（2台）：1.最高转速≥5500rpm，转速精度≤±20r/min；最大相对离心力≥4900×g；最大容量：≥4*250ml；离心腔直径(mm)≥φ380；噪音≤65dB (A)；定时范围：1min～99min；</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2.配置：15mL水平转子1个，96孔酶标板转子1个。</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43.高压灭菌器（2台）：1.灭菌室有效容积(L)≥80；灭菌腔材料：SUS304 不锈钢，厚度≥2.5mm，双层不锈钢网篮；拨杆式开合上盖，能够提高操作效率，避免接触传染因子；具有不小于七寸液晶触摸屏，安装安卓操作系统，可便捷操控此设备；</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2.温度和压力: 工作温度105℃～138℃,设计压力 ≥0.3Mpa,设计温度≥140℃；温度显示精度≤0.1℃，温度均匀度≤±1℃；</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3.时间选择范围:灭菌时间:1-9999分钟，融化时间:1-9999分钟，保温时间:1-9999分钟；</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4.灭菌器生产厂家需要有特种设备生产许可证且具备压力容器独立设计能力（提供生产厂家证明）；</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5.为保证产品质量，投标供应商须提供产品来源声明函和针对该项目所投设备的售后服务承诺书并加盖有效公章。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44.全温摇床（2台）：1.LCD触摸屏，设置温度、转速、时间，实际温度、转速、剩余时间在同一界面显示，不用相互切换界面，观察更直观；可自由设定摇板正转或反转；自由设定强制对流的风扇常开、自动或关闭；内置导流式防水系统，机器内部腔体可以实现无死角防水冲洗，无须专用工具清理方便；</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2.振荡频率：10-400rpm ；温控范围：4-60℃；温度调节精度：±0.1℃ ；温度均匀度：±0.8；</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3、最大容量：250ml×30或500ml×20或1000ml×12或2000mlX6。</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4.为保证产品质量，投标供应商须提供产品来源声明函和针对该项目所投设备的售后服务承诺书并加盖有效公章。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45.超净工作台（3台）：1.适用人数：双人单面；外形尺寸（mm）≥1460×740×1620；工作区尺寸（mm）≥1300×700×520；</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2.净化效率≥100级；平均风速（m/s）：0.3~0.6；最大功耗（KW）≥0.8；平均菌落数≤0.5个/皿·时（φ90mm培养平皿）；照度≥300Lx；出风方向：垂直送风。噪声≤62dB（A）；振动半峰值≤3µm（X·Y·Z）；</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3.高效过滤器规格及数量≥1355×555×50×1；荧光灯规格及数量≥LED 28W×1；杀菌灯规格及数量≥28W×1；</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46.智能热板仪（1台）：1.温控范围：室温~80.0℃，调节精度≤0.1℃；升温时间：室温25~55℃，升温时间≤4分钟；</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2.控制方式≥7寸IPS高清彩色电容触屏，屏幕分辨率≥1024×600。记录信息：实验时间、动物信息、测量值（计次时间）；</w:t>
            </w:r>
          </w:p>
        </w:tc>
      </w:tr>
      <w:tr>
        <w:tc>
          <w:tcPr>
            <w:tcW w:type="dxa" w:w="2769"/>
          </w:tcPr>
          <w:p>
            <w:pPr>
              <w:pStyle w:val="null3"/>
              <w:jc w:val="left"/>
            </w:pPr>
            <w:r>
              <w:rPr>
                <w:rFonts w:ascii="仿宋_GB2312" w:hAnsi="仿宋_GB2312" w:cs="仿宋_GB2312" w:eastAsia="仿宋_GB2312"/>
              </w:rPr>
              <w:t>223</w:t>
            </w:r>
          </w:p>
        </w:tc>
        <w:tc>
          <w:tcPr>
            <w:tcW w:type="dxa" w:w="2769"/>
          </w:tcPr>
          <w:p/>
        </w:tc>
        <w:tc>
          <w:tcPr>
            <w:tcW w:type="dxa" w:w="2769"/>
          </w:tcPr>
          <w:p>
            <w:pPr>
              <w:pStyle w:val="null3"/>
              <w:jc w:val="left"/>
            </w:pPr>
            <w:r>
              <w:rPr>
                <w:rFonts w:ascii="仿宋_GB2312" w:hAnsi="仿宋_GB2312" w:cs="仿宋_GB2312" w:eastAsia="仿宋_GB2312"/>
              </w:rPr>
              <w:t>47.恒温振荡培养箱（3台）：1.振幅≤Φ26mm；振荡频率范围：30~300rpm；振荡频率精度≤±1rpm；</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left"/>
            </w:pPr>
            <w:r>
              <w:rPr>
                <w:rFonts w:ascii="仿宋_GB2312" w:hAnsi="仿宋_GB2312" w:cs="仿宋_GB2312" w:eastAsia="仿宋_GB2312"/>
              </w:rPr>
              <w:t>2.显示方式≥7寸触摸式全彩操作屏；对流方式：强制对流；定时范围：0~9999min/h（可切换）</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3.温度参数：控温范围4~60℃，分辨率：0.1℃，温度波动度≤±0.3℃（37℃），温度均匀度≤±1℃（37℃）；湿度范围：50~90%RH；控湿精度≤±3%RH；</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48.电子分析天平（2台）：1.量程/精度：220g/0.1mg + 520g/1mg (双量程.双精度）；重复性(mg)≤±0.1/±1；线性误差(mg)≤±0.2/±2；称盘尺寸(mm)≥Φ90；</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2.高分辨率彩色不小于5英寸触摸屏/双量程、双精度；使用单体模块电磁力传感器；内置温度触发提示校准功能，自动使用内置砝码校准，无需手动操作。</w:t>
            </w:r>
          </w:p>
        </w:tc>
      </w:tr>
      <w:tr>
        <w:tc>
          <w:tcPr>
            <w:tcW w:type="dxa" w:w="2769"/>
          </w:tcPr>
          <w:p>
            <w:pPr>
              <w:pStyle w:val="null3"/>
              <w:jc w:val="left"/>
            </w:pPr>
            <w:r>
              <w:rPr>
                <w:rFonts w:ascii="仿宋_GB2312" w:hAnsi="仿宋_GB2312" w:cs="仿宋_GB2312" w:eastAsia="仿宋_GB2312"/>
              </w:rPr>
              <w:t>228</w:t>
            </w:r>
          </w:p>
        </w:tc>
        <w:tc>
          <w:tcPr>
            <w:tcW w:type="dxa" w:w="2769"/>
          </w:tcPr>
          <w:p/>
        </w:tc>
        <w:tc>
          <w:tcPr>
            <w:tcW w:type="dxa" w:w="2769"/>
          </w:tcPr>
          <w:p>
            <w:pPr>
              <w:pStyle w:val="null3"/>
              <w:jc w:val="left"/>
            </w:pPr>
            <w:r>
              <w:rPr>
                <w:rFonts w:ascii="仿宋_GB2312" w:hAnsi="仿宋_GB2312" w:cs="仿宋_GB2312" w:eastAsia="仿宋_GB2312"/>
              </w:rPr>
              <w:t>49.电热恒温鼓风干燥箱（2台）：1.控温范围：RT+5～300℃，分辨率≤0.1℃，温度波动度（150℃）≤±0.5℃（150℃）；均匀性（150℃）≤±1%（室温+5~105℃）≤±2%（105℃~300℃）；升温速率：20min（150℃）；</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2.体积(L)≥210；内胆尺寸(mm)≥600×500×700；外形尺寸(mm)≥820×700×980</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50.生化培养箱（2台）：1.控温范围：0~80℃；温度分辨率≤0.1℃；温度波动度≤±0.3℃（加热），≤±0.5℃（制冷）；温度均匀度≤±0.8℃（25℃时）；</w:t>
            </w:r>
          </w:p>
        </w:tc>
      </w:tr>
      <w:tr>
        <w:tc>
          <w:tcPr>
            <w:tcW w:type="dxa" w:w="2769"/>
          </w:tcPr>
          <w:p>
            <w:pPr>
              <w:pStyle w:val="null3"/>
              <w:jc w:val="left"/>
            </w:pPr>
            <w:r>
              <w:rPr>
                <w:rFonts w:ascii="仿宋_GB2312" w:hAnsi="仿宋_GB2312" w:cs="仿宋_GB2312" w:eastAsia="仿宋_GB2312"/>
              </w:rPr>
              <w:t>231</w:t>
            </w:r>
          </w:p>
        </w:tc>
        <w:tc>
          <w:tcPr>
            <w:tcW w:type="dxa" w:w="2769"/>
          </w:tcPr>
          <w:p/>
        </w:tc>
        <w:tc>
          <w:tcPr>
            <w:tcW w:type="dxa" w:w="2769"/>
          </w:tcPr>
          <w:p>
            <w:pPr>
              <w:pStyle w:val="null3"/>
              <w:jc w:val="left"/>
            </w:pPr>
            <w:r>
              <w:rPr>
                <w:rFonts w:ascii="仿宋_GB2312" w:hAnsi="仿宋_GB2312" w:cs="仿宋_GB2312" w:eastAsia="仿宋_GB2312"/>
              </w:rPr>
              <w:t>2.输入功率≥1100W；定时范围：0~9999min/h（可切换）；编程控制：30段99周期；</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3.容积（L)≥240；内胆尺寸≥510×450×1090mm，外形尺寸≥650×740×1726mm；标配载物托架≥4块。</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51.冰箱（4台）：1.搁架层数≥5；温度范围：2-8℃；有效容积（L)≥600；外部尺寸（宽*深*高)(mm) ≥680×747×1885；内部尺寸（宽*深*高)(mm) ≥580×613×1325；</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2.噪音级别≤55dB(A)；能效不高于一级，制冷方式为风冷。</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52.电子天平（4台）：1.称量范围(g)：0-3000；可读性/精度≤10mg；外形尺寸（mm）≥290*202*85；秤盘尺寸（mm）≥Ф130。</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53.疲劳转棒仪（1台）：1.小鼠转棒直径≥30mm；小鼠转棒长度≥62mm； 小鼠通道数≥6通道；转速范围：1~100转/圈；转速调整度：1转／分；初始速度运行时间：1~60000秒。</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54.足趾容积测量仪（1台）：1.外形尺寸（mm）≥330×330×220；测量范围：0~130mL，精度≤0.01mL；</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2.控制方式≥7寸IPS高清彩色电容触屏，屏幕分辨率≥1024×600。</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55.脑定位仪（1台）：1.角度调节范围：-90°~90°；X轴调节范围：0~80mm；Y轴调节范围：0~80mm；Z轴调节范围：0~80mm；调节精度≤0.01mm；Z轴旋转范围 -45°～+45°；材料：铝合金喷砂钝化处理；外形尺寸（mm）≥260*360*353。</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2.材料：铝合金喷砂钝化处理；外形尺寸（mm）≥260*360*353。</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315" w:after="315"/>
              <w:jc w:val="both"/>
            </w:pPr>
            <w:r>
              <w:rPr>
                <w:rFonts w:ascii="仿宋_GB2312" w:hAnsi="仿宋_GB2312" w:cs="仿宋_GB2312" w:eastAsia="仿宋_GB2312"/>
                <w:sz w:val="24"/>
                <w:b/>
                <w:color w:val="000000"/>
              </w:rPr>
              <w:t>★</w:t>
            </w:r>
            <w:r>
              <w:rPr>
                <w:rFonts w:ascii="仿宋_GB2312" w:hAnsi="仿宋_GB2312" w:cs="仿宋_GB2312" w:eastAsia="仿宋_GB2312"/>
                <w:sz w:val="28"/>
                <w:b/>
                <w:color w:val="000000"/>
              </w:rPr>
              <w:t>三、商务要求</w:t>
            </w:r>
          </w:p>
          <w:p>
            <w:pPr>
              <w:pStyle w:val="null3"/>
              <w:spacing w:before="315" w:after="315"/>
              <w:jc w:val="both"/>
            </w:pPr>
            <w:r>
              <w:rPr>
                <w:rFonts w:ascii="仿宋_GB2312" w:hAnsi="仿宋_GB2312" w:cs="仿宋_GB2312" w:eastAsia="仿宋_GB2312"/>
                <w:sz w:val="28"/>
                <w:b/>
                <w:color w:val="000000"/>
              </w:rPr>
              <w:t>（一）设备的安装调试、试运行和验收标准要求</w:t>
            </w:r>
          </w:p>
          <w:p>
            <w:pPr>
              <w:pStyle w:val="null3"/>
              <w:ind w:firstLine="480"/>
              <w:jc w:val="both"/>
            </w:pPr>
            <w:r>
              <w:rPr>
                <w:rFonts w:ascii="仿宋_GB2312" w:hAnsi="仿宋_GB2312" w:cs="仿宋_GB2312" w:eastAsia="仿宋_GB2312"/>
                <w:sz w:val="24"/>
                <w:color w:val="000000"/>
              </w:rPr>
              <w:t>1.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2.中标采购设备到达目的地，经安装、调试、技术培训后，中标供应商向业主提请设备验收。业主在接到投标人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3.所有产品经安装、调试、技术培训、验收合格后，双方在《海南省政府集中采购货物验收单》一式四份书面签字（盖章）验收。</w:t>
            </w:r>
          </w:p>
          <w:p>
            <w:pPr>
              <w:pStyle w:val="null3"/>
              <w:ind w:firstLine="480"/>
              <w:jc w:val="both"/>
            </w:pPr>
            <w:r>
              <w:rPr>
                <w:rFonts w:ascii="仿宋_GB2312" w:hAnsi="仿宋_GB2312" w:cs="仿宋_GB2312" w:eastAsia="仿宋_GB2312"/>
                <w:sz w:val="24"/>
                <w:color w:val="000000"/>
              </w:rPr>
              <w:t>4.交货期限:合同签订后60天内交货且安装调试完毕交付使用</w:t>
            </w:r>
          </w:p>
          <w:p>
            <w:pPr>
              <w:pStyle w:val="null3"/>
              <w:ind w:firstLine="480"/>
              <w:jc w:val="both"/>
            </w:pPr>
            <w:r>
              <w:rPr>
                <w:rFonts w:ascii="仿宋_GB2312" w:hAnsi="仿宋_GB2312" w:cs="仿宋_GB2312" w:eastAsia="仿宋_GB2312"/>
                <w:sz w:val="24"/>
                <w:color w:val="000000"/>
              </w:rPr>
              <w:t>5.交货地点：用户指定地点</w:t>
            </w:r>
          </w:p>
          <w:p>
            <w:pPr>
              <w:pStyle w:val="null3"/>
              <w:spacing w:before="315" w:after="315"/>
              <w:jc w:val="both"/>
            </w:pPr>
            <w:r>
              <w:rPr>
                <w:rFonts w:ascii="仿宋_GB2312" w:hAnsi="仿宋_GB2312" w:cs="仿宋_GB2312" w:eastAsia="仿宋_GB2312"/>
                <w:sz w:val="28"/>
                <w:b/>
                <w:color w:val="000000"/>
              </w:rPr>
              <w:t>（二）、技术资料及参数</w:t>
            </w:r>
          </w:p>
          <w:p>
            <w:pPr>
              <w:pStyle w:val="null3"/>
              <w:ind w:firstLine="480"/>
              <w:jc w:val="both"/>
            </w:pPr>
            <w:r>
              <w:rPr>
                <w:rFonts w:ascii="仿宋_GB2312" w:hAnsi="仿宋_GB2312" w:cs="仿宋_GB2312" w:eastAsia="仿宋_GB2312"/>
                <w:sz w:val="24"/>
                <w:color w:val="000000"/>
              </w:rPr>
              <w:t>1.投标人应保证所提交给招标人和招标代理机构的资料和数据是真实的，因提交的资料和数据不真实所引起的责任由投标人自行承担。</w:t>
            </w:r>
          </w:p>
          <w:p>
            <w:pPr>
              <w:pStyle w:val="null3"/>
              <w:ind w:firstLine="480"/>
              <w:jc w:val="both"/>
            </w:pPr>
            <w:r>
              <w:rPr>
                <w:rFonts w:ascii="仿宋_GB2312" w:hAnsi="仿宋_GB2312" w:cs="仿宋_GB2312" w:eastAsia="仿宋_GB2312"/>
                <w:sz w:val="24"/>
                <w:color w:val="000000"/>
              </w:rPr>
              <w:t>2.规格尺寸、重量类参数允许不超过±2%的偏差（上述技术参数已有要求的除外）</w:t>
            </w:r>
          </w:p>
          <w:p>
            <w:pPr>
              <w:pStyle w:val="null3"/>
              <w:ind w:firstLine="480"/>
              <w:jc w:val="both"/>
            </w:pPr>
            <w:r>
              <w:rPr>
                <w:rFonts w:ascii="仿宋_GB2312" w:hAnsi="仿宋_GB2312" w:cs="仿宋_GB2312" w:eastAsia="仿宋_GB2312"/>
                <w:sz w:val="24"/>
                <w:color w:val="000000"/>
              </w:rPr>
              <w:t>3.招标文件中所有的技术参数及其性能（配置）仅起参考作用，目的是为了满足采购人工作的基本要求，投标产品满足（实质相当于）或优于招标文件的采购需求均可。</w:t>
            </w:r>
          </w:p>
          <w:p>
            <w:pPr>
              <w:pStyle w:val="null3"/>
              <w:ind w:firstLine="480"/>
              <w:jc w:val="both"/>
            </w:pPr>
            <w:r>
              <w:rPr>
                <w:rFonts w:ascii="仿宋_GB2312" w:hAnsi="仿宋_GB2312" w:cs="仿宋_GB2312" w:eastAsia="仿宋_GB2312"/>
                <w:sz w:val="24"/>
                <w:color w:val="000000"/>
              </w:rPr>
              <w:t>4.供应商需对响应的“技术参数、规格、功能及其他要求”内容真实性负责，如虚假响应谋取成交资格，经核实发现，取消成交资格。</w:t>
            </w:r>
          </w:p>
          <w:p>
            <w:pPr>
              <w:pStyle w:val="null3"/>
              <w:ind w:firstLine="480"/>
              <w:jc w:val="both"/>
            </w:pPr>
            <w:r>
              <w:rPr>
                <w:rFonts w:ascii="仿宋_GB2312" w:hAnsi="仿宋_GB2312" w:cs="仿宋_GB2312" w:eastAsia="仿宋_GB2312"/>
                <w:sz w:val="24"/>
                <w:color w:val="000000"/>
              </w:rPr>
              <w:t>5.所有产品均为标准化仪器设备，不接受定制（特殊需求除外）。</w:t>
            </w:r>
          </w:p>
          <w:p>
            <w:pPr>
              <w:pStyle w:val="null3"/>
              <w:spacing w:before="315" w:after="315"/>
              <w:jc w:val="both"/>
            </w:pPr>
            <w:r>
              <w:rPr>
                <w:rFonts w:ascii="仿宋_GB2312" w:hAnsi="仿宋_GB2312" w:cs="仿宋_GB2312" w:eastAsia="仿宋_GB2312"/>
                <w:sz w:val="28"/>
                <w:b/>
                <w:color w:val="000000"/>
              </w:rPr>
              <w:t>（三）、工具</w:t>
            </w:r>
          </w:p>
          <w:p>
            <w:pPr>
              <w:pStyle w:val="null3"/>
              <w:ind w:firstLine="480"/>
              <w:jc w:val="both"/>
            </w:pPr>
            <w:r>
              <w:rPr>
                <w:rFonts w:ascii="仿宋_GB2312" w:hAnsi="仿宋_GB2312" w:cs="仿宋_GB2312" w:eastAsia="仿宋_GB2312"/>
                <w:sz w:val="24"/>
                <w:color w:val="000000"/>
              </w:rPr>
              <w:t>投标人提供产品设备所带专用工具清单，并标明其种类、用途和生产厂，并在货物到货时同时提供给业主，此价格应包含在投标价中。</w:t>
            </w:r>
          </w:p>
          <w:p>
            <w:pPr>
              <w:pStyle w:val="null3"/>
              <w:spacing w:before="315" w:after="315"/>
              <w:jc w:val="both"/>
            </w:pPr>
            <w:r>
              <w:rPr>
                <w:rFonts w:ascii="仿宋_GB2312" w:hAnsi="仿宋_GB2312" w:cs="仿宋_GB2312" w:eastAsia="仿宋_GB2312"/>
                <w:sz w:val="28"/>
                <w:b/>
                <w:color w:val="000000"/>
              </w:rPr>
              <w:t>（四）、备件</w:t>
            </w:r>
          </w:p>
          <w:p>
            <w:pPr>
              <w:pStyle w:val="null3"/>
              <w:spacing w:before="315" w:after="315"/>
              <w:jc w:val="both"/>
            </w:pPr>
            <w:r>
              <w:rPr>
                <w:rFonts w:ascii="仿宋_GB2312" w:hAnsi="仿宋_GB2312" w:cs="仿宋_GB2312" w:eastAsia="仿宋_GB2312"/>
                <w:sz w:val="24"/>
                <w:b/>
                <w:color w:val="000000"/>
              </w:rPr>
              <w:t>投标人可提供一个在正常情况使用下，保质期满后一年内可保证仪器设备正常使用的备件和材料清单，并标明其种类、生产厂、单价和总价，业主有权决定全部或有选择的购买。</w:t>
            </w:r>
          </w:p>
          <w:p>
            <w:pPr>
              <w:pStyle w:val="null3"/>
              <w:spacing w:before="315" w:after="315"/>
              <w:jc w:val="both"/>
            </w:pPr>
            <w:r>
              <w:rPr>
                <w:rFonts w:ascii="仿宋_GB2312" w:hAnsi="仿宋_GB2312" w:cs="仿宋_GB2312" w:eastAsia="仿宋_GB2312"/>
                <w:sz w:val="28"/>
                <w:b/>
                <w:color w:val="000000"/>
              </w:rPr>
              <w:t>（五）、易损件</w:t>
            </w:r>
          </w:p>
          <w:p>
            <w:pPr>
              <w:pStyle w:val="null3"/>
              <w:ind w:firstLine="480"/>
              <w:jc w:val="both"/>
            </w:pPr>
            <w:r>
              <w:rPr>
                <w:rFonts w:ascii="仿宋_GB2312" w:hAnsi="仿宋_GB2312" w:cs="仿宋_GB2312" w:eastAsia="仿宋_GB2312"/>
                <w:sz w:val="24"/>
                <w:color w:val="000000"/>
              </w:rPr>
              <w:t>投标人可提供一个易损、易耗件清单，并标明用途、生产厂、常规使用寿命和单价。</w:t>
            </w:r>
          </w:p>
          <w:p>
            <w:pPr>
              <w:pStyle w:val="null3"/>
              <w:spacing w:before="315" w:after="315"/>
              <w:jc w:val="both"/>
            </w:pPr>
            <w:r>
              <w:rPr>
                <w:rFonts w:ascii="仿宋_GB2312" w:hAnsi="仿宋_GB2312" w:cs="仿宋_GB2312" w:eastAsia="仿宋_GB2312"/>
                <w:sz w:val="28"/>
                <w:b/>
                <w:color w:val="000000"/>
              </w:rPr>
              <w:t>（六）、质量保质期</w:t>
            </w:r>
          </w:p>
          <w:p>
            <w:pPr>
              <w:pStyle w:val="null3"/>
              <w:ind w:firstLine="480"/>
              <w:jc w:val="both"/>
            </w:pPr>
            <w:r>
              <w:rPr>
                <w:rFonts w:ascii="仿宋_GB2312" w:hAnsi="仿宋_GB2312" w:cs="仿宋_GB2312" w:eastAsia="仿宋_GB2312"/>
                <w:sz w:val="24"/>
                <w:color w:val="000000"/>
              </w:rPr>
              <w:t>本项目的质保期最低为</w:t>
            </w:r>
            <w:r>
              <w:rPr>
                <w:rFonts w:ascii="仿宋_GB2312" w:hAnsi="仿宋_GB2312" w:cs="仿宋_GB2312" w:eastAsia="仿宋_GB2312"/>
                <w:sz w:val="24"/>
                <w:color w:val="000000"/>
              </w:rPr>
              <w:t>3年，质保期从整体验收合格之日起计算，免费上门服务。（采购清单中免费保修期有特殊要求的按照采购清单中的为准）。若厂家有超过期限免费保修期的按厂家方案执行。）</w:t>
            </w:r>
          </w:p>
          <w:p>
            <w:pPr>
              <w:pStyle w:val="null3"/>
              <w:spacing w:before="315" w:after="315"/>
              <w:jc w:val="both"/>
            </w:pPr>
            <w:r>
              <w:rPr>
                <w:rFonts w:ascii="仿宋_GB2312" w:hAnsi="仿宋_GB2312" w:cs="仿宋_GB2312" w:eastAsia="仿宋_GB2312"/>
                <w:sz w:val="28"/>
                <w:b/>
                <w:color w:val="000000"/>
              </w:rPr>
              <w:t>（七）、售后服务</w:t>
            </w:r>
          </w:p>
          <w:p>
            <w:pPr>
              <w:pStyle w:val="null3"/>
              <w:ind w:firstLine="456"/>
              <w:jc w:val="both"/>
            </w:pPr>
            <w:r>
              <w:rPr>
                <w:rFonts w:ascii="仿宋_GB2312" w:hAnsi="仿宋_GB2312" w:cs="仿宋_GB2312" w:eastAsia="仿宋_GB2312"/>
                <w:sz w:val="24"/>
                <w:color w:val="000000"/>
              </w:rPr>
              <w:t>1.供货方中标后需在项目所在地具有相应的技术支持及售后服务网点，确保设备使用的用户能够得到及时优质的售后服务。</w:t>
            </w:r>
          </w:p>
          <w:p>
            <w:pPr>
              <w:pStyle w:val="null3"/>
              <w:ind w:firstLine="456"/>
              <w:jc w:val="both"/>
            </w:pPr>
            <w:r>
              <w:rPr>
                <w:rFonts w:ascii="仿宋_GB2312" w:hAnsi="仿宋_GB2312" w:cs="仿宋_GB2312" w:eastAsia="仿宋_GB2312"/>
                <w:sz w:val="24"/>
                <w:color w:val="000000"/>
              </w:rPr>
              <w:t>2.在保质期以内，投标人在接到业主的维修通知后需及时响应，并派出有能力的维修人员赶到业主现场进行维修处理。产品的质保期为至少 年，质保期内，凡因正常使用出现质量问题，供应商应提供免费维修或咨询等服务，承担因此产生的一切费用。</w:t>
            </w:r>
          </w:p>
          <w:p>
            <w:pPr>
              <w:pStyle w:val="null3"/>
              <w:ind w:firstLine="456"/>
              <w:jc w:val="both"/>
            </w:pPr>
            <w:r>
              <w:rPr>
                <w:rFonts w:ascii="仿宋_GB2312" w:hAnsi="仿宋_GB2312" w:cs="仿宋_GB2312" w:eastAsia="仿宋_GB2312"/>
                <w:sz w:val="24"/>
                <w:color w:val="000000"/>
              </w:rPr>
              <w:t>3.在保质期满后，投标人应保证以合理的价格提供备件和保养服务，当发生故障时，投标人应按保质期内同样的要求进行维修处理，供应商仍应负责对货物提供终生维修服务或对服务提供咨询服务，只收取配件成本或服务成本。</w:t>
            </w:r>
          </w:p>
          <w:p>
            <w:pPr>
              <w:pStyle w:val="null3"/>
              <w:spacing w:before="315" w:after="315"/>
              <w:jc w:val="both"/>
            </w:pPr>
            <w:r>
              <w:rPr>
                <w:rFonts w:ascii="仿宋_GB2312" w:hAnsi="仿宋_GB2312" w:cs="仿宋_GB2312" w:eastAsia="仿宋_GB2312"/>
                <w:sz w:val="28"/>
                <w:b/>
                <w:color w:val="000000"/>
              </w:rPr>
              <w:t>（八）、培训服务：</w:t>
            </w:r>
          </w:p>
          <w:p>
            <w:pPr>
              <w:pStyle w:val="null3"/>
              <w:ind w:firstLine="480"/>
              <w:jc w:val="both"/>
            </w:pPr>
            <w:r>
              <w:rPr>
                <w:rFonts w:ascii="仿宋_GB2312" w:hAnsi="仿宋_GB2312" w:cs="仿宋_GB2312" w:eastAsia="仿宋_GB2312"/>
                <w:sz w:val="24"/>
                <w:color w:val="000000"/>
              </w:rPr>
              <w:t>1.供应商应在采购人规定的时间内将全部产品安装、调试完毕，提供给采购人正常使用，并免费提供使用说明书及有关产品使用和管理的培训。</w:t>
            </w:r>
          </w:p>
          <w:p>
            <w:pPr>
              <w:pStyle w:val="null3"/>
              <w:ind w:firstLine="480"/>
              <w:jc w:val="both"/>
            </w:pPr>
            <w:r>
              <w:rPr>
                <w:rFonts w:ascii="仿宋_GB2312" w:hAnsi="仿宋_GB2312" w:cs="仿宋_GB2312" w:eastAsia="仿宋_GB2312"/>
                <w:sz w:val="24"/>
                <w:color w:val="000000"/>
              </w:rPr>
              <w:t>2.免费提供培训材料及所培训内容。</w:t>
            </w:r>
          </w:p>
          <w:p>
            <w:pPr>
              <w:pStyle w:val="null3"/>
              <w:ind w:firstLine="480"/>
              <w:jc w:val="both"/>
            </w:pPr>
            <w:r>
              <w:rPr>
                <w:rFonts w:ascii="仿宋_GB2312" w:hAnsi="仿宋_GB2312" w:cs="仿宋_GB2312" w:eastAsia="仿宋_GB2312"/>
                <w:sz w:val="24"/>
                <w:color w:val="000000"/>
              </w:rPr>
              <w:t>3.培训地点：采购人指定地点；</w:t>
            </w:r>
          </w:p>
          <w:p>
            <w:pPr>
              <w:pStyle w:val="null3"/>
              <w:ind w:firstLine="480"/>
              <w:jc w:val="both"/>
            </w:pPr>
            <w:r>
              <w:rPr>
                <w:rFonts w:ascii="仿宋_GB2312" w:hAnsi="仿宋_GB2312" w:cs="仿宋_GB2312" w:eastAsia="仿宋_GB2312"/>
                <w:sz w:val="24"/>
                <w:color w:val="000000"/>
              </w:rPr>
              <w:t>4.时间：至少5天；</w:t>
            </w:r>
          </w:p>
          <w:p>
            <w:pPr>
              <w:pStyle w:val="null3"/>
              <w:ind w:firstLine="480"/>
              <w:jc w:val="both"/>
            </w:pPr>
            <w:r>
              <w:rPr>
                <w:rFonts w:ascii="仿宋_GB2312" w:hAnsi="仿宋_GB2312" w:cs="仿宋_GB2312" w:eastAsia="仿宋_GB2312"/>
                <w:sz w:val="24"/>
                <w:color w:val="000000"/>
              </w:rPr>
              <w:t>5.内容：产品的基本原理、结构、基本操作及维护知识，并指导用户进行操作，直到用户方使用人员可独立进行操作为止。</w:t>
            </w:r>
          </w:p>
          <w:p>
            <w:pPr>
              <w:pStyle w:val="null3"/>
              <w:ind w:firstLine="480"/>
              <w:jc w:val="both"/>
            </w:pPr>
            <w:r>
              <w:rPr>
                <w:rFonts w:ascii="仿宋_GB2312" w:hAnsi="仿宋_GB2312" w:cs="仿宋_GB2312" w:eastAsia="仿宋_GB2312"/>
                <w:sz w:val="24"/>
                <w:color w:val="000000"/>
              </w:rPr>
              <w:t>6.产品包含一次免费搬家服务。</w:t>
            </w:r>
          </w:p>
          <w:p>
            <w:pPr>
              <w:pStyle w:val="null3"/>
              <w:spacing w:before="315" w:after="315"/>
              <w:jc w:val="both"/>
            </w:pPr>
            <w:r>
              <w:rPr>
                <w:rFonts w:ascii="仿宋_GB2312" w:hAnsi="仿宋_GB2312" w:cs="仿宋_GB2312" w:eastAsia="仿宋_GB2312"/>
                <w:sz w:val="28"/>
                <w:b/>
                <w:color w:val="000000"/>
              </w:rPr>
              <w:t>（九）、除招标文件明确外，未经业主同意，中标供应商不得以任何方式转包或分包本项目。</w:t>
            </w:r>
          </w:p>
          <w:p>
            <w:pPr>
              <w:pStyle w:val="null3"/>
              <w:spacing w:before="315" w:after="315"/>
              <w:jc w:val="both"/>
            </w:pPr>
            <w:r>
              <w:rPr>
                <w:rFonts w:ascii="仿宋_GB2312" w:hAnsi="仿宋_GB2312" w:cs="仿宋_GB2312" w:eastAsia="仿宋_GB2312"/>
                <w:sz w:val="28"/>
                <w:b/>
                <w:color w:val="000000"/>
              </w:rPr>
              <w:t>（十）、签订合同：中标供应商在收到《中标通知书》</w:t>
            </w:r>
            <w:r>
              <w:rPr>
                <w:rFonts w:ascii="仿宋_GB2312" w:hAnsi="仿宋_GB2312" w:cs="仿宋_GB2312" w:eastAsia="仿宋_GB2312"/>
                <w:sz w:val="28"/>
                <w:b/>
                <w:color w:val="000000"/>
              </w:rPr>
              <w:t>5个工作日与业主签订合同。</w:t>
            </w:r>
          </w:p>
          <w:p>
            <w:pPr>
              <w:pStyle w:val="null3"/>
              <w:spacing w:before="315" w:after="315"/>
              <w:jc w:val="both"/>
            </w:pPr>
            <w:r>
              <w:rPr>
                <w:rFonts w:ascii="仿宋_GB2312" w:hAnsi="仿宋_GB2312" w:cs="仿宋_GB2312" w:eastAsia="仿宋_GB2312"/>
                <w:sz w:val="28"/>
                <w:b/>
                <w:color w:val="000000"/>
              </w:rPr>
              <w:t>（十一）、其它注意事项</w:t>
            </w:r>
          </w:p>
          <w:p>
            <w:pPr>
              <w:pStyle w:val="null3"/>
              <w:ind w:firstLine="480"/>
              <w:jc w:val="both"/>
            </w:pPr>
            <w:r>
              <w:rPr>
                <w:rFonts w:ascii="仿宋_GB2312" w:hAnsi="仿宋_GB2312" w:cs="仿宋_GB2312" w:eastAsia="仿宋_GB2312"/>
                <w:sz w:val="24"/>
                <w:color w:val="000000"/>
              </w:rPr>
              <w:t>1.提供正常系统维护和免费提供软件系统升级。</w:t>
            </w:r>
          </w:p>
          <w:p>
            <w:pPr>
              <w:pStyle w:val="null3"/>
              <w:ind w:firstLine="480"/>
              <w:jc w:val="both"/>
            </w:pPr>
            <w:r>
              <w:rPr>
                <w:rFonts w:ascii="仿宋_GB2312" w:hAnsi="仿宋_GB2312" w:cs="仿宋_GB2312" w:eastAsia="仿宋_GB2312"/>
                <w:sz w:val="24"/>
                <w:color w:val="000000"/>
              </w:rPr>
              <w:t>2.中标方负责设备的安装、调试。</w:t>
            </w:r>
          </w:p>
          <w:p>
            <w:pPr>
              <w:pStyle w:val="null3"/>
              <w:ind w:firstLine="480"/>
              <w:jc w:val="both"/>
            </w:pPr>
            <w:r>
              <w:rPr>
                <w:rFonts w:ascii="仿宋_GB2312" w:hAnsi="仿宋_GB2312" w:cs="仿宋_GB2312" w:eastAsia="仿宋_GB2312"/>
                <w:sz w:val="24"/>
                <w:color w:val="000000"/>
              </w:rPr>
              <w:t>3.未尽事宜由双方商议解决。</w:t>
            </w:r>
          </w:p>
          <w:p>
            <w:pPr>
              <w:pStyle w:val="null3"/>
              <w:ind w:firstLine="480"/>
              <w:jc w:val="both"/>
            </w:pPr>
            <w:r>
              <w:rPr>
                <w:rFonts w:ascii="仿宋_GB2312" w:hAnsi="仿宋_GB2312" w:cs="仿宋_GB2312" w:eastAsia="仿宋_GB2312"/>
                <w:sz w:val="24"/>
                <w:color w:val="000000"/>
              </w:rPr>
              <w:t>4.本项目最高限价金额为4000000.00元，供应商的报价不得超过此最高限价，否则按无效投标处理。</w:t>
            </w:r>
          </w:p>
          <w:p>
            <w:pPr>
              <w:pStyle w:val="null3"/>
              <w:ind w:firstLine="480"/>
              <w:jc w:val="both"/>
            </w:pPr>
            <w:r>
              <w:rPr>
                <w:rFonts w:ascii="仿宋_GB2312" w:hAnsi="仿宋_GB2312" w:cs="仿宋_GB2312" w:eastAsia="仿宋_GB2312"/>
                <w:sz w:val="24"/>
                <w:color w:val="000000"/>
              </w:rPr>
              <w:t>5.安全标准：符合国家、地方和行业的相关政策、法规。</w:t>
            </w:r>
          </w:p>
          <w:p>
            <w:pPr>
              <w:pStyle w:val="null3"/>
              <w:ind w:firstLine="480"/>
              <w:jc w:val="both"/>
            </w:pPr>
            <w:r>
              <w:rPr>
                <w:rFonts w:ascii="仿宋_GB2312" w:hAnsi="仿宋_GB2312" w:cs="仿宋_GB2312" w:eastAsia="仿宋_GB2312"/>
                <w:sz w:val="24"/>
                <w:color w:val="000000"/>
              </w:rPr>
              <w:t>6.项目的实质性要求：按招标文件要求实施。</w:t>
            </w:r>
          </w:p>
          <w:p>
            <w:pPr>
              <w:pStyle w:val="null3"/>
              <w:ind w:firstLine="480"/>
              <w:jc w:val="both"/>
            </w:pPr>
            <w:r>
              <w:rPr>
                <w:rFonts w:ascii="仿宋_GB2312" w:hAnsi="仿宋_GB2312" w:cs="仿宋_GB2312" w:eastAsia="仿宋_GB2312"/>
                <w:sz w:val="24"/>
                <w:color w:val="000000"/>
              </w:rPr>
              <w:t>7.合同的实质性条款：采购人与成交供应商的名称和住所、标的、数量、质量、价款或者报酬、履行期限及地点和方式、验收要求、违约责任、解决争议的方法等内容。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4"/>
                <w:color w:val="000000"/>
              </w:rPr>
              <w:t>8.法律法规规定的强制性标准：无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附件中合同模板：</w:t>
      </w:r>
    </w:p>
    <w:p>
      <w:pPr>
        <w:pStyle w:val="null3"/>
        <w:spacing w:after="120"/>
        <w:ind w:firstLine="482"/>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44"/>
        </w:rPr>
        <w:t>合同文本（本项目合同以此为准）</w:t>
      </w:r>
    </w:p>
    <w:p>
      <w:pPr>
        <w:pStyle w:val="null3"/>
        <w:jc w:val="center"/>
      </w:pPr>
      <w:r>
        <w:rPr>
          <w:rFonts w:ascii="仿宋_GB2312" w:hAnsi="仿宋_GB2312" w:cs="仿宋_GB2312" w:eastAsia="仿宋_GB2312"/>
          <w:sz w:val="72"/>
          <w:b/>
          <w:color w:val="000000"/>
        </w:rPr>
        <w:t>海南大学货物采购项目</w:t>
      </w:r>
    </w:p>
    <w:p>
      <w:pPr>
        <w:pStyle w:val="null3"/>
        <w:jc w:val="left"/>
        <w:outlineLvl w:val="1"/>
      </w:pPr>
      <w:r>
        <w:rPr>
          <w:rFonts w:ascii="仿宋_GB2312" w:hAnsi="仿宋_GB2312" w:cs="仿宋_GB2312" w:eastAsia="仿宋_GB2312"/>
          <w:sz w:val="110"/>
          <w:b/>
          <w:color w:val="000000"/>
        </w:rPr>
        <w:t>合</w:t>
      </w:r>
      <w:r>
        <w:rPr>
          <w:rFonts w:ascii="仿宋_GB2312" w:hAnsi="仿宋_GB2312" w:cs="仿宋_GB2312" w:eastAsia="仿宋_GB2312"/>
          <w:sz w:val="110"/>
          <w:b/>
          <w:color w:val="000000"/>
        </w:rPr>
        <w:t>同</w:t>
      </w:r>
      <w:r>
        <w:rPr>
          <w:rFonts w:ascii="仿宋_GB2312" w:hAnsi="仿宋_GB2312" w:cs="仿宋_GB2312" w:eastAsia="仿宋_GB2312"/>
          <w:sz w:val="110"/>
          <w:b/>
          <w:color w:val="000000"/>
        </w:rPr>
        <w:t>书</w:t>
      </w:r>
    </w:p>
    <w:p>
      <w:pPr>
        <w:pStyle w:val="null3"/>
        <w:jc w:val="center"/>
      </w:pPr>
      <w:r>
        <w:rPr>
          <w:rFonts w:ascii="仿宋_GB2312" w:hAnsi="仿宋_GB2312" w:cs="仿宋_GB2312" w:eastAsia="仿宋_GB2312"/>
          <w:sz w:val="32"/>
          <w:b/>
          <w:color w:val="000000"/>
        </w:rPr>
        <w:t>（国产仪器设备合同）</w:t>
      </w:r>
    </w:p>
    <w:p>
      <w:pPr>
        <w:pStyle w:val="null3"/>
        <w:jc w:val="left"/>
        <w:outlineLvl w:val="1"/>
      </w:pPr>
      <w:r>
        <w:rPr>
          <w:rFonts w:ascii="仿宋_GB2312" w:hAnsi="仿宋_GB2312" w:cs="仿宋_GB2312" w:eastAsia="仿宋_GB2312"/>
          <w:sz w:val="32"/>
          <w:b/>
          <w:color w:val="000000"/>
        </w:rPr>
        <w:t>项目名称：</w:t>
      </w:r>
    </w:p>
    <w:p>
      <w:pPr>
        <w:pStyle w:val="null3"/>
        <w:ind w:firstLine="1928"/>
        <w:jc w:val="left"/>
      </w:pPr>
      <w:r>
        <w:rPr>
          <w:rFonts w:ascii="仿宋_GB2312" w:hAnsi="仿宋_GB2312" w:cs="仿宋_GB2312" w:eastAsia="仿宋_GB2312"/>
          <w:sz w:val="32"/>
          <w:b/>
          <w:color w:val="000000"/>
        </w:rPr>
        <w:t>项目编号：</w:t>
      </w:r>
    </w:p>
    <w:p>
      <w:pPr>
        <w:pStyle w:val="null3"/>
        <w:ind w:firstLine="1928"/>
        <w:jc w:val="left"/>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w:t>
      </w:r>
      <w:r>
        <w:rPr>
          <w:rFonts w:ascii="仿宋_GB2312" w:hAnsi="仿宋_GB2312" w:cs="仿宋_GB2312" w:eastAsia="仿宋_GB2312"/>
          <w:sz w:val="32"/>
          <w:b/>
          <w:color w:val="000000"/>
          <w:u w:val="single"/>
        </w:rPr>
        <w:t>南</w:t>
      </w:r>
      <w:r>
        <w:rPr>
          <w:rFonts w:ascii="仿宋_GB2312" w:hAnsi="仿宋_GB2312" w:cs="仿宋_GB2312" w:eastAsia="仿宋_GB2312"/>
          <w:sz w:val="32"/>
          <w:b/>
          <w:color w:val="000000"/>
          <w:u w:val="single"/>
        </w:rPr>
        <w:t>大</w:t>
      </w:r>
      <w:r>
        <w:rPr>
          <w:rFonts w:ascii="仿宋_GB2312" w:hAnsi="仿宋_GB2312" w:cs="仿宋_GB2312" w:eastAsia="仿宋_GB2312"/>
          <w:sz w:val="32"/>
          <w:b/>
          <w:color w:val="000000"/>
          <w:u w:val="single"/>
        </w:rPr>
        <w:t>学</w:t>
      </w:r>
      <w:r>
        <w:rPr>
          <w:rFonts w:ascii="仿宋_GB2312" w:hAnsi="仿宋_GB2312" w:cs="仿宋_GB2312" w:eastAsia="仿宋_GB2312"/>
          <w:sz w:val="32"/>
          <w:b/>
          <w:color w:val="000000"/>
          <w:u w:val="single"/>
        </w:rPr>
        <w:t xml:space="preserve">     </w:t>
      </w:r>
    </w:p>
    <w:p>
      <w:pPr>
        <w:pStyle w:val="null3"/>
        <w:ind w:firstLine="1928"/>
        <w:jc w:val="left"/>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p>
    <w:p>
      <w:pPr>
        <w:pStyle w:val="null3"/>
        <w:ind w:firstLine="1928"/>
        <w:jc w:val="left"/>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ind w:firstLine="480"/>
        <w:jc w:val="left"/>
      </w:pPr>
      <w:r>
        <w:rPr>
          <w:rFonts w:ascii="仿宋_GB2312" w:hAnsi="仿宋_GB2312" w:cs="仿宋_GB2312" w:eastAsia="仿宋_GB2312"/>
          <w:sz w:val="24"/>
          <w:color w:val="000000"/>
        </w:rPr>
        <w:t>甲方：海南大学</w:t>
      </w:r>
    </w:p>
    <w:p>
      <w:pPr>
        <w:pStyle w:val="null3"/>
        <w:ind w:firstLine="480"/>
        <w:jc w:val="left"/>
      </w:pP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甲乙双方根据《中华人民共和国民法典》《中华人民共和国招标投标法》《中华人民共和国政府采购法》等相关规定，及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年本级政府</w:t>
      </w:r>
      <w:r>
        <w:rPr>
          <w:rFonts w:ascii="仿宋_GB2312" w:hAnsi="仿宋_GB2312" w:cs="仿宋_GB2312" w:eastAsia="仿宋_GB2312"/>
          <w:sz w:val="24"/>
          <w:color w:val="000000"/>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color w:val="000000"/>
        </w:rPr>
        <w:t>本合同分合同专用条款和合同通用条款，两部分条款不一致的，以合同专用条款为准。</w:t>
      </w:r>
    </w:p>
    <w:p>
      <w:pPr>
        <w:pStyle w:val="null3"/>
        <w:ind w:firstLine="482"/>
        <w:jc w:val="left"/>
      </w:pPr>
      <w:r>
        <w:rPr>
          <w:rFonts w:ascii="仿宋_GB2312" w:hAnsi="仿宋_GB2312" w:cs="仿宋_GB2312" w:eastAsia="仿宋_GB2312"/>
          <w:sz w:val="24"/>
          <w:b/>
          <w:color w:val="000000"/>
        </w:rPr>
        <w:t>合同专用条款</w:t>
      </w:r>
    </w:p>
    <w:p>
      <w:pPr>
        <w:pStyle w:val="null3"/>
        <w:ind w:firstLine="482"/>
        <w:jc w:val="left"/>
      </w:pPr>
      <w:r>
        <w:rPr>
          <w:rFonts w:ascii="仿宋_GB2312" w:hAnsi="仿宋_GB2312" w:cs="仿宋_GB2312" w:eastAsia="仿宋_GB2312"/>
          <w:sz w:val="24"/>
          <w:b/>
          <w:color w:val="000000"/>
        </w:rPr>
        <w:t>一、合同文件</w:t>
      </w:r>
    </w:p>
    <w:p>
      <w:pPr>
        <w:pStyle w:val="null3"/>
        <w:ind w:firstLine="480"/>
        <w:jc w:val="left"/>
      </w:pPr>
      <w:r>
        <w:rPr>
          <w:rFonts w:ascii="仿宋_GB2312" w:hAnsi="仿宋_GB2312" w:cs="仿宋_GB2312" w:eastAsia="仿宋_GB2312"/>
          <w:sz w:val="24"/>
          <w:color w:val="000000"/>
        </w:rPr>
        <w:t>本合同所附下列文件是构成本合同不可分割的部分：</w:t>
      </w:r>
    </w:p>
    <w:p>
      <w:pPr>
        <w:pStyle w:val="null3"/>
        <w:ind w:firstLine="480"/>
        <w:jc w:val="left"/>
      </w:pPr>
      <w:r>
        <w:rPr>
          <w:rFonts w:ascii="仿宋_GB2312" w:hAnsi="仿宋_GB2312" w:cs="仿宋_GB2312" w:eastAsia="仿宋_GB2312"/>
          <w:sz w:val="24"/>
          <w:color w:val="000000"/>
        </w:rPr>
        <w:t>1.招标文件；</w:t>
      </w:r>
    </w:p>
    <w:p>
      <w:pPr>
        <w:pStyle w:val="null3"/>
        <w:ind w:firstLine="480"/>
        <w:jc w:val="left"/>
      </w:pPr>
      <w:r>
        <w:rPr>
          <w:rFonts w:ascii="仿宋_GB2312" w:hAnsi="仿宋_GB2312" w:cs="仿宋_GB2312" w:eastAsia="仿宋_GB2312"/>
          <w:sz w:val="24"/>
          <w:color w:val="000000"/>
        </w:rPr>
        <w:t>2.中标（成交）人提交的投标（响应）函和投标报价表；</w:t>
      </w:r>
    </w:p>
    <w:p>
      <w:pPr>
        <w:pStyle w:val="null3"/>
        <w:ind w:firstLine="480"/>
        <w:jc w:val="left"/>
      </w:pPr>
      <w:r>
        <w:rPr>
          <w:rFonts w:ascii="仿宋_GB2312" w:hAnsi="仿宋_GB2312" w:cs="仿宋_GB2312" w:eastAsia="仿宋_GB2312"/>
          <w:sz w:val="24"/>
          <w:color w:val="000000"/>
        </w:rPr>
        <w:t>3.招标采购中标品目清单；</w:t>
      </w:r>
    </w:p>
    <w:p>
      <w:pPr>
        <w:pStyle w:val="null3"/>
        <w:ind w:firstLine="480"/>
        <w:jc w:val="left"/>
      </w:pPr>
      <w:r>
        <w:rPr>
          <w:rFonts w:ascii="仿宋_GB2312" w:hAnsi="仿宋_GB2312" w:cs="仿宋_GB2312" w:eastAsia="仿宋_GB2312"/>
          <w:sz w:val="24"/>
          <w:color w:val="000000"/>
        </w:rPr>
        <w:t>4.技术规格（包括图纸，非必要）；</w:t>
      </w:r>
    </w:p>
    <w:p>
      <w:pPr>
        <w:pStyle w:val="null3"/>
        <w:ind w:firstLine="480"/>
        <w:jc w:val="left"/>
      </w:pPr>
      <w:r>
        <w:rPr>
          <w:rFonts w:ascii="仿宋_GB2312" w:hAnsi="仿宋_GB2312" w:cs="仿宋_GB2312" w:eastAsia="仿宋_GB2312"/>
          <w:sz w:val="24"/>
          <w:color w:val="000000"/>
        </w:rPr>
        <w:t>5.技术、商务</w:t>
      </w:r>
      <w:r>
        <w:rPr>
          <w:rFonts w:ascii="仿宋_GB2312" w:hAnsi="仿宋_GB2312" w:cs="仿宋_GB2312" w:eastAsia="仿宋_GB2312"/>
          <w:sz w:val="24"/>
          <w:color w:val="000000"/>
        </w:rPr>
        <w:t>响应表</w:t>
      </w:r>
      <w:r>
        <w:rPr>
          <w:rFonts w:ascii="仿宋_GB2312" w:hAnsi="仿宋_GB2312" w:cs="仿宋_GB2312" w:eastAsia="仿宋_GB2312"/>
          <w:sz w:val="24"/>
          <w:color w:val="000000"/>
        </w:rPr>
        <w:t>（必要）；</w:t>
      </w:r>
    </w:p>
    <w:p>
      <w:pPr>
        <w:pStyle w:val="null3"/>
        <w:ind w:firstLine="480"/>
        <w:jc w:val="left"/>
      </w:pPr>
      <w:r>
        <w:rPr>
          <w:rFonts w:ascii="仿宋_GB2312" w:hAnsi="仿宋_GB2312" w:cs="仿宋_GB2312" w:eastAsia="仿宋_GB2312"/>
          <w:sz w:val="24"/>
          <w:color w:val="000000"/>
        </w:rPr>
        <w:t>6.中标（成交）通知书及其</w:t>
      </w:r>
      <w:r>
        <w:rPr>
          <w:rFonts w:ascii="仿宋_GB2312" w:hAnsi="仿宋_GB2312" w:cs="仿宋_GB2312" w:eastAsia="仿宋_GB2312"/>
          <w:sz w:val="24"/>
          <w:color w:val="000000"/>
        </w:rPr>
        <w:t>他</w:t>
      </w:r>
      <w:r>
        <w:rPr>
          <w:rFonts w:ascii="仿宋_GB2312" w:hAnsi="仿宋_GB2312" w:cs="仿宋_GB2312" w:eastAsia="仿宋_GB2312"/>
          <w:sz w:val="24"/>
          <w:color w:val="000000"/>
        </w:rPr>
        <w:t>附件；</w:t>
      </w:r>
    </w:p>
    <w:p>
      <w:pPr>
        <w:pStyle w:val="null3"/>
        <w:ind w:firstLine="480"/>
        <w:jc w:val="left"/>
      </w:pPr>
      <w:r>
        <w:rPr>
          <w:rFonts w:ascii="仿宋_GB2312" w:hAnsi="仿宋_GB2312" w:cs="仿宋_GB2312" w:eastAsia="仿宋_GB2312"/>
          <w:sz w:val="24"/>
          <w:color w:val="000000"/>
        </w:rPr>
        <w:t>7.中标（成交）人的投标（响应）文件及评标过程中有关澄清文件；</w:t>
      </w:r>
    </w:p>
    <w:p>
      <w:pPr>
        <w:pStyle w:val="null3"/>
        <w:ind w:firstLine="480"/>
        <w:jc w:val="left"/>
      </w:pPr>
      <w:r>
        <w:rPr>
          <w:rFonts w:ascii="仿宋_GB2312" w:hAnsi="仿宋_GB2312" w:cs="仿宋_GB2312" w:eastAsia="仿宋_GB2312"/>
          <w:sz w:val="24"/>
          <w:color w:val="000000"/>
        </w:rPr>
        <w:t>8.廉洁责任书</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color w:val="000000"/>
        </w:rPr>
        <w:t>货物信息</w:t>
      </w:r>
    </w:p>
    <w:p>
      <w:pPr>
        <w:pStyle w:val="null3"/>
        <w:ind w:firstLine="480"/>
        <w:jc w:val="left"/>
      </w:pPr>
      <w:r>
        <w:rPr>
          <w:rFonts w:ascii="仿宋_GB2312" w:hAnsi="仿宋_GB2312" w:cs="仿宋_GB2312" w:eastAsia="仿宋_GB2312"/>
          <w:sz w:val="24"/>
          <w:color w:val="000000"/>
        </w:rPr>
        <w:t>1.货物名称：</w:t>
      </w:r>
    </w:p>
    <w:p>
      <w:pPr>
        <w:pStyle w:val="null3"/>
        <w:ind w:firstLine="480"/>
        <w:jc w:val="left"/>
      </w:pPr>
      <w:r>
        <w:rPr>
          <w:rFonts w:ascii="仿宋_GB2312" w:hAnsi="仿宋_GB2312" w:cs="仿宋_GB2312" w:eastAsia="仿宋_GB2312"/>
          <w:sz w:val="24"/>
          <w:color w:val="000000"/>
        </w:rPr>
        <w:t>2.品牌：</w:t>
      </w:r>
    </w:p>
    <w:p>
      <w:pPr>
        <w:pStyle w:val="null3"/>
        <w:ind w:firstLine="480"/>
        <w:jc w:val="left"/>
      </w:pPr>
      <w:r>
        <w:rPr>
          <w:rFonts w:ascii="仿宋_GB2312" w:hAnsi="仿宋_GB2312" w:cs="仿宋_GB2312" w:eastAsia="仿宋_GB2312"/>
          <w:sz w:val="24"/>
          <w:color w:val="000000"/>
        </w:rPr>
        <w:t>3.型号：</w:t>
      </w:r>
    </w:p>
    <w:p>
      <w:pPr>
        <w:pStyle w:val="null3"/>
        <w:ind w:firstLine="480"/>
        <w:jc w:val="left"/>
      </w:pPr>
      <w:r>
        <w:rPr>
          <w:rFonts w:ascii="仿宋_GB2312" w:hAnsi="仿宋_GB2312" w:cs="仿宋_GB2312" w:eastAsia="仿宋_GB2312"/>
          <w:sz w:val="24"/>
          <w:color w:val="000000"/>
        </w:rPr>
        <w:t>4.生产厂家：</w:t>
      </w:r>
    </w:p>
    <w:p>
      <w:pPr>
        <w:pStyle w:val="null3"/>
        <w:ind w:firstLine="480"/>
        <w:jc w:val="left"/>
      </w:pPr>
      <w:r>
        <w:rPr>
          <w:rFonts w:ascii="仿宋_GB2312" w:hAnsi="仿宋_GB2312" w:cs="仿宋_GB2312" w:eastAsia="仿宋_GB2312"/>
          <w:sz w:val="24"/>
          <w:color w:val="000000"/>
        </w:rPr>
        <w:t>5.货物数量：</w:t>
      </w:r>
    </w:p>
    <w:p>
      <w:pPr>
        <w:pStyle w:val="null3"/>
        <w:ind w:firstLine="480"/>
        <w:jc w:val="left"/>
      </w:pPr>
      <w:r>
        <w:rPr>
          <w:rFonts w:ascii="仿宋_GB2312" w:hAnsi="仿宋_GB2312" w:cs="仿宋_GB2312" w:eastAsia="仿宋_GB2312"/>
          <w:sz w:val="24"/>
          <w:color w:val="000000"/>
        </w:rPr>
        <w:t>6.货物单价：</w:t>
      </w:r>
    </w:p>
    <w:p>
      <w:pPr>
        <w:pStyle w:val="null3"/>
        <w:ind w:firstLine="480"/>
        <w:jc w:val="left"/>
      </w:pPr>
      <w:r>
        <w:rPr>
          <w:rFonts w:ascii="仿宋_GB2312" w:hAnsi="仿宋_GB2312" w:cs="仿宋_GB2312" w:eastAsia="仿宋_GB2312"/>
          <w:sz w:val="24"/>
          <w:color w:val="000000"/>
        </w:rPr>
        <w:t>7.合同总金额（人民币含税）：        大写：</w:t>
      </w:r>
    </w:p>
    <w:p>
      <w:pPr>
        <w:pStyle w:val="null3"/>
        <w:ind w:firstLine="480"/>
        <w:jc w:val="left"/>
      </w:pPr>
      <w:r>
        <w:rPr>
          <w:rFonts w:ascii="仿宋_GB2312" w:hAnsi="仿宋_GB2312" w:cs="仿宋_GB2312" w:eastAsia="仿宋_GB2312"/>
          <w:sz w:val="24"/>
          <w:color w:val="000000"/>
        </w:rPr>
        <w:t>货物其他技术参数指标要求，具体详见附件。</w:t>
      </w:r>
    </w:p>
    <w:p>
      <w:pPr>
        <w:pStyle w:val="null3"/>
        <w:ind w:firstLine="482"/>
        <w:jc w:val="left"/>
      </w:pPr>
      <w:r>
        <w:rPr>
          <w:rFonts w:ascii="仿宋_GB2312" w:hAnsi="仿宋_GB2312" w:cs="仿宋_GB2312" w:eastAsia="仿宋_GB2312"/>
          <w:sz w:val="24"/>
          <w:b/>
          <w:color w:val="000000"/>
        </w:rPr>
        <w:t>三、设备质量要求及乙方对质量负责条件和期限</w:t>
      </w:r>
    </w:p>
    <w:p>
      <w:pPr>
        <w:pStyle w:val="null3"/>
        <w:ind w:firstLine="480"/>
        <w:jc w:val="left"/>
      </w:pPr>
      <w:r>
        <w:rPr>
          <w:rFonts w:ascii="仿宋_GB2312" w:hAnsi="仿宋_GB2312" w:cs="仿宋_GB2312" w:eastAsia="仿宋_GB2312"/>
          <w:sz w:val="24"/>
          <w:color w:val="000000"/>
        </w:rPr>
        <w:t>乙方提供的设备必须是全新（包括零部件）的设备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软件不作此类要求，具体以清单要求为准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。有关设备必须符合国家检测标准，或具有有关质检部门出具的产品检验合格证明。</w:t>
      </w:r>
    </w:p>
    <w:p>
      <w:pPr>
        <w:pStyle w:val="null3"/>
        <w:ind w:firstLine="480"/>
        <w:jc w:val="left"/>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年。维修保养期内非因甲方的人为原因而出现质量问题，由乙方负责。乙方应当在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482"/>
        <w:jc w:val="left"/>
      </w:pPr>
      <w:r>
        <w:rPr>
          <w:rFonts w:ascii="仿宋_GB2312" w:hAnsi="仿宋_GB2312" w:cs="仿宋_GB2312" w:eastAsia="仿宋_GB2312"/>
          <w:sz w:val="24"/>
          <w:b/>
          <w:color w:val="000000"/>
        </w:rPr>
        <w:t>四、交货时间、地点、方式</w:t>
      </w:r>
    </w:p>
    <w:p>
      <w:pPr>
        <w:pStyle w:val="null3"/>
        <w:ind w:firstLine="480"/>
        <w:jc w:val="left"/>
      </w:pPr>
      <w:r>
        <w:rPr>
          <w:rFonts w:ascii="仿宋_GB2312" w:hAnsi="仿宋_GB2312" w:cs="仿宋_GB2312" w:eastAsia="仿宋_GB2312"/>
          <w:sz w:val="24"/>
          <w:color w:val="000000"/>
        </w:rPr>
        <w:t>乙方不得延误合同签订、仪器设备交付时间，仪器设备合同签订后</w:t>
      </w:r>
      <w:r>
        <w:rPr>
          <w:rFonts w:ascii="仿宋_GB2312" w:hAnsi="仿宋_GB2312" w:cs="仿宋_GB2312" w:eastAsia="仿宋_GB2312"/>
          <w:sz w:val="24"/>
          <w:color w:val="000000"/>
        </w:rPr>
        <w:t>___天必须发货到甲方指定地点</w:t>
      </w:r>
      <w:r>
        <w:rPr>
          <w:rFonts w:ascii="仿宋_GB2312" w:hAnsi="仿宋_GB2312" w:cs="仿宋_GB2312" w:eastAsia="仿宋_GB2312"/>
          <w:sz w:val="24"/>
          <w:color w:val="000000"/>
        </w:rPr>
        <w:t>并完成</w:t>
      </w:r>
      <w:r>
        <w:rPr>
          <w:rFonts w:ascii="仿宋_GB2312" w:hAnsi="仿宋_GB2312" w:cs="仿宋_GB2312" w:eastAsia="仿宋_GB2312"/>
          <w:sz w:val="24"/>
          <w:color w:val="000000"/>
        </w:rPr>
        <w:t>安装调试，由甲方负责验收。设备运送产生的费用风险，由乙方负责。</w:t>
      </w:r>
    </w:p>
    <w:p>
      <w:pPr>
        <w:pStyle w:val="null3"/>
        <w:ind w:firstLine="480"/>
        <w:jc w:val="left"/>
      </w:pPr>
      <w:r>
        <w:rPr>
          <w:rFonts w:ascii="仿宋_GB2312" w:hAnsi="仿宋_GB2312" w:cs="仿宋_GB2312" w:eastAsia="仿宋_GB2312"/>
          <w:sz w:val="24"/>
          <w:color w:val="000000"/>
          <w:shd w:fill="FFFFFF" w:val="clear"/>
        </w:rPr>
        <w:t>对于中标产品的塑料包装材料应符合海南禁塑制品名录要求，优先使用低（无）挥发性有机物（</w:t>
      </w:r>
      <w:r>
        <w:rPr>
          <w:rFonts w:ascii="仿宋_GB2312" w:hAnsi="仿宋_GB2312" w:cs="仿宋_GB2312" w:eastAsia="仿宋_GB2312"/>
          <w:sz w:val="24"/>
          <w:color w:val="000000"/>
          <w:shd w:fill="FFFFFF" w:val="clear"/>
        </w:rPr>
        <w:t>VOCs）含量油墨印刷标识和全生物降解塑料，对于采购产品的运输优先使用清洁能源汽车。如因包装材料、运输环节等被处罚，由乙方承担。</w:t>
      </w:r>
    </w:p>
    <w:p>
      <w:pPr>
        <w:pStyle w:val="null3"/>
        <w:ind w:firstLine="482"/>
        <w:jc w:val="left"/>
      </w:pPr>
      <w:r>
        <w:rPr>
          <w:rFonts w:ascii="仿宋_GB2312" w:hAnsi="仿宋_GB2312" w:cs="仿宋_GB2312" w:eastAsia="仿宋_GB2312"/>
          <w:sz w:val="24"/>
          <w:b/>
          <w:color w:val="000000"/>
        </w:rPr>
        <w:t>五、设备资料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482"/>
        <w:jc w:val="left"/>
      </w:pPr>
      <w:r>
        <w:rPr>
          <w:rFonts w:ascii="仿宋_GB2312" w:hAnsi="仿宋_GB2312" w:cs="仿宋_GB2312" w:eastAsia="仿宋_GB2312"/>
          <w:sz w:val="24"/>
          <w:b/>
          <w:color w:val="000000"/>
        </w:rPr>
        <w:t>六、国产设备发票</w:t>
      </w:r>
    </w:p>
    <w:p>
      <w:pPr>
        <w:pStyle w:val="null3"/>
        <w:ind w:firstLine="480"/>
        <w:jc w:val="left"/>
      </w:pPr>
      <w:r>
        <w:rPr>
          <w:rFonts w:ascii="仿宋_GB2312" w:hAnsi="仿宋_GB2312" w:cs="仿宋_GB2312" w:eastAsia="仿宋_GB2312"/>
          <w:sz w:val="24"/>
          <w:color w:val="000000"/>
        </w:rPr>
        <w:t>甲方只接受国内合法有效的货物销售增值税专用发票。</w:t>
      </w:r>
    </w:p>
    <w:p>
      <w:pPr>
        <w:pStyle w:val="null3"/>
        <w:ind w:firstLine="482"/>
        <w:jc w:val="left"/>
      </w:pPr>
      <w:r>
        <w:rPr>
          <w:rFonts w:ascii="仿宋_GB2312" w:hAnsi="仿宋_GB2312" w:cs="仿宋_GB2312" w:eastAsia="仿宋_GB2312"/>
          <w:sz w:val="24"/>
          <w:b/>
          <w:color w:val="000000"/>
        </w:rPr>
        <w:t>七、履约保证金</w:t>
      </w:r>
    </w:p>
    <w:p>
      <w:pPr>
        <w:pStyle w:val="null3"/>
        <w:ind w:firstLine="480"/>
        <w:jc w:val="left"/>
      </w:pPr>
      <w:r>
        <w:rPr>
          <w:rFonts w:ascii="仿宋_GB2312" w:hAnsi="仿宋_GB2312" w:cs="仿宋_GB2312" w:eastAsia="仿宋_GB2312"/>
          <w:sz w:val="24"/>
          <w:color w:val="000000"/>
        </w:rPr>
        <w:t>乙方应在合同签订前向甲方支付履约保证金，履约保证金金额为合同总金额的</w:t>
      </w:r>
      <w:r>
        <w:rPr>
          <w:rFonts w:ascii="仿宋_GB2312" w:hAnsi="仿宋_GB2312" w:cs="仿宋_GB2312" w:eastAsia="仿宋_GB2312"/>
          <w:sz w:val="24"/>
          <w:color w:val="000000"/>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color w:val="000000"/>
        </w:rPr>
        <w:t>发生以下情况之一，履约保证金将不予退还或依保函追索：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投标有效期内，在投标活动中有违反法律、违反政策规定行为的；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5）擅自转包（全部或者部分）、转让的；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482"/>
        <w:jc w:val="left"/>
      </w:pPr>
      <w:r>
        <w:rPr>
          <w:rFonts w:ascii="仿宋_GB2312" w:hAnsi="仿宋_GB2312" w:cs="仿宋_GB2312" w:eastAsia="仿宋_GB2312"/>
          <w:sz w:val="24"/>
          <w:b/>
          <w:color w:val="000000"/>
        </w:rPr>
        <w:t>八、付款方式</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2"/>
        <w:jc w:val="left"/>
      </w:pPr>
      <w:r>
        <w:rPr>
          <w:rFonts w:ascii="仿宋_GB2312" w:hAnsi="仿宋_GB2312" w:cs="仿宋_GB2312" w:eastAsia="仿宋_GB2312"/>
          <w:sz w:val="24"/>
          <w:b/>
          <w:color w:val="000000"/>
        </w:rPr>
        <w:t>本合同采用第</w:t>
      </w:r>
      <w:r>
        <w:rPr>
          <w:rFonts w:ascii="仿宋_GB2312" w:hAnsi="仿宋_GB2312" w:cs="仿宋_GB2312" w:eastAsia="仿宋_GB2312"/>
          <w:sz w:val="24"/>
          <w:b/>
          <w:color w:val="000000"/>
          <w:u w:val="single"/>
        </w:rPr>
        <w:t>_（一）_</w:t>
      </w:r>
      <w:r>
        <w:rPr>
          <w:rFonts w:ascii="仿宋_GB2312" w:hAnsi="仿宋_GB2312" w:cs="仿宋_GB2312" w:eastAsia="仿宋_GB2312"/>
          <w:sz w:val="24"/>
          <w:b/>
          <w:color w:val="000000"/>
        </w:rPr>
        <w:t>种付款方式。</w:t>
      </w:r>
    </w:p>
    <w:p>
      <w:pPr>
        <w:pStyle w:val="null3"/>
        <w:ind w:firstLine="480"/>
        <w:jc w:val="both"/>
      </w:pPr>
      <w:r>
        <w:rPr>
          <w:rFonts w:ascii="仿宋_GB2312" w:hAnsi="仿宋_GB2312" w:cs="仿宋_GB2312" w:eastAsia="仿宋_GB2312"/>
          <w:sz w:val="24"/>
          <w:color w:val="000000"/>
        </w:rPr>
        <w:t>（一）采取预付款的（预付款金额为</w:t>
      </w:r>
      <w:r>
        <w:rPr>
          <w:rFonts w:ascii="仿宋_GB2312" w:hAnsi="仿宋_GB2312" w:cs="仿宋_GB2312" w:eastAsia="仿宋_GB2312"/>
          <w:sz w:val="24"/>
          <w:color w:val="000000"/>
        </w:rPr>
        <w:t>50万元含以上）：</w:t>
      </w:r>
    </w:p>
    <w:p>
      <w:pPr>
        <w:pStyle w:val="null3"/>
        <w:ind w:firstLine="480"/>
        <w:jc w:val="left"/>
      </w:pPr>
      <w:r>
        <w:rPr>
          <w:rFonts w:ascii="仿宋_GB2312" w:hAnsi="仿宋_GB2312" w:cs="仿宋_GB2312" w:eastAsia="仿宋_GB2312"/>
          <w:sz w:val="24"/>
          <w:color w:val="000000"/>
        </w:rPr>
        <w:t>本合同生效后，乙方向甲方提供有效期至少涵盖本合同指定到货时间点的预付款等额银行保函或者保险保函后，甲方应在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5个工作日内向乙方支付合同总金额的</w:t>
      </w:r>
      <w:r>
        <w:rPr>
          <w:rFonts w:ascii="仿宋_GB2312" w:hAnsi="仿宋_GB2312" w:cs="仿宋_GB2312" w:eastAsia="仿宋_GB2312"/>
          <w:sz w:val="24"/>
          <w:color w:val="000000"/>
          <w:u w:val="single"/>
        </w:rPr>
        <w:t xml:space="preserve"> 70 </w:t>
      </w:r>
      <w:r>
        <w:rPr>
          <w:rFonts w:ascii="仿宋_GB2312" w:hAnsi="仿宋_GB2312" w:cs="仿宋_GB2312" w:eastAsia="仿宋_GB2312"/>
          <w:sz w:val="24"/>
          <w:color w:val="000000"/>
        </w:rPr>
        <w:t>%的预付款，即人民币</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甲方收到本合同约定的所有货物并验收合格，同时2026年省财政配套经费下拨至学校后，对于满足合同约定支付条件的，自收到乙方开具的合法有效的增值税专用发票后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九、货物验收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验收主体。采购人系验收主体，组织履约验收；包括采购人自行组建履约验收小组或者委托采购代理机构履约验收，必要时可以邀请质量检测机构参加验收，届时通知供应商。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验收时间，根据合同约定的时间，由供应商提出申请，采购人确认的时间验收。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验收方式。采购人对中标（成交）供应商（以下简称供应商）履行采购合同及结果进行实地检验、核实和评估，以确认提供的货物（服务或工程）是否符合采购合同约定的标准和要求。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验收程序。采购合同约定的履约验收条件成熟时，供应商先组织内部自验，自验合格后及时向采购人书面提出履约验收申请。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rPr>
        <w:t>（六）验收结果。除涉密情形外，采购人在履约验收结束后出具验收意见并在</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个工作日内将履约验收结果信息向社会公开。</w:t>
      </w:r>
    </w:p>
    <w:p>
      <w:pPr>
        <w:pStyle w:val="null3"/>
        <w:ind w:firstLine="480"/>
        <w:jc w:val="left"/>
      </w:pPr>
      <w:r>
        <w:rPr>
          <w:rFonts w:ascii="仿宋_GB2312" w:hAnsi="仿宋_GB2312" w:cs="仿宋_GB2312" w:eastAsia="仿宋_GB2312"/>
          <w:sz w:val="24"/>
          <w:color w:val="000000"/>
        </w:rPr>
        <w:t>（七）乙方必须按时供货并完成验收，逾期安装验收的，乙方须按合同总价款每日万分之五的比例给付违约金给甲方。</w:t>
      </w:r>
    </w:p>
    <w:p>
      <w:pPr>
        <w:pStyle w:val="null3"/>
        <w:ind w:firstLine="482"/>
        <w:jc w:val="left"/>
      </w:pPr>
      <w:r>
        <w:rPr>
          <w:rFonts w:ascii="仿宋_GB2312" w:hAnsi="仿宋_GB2312" w:cs="仿宋_GB2312" w:eastAsia="仿宋_GB2312"/>
          <w:sz w:val="24"/>
          <w:b/>
          <w:color w:val="000000"/>
        </w:rPr>
        <w:t>十、违约责任</w:t>
      </w:r>
    </w:p>
    <w:p>
      <w:pPr>
        <w:pStyle w:val="null3"/>
        <w:ind w:firstLine="480"/>
        <w:jc w:val="left"/>
      </w:pPr>
      <w:r>
        <w:rPr>
          <w:rFonts w:ascii="仿宋_GB2312" w:hAnsi="仿宋_GB2312" w:cs="仿宋_GB2312" w:eastAsia="仿宋_GB2312"/>
          <w:sz w:val="24"/>
          <w:color w:val="000000"/>
        </w:rPr>
        <w:t>（一）乙方非因不可抗力导致不能按时到货的违约责任</w:t>
      </w:r>
    </w:p>
    <w:p>
      <w:pPr>
        <w:pStyle w:val="null3"/>
        <w:ind w:firstLine="480"/>
        <w:jc w:val="left"/>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（二）如果乙方提供的货物、服务不符合合同约定要求，甲方有权要求换货或退货、按合同约定整改服务、拒付合同款项、要求返还全部已付款项赔偿损失、终止本合同，并将乙方列入甲方采购禁入名单。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30天以上，甲方有权终止合同，并要求乙方返还全部已付款项，支付相应的违约金或赔偿由此给甲方造成的损失（以二者中孰高者为准）。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十</w:t>
      </w:r>
      <w:r>
        <w:rPr>
          <w:rFonts w:ascii="仿宋_GB2312" w:hAnsi="仿宋_GB2312" w:cs="仿宋_GB2312" w:eastAsia="仿宋_GB2312"/>
          <w:sz w:val="24"/>
        </w:rPr>
        <w:t>）</w:t>
      </w:r>
      <w:r>
        <w:rPr>
          <w:rFonts w:ascii="仿宋_GB2312" w:hAnsi="仿宋_GB2312" w:cs="仿宋_GB2312" w:eastAsia="仿宋_GB2312"/>
          <w:sz w:val="24"/>
        </w:rPr>
        <w:t>中标（成交）</w:t>
      </w:r>
      <w:r>
        <w:rPr>
          <w:rFonts w:ascii="仿宋_GB2312" w:hAnsi="仿宋_GB2312" w:cs="仿宋_GB2312" w:eastAsia="仿宋_GB2312"/>
          <w:sz w:val="24"/>
        </w:rPr>
        <w:t>供应商有下列情形之一的，预算金额在</w:t>
      </w:r>
      <w:r>
        <w:rPr>
          <w:rFonts w:ascii="仿宋_GB2312" w:hAnsi="仿宋_GB2312" w:cs="仿宋_GB2312" w:eastAsia="仿宋_GB2312"/>
          <w:sz w:val="24"/>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3）拒绝履行合同义务的；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4）违反国家法律、行政法规、部门规章和其他政府采购政策规定的。</w:t>
      </w:r>
    </w:p>
    <w:p>
      <w:pPr>
        <w:pStyle w:val="null3"/>
        <w:ind w:firstLine="482"/>
        <w:jc w:val="left"/>
      </w:pPr>
      <w:r>
        <w:rPr>
          <w:rFonts w:ascii="仿宋_GB2312" w:hAnsi="仿宋_GB2312" w:cs="仿宋_GB2312" w:eastAsia="仿宋_GB2312"/>
          <w:sz w:val="24"/>
          <w:b/>
          <w:color w:val="000000"/>
        </w:rPr>
        <w:t>十一、质量鉴定</w:t>
      </w:r>
    </w:p>
    <w:p>
      <w:pPr>
        <w:pStyle w:val="null3"/>
        <w:ind w:firstLine="480"/>
        <w:jc w:val="left"/>
      </w:pPr>
      <w:r>
        <w:rPr>
          <w:rFonts w:ascii="仿宋_GB2312" w:hAnsi="仿宋_GB2312" w:cs="仿宋_GB2312" w:eastAsia="仿宋_GB2312"/>
          <w:sz w:val="24"/>
          <w:color w:val="000000"/>
        </w:rPr>
        <w:t>因设备的质量问题发生争议，</w:t>
      </w:r>
      <w:r>
        <w:rPr>
          <w:rFonts w:ascii="仿宋_GB2312" w:hAnsi="仿宋_GB2312" w:cs="仿宋_GB2312" w:eastAsia="仿宋_GB2312"/>
          <w:sz w:val="24"/>
          <w:color w:val="000000"/>
        </w:rPr>
        <w:t>由国家和当地政府指定的技术单位进行质量鉴定，该鉴定结论是终局的，甲乙双方应当接受。</w:t>
      </w:r>
    </w:p>
    <w:p>
      <w:pPr>
        <w:pStyle w:val="null3"/>
        <w:ind w:firstLine="482"/>
        <w:jc w:val="left"/>
      </w:pPr>
      <w:r>
        <w:rPr>
          <w:rFonts w:ascii="仿宋_GB2312" w:hAnsi="仿宋_GB2312" w:cs="仿宋_GB2312" w:eastAsia="仿宋_GB2312"/>
          <w:sz w:val="24"/>
          <w:b/>
          <w:color w:val="000000"/>
        </w:rPr>
        <w:t>十二、争议解决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482"/>
        <w:jc w:val="left"/>
      </w:pPr>
      <w:r>
        <w:rPr>
          <w:rFonts w:ascii="仿宋_GB2312" w:hAnsi="仿宋_GB2312" w:cs="仿宋_GB2312" w:eastAsia="仿宋_GB2312"/>
          <w:sz w:val="24"/>
          <w:b/>
          <w:color w:val="000000"/>
        </w:rPr>
        <w:t>十三、合同生效</w:t>
      </w:r>
    </w:p>
    <w:p>
      <w:pPr>
        <w:pStyle w:val="null3"/>
        <w:ind w:firstLine="480"/>
        <w:jc w:val="left"/>
      </w:pPr>
      <w:r>
        <w:rPr>
          <w:rFonts w:ascii="仿宋_GB2312" w:hAnsi="仿宋_GB2312" w:cs="仿宋_GB2312" w:eastAsia="仿宋_GB2312"/>
          <w:sz w:val="24"/>
          <w:color w:val="000000"/>
        </w:rPr>
        <w:t>本合同经甲、乙、招标机构三方签字、盖章并在甲方收到乙方的履约保证金后，合同即生效。</w:t>
      </w:r>
    </w:p>
    <w:p>
      <w:pPr>
        <w:pStyle w:val="null3"/>
        <w:ind w:firstLine="480"/>
        <w:jc w:val="left"/>
      </w:pPr>
      <w:r>
        <w:rPr>
          <w:rFonts w:ascii="仿宋_GB2312" w:hAnsi="仿宋_GB2312" w:cs="仿宋_GB2312" w:eastAsia="仿宋_GB2312"/>
          <w:sz w:val="24"/>
          <w:color w:val="000000"/>
        </w:rPr>
        <w:t>本合同一式柒份，甲方执叁份、乙方执贰份，招标机构及财政采购监管部门各执壹份，均具同等效力。</w:t>
      </w:r>
    </w:p>
    <w:p>
      <w:pPr>
        <w:pStyle w:val="null3"/>
        <w:ind w:firstLine="482"/>
        <w:jc w:val="left"/>
      </w:pPr>
      <w:r>
        <w:rPr>
          <w:rFonts w:ascii="仿宋_GB2312" w:hAnsi="仿宋_GB2312" w:cs="仿宋_GB2312" w:eastAsia="仿宋_GB2312"/>
          <w:sz w:val="24"/>
          <w:b/>
          <w:color w:val="000000"/>
        </w:rPr>
        <w:t>十四、</w:t>
      </w:r>
      <w:r>
        <w:rPr>
          <w:rFonts w:ascii="仿宋_GB2312" w:hAnsi="仿宋_GB2312" w:cs="仿宋_GB2312" w:eastAsia="仿宋_GB2312"/>
          <w:sz w:val="24"/>
          <w:b/>
          <w:color w:val="000000"/>
        </w:rPr>
        <w:t>其他</w:t>
      </w:r>
    </w:p>
    <w:p>
      <w:pPr>
        <w:pStyle w:val="null3"/>
        <w:ind w:firstLine="480"/>
        <w:jc w:val="left"/>
      </w:pPr>
      <w:r>
        <w:rPr>
          <w:rFonts w:ascii="仿宋_GB2312" w:hAnsi="仿宋_GB2312" w:cs="仿宋_GB2312" w:eastAsia="仿宋_GB2312"/>
          <w:sz w:val="24"/>
          <w:color w:val="000000"/>
        </w:rPr>
        <w:t>1、甲乙双方应当自中标通知书发出之日起5个工作日内，按照招标文件和中标人投标文件的规定，双方签订书面合同。如超过期限未签合同，应重新招标或顺延下一中标候选人。</w:t>
      </w:r>
    </w:p>
    <w:p>
      <w:pPr>
        <w:pStyle w:val="null3"/>
        <w:ind w:firstLine="480"/>
        <w:jc w:val="left"/>
      </w:pPr>
      <w:r>
        <w:rPr>
          <w:rFonts w:ascii="仿宋_GB2312" w:hAnsi="仿宋_GB2312" w:cs="仿宋_GB2312" w:eastAsia="仿宋_GB2312"/>
          <w:sz w:val="24"/>
          <w:color w:val="000000"/>
        </w:rPr>
        <w:t>2、双方确认，本合同中载明的地址为各方在本合同项下及与本合同相关的所有法律文件、通知、诉讼文书等的有效送达地址。向约定地址发送文件视为有效送达，因接收方提供的地址不准确、地址变更未及时通知</w:t>
      </w:r>
      <w:r>
        <w:rPr>
          <w:rFonts w:ascii="仿宋_GB2312" w:hAnsi="仿宋_GB2312" w:cs="仿宋_GB2312" w:eastAsia="仿宋_GB2312"/>
          <w:sz w:val="24"/>
          <w:color w:val="000000"/>
        </w:rPr>
        <w:t>或</w:t>
      </w:r>
      <w:r>
        <w:rPr>
          <w:rFonts w:ascii="仿宋_GB2312" w:hAnsi="仿宋_GB2312" w:cs="仿宋_GB2312" w:eastAsia="仿宋_GB2312"/>
          <w:sz w:val="24"/>
          <w:color w:val="000000"/>
        </w:rPr>
        <w:t>接收方拒收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无人签收等情形，导致文件未能实际接收的，均视为已按约定地址完成送达。任何一方变更通讯地址的，应提前【</w:t>
      </w:r>
      <w:r>
        <w:rPr>
          <w:rFonts w:ascii="仿宋_GB2312" w:hAnsi="仿宋_GB2312" w:cs="仿宋_GB2312" w:eastAsia="仿宋_GB2312"/>
          <w:sz w:val="24"/>
          <w:color w:val="000000"/>
        </w:rPr>
        <w:t>15</w:t>
      </w:r>
      <w:r>
        <w:rPr>
          <w:rFonts w:ascii="仿宋_GB2312" w:hAnsi="仿宋_GB2312" w:cs="仿宋_GB2312" w:eastAsia="仿宋_GB2312"/>
          <w:sz w:val="24"/>
          <w:color w:val="000000"/>
        </w:rPr>
        <w:t>】日以书面形式通知对方。未履行通知义务的，原约定地址仍视为有效送达地址。</w:t>
      </w:r>
    </w:p>
    <w:p>
      <w:pPr>
        <w:pStyle w:val="null3"/>
        <w:ind w:firstLine="480"/>
        <w:jc w:val="left"/>
      </w:pPr>
      <w:r>
        <w:rPr>
          <w:rFonts w:ascii="仿宋_GB2312" w:hAnsi="仿宋_GB2312" w:cs="仿宋_GB2312" w:eastAsia="仿宋_GB2312"/>
          <w:sz w:val="24"/>
          <w:color w:val="000000"/>
        </w:rPr>
        <w:t>附：中标通知书、中标清单</w:t>
      </w:r>
    </w:p>
    <w:p>
      <w:pPr>
        <w:pStyle w:val="null3"/>
        <w:jc w:val="left"/>
      </w:pPr>
      <w:r>
        <w:rPr>
          <w:rFonts w:ascii="仿宋_GB2312" w:hAnsi="仿宋_GB2312" w:cs="仿宋_GB2312" w:eastAsia="仿宋_GB2312"/>
          <w:sz w:val="24"/>
          <w:b/>
          <w:color w:val="000000"/>
        </w:rPr>
        <w:t>（以下无正文为签字页）</w:t>
      </w:r>
    </w:p>
    <w:p>
      <w:pPr>
        <w:pStyle w:val="null3"/>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法定代表人/</w:t>
      </w:r>
    </w:p>
    <w:p>
      <w:pPr>
        <w:pStyle w:val="null3"/>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jc w:val="left"/>
      </w:pPr>
      <w:r>
        <w:rPr>
          <w:rFonts w:ascii="仿宋_GB2312" w:hAnsi="仿宋_GB2312" w:cs="仿宋_GB2312" w:eastAsia="仿宋_GB2312"/>
          <w:sz w:val="24"/>
          <w:color w:val="000000"/>
        </w:rPr>
        <w:t>使用单位确认签名：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邮箱：</w:t>
      </w:r>
    </w:p>
    <w:p>
      <w:pPr>
        <w:pStyle w:val="null3"/>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outlineLvl w:val="1"/>
      </w:pPr>
      <w:r>
        <w:rPr>
          <w:rFonts w:ascii="仿宋_GB2312" w:hAnsi="仿宋_GB2312" w:cs="仿宋_GB2312" w:eastAsia="仿宋_GB2312"/>
          <w:sz w:val="24"/>
          <w:color w:val="000000"/>
        </w:rPr>
        <w:t>招标机构：</w:t>
      </w:r>
    </w:p>
    <w:p>
      <w:pPr>
        <w:pStyle w:val="null3"/>
        <w:jc w:val="left"/>
      </w:pP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jc w:val="left"/>
      </w:pPr>
      <w:r>
        <w:rPr>
          <w:rFonts w:ascii="仿宋_GB2312" w:hAnsi="仿宋_GB2312" w:cs="仿宋_GB2312" w:eastAsia="仿宋_GB2312"/>
          <w:sz w:val="24"/>
          <w:color w:val="000000"/>
        </w:rPr>
        <w:t>法定或授权代表：</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日期：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b/>
        </w:rPr>
        <w:t>合同通用条款</w:t>
      </w:r>
    </w:p>
    <w:p>
      <w:pPr>
        <w:pStyle w:val="null3"/>
        <w:jc w:val="left"/>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color w:val="000000"/>
        </w:rPr>
        <w:t>1．定义</w:t>
      </w:r>
    </w:p>
    <w:p>
      <w:pPr>
        <w:pStyle w:val="null3"/>
        <w:ind w:firstLine="480"/>
        <w:jc w:val="both"/>
      </w:pPr>
      <w:r>
        <w:rPr>
          <w:rFonts w:ascii="仿宋_GB2312" w:hAnsi="仿宋_GB2312" w:cs="仿宋_GB2312" w:eastAsia="仿宋_GB2312"/>
          <w:sz w:val="24"/>
          <w:color w:val="000000"/>
        </w:rPr>
        <w:t>本合同下列术语应解释为：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4）“服务”系指根据合同规定乙方承担与供货有关的所有辅助服务，如运输、保险以及</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的服务，如安装、调试、提供技术援助、培训及其他类似的义务。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ind w:firstLine="482"/>
        <w:jc w:val="both"/>
      </w:pPr>
      <w:r>
        <w:rPr>
          <w:rFonts w:ascii="仿宋_GB2312" w:hAnsi="仿宋_GB2312" w:cs="仿宋_GB2312" w:eastAsia="仿宋_GB2312"/>
          <w:sz w:val="24"/>
          <w:b/>
          <w:color w:val="000000"/>
        </w:rPr>
        <w:t>2．技术规范</w:t>
      </w:r>
    </w:p>
    <w:p>
      <w:pPr>
        <w:pStyle w:val="null3"/>
        <w:ind w:firstLine="480"/>
        <w:jc w:val="both"/>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color w:val="000000"/>
        </w:rPr>
        <w:t>3．专利权</w:t>
      </w:r>
    </w:p>
    <w:p>
      <w:pPr>
        <w:pStyle w:val="null3"/>
        <w:ind w:firstLine="480"/>
        <w:jc w:val="both"/>
      </w:pPr>
      <w:r>
        <w:rPr>
          <w:rFonts w:ascii="仿宋_GB2312" w:hAnsi="仿宋_GB2312" w:cs="仿宋_GB2312" w:eastAsia="仿宋_GB2312"/>
          <w:sz w:val="24"/>
          <w:color w:val="00000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color w:val="000000"/>
        </w:rPr>
        <w:t>4．包装要求</w:t>
      </w:r>
    </w:p>
    <w:p>
      <w:pPr>
        <w:pStyle w:val="null3"/>
        <w:ind w:firstLine="480"/>
        <w:jc w:val="both"/>
      </w:pPr>
      <w:r>
        <w:rPr>
          <w:rFonts w:ascii="仿宋_GB2312" w:hAnsi="仿宋_GB2312" w:cs="仿宋_GB2312" w:eastAsia="仿宋_GB2312"/>
          <w:sz w:val="24"/>
          <w:color w:val="00000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color w:val="000000"/>
        </w:rPr>
        <w:t>4.2 每件包装箱内应附一份详细装箱单和质量合格证。</w:t>
      </w:r>
    </w:p>
    <w:p>
      <w:pPr>
        <w:pStyle w:val="null3"/>
        <w:ind w:firstLine="482"/>
        <w:jc w:val="both"/>
      </w:pPr>
      <w:r>
        <w:rPr>
          <w:rFonts w:ascii="仿宋_GB2312" w:hAnsi="仿宋_GB2312" w:cs="仿宋_GB2312" w:eastAsia="仿宋_GB2312"/>
          <w:sz w:val="24"/>
          <w:b/>
          <w:color w:val="000000"/>
        </w:rPr>
        <w:t>5．装运标志</w:t>
      </w:r>
    </w:p>
    <w:p>
      <w:pPr>
        <w:pStyle w:val="null3"/>
        <w:ind w:firstLine="480"/>
        <w:jc w:val="both"/>
      </w:pPr>
      <w:r>
        <w:rPr>
          <w:rFonts w:ascii="仿宋_GB2312" w:hAnsi="仿宋_GB2312" w:cs="仿宋_GB2312" w:eastAsia="仿宋_GB2312"/>
          <w:sz w:val="24"/>
          <w:color w:val="000000"/>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l）收货人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3）装运标志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4）收货人代号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5）目的地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6）货物（含软件及相关服务）名称、品目号和箱号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7）毛重／净重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8）尺寸（长X宽X高，以厘米计）</w:t>
      </w:r>
    </w:p>
    <w:p>
      <w:pPr>
        <w:pStyle w:val="null3"/>
        <w:ind w:firstLine="480"/>
        <w:jc w:val="both"/>
      </w:pPr>
      <w:r>
        <w:rPr>
          <w:rFonts w:ascii="仿宋_GB2312" w:hAnsi="仿宋_GB2312" w:cs="仿宋_GB2312" w:eastAsia="仿宋_GB2312"/>
          <w:sz w:val="24"/>
          <w:color w:val="00000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小心轻放</w:t>
      </w:r>
      <w:r>
        <w:rPr>
          <w:rFonts w:ascii="仿宋_GB2312" w:hAnsi="仿宋_GB2312" w:cs="仿宋_GB2312" w:eastAsia="仿宋_GB2312"/>
          <w:sz w:val="24"/>
          <w:color w:val="000000"/>
        </w:rPr>
        <w:t>”“</w:t>
      </w:r>
      <w:r>
        <w:rPr>
          <w:rFonts w:ascii="仿宋_GB2312" w:hAnsi="仿宋_GB2312" w:cs="仿宋_GB2312" w:eastAsia="仿宋_GB2312"/>
          <w:sz w:val="24"/>
          <w:color w:val="000000"/>
        </w:rPr>
        <w:t>勿倒置</w:t>
      </w:r>
      <w:r>
        <w:rPr>
          <w:rFonts w:ascii="仿宋_GB2312" w:hAnsi="仿宋_GB2312" w:cs="仿宋_GB2312" w:eastAsia="仿宋_GB2312"/>
          <w:sz w:val="24"/>
          <w:color w:val="000000"/>
        </w:rPr>
        <w:t>”“</w:t>
      </w:r>
      <w:r>
        <w:rPr>
          <w:rFonts w:ascii="仿宋_GB2312" w:hAnsi="仿宋_GB2312" w:cs="仿宋_GB2312" w:eastAsia="仿宋_GB2312"/>
          <w:sz w:val="24"/>
          <w:color w:val="000000"/>
        </w:rPr>
        <w:t>防潮</w:t>
      </w:r>
      <w:r>
        <w:rPr>
          <w:rFonts w:ascii="仿宋_GB2312" w:hAnsi="仿宋_GB2312" w:cs="仿宋_GB2312" w:eastAsia="仿宋_GB2312"/>
          <w:sz w:val="24"/>
          <w:color w:val="000000"/>
        </w:rPr>
        <w:t>”等字样和其他适当的标记。</w:t>
      </w:r>
    </w:p>
    <w:p>
      <w:pPr>
        <w:pStyle w:val="null3"/>
        <w:ind w:firstLine="480"/>
        <w:jc w:val="both"/>
      </w:pPr>
      <w:r>
        <w:rPr>
          <w:rFonts w:ascii="仿宋_GB2312" w:hAnsi="仿宋_GB2312" w:cs="仿宋_GB2312" w:eastAsia="仿宋_GB2312"/>
          <w:sz w:val="24"/>
          <w:color w:val="000000"/>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color w:val="000000"/>
        </w:rPr>
        <w:t>6．交货方式</w:t>
      </w:r>
    </w:p>
    <w:p>
      <w:pPr>
        <w:pStyle w:val="null3"/>
        <w:ind w:firstLine="480"/>
        <w:jc w:val="both"/>
      </w:pPr>
      <w:r>
        <w:rPr>
          <w:rFonts w:ascii="仿宋_GB2312" w:hAnsi="仿宋_GB2312" w:cs="仿宋_GB2312" w:eastAsia="仿宋_GB2312"/>
          <w:sz w:val="24"/>
          <w:color w:val="000000"/>
        </w:rPr>
        <w:t>6.l 交货方式一般为下列其中一种，具体在合同专用条款中规定。</w:t>
      </w:r>
    </w:p>
    <w:p>
      <w:pPr>
        <w:pStyle w:val="null3"/>
        <w:ind w:firstLine="480"/>
        <w:jc w:val="both"/>
      </w:pPr>
      <w:r>
        <w:rPr>
          <w:rFonts w:ascii="仿宋_GB2312" w:hAnsi="仿宋_GB2312" w:cs="仿宋_GB2312" w:eastAsia="仿宋_GB2312"/>
          <w:sz w:val="24"/>
          <w:color w:val="000000"/>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color w:val="000000"/>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color w:val="000000"/>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color w:val="000000"/>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color w:val="000000"/>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color w:val="000000"/>
        </w:rPr>
        <w:t>7．装运通知</w:t>
      </w:r>
    </w:p>
    <w:p>
      <w:pPr>
        <w:pStyle w:val="null3"/>
        <w:ind w:firstLine="480"/>
        <w:jc w:val="both"/>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color w:val="000000"/>
        </w:rPr>
        <w:t>8．保险</w:t>
      </w:r>
    </w:p>
    <w:p>
      <w:pPr>
        <w:pStyle w:val="null3"/>
        <w:ind w:firstLine="480"/>
        <w:jc w:val="both"/>
      </w:pP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color w:val="000000"/>
        </w:rPr>
        <w:t>9．支付</w:t>
      </w:r>
    </w:p>
    <w:p>
      <w:pPr>
        <w:pStyle w:val="null3"/>
        <w:ind w:firstLine="480"/>
        <w:jc w:val="both"/>
      </w:pPr>
      <w:r>
        <w:rPr>
          <w:rFonts w:ascii="仿宋_GB2312" w:hAnsi="仿宋_GB2312" w:cs="仿宋_GB2312" w:eastAsia="仿宋_GB2312"/>
          <w:sz w:val="24"/>
          <w:color w:val="000000"/>
        </w:rPr>
        <w:t>合同生效后，仪器设备到达目的地，经安装、调试、技术培训后，投标人向业主提请仪器设备验收。采购人在接到投标人通知的</w:t>
      </w:r>
      <w:r>
        <w:rPr>
          <w:rFonts w:ascii="仿宋_GB2312" w:hAnsi="仿宋_GB2312" w:cs="仿宋_GB2312" w:eastAsia="仿宋_GB2312"/>
          <w:sz w:val="24"/>
          <w:color w:val="000000"/>
        </w:rPr>
        <w:t>5天内派人到现场负责组织验收，货物验收合格后，乙方应按甲方提供的“要求一览表”中给用户供货的中标清单，分别填写发票，并注明合同号码，填写“货物验收单”（注明发票</w:t>
      </w:r>
      <w:r>
        <w:rPr>
          <w:rFonts w:ascii="仿宋_GB2312" w:hAnsi="仿宋_GB2312" w:cs="仿宋_GB2312" w:eastAsia="仿宋_GB2312"/>
          <w:sz w:val="24"/>
          <w:color w:val="000000"/>
        </w:rPr>
        <w:t>号码</w:t>
      </w:r>
      <w:r>
        <w:rPr>
          <w:rFonts w:ascii="仿宋_GB2312" w:hAnsi="仿宋_GB2312" w:cs="仿宋_GB2312" w:eastAsia="仿宋_GB2312"/>
          <w:sz w:val="24"/>
          <w:color w:val="000000"/>
        </w:rPr>
        <w:t>）。国产设备：甲方只接受国内合法有效的货物销售增值税专用发票。</w:t>
      </w:r>
    </w:p>
    <w:p>
      <w:pPr>
        <w:pStyle w:val="null3"/>
        <w:ind w:firstLine="482"/>
        <w:jc w:val="both"/>
      </w:pPr>
      <w:r>
        <w:rPr>
          <w:rFonts w:ascii="仿宋_GB2312" w:hAnsi="仿宋_GB2312" w:cs="仿宋_GB2312" w:eastAsia="仿宋_GB2312"/>
          <w:sz w:val="24"/>
          <w:b/>
          <w:color w:val="000000"/>
        </w:rPr>
        <w:t>10．技术资料</w:t>
      </w:r>
    </w:p>
    <w:p>
      <w:pPr>
        <w:pStyle w:val="null3"/>
        <w:ind w:firstLine="480"/>
        <w:jc w:val="both"/>
      </w:pPr>
      <w:r>
        <w:rPr>
          <w:rFonts w:ascii="仿宋_GB2312" w:hAnsi="仿宋_GB2312" w:cs="仿宋_GB2312" w:eastAsia="仿宋_GB2312"/>
          <w:sz w:val="24"/>
          <w:color w:val="000000"/>
        </w:rPr>
        <w:t>合同项下技术资料（除合同专用条款规定外）将以下列方式交付：</w:t>
      </w:r>
    </w:p>
    <w:p>
      <w:pPr>
        <w:pStyle w:val="null3"/>
        <w:ind w:firstLine="480"/>
        <w:jc w:val="both"/>
      </w:pPr>
      <w:r>
        <w:rPr>
          <w:rFonts w:ascii="仿宋_GB2312" w:hAnsi="仿宋_GB2312" w:cs="仿宋_GB2312" w:eastAsia="仿宋_GB2312"/>
          <w:sz w:val="24"/>
          <w:color w:val="000000"/>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color w:val="000000"/>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color w:val="000000"/>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color w:val="000000"/>
        </w:rPr>
        <w:t>11．质量保证</w:t>
      </w:r>
    </w:p>
    <w:p>
      <w:pPr>
        <w:pStyle w:val="null3"/>
        <w:ind w:firstLine="480"/>
        <w:jc w:val="both"/>
      </w:pPr>
      <w:r>
        <w:rPr>
          <w:rFonts w:ascii="仿宋_GB2312" w:hAnsi="仿宋_GB2312" w:cs="仿宋_GB2312" w:eastAsia="仿宋_GB2312"/>
          <w:sz w:val="24"/>
          <w:color w:val="00000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color w:val="00000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color w:val="000000"/>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color w:val="000000"/>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color w:val="000000"/>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color w:val="000000"/>
        </w:rPr>
        <w:t>12.检验及安装</w:t>
      </w:r>
    </w:p>
    <w:p>
      <w:pPr>
        <w:pStyle w:val="null3"/>
        <w:ind w:firstLine="480"/>
        <w:jc w:val="both"/>
      </w:pPr>
      <w:r>
        <w:rPr>
          <w:rFonts w:ascii="仿宋_GB2312" w:hAnsi="仿宋_GB2312" w:cs="仿宋_GB2312" w:eastAsia="仿宋_GB2312"/>
          <w:sz w:val="24"/>
          <w:color w:val="00000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color w:val="00000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color w:val="000000"/>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color w:val="000000"/>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color w:val="000000"/>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color w:val="000000"/>
        </w:rPr>
        <w:t>12.6 货物（含软件及相关服务）的安装按甲方要求进行。</w:t>
      </w:r>
    </w:p>
    <w:p>
      <w:pPr>
        <w:pStyle w:val="null3"/>
        <w:ind w:firstLine="482"/>
        <w:jc w:val="both"/>
      </w:pPr>
      <w:r>
        <w:rPr>
          <w:rFonts w:ascii="仿宋_GB2312" w:hAnsi="仿宋_GB2312" w:cs="仿宋_GB2312" w:eastAsia="仿宋_GB2312"/>
          <w:sz w:val="24"/>
          <w:b/>
          <w:color w:val="000000"/>
        </w:rPr>
        <w:t>13．索赔</w:t>
      </w:r>
    </w:p>
    <w:p>
      <w:pPr>
        <w:pStyle w:val="null3"/>
        <w:ind w:firstLine="480"/>
        <w:jc w:val="both"/>
      </w:pPr>
      <w:r>
        <w:rPr>
          <w:rFonts w:ascii="仿宋_GB2312" w:hAnsi="仿宋_GB2312" w:cs="仿宋_GB2312" w:eastAsia="仿宋_GB2312"/>
          <w:sz w:val="24"/>
          <w:color w:val="000000"/>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color w:val="000000"/>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同意退货，并按合同规定的同种货币将货款退还给甲方，并承担由此发生的一切损失和费用，包括利息、银行手续费、运费、保险费、检验费、仓储费、装卸费以及为保护退回货物（含软件及相关服务）所需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必要费用。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color w:val="000000"/>
        </w:rPr>
        <w:t>13.3 如果在甲方发出索赔通知后 30天内，乙方未能答复，</w:t>
      </w:r>
      <w:r>
        <w:rPr>
          <w:rFonts w:ascii="仿宋_GB2312" w:hAnsi="仿宋_GB2312" w:cs="仿宋_GB2312" w:eastAsia="仿宋_GB2312"/>
          <w:sz w:val="24"/>
          <w:color w:val="000000"/>
        </w:rPr>
        <w:t>上述</w:t>
      </w:r>
      <w:r>
        <w:rPr>
          <w:rFonts w:ascii="仿宋_GB2312" w:hAnsi="仿宋_GB2312" w:cs="仿宋_GB2312" w:eastAsia="仿宋_GB2312"/>
          <w:sz w:val="24"/>
          <w:color w:val="000000"/>
        </w:rPr>
        <w:t>索赔应视为已被乙方接受。若乙方未能在甲方提出索赔通知后</w:t>
      </w:r>
      <w:r>
        <w:rPr>
          <w:rFonts w:ascii="仿宋_GB2312" w:hAnsi="仿宋_GB2312" w:cs="仿宋_GB2312" w:eastAsia="仿宋_GB2312"/>
          <w:sz w:val="24"/>
          <w:color w:val="000000"/>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color w:val="000000"/>
        </w:rPr>
        <w:t>金额</w:t>
      </w:r>
      <w:r>
        <w:rPr>
          <w:rFonts w:ascii="仿宋_GB2312" w:hAnsi="仿宋_GB2312" w:cs="仿宋_GB2312" w:eastAsia="仿宋_GB2312"/>
          <w:sz w:val="24"/>
          <w:color w:val="000000"/>
        </w:rPr>
        <w:t>。如果这些金额不足以补偿索赔金额，甲方有权向乙方提出不足部分的补偿。</w:t>
      </w:r>
    </w:p>
    <w:p>
      <w:pPr>
        <w:pStyle w:val="null3"/>
        <w:ind w:firstLine="482"/>
        <w:jc w:val="both"/>
      </w:pPr>
      <w:r>
        <w:rPr>
          <w:rFonts w:ascii="仿宋_GB2312" w:hAnsi="仿宋_GB2312" w:cs="仿宋_GB2312" w:eastAsia="仿宋_GB2312"/>
          <w:sz w:val="24"/>
          <w:b/>
          <w:color w:val="000000"/>
        </w:rPr>
        <w:t>14．拖延交货</w:t>
      </w:r>
    </w:p>
    <w:p>
      <w:pPr>
        <w:pStyle w:val="null3"/>
        <w:ind w:firstLine="480"/>
        <w:jc w:val="both"/>
      </w:pPr>
      <w:r>
        <w:rPr>
          <w:rFonts w:ascii="仿宋_GB2312" w:hAnsi="仿宋_GB2312" w:cs="仿宋_GB2312" w:eastAsia="仿宋_GB2312"/>
          <w:sz w:val="24"/>
          <w:color w:val="000000"/>
        </w:rPr>
        <w:t>14.l 乙方应按照合同专用条款中规定的交货期交货和提供服务。</w:t>
      </w:r>
    </w:p>
    <w:p>
      <w:pPr>
        <w:pStyle w:val="null3"/>
        <w:ind w:firstLine="480"/>
        <w:jc w:val="both"/>
      </w:pPr>
      <w:r>
        <w:rPr>
          <w:rFonts w:ascii="仿宋_GB2312" w:hAnsi="仿宋_GB2312" w:cs="仿宋_GB2312" w:eastAsia="仿宋_GB2312"/>
          <w:sz w:val="24"/>
          <w:color w:val="000000"/>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color w:val="000000"/>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color w:val="000000"/>
        </w:rPr>
        <w:t>15．违约赔偿</w:t>
      </w:r>
    </w:p>
    <w:p>
      <w:pPr>
        <w:pStyle w:val="null3"/>
        <w:ind w:firstLine="480"/>
        <w:jc w:val="both"/>
      </w:pPr>
      <w:r>
        <w:rPr>
          <w:rFonts w:ascii="仿宋_GB2312" w:hAnsi="仿宋_GB2312" w:cs="仿宋_GB2312" w:eastAsia="仿宋_GB2312"/>
          <w:sz w:val="24"/>
          <w:color w:val="000000"/>
        </w:rPr>
        <w:t>除第</w:t>
      </w:r>
      <w:r>
        <w:rPr>
          <w:rFonts w:ascii="仿宋_GB2312" w:hAnsi="仿宋_GB2312" w:cs="仿宋_GB2312" w:eastAsia="仿宋_GB2312"/>
          <w:sz w:val="24"/>
          <w:color w:val="000000"/>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color w:val="000000"/>
        </w:rPr>
        <w:t>16．不可抗力</w:t>
      </w:r>
    </w:p>
    <w:p>
      <w:pPr>
        <w:pStyle w:val="null3"/>
        <w:ind w:firstLine="480"/>
        <w:jc w:val="both"/>
      </w:pPr>
      <w:r>
        <w:rPr>
          <w:rFonts w:ascii="仿宋_GB2312" w:hAnsi="仿宋_GB2312" w:cs="仿宋_GB2312" w:eastAsia="仿宋_GB2312"/>
          <w:sz w:val="24"/>
          <w:color w:val="000000"/>
        </w:rPr>
        <w:t>16.l 如果双方中任何一方由于战争、严重火灾、水灾、台风和地震</w:t>
      </w:r>
      <w:r>
        <w:rPr>
          <w:rFonts w:ascii="仿宋_GB2312" w:hAnsi="仿宋_GB2312" w:cs="仿宋_GB2312" w:eastAsia="仿宋_GB2312"/>
          <w:sz w:val="24"/>
          <w:color w:val="000000"/>
        </w:rPr>
        <w:t>以及其他</w:t>
      </w:r>
      <w:r>
        <w:rPr>
          <w:rFonts w:ascii="仿宋_GB2312" w:hAnsi="仿宋_GB2312" w:cs="仿宋_GB2312" w:eastAsia="仿宋_GB2312"/>
          <w:sz w:val="24"/>
          <w:color w:val="000000"/>
        </w:rPr>
        <w:t>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color w:val="00000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color w:val="000000"/>
        </w:rPr>
        <w:t>17．税费</w:t>
      </w:r>
    </w:p>
    <w:p>
      <w:pPr>
        <w:pStyle w:val="null3"/>
        <w:ind w:firstLine="480"/>
        <w:jc w:val="both"/>
      </w:pPr>
      <w:r>
        <w:rPr>
          <w:rFonts w:ascii="仿宋_GB2312" w:hAnsi="仿宋_GB2312" w:cs="仿宋_GB2312" w:eastAsia="仿宋_GB2312"/>
          <w:sz w:val="24"/>
          <w:color w:val="000000"/>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color w:val="000000"/>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color w:val="000000"/>
        </w:rPr>
        <w:t>18．争议解决</w:t>
      </w:r>
    </w:p>
    <w:p>
      <w:pPr>
        <w:pStyle w:val="null3"/>
        <w:ind w:firstLine="480"/>
        <w:jc w:val="both"/>
      </w:pPr>
      <w:r>
        <w:rPr>
          <w:rFonts w:ascii="仿宋_GB2312" w:hAnsi="仿宋_GB2312" w:cs="仿宋_GB2312" w:eastAsia="仿宋_GB2312"/>
          <w:sz w:val="24"/>
          <w:color w:val="000000"/>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color w:val="000000"/>
        </w:rPr>
        <w:t>18.2 在诉讼期间，除正在进行诉讼的部分外，合同</w:t>
      </w:r>
      <w:r>
        <w:rPr>
          <w:rFonts w:ascii="仿宋_GB2312" w:hAnsi="仿宋_GB2312" w:cs="仿宋_GB2312" w:eastAsia="仿宋_GB2312"/>
          <w:sz w:val="24"/>
          <w:color w:val="000000"/>
        </w:rPr>
        <w:t>其他部分</w:t>
      </w:r>
      <w:r>
        <w:rPr>
          <w:rFonts w:ascii="仿宋_GB2312" w:hAnsi="仿宋_GB2312" w:cs="仿宋_GB2312" w:eastAsia="仿宋_GB2312"/>
          <w:sz w:val="24"/>
          <w:color w:val="000000"/>
        </w:rPr>
        <w:t>可继续执行。</w:t>
      </w:r>
    </w:p>
    <w:p>
      <w:pPr>
        <w:pStyle w:val="null3"/>
        <w:ind w:firstLine="482"/>
        <w:jc w:val="both"/>
      </w:pPr>
      <w:r>
        <w:rPr>
          <w:rFonts w:ascii="仿宋_GB2312" w:hAnsi="仿宋_GB2312" w:cs="仿宋_GB2312" w:eastAsia="仿宋_GB2312"/>
          <w:sz w:val="24"/>
          <w:b/>
          <w:color w:val="000000"/>
        </w:rPr>
        <w:t>19．违约终止合同</w:t>
      </w:r>
    </w:p>
    <w:p>
      <w:pPr>
        <w:pStyle w:val="null3"/>
        <w:ind w:firstLine="480"/>
        <w:jc w:val="both"/>
      </w:pPr>
      <w:r>
        <w:rPr>
          <w:rFonts w:ascii="仿宋_GB2312" w:hAnsi="仿宋_GB2312" w:cs="仿宋_GB2312" w:eastAsia="仿宋_GB2312"/>
          <w:sz w:val="24"/>
          <w:color w:val="00000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2）如果乙方未能履行合同规定的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义务。</w:t>
      </w:r>
    </w:p>
    <w:p>
      <w:pPr>
        <w:pStyle w:val="null3"/>
        <w:ind w:firstLine="480"/>
        <w:jc w:val="both"/>
      </w:pPr>
      <w:r>
        <w:rPr>
          <w:rFonts w:ascii="仿宋_GB2312" w:hAnsi="仿宋_GB2312" w:cs="仿宋_GB2312" w:eastAsia="仿宋_GB2312"/>
          <w:sz w:val="24"/>
          <w:color w:val="00000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color w:val="000000"/>
        </w:rPr>
        <w:t>20．破产终止合同</w:t>
      </w:r>
    </w:p>
    <w:p>
      <w:pPr>
        <w:pStyle w:val="null3"/>
        <w:ind w:firstLine="480"/>
        <w:jc w:val="both"/>
      </w:pPr>
      <w:r>
        <w:rPr>
          <w:rFonts w:ascii="仿宋_GB2312" w:hAnsi="仿宋_GB2312" w:cs="仿宋_GB2312" w:eastAsia="仿宋_GB2312"/>
          <w:sz w:val="24"/>
          <w:color w:val="000000"/>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color w:val="000000"/>
        </w:rPr>
        <w:t>21．转让与分包</w:t>
      </w:r>
    </w:p>
    <w:p>
      <w:pPr>
        <w:pStyle w:val="null3"/>
        <w:ind w:firstLine="420"/>
        <w:jc w:val="both"/>
      </w:pPr>
      <w:r>
        <w:rPr>
          <w:rFonts w:ascii="仿宋_GB2312" w:hAnsi="仿宋_GB2312" w:cs="仿宋_GB2312" w:eastAsia="仿宋_GB2312"/>
          <w:sz w:val="21"/>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1"/>
          <w:color w:val="000000"/>
        </w:rPr>
        <w:t>20%支付违约金。</w:t>
      </w:r>
    </w:p>
    <w:p>
      <w:pPr>
        <w:pStyle w:val="null3"/>
        <w:ind w:firstLine="482"/>
        <w:jc w:val="both"/>
      </w:pPr>
      <w:r>
        <w:rPr>
          <w:rFonts w:ascii="仿宋_GB2312" w:hAnsi="仿宋_GB2312" w:cs="仿宋_GB2312" w:eastAsia="仿宋_GB2312"/>
          <w:sz w:val="24"/>
          <w:b/>
          <w:color w:val="000000"/>
        </w:rPr>
        <w:t>22．适用法律</w:t>
      </w:r>
    </w:p>
    <w:p>
      <w:pPr>
        <w:pStyle w:val="null3"/>
        <w:ind w:firstLine="480"/>
        <w:jc w:val="both"/>
      </w:pPr>
      <w:r>
        <w:rPr>
          <w:rFonts w:ascii="仿宋_GB2312" w:hAnsi="仿宋_GB2312" w:cs="仿宋_GB2312" w:eastAsia="仿宋_GB2312"/>
          <w:sz w:val="24"/>
          <w:color w:val="000000"/>
        </w:rPr>
        <w:t>本合同应按中华人民共和国的法律进行解释。</w:t>
      </w:r>
    </w:p>
    <w:p>
      <w:pPr>
        <w:pStyle w:val="null3"/>
        <w:ind w:firstLine="482"/>
        <w:jc w:val="both"/>
      </w:pPr>
      <w:r>
        <w:rPr>
          <w:rFonts w:ascii="仿宋_GB2312" w:hAnsi="仿宋_GB2312" w:cs="仿宋_GB2312" w:eastAsia="仿宋_GB2312"/>
          <w:sz w:val="24"/>
          <w:b/>
          <w:color w:val="000000"/>
        </w:rPr>
        <w:t>23．合同生效及其</w:t>
      </w:r>
      <w:r>
        <w:rPr>
          <w:rFonts w:ascii="仿宋_GB2312" w:hAnsi="仿宋_GB2312" w:cs="仿宋_GB2312" w:eastAsia="仿宋_GB2312"/>
          <w:sz w:val="24"/>
          <w:b/>
          <w:color w:val="000000"/>
        </w:rPr>
        <w:t>他</w:t>
      </w:r>
    </w:p>
    <w:p>
      <w:pPr>
        <w:pStyle w:val="null3"/>
        <w:ind w:firstLine="480"/>
        <w:jc w:val="both"/>
      </w:pPr>
      <w:r>
        <w:rPr>
          <w:rFonts w:ascii="仿宋_GB2312" w:hAnsi="仿宋_GB2312" w:cs="仿宋_GB2312" w:eastAsia="仿宋_GB2312"/>
          <w:sz w:val="24"/>
          <w:color w:val="000000"/>
        </w:rPr>
        <w:t>23.1 合同在双方签字盖章后生效。</w:t>
      </w:r>
    </w:p>
    <w:p>
      <w:pPr>
        <w:pStyle w:val="null3"/>
        <w:ind w:firstLine="480"/>
        <w:jc w:val="both"/>
      </w:pPr>
      <w:r>
        <w:rPr>
          <w:rFonts w:ascii="仿宋_GB2312" w:hAnsi="仿宋_GB2312" w:cs="仿宋_GB2312" w:eastAsia="仿宋_GB2312"/>
          <w:sz w:val="24"/>
          <w:color w:val="000000"/>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color w:val="000000"/>
        </w:rPr>
        <w:t>24. 合同适用</w:t>
      </w:r>
    </w:p>
    <w:p>
      <w:pPr>
        <w:pStyle w:val="null3"/>
        <w:ind w:firstLine="480"/>
        <w:jc w:val="both"/>
      </w:pPr>
      <w:r>
        <w:rPr>
          <w:rFonts w:ascii="仿宋_GB2312" w:hAnsi="仿宋_GB2312" w:cs="仿宋_GB2312" w:eastAsia="仿宋_GB2312"/>
          <w:sz w:val="24"/>
          <w:color w:val="000000"/>
        </w:rPr>
        <w:t>本合同通用条款适用货物和服务类采购项目，工程类项目的合同通用条款按建设部门颁发的有关标准通用合同执行。</w:t>
      </w:r>
    </w:p>
    <w:p>
      <w:pPr>
        <w:pStyle w:val="null3"/>
        <w:jc w:val="both"/>
      </w:pPr>
      <w:r>
        <w:rPr>
          <w:rFonts w:ascii="仿宋_GB2312" w:hAnsi="仿宋_GB2312" w:cs="仿宋_GB2312" w:eastAsia="仿宋_GB2312"/>
          <w:sz w:val="28"/>
          <w:b/>
          <w:color w:val="000000"/>
        </w:rPr>
        <w:t>附件</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 xml:space="preserve"> </w:t>
      </w:r>
    </w:p>
    <w:p>
      <w:pPr>
        <w:pStyle w:val="null3"/>
        <w:jc w:val="center"/>
      </w:pPr>
      <w:r>
        <w:rPr>
          <w:rFonts w:ascii="仿宋_GB2312" w:hAnsi="仿宋_GB2312" w:cs="仿宋_GB2312" w:eastAsia="仿宋_GB2312"/>
          <w:sz w:val="28"/>
          <w:b/>
          <w:color w:val="000000"/>
        </w:rPr>
        <w:t>廉洁责任书</w:t>
      </w:r>
    </w:p>
    <w:p>
      <w:pPr>
        <w:pStyle w:val="null3"/>
        <w:ind w:firstLine="560"/>
        <w:jc w:val="both"/>
      </w:pPr>
      <w:r>
        <w:rPr>
          <w:rFonts w:ascii="仿宋_GB2312" w:hAnsi="仿宋_GB2312" w:cs="仿宋_GB2312" w:eastAsia="仿宋_GB2312"/>
          <w:sz w:val="28"/>
          <w:color w:val="000000"/>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8"/>
          <w:color w:val="000000"/>
        </w:rPr>
        <w:t>1、严格遵守国家有关法律法规及相关政策，以及廉洁从业的各项规定。</w:t>
      </w:r>
    </w:p>
    <w:p>
      <w:pPr>
        <w:pStyle w:val="null3"/>
        <w:ind w:firstLine="560"/>
        <w:jc w:val="both"/>
      </w:pPr>
      <w:r>
        <w:rPr>
          <w:rFonts w:ascii="仿宋_GB2312" w:hAnsi="仿宋_GB2312" w:cs="仿宋_GB2312" w:eastAsia="仿宋_GB2312"/>
          <w:sz w:val="28"/>
          <w:color w:val="000000"/>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8"/>
          <w:color w:val="000000"/>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8"/>
          <w:color w:val="000000"/>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8"/>
          <w:color w:val="000000"/>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8"/>
          <w:color w:val="000000"/>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8"/>
          <w:color w:val="000000"/>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8"/>
          <w:color w:val="000000"/>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8"/>
          <w:color w:val="000000"/>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8"/>
          <w:color w:val="000000"/>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8"/>
          <w:color w:val="00000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8"/>
          <w:color w:val="00000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left"/>
        <w:outlineLvl w:val="1"/>
      </w:pPr>
      <w:r>
        <w:rPr>
          <w:rFonts w:ascii="仿宋_GB2312" w:hAnsi="仿宋_GB2312" w:cs="仿宋_GB2312" w:eastAsia="仿宋_GB2312"/>
          <w:sz w:val="28"/>
          <w:color w:val="000000"/>
        </w:rPr>
        <w:t>承</w:t>
      </w:r>
      <w:r>
        <w:rPr>
          <w:rFonts w:ascii="仿宋_GB2312" w:hAnsi="仿宋_GB2312" w:cs="仿宋_GB2312" w:eastAsia="仿宋_GB2312"/>
          <w:sz w:val="28"/>
          <w:color w:val="000000"/>
        </w:rPr>
        <w:t>诺</w:t>
      </w:r>
      <w:r>
        <w:rPr>
          <w:rFonts w:ascii="仿宋_GB2312" w:hAnsi="仿宋_GB2312" w:cs="仿宋_GB2312" w:eastAsia="仿宋_GB2312"/>
          <w:sz w:val="28"/>
          <w:color w:val="000000"/>
        </w:rPr>
        <w:t>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（法定代表人签字或盖章）</w:t>
      </w:r>
    </w:p>
    <w:p>
      <w:pPr>
        <w:pStyle w:val="null3"/>
        <w:ind w:firstLine="560"/>
        <w:jc w:val="left"/>
      </w:pPr>
      <w:r>
        <w:rPr>
          <w:rFonts w:ascii="仿宋_GB2312" w:hAnsi="仿宋_GB2312" w:cs="仿宋_GB2312" w:eastAsia="仿宋_GB2312"/>
          <w:sz w:val="28"/>
          <w:color w:val="000000"/>
        </w:rPr>
        <w:t>承诺单位：</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（盖章）</w:t>
      </w:r>
    </w:p>
    <w:p>
      <w:pPr>
        <w:pStyle w:val="null3"/>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 16.14其他要求：一、本项目中要求提供的有关证书、文件等证明材料均以扫描件加盖公章为准，如涉及的证书、证件正在办理延期、换证、变更和年审等无法提供的，应提供相关部门办理事项的证明材料。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除招标文件明确外，未经业主同意，中标供应商不得以任何方式转包或分包本项目。</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生物组织冷冻包埋机（1台）：1.主蜡缸容积≥9.0升，一次可连续包埋至少3200个组织，可多次加温增加蜡韧性；双保温缸，一次可以处理大量的包埋盒,尺寸（mm）≥270*225mm；可推拉折叠的缸盖；蜡缸温度范围：0～99℃；保温盒温度范围：0～99℃；工作台温度范围：0～99℃；冷冻台温度：0～－40℃设置；</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配导蜡槽，可独立加温，残蜡可自动流入保温盒。配置防冷凝水溢出的分体大冷台，出蜡口旁配置双制冷器、双风扇制冷小冷台，小冷台制冷面积（cm²）≥8*9；分体冷冻台制冷面积（mm）≥330×320，可放置80个包埋盒；</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3.不锈钢台面，智能化软件控系统，全中文，≥4.3寸彩色触摸液晶显示器；具有智能键功能（可不看屏盲操作），在显示屏无显示和触摸功能损坏时，包埋机的主要功能可正常操作；</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2.生物组织摊片烤片机（1台）：1.全中文液晶显示；具定时开机和关机功能；</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集摊漂.烘.烤于一体，热风循环设计；具有摊片、烘片、烤片3路温度控制系统；烤片烘片可双定时；摊片温度：室温～99℃可调；烤片温度：室温～99℃可调；烘片温度：室温～99℃可调；可同时烤片不少于150张玻片；</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3.冷冻切片机（1台）：1.冷冻室控温范围：0℃ - -50℃；冷冻台控温范围：0℃ - -60℃；样本夹头控温范围：0℃ - -50℃；冷冻台附加半导体制冷温度可达：-60℃；无霜冷冻台样本冷冻点位≥24个；冷冻台附加半导体制冷点位≥ 2个；半导体快速制冷工作时间≤15分钟；</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2.最大切片标本尺寸（mm）≥55×80；标本垂直运动行程≥62mm （可切超大样本）；水平运动行程≥20mm；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3.电动粗进速度2档：0.9mm/s.0.45mm/s；切片厚度：0.5μm-100μm可调；修片厚度:0μm-600μm可调；标本回缩值：0-60μm可调 ；</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数码生物显微系统（1套）：1.CFI无限远光学系统，可进行明场观察方式；放大倍数：40х—1000х；三目镜筒：倾斜角30º，双目瞳距：50mm—75mm。视点高度可调节，分光50/50，可实现显微镜和摄像系统同时观察；目镜：10X目镜，视场≥20mm，双目镜带屈光度调节；照明系统：白光LED照明。主机内置“复眼光学透镜”，在任何放大倍率下在视野边缘处也可实现均匀明亮的照明；</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物镜：平场消色差物镜4х，NA≥0.10，WD≥25mm;平场消色差物镜10х，NA≥0.25，WD≥6.7mm;平场消色差物镜40х，NA≥0.65，WD≥0.6mm;平场消色差物镜100х，NA≥1.25，WD≥0.14mm；聚光镜：阿贝式聚光镜NA≥1.25，叶片式孔径光栏，有对应于每个物镜位置的颜色标记；转换器：内定位四孔转换器；镜体采用一体化结构,机械筒长≥160 mm；载物台：带样品架，带游标校准，行程（mm）≥76х30；</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调焦：共轴粗微调，采用交叉滚子导轨机构;调焦行程：向上2mm,向下13mm，粗调：37.7mm/转，微调：0.2mm/转；粗调带有调焦旋钮扭矩调节环，可调节粗调松紧；带有载物台移动限位器；阻尼式切片夹。具有自动限位装置；</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4.数码相机≥1800万像素彩色CMOS，靶面尺寸：≥1/1.8（7.37x4.92），帧率：17@4880x3720，40@2448x1836，50@1728x1296，曝光时间：0.02ms~15s，灵敏度：505mv with 1/30s，暗电流：0.1mv with 1/30s ，相机接口：C型接口，数据传输/供电方式：USB3.0；配套图像分析软件：具备多色合成.图像采集.景深拓展.大图拼接.图像测量等功能；</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5.配置：主机一套（三目观察头一个、10X目镜一对、阿贝聚光器一个、平场消色差物镜一组（四颗，4X，10X， 40X，100X））；数码相机一台（含图像分析软件）；台式电脑一台，台式电脑配置：性能不低于i3处理器，≥8G内存，≥1T硬盘，≥27英寸显示器，USB3.0接口，windows11操作系统；</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5.切片机（1台）：1.≥4.3寸彩色触摸显示屏，实时显示；可自动修片，可在液晶屏上设置复位停留点，自动复位；具有智能键功能（可不看屏盲操作），在显示屏无显示或触摸功能损坏时可正常使用；</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液晶屏显示石蜡夹头位置、切片计数、切片厚度，一键直达任意设定位置；.切片厚度可达到≤0.5μm，有0位指示的精准定位系统；具修片功能，及标本回缩功能；刀片角度：0--10度可调；石蜡夹头上下移动距离≥60mm；前后移动距离≥20m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6.自动组织脱水机（1台）：1.液晶显示屏，全中文菜单；.精铸内铸式双重保护干式加温，无需频繁加水； 采用独立双系统双温控，一套系统出现故障时，可切换到另一套使用；开放式、可任意设置吊篮停留滤液时间和吊篮振荡次数的起缸滤液设计，避免前一缸试剂带入后一缸造成混液；运行中可随时添加小标本；</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2.缸数量≥12个（9个脱水缸.3个蜡虹）；单缸容积≥1500ml ；单缸处理时间：0～99小时可调；单次处理标准组织盒≥75个。</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7.倒置荧光显微镜（1套）：▲一、主机参数：1.光学系统：CFI60无限远光学系统，齐焦距离为不低于60mm。放大倍数40-400倍；</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观察方法：明场，相差，荧光；照明：高发光白光LED照明，内置复眼照明，确保任何倍率下亮度完全一致；目镜筒：倾角:45度,瞳孔距离:50-75毫米；目镜：10倍目镜，视野：22mm，两个目镜都可以调节曲光度；调焦：通过物镜向上/向下运动,行程(手动):向上7毫米向下1.5毫米粗调:37.7毫米/每转,微调:0.2毫米/每转,粗调扭矩可调；五孔物镜转换器；聚光镜：长工作距离聚光镜（75mm工作距离，可以延伸到190m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3.物镜：切趾相差技术，能保证最佳的相差衬比，能消除通常相差观察中的晕圈等干扰现象。配置四颗平场荧光相差物镜：四倍平场荧光相差物镜N.A. ≥ 0.13, W.D. ≥16.5 mm；十倍平场荧光相差物镜N.A. ≥0.30, W.D. ≥15.2 mm；二十倍平场荧光相差物镜N.A. ≥ 0.45, W.D. 8.2-6.9mm；四十倍相差物镜N.A. ≥0.55, W.D. ≥ 2.1mm；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二、荧光照明系统：4.主机内置荧光转盘，最多可安装三个滤色激发块，附加位置用于明场照明，所有明场通道不与荧光通道共用通道；荧光照明光源配：LED 照明器，内置复眼透镜，可以配置3种不同的荧光LED单元;可用波长:385nm，455nm，470nm，505nm，525nm，590nm，625nm；现配置470nm，560nm两个波长的激发光LED模块；滤色激发块：带通型蓝色激发荧光块一个EX 455-485 nm，DM 500 nm，BA505-555 nm；带通型绿色激发荧光块一个EX 545-575 nm，DM 585 nm，BA595-665 nm；转盘配置“噪声终结”装置。</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▲5.高强度单色LED荧光光源，寿命≥10,000 小时，内置复眼镜片，保证视野亮度均匀；具备照明强度记忆功能；</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三、数码相机参数 6.像素≥900 万像素；芯片：彩色 CMOS 芯片，靶面尺寸≥1英寸。像素大小≥3.45μmx3.45μm；帧率≥34@4096x2160.60@2048x1080；曝光时间：0.1ms~15s 。图像分析软件：具备多色合成.图像采集.景深拓展.大图拼接.图像测量等功能。</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7.计算机：台式电脑，性能不低于i5处理器，≥8G内存，≥1T硬盘，≥27英寸显示器，USB3.0接口，windows11操作系统。</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配置：主机一套（目镜一对、载物台移动尺一个、超长工作距离聚光镜一个、预定中心相差滑板一个、四倍平场荧光相差物镜一个、十倍平场荧光相差物镜一个、二十倍平场荧光相差物镜一个、四十倍相差物镜一个）、荧光光源（385nmLED荧光光源一个、470nmLED荧光光源一个、560nmLED荧光光源一个、带通型高级荧光滤色块一组（两通道， FITC.TEXAS RED））；彩色数码CCD一个；台式电脑一台；</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▲9.为保证产品质量，投标供应商须提供产品来源声明函和针对该项目所投设备不少于5年的质保和每年不少于两次巡检维护的售后服务承诺书并加盖有效公章。</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8.正置显微镜（2台）：1.CFI无限远光学系统，可进行明场观察方式；照明系统：高亮白光LED照明。主机内置“复眼光学透镜”，在任何放大倍率下在视野边缘处也可实现均匀明亮的照明；</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放大倍数：40х—1000х；目镜：10X目镜，视场≥20mm，双目镜带屈光度调节；物镜：平场消色差物镜4х，NA≥0.10，WD≥25mm;平场消色差物镜10х，NA≥0.25，WD≥6.7mm;平场消色差物镜40х，NA≥0.65，WD≥0.6mm;平场消色差物镜100х，NA≥1.25，WD≥0.14m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3.三目镜筒：倾斜角30º，双目瞳距：50mm—75mm。视点高度可调节。分光50/50，可实现显微镜和摄像系统同时观察；聚光镜：阿贝式聚光镜NA≥1.25，叶片式孔径光栏，有对应于每个物镜位置的颜色标记；</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4.转换器：内定位四孔转换器；镜体采用一体化结构,机械筒长≥160 mm；载物台：带有样品架，带游标校准，行程（mm）≥76х30；调焦：共轴粗微调，采用交叉滚子导轨机构;调焦行程：向上2mm,向下13mm，粗调：37.7mm/转，微调：0.2mm/转；粗调带有调焦旋钮扭矩调节环，可调节粗调松紧；带有载物台移动限位器；阻尼式切片夹。具有独特的自动限位装置；</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5.配置：主机一套（三目观察头一个、10X目镜一对、阿贝聚光器一个、平场消色差物镜一组（四颗，4X，10X， 40X，100X））；</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6.为保证产品质量，投标供应商须提供产品来源声明函和针对该项目所投设备不少于5年的质保和每年不少于两次巡检维护的售后服务承诺书并加盖有效公章。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9.倒置显微镜（2台）：1.光学系统：无限远光学系统，齐焦距离≥60mm；照明：高发光白光LED照明，内置复眼照明，确保视场内任何倍率下亮度完全一致；</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观察方法：明场，相差；放大倍数100-400倍；目镜筒：倾角:45度,瞳孔距离:50 - 75毫米；目镜：10倍目镜，视野≥22mm，两个目镜都可以调节曲光度；双目观察筒，观察筒可接数码相机，0/100%、100%/0分光棱镜旋转式操作，双目筒可转动调节方向；</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3.调焦：通过物镜向上/向下运动,行程(手动):向上≥7毫米向下≥1.5毫米粗调≥37.7毫米/每转,微调≤ 0.2毫米/每转,粗调扭矩可调；五孔物镜转换器；载物台≥170*247mm，附带玻璃型载物台环；行程（mm）≥126 (X) x78 (Y) ，配置通用样本夹具一个；</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4.聚光镜：长工作距离聚光镜（工作距离≥75mm，可以延伸到≥190mm）；物镜：切趾相差物镜N.A. ≥0.25, W.D. ≥6.2mm；切趾相差物镜N.A. ≥ 0.4, W.D. ≥ 3.1mm；切趾相差物镜N.A. ≥0.55, W.D. ≥2.1mm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5.配置：主机一套（含目镜一对、载物台移动尺一个、培养皿托板一个、预定中心相差滑板一个、十倍切趾相差物镜一个、二十倍切趾相差物镜一个、四十倍切趾相差物镜一个）；</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6.为保证产品质量，投标供应商须提供产品来源声明函和针对该项目所投设备不少于5年的质保和每年不少于两次巡检维护的售后服务承诺书并加盖有效公章。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10.体式显微镜（2台）：1.光学系统：内斜光路变焦系统；照明系统：LED透反照明；</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2.总放大倍数：根据所用目镜与物镜的组合不同，可以实现3.35-300×的总放大倍数;现有配置获得6.7-50的放大倍数；主机变倍范围：0.67×~5×；变焦比：7.5：1；瞳距调节范围：52~75 mm；工作距离≥115mm；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3.目镜筒：三目镜筒，目镜筒为45º，集成0.55倍C型接口，可接数码相机；目镜：两个目镜带屈光度调节，视场数≥22mm；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4.采用人机功能：密封设计（防尘、防油、防水）；防霉设计；防静电设计；彩色数码相机≥830万像素彩色 CMOS ，靶面尺寸：≥1/1.8”（7.37x4.92），相机接口：C 型接口，数据传输/供电方式：USB3.0；</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5.分析软件：具有多色合成功能；图像采集功能；视频采集功能；景深扩展功能；多图拼接功能；高动态 HDR功能；灰度测量功能；图像测量功能；</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6.配置：主机一台（10X目镜一对、透反射底座一个）；数码相机一台；台式电脑一台，台式电脑配置：性能不低于i3处理器，≥8G内存，≥1T硬盘，≥27英寸显示器，USB3.0接口，windows11操作系统。</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7.为保证产品质量，投标供应商须提供产品来源声明函和针对该项目所投设备不少于5年的质保和每年不少于两次巡检维护的售后服务承诺书并加盖有效公章。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11.人体生理实验系统（1套）：一、硬件参数数 (一)人体生理实验工作台 1.工作台：集成化设计，尺寸（mm)≥ 1950×590×750（长×宽×高），底部带2只自锁式移动滑轮，整体可移动和固定；收纳抽屉≥ 2个，尺寸（mm)≥ 390×390×150mm（长×宽×高）；信号采集系统：内嵌于人体生理实验工作台内部，用于采集人体生理信号；数据处理工作站：用于接收各传感器所测数据，并进行处理、分析、生成实验报告等；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信号采集仪器硬件（内置）技术参数：2.物理通道接口数≥4个；配置标准12导联全导联心电接口；物理通道接口扩展性：每个物理通道接口最多可扩展出8个采样通道；4个物理采样通道总共可扩展出32个采样通道；同时采样通道数≥16个；传感器类型与参数自动识别：识别到的传感器类型和参数在软件界面中呈现，当更换不同类型传感器时，软件界面上的传感器信息同时改变；量程：±50μV ~±1V；滤波器：同时具备硬件模拟滤波器、DSP 5阶贝塞尔滤波器、软件数字滤波器:（1）低通：1、2、 5、10、20、50、100、200、500、1k、2k、 5k、10k、20k、50k，合计15档 ；（2）高通（时间常数）：DC、5S、2s、1s、0.5s、0.2s、0.1s、0.05s、0.02s、0.01s、0.005s、0.002s、0.001s，合计13档 ；（3） 50Hz陷波：开、关两档可调；</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最大采样率≥800KHz；AD转换器：16位4通道同步采样；处理器：性能不低于浮点型DSP+ARM双核处理器；共模抑制比（CMMR）≥100dB;输入阻抗：10M@DC；信噪比≥100dB；等效输入噪声：电压峰峰值≤2.0μV；采样方式：支持连续采样、刺激触发采样、外部触发采样、程控采样；设备配置刺激器：波形：方波、模式：恒流输出方式、电流：0.5mA~20mA、时间步长：0.1ms~1ms；</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 人体生理学实验系统附件包参数 4.中枢神经/感官系统附件包：1）脑电带：具有FPZ、POZ两位置脑电电极； （2）皮肤电阻传感器：记录人体因各种生理反应引起的皮肤电阻变化，测量范围：2.5uS-125uS，测量误差：±3%； （3）肌腱锤： 频率响应：0-10KHz； （4）位移换能器：采用加速度传感器，分辨率：≤1mg（60Hz），灵敏度&gt;≤200mV/g；能够捕捉微小的动作变化； （5）事件触发开关：合金材料制作，按钮响应； （6）指脉换能器：优质压电片式采集脉搏波； （7）信号输入线：双层屏蔽设计，内层电磁膜，外层金属网，有效抗电磁干扰；</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5.神经/肌肉系统附件包：(1) 握力换能器： ①测量范围：0~1200N； ②综合分辨率：≤0.2%F.S； ③非线性：≤0.1%F.S； ④输出电压：0~10mV； ⑤零点漂移：≤0.03%F.S； ⑥迟滞：≤0.05%F.S (2) 肌电肢夹：ABS医用工程塑料；黄铜导电，无干扰；外表镀镍； (3) 人体刺激器：专用于人体神经肌肉类的电刺激实验。 ①安全防护设计：隔离输出，内部设有安全保护； ②刺激输出过程含同步声光提示； ③刺激器纹波：≤500mVpp； ④静息漏电：≤0.1Vrms； ⑤输出波宽保护：10毫秒； ⑥输出刺激电流：0.5~20mA； ⑦步进：0.1mA； ⑧皮肤电阻适应范围：1K~11K（@10mA）； (4) 刺激电极：配合人体神经肌肉刺激器，用于刺激神经。 ①刺激警示：声光提示； ②控制方式：一键式按键启停； ③固定方法：扣式绑带； (5) 指力传感器：采用高精度的测力传感器采集刺激神经时所引起的手指肌肉收缩力。 ①结构：符合人体工学的转向握球设计，方便采集任一手指力； ②固定方式：吸盘式，适用多种光滑桌面； ③传感器绕轴转动方向：0~360º； ④传感器上下移动范围：0~5cm； (6) 信号输入线：双层屏蔽设计，内层电磁膜，外层金属网，有效抗电磁干扰；</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6.循环系统-血压/心音附件包：(1) 人体血压换能器：表式血压计，采集测量血压过程中的压力数据。 ①测量范围0~300 mmHg； ②误差：≤6 mmHg； ③失真：≤1%； ④线性度：≥98%； ⑤零点漂移：≤3mmHg； (2) 电子血压计：自动测量动脉血压。 ①收缩压量程：60～230 mmHg，舒张压量程：30～220 mmHg，脉搏数量程：30～200次/min； ②血压分辨率≤1mmHg； (3) 听诊器：钟式听头，适用于听诊低调杂音。 ①听头采用压模热锻而成，组织密度高，无沙孔，音质清晰； ②听头和盖圈采用CNC数控车床高精度加工，听诊时无杂音； (4) 指脉换能器：优质压电片式采集脉搏波。 ①频率响应：≥1500Hz； ②无源设计； (5) 心音换能器：用于测量心音、心尖搏动等信号。响应频率：10~1500Hz，灵敏度：≥20mV/F.S；</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7.循环系统-心电附件包：（1）全导联心电线：香蕉插头，支持心电吸球，心电夹，采用国际标准心电线，抗干扰能力强，接口标准15针； （2）心电肢夹：ABS医用工程塑料，镀镍四肢夹，金属均采用黄铜加工而成，外表镀镍，防止氧化，黄铜导电能力强，无干扰，适用于任何心电图机； （3）吸球电极：导电性优越，吸附性好，采集质量效果好； （4）心电输入线：卡扣式标准单通道导联心电信号输入线；</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8.呼吸系统附件包：（1）呼吸传感器：呼吸最大输入流速≥250L/min；采样率：100Hz；流动阻力：≤0.1 cmH2O/L/sec； （2）围带式呼吸换能器：最大延伸长度：≥100cm；适用胸围：76~120cm；频率响应：&gt;100Hz，量程：0~500mV，采样率：100Hz，分辨率：±10mV； （3）指脉换能器：优质压电片式采集脉搏波； （4）血氧传感器：血氧饱和度测量范围：30%～100%，血氧饱和度分辨率：≤1%； （5）气道阻塞模拟器：内腔直径≥6mm、17mm；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9.能量代谢系统附件包：（1）代谢仪：氧气测量范围：5%~30%，测量误差：±3%；二氧化测量范围：0%~15%，测量误差±5%，流速测量范围：0~100SLM，测量误差：±2%，能量代谢测量误差：±5%； （2）代谢仪面罩：用于采集人体呼出的气体，内置隔离呼吸阀门，面罩内部腔体小，可以提高采集的精度； （3）代谢流量传感器：采集人体近端的呼出气体，5mS响应时间；实时数据，非模拟波。 （4）代谢专用气管：管长≥80cm，外直径≥5mm，将呼出的小部分气体导入到代谢仪主机用于分析，管体体积小，佩戴方便，提升了人活动的灵活性，提升整体舒适性；</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10.人体无线采集系统附件包：（1）代谢仪：氧气测量范围：5%~30%，测量误差：±3%；二氧化测量范围：0%~15%，测量误差±5%，流速测量范围：0~100SLM，测量误差：±2%，能量代谢测量误差：±5%； （2）代谢仪面罩：用于采集人体呼出的气体，内置隔离呼吸阀门，面罩内部腔体小，可以提高采集的精度； （3）代谢流量传感器：采集人体近端的呼出气体，5mS响应时间；实时数据，非模拟波。 （4）代谢专用气管：管长≥80cm，外直径≥5mm，将呼出的小部分气体导入到代谢仪主机用于分析，管体体积小，佩戴方便，提升了人活动的灵活性，提升整体舒适性；</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11.人体生理实验系统附件手推车：（1）塑料材质，白色，共四层，每层三个侧面有档杆（板），最上层一端有扶手； （2）底部带车轮，其中两个轮子带刹车；</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12.摆动测定系统附件包：（1）图像采集驱动软件； （2）数字图像采集硬件； （3）准确测量细胞的拍频，计算摆动的频率，幅度； （4）在样品中加入试剂后，短暂测量或定期记录长达24小时；</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13.动感单车附件包：（1）阻力调节：磁控阻力调节，档位：8档； （2）承重：约120kg； （3）单车重量：约25kg； （4）单车尺寸（mm）：约960 ×510 ×1280 mm（长宽高）； （5）显示屏：液晶显示屏幕，显示阻力、路程、速度、心率等内容；</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14.检查床附件包：（1）外形尺寸（mm）≥1790×590×460；可折叠收纳尺寸（mm）≥ 890×580×220； （2）重量＜33kg；承重≥100kg； （3）材质：碳钢+海绵+皮革；</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软件参数 (一) 人体生理实验软件技术参数 15.软件显示通道数：1~64通道可变，同时采集并显示12导联心电波形；通道差异化采样率：不同通道可设置不同采样率进行数据采样、不同采样率的信号可同步记录及同步显示，差异化采样率在提高信号质量的同时减少存贮空间；硬件监听控制：可以通过软件控制信号采集仪器的监听功能，选择监听的通道号及音量；</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采样和反演同时进行：在信号实时采集过程中，可以同时打开以前记录的文件进行查看、对比、分析等操作；同时反演文件数≥4个；反演文件时可同步播放声音：可以在播放反演波形的同时播放信号声音，比如播放人体心音，便于学生从形态和声音两个方面理解生理信号；</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刺激器功能：可根据人体实验所需设置刺激器基本参数，如刺激强度、刺激频率和脉冲个数，也可设置高级参数，如强度增量、频率增量、脉冲增量、刺激脉宽。可在刺激参数调节区进行设置，也可从相应实验模块进行设置；</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18.通用数据处理：微分、积分、频率直方图、序列密度直方图、非序列密度直方图、频谱分析、平均血压、数字滤波分析以及基于包络算法的心率曲线分析等；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心功能参数分析：PR、QT、QRS、ST、RR等间期分析，波段时程分析，波幅度分析，心电向量图，心音分析；肌电分析：积分肌电，均方根振幅，平均功率频率分析，中位频率分析，幅度分析，回归曲线分析；脑电分析：Alpha，Beta，Delta，Theta波分析；肺功能分析：肺活量分析，时间肺活量，最大肺活量，呼气流量（或流速）-容积曲线等分析；</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21.代谢分析：基础代谢分析，能量代谢分析，自动计算呼吸商等；呼吸波为实时的真实波形；</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22.眼电分析：肌电分析、眼动幅度、眼动速度等；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23.数据测量：单点测量、带Mark标记的两点测量、区间测量、实时测量，可测量出波形的最大、最小、平均值，时间、频率、面积等参数；</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软件实验模块内嵌web电子教材，包括：24.（1）实验原理：生动形象的视频动画或图片讲解实验原理， （2）实验项目：包含图文并茂的实验说明、实验步骤和实验报告，（3）发展历史：了解人体生理参数的研究历程， （4）临床应用：基础医学与临床病例想结合， （5）文献：列举本实验设计中的参考文献， （6）思考题：涵盖原理与实验步骤的问题思考， （7）小测试：对实验相关知识的进一步巩固； 内嵌动画引导的实验操作指南： （1）神经肌肉实验包含＞40个视频动画； （2）循环系统实验包含＞ 40个视频动画；</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25.人体生理实验模块：包含中枢神经系统实验、神经肌肉实验、运动生理实验、循环系统、呼吸实验、感觉器官等类别至少22个人体生理实验模块；</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实验模块：26.中枢神经系统实验、神经肌肉实验、循环系统、呼吸实验、感觉器官实验、代谢系统实验、人体运动生理实验、人体综合实验；</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 安全认证：27.内置信号采集仪器通过省级医疗器械检验中心的注册检验或者获得CE认证，保证系统用于人体实验的安全性；</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人体生理实验大屏辅助教学系统（1套）：1.显示屏尺寸≥86英寸液晶显示屏，物理分辨率≥3840x2160；刷新率≥60HZ，亮度≥330cd/㎡，对比度≥1200：1；显示屏防护≥4mm全钢化高防爆玻璃；触摸嵌入方式：内置一体式，非外挂式；红外感应识别触摸技术；书写方式：手指、触摸笔等不透光物体；多点触摸，触摸有效最小识别物2mm；喇叭：扬声器，自动音量控制，环绕声，均衡器；</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二、内置电脑参数：2.CPU型号性能不低于i7处理器，内存≥8G，存储≥240G以上硬盘；性能不低于Intel核芯显卡Intel HD Graphics； USB2.0、USB3.0、网络接口、MIC输入、HDMI输出、VGA输出、支持WiFi；Windows10操作系统、安卓系统可选；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三．软件技术指标 3．电子白板：可以进行画笔设置，笔记与背景随意切换，笔记页面管理，撤销与恢复等功能；</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▲4．实验内容：1) 内置实验模块数：不少于26个内置人体生理实验模块； 2) 内置实验模块内容： 每个内置实验模块包括六部分内容：电子教材，教学PPT（中英文可切换），实验录像，微课，理论测验以及扩展知识； 3) 电子教材：电子教材要求图文并茂，可实现鼠标点击翻页功能； 4) 教学PPT：至少包括实验目的、原理、实验对象、药品器材、方法步骤、注意事项以及思考题等； 5) 实验录像：人体生理实验的全流程操作录像； 6) 微课：高清视频录像，至少包括实验目的、原理、实验对象、药品器材、方法步骤、实验结果、注意事项以及思考题等部分的讲解讲解老师要利用大屏幕同步展示讲解的内容； 7) 理论测试： 每个实验模块至少不少于五道理论测试题目； 8) 扩展知识：相关的临床知识以及文献介绍等； 9) 自定义实验模块：系统支持用户自定义实验模块，每个自定义实验模块可以包括：PPT，实验录像，微课，测验以及扩展知识等内容 10) 自定义实验模块与系统内置实验模块融为一体，自动添加在内置实验模块后面，便于用户管理和操作；</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除颤器（2套）：1.具备中文语音提示、LED指示灯可视性提示功能；双相截顶指数波，最大输出能量≤200J；充电时间：从开始分析到最高能量除颤放电准备好时间≤7秒；患者阻抗测量范围：20-200Ω；除颤脉冲最大电压≤1100V；非可电击心律识别率（无人为干预）≥98.8%；电池：待机时间≥5年，最大能量除颤次数≥250次。</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粪便尿液分离代谢笼（1套）：1.笼架规格(mm)≥1410*550*1550；2层*5*2=20笼，水冲式不锈钢架子；用材:SLS304不锈钢板，SUS304不锈钢管立柱(mm)≥24x37x10；笼子规格(mm)≥240*200*200，笼盒为悬挂式；配耐酸碱，无毒，聚丙烯 PP 塑料笼盒、304 不锈钢网盖；≥200mlPP饮水瓶；带不锈钢料盒、自动饮水器；304不锈钢丝；点焊抛光。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肺功能测定仪（1套）：1.至少可测量参数：呼吸频率、每分通气量、最大呼气流量、最大吸气流量、EF50、呼气时间、吸气时间、潮气量、呼气末期暂停、吸气末期暂停、累计体积、Penh、Rpef、Ncou（咳嗽）；具有哮喘实验自动化实验功能，用户可设置自动化模板，自动进行数据统计分析；</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配置多通道大容量的干燥吸附塔，每通道容积≥450ml；.配备专业版咳嗽检测功能，可自动识别咳嗽事件，自动绘制咳嗽波形；数据可回放，一键绘制原始波形，至少需包含对比分析、趋势分析、咳嗽分析、单波分析、整体分析等功能；</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配置专用的光激活信号结合模块，且通道数量≥2通道，光激活信号和呼吸波形必须在同一界面显示，点位同步，时间同步；配置至少包含：全身体积描记系统4通道，光激活结合模块控制主机，间接量热法测代谢测量模块；</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置微孔高频振荡气溶胶雾化头，给药的量和速度可以通过软件调节；体积描记器采用透明材质，方便观察。集成传感器和药物雾化输入口；流量调节方式：主机旋钮调节、软件调节；具有自动一键标定功能，整个标定持续时间≤2min；</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▲5.具有间接量热法测代谢测量模块，至少可测量耗氧量、二氧化碳产生量、RER、EE等；</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16.动物跑步机（2套）：1.外形尺寸(mm)≥940×550×250；跑道组件重量≤7.5kg；跑道尺寸(mm)≥440×100×63（大鼠）、≥440×58×50（小鼠)；通道数：大鼠3通道，小鼠6通道；</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2.速度设定范围：0~60.0 m/min，调节步长0.1 m/min；速度偏差≤1%；坡度设定范围：0~15°；电刺激：刺激区域(mm)≥110×60；刺激强度范围：0.3~7mA（恒电流，脉冲刺激）；刺激脉冲频率：1、2、3 Hz三档可调</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7.记录数据：实验时间、动物信息、跑步时间、跑步率、跑步距离、落带次数、连续刺激次数等；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8.控制方式≥7寸IPS高清彩色电容触屏，屏幕分辨率≥1024×600；实验数据存储空间≥8GB。</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17.信息化集成化信号采集与处理系统（3套）：一、硬件参数 1.整机外形尺寸(mm)≤1680*740*2110（长*宽*高）；实验台操作面积(mm)≤1100*740（长*宽），实验台面离地高度：730-930mm，升降行程≥200mm；输液架离地面高度≤1970mm，输液架移动范围≤850mm（两侧）；实验台面材质：ABS工程塑料；实验台面下屏蔽层：不锈钢层，尺寸(mm)≤1050×730×0.4（长*宽*高）；移动滚轮：带锁式万向移动滚轮，整个操作平台可全方位移动；可伸缩固定支柱：带可伸缩平台固定支柱，保证实验平台的平稳固定；实验照明系统：4×10W，自然光LED灯，色温≥3000K，角度可调，通过软件无线控制多种灯光组合；</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置信号采集与处理系统：用于生物信号采集和数据处理、分析、生成实验报告等；内置实验室环境监测模块：可测量温度（精度≤0.1℃）、湿度、大气压，可在信号采集面板和软件中显示并记录到数据文件中；内置小动物肛温测量模块：测量并进行显示（精度≤0.1℃），可在无线控制终端上进行显示，配专用小动物肛温传感器；内置小动物呼吸机：①潮气量范围：0.1～99.9ml可调，调节及显示精度≤0.1ml；②呼吸时比：1-5:1-5；③呼吸频率：1～200次/分；④有大鼠、小鼠及家兔呼吸参数一键设置功能；⑤进气口和出气口一致在水平方向上；⑥通过软件无线控制呼吸机动物类型、潮气量、频率、呼吸时比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双显示系统：①上下各一个显示器，下显示器≥12.5寸，上显示器≥23.8寸；②上显示器调节：高度升降范围不小于235mm，左右旋转不小于55度（绕Z轴旋转），上下倾角不小于70度（绕Y轴旋转），可竖屏（绕X轴旋转）；</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4.氧气调压系统：调压范围0-0.4MPa，可锁定，耐压1.5MPa；氧气输入为快接接口，可接湿化瓶；全导联心电接口≥1个标准12导联的全导联心电接口；</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通用物理采样通道≥4个；物理采样通道扩展：任意一个物理采样通道可扩展至8个实际数据采样通道，总计可进行32通道数据同时采样，并可对各个通道参数进行调节。如在一个物理通道上连接无线人体生理信号仪，该物理通道可同时采集体位、心电、呼吸、肺活量、脉搏、血氧、收缩压、舒张压等8个信号；量程：±1V、±500mV、±200mV、±100mV、±50mV、±20mV、±10mV、±5mV、±2mV、±1mV、±500uV、±200uV、±100uV、±50uV、±20uV，共15档；</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6.滤波器：同时具备硬件模拟滤波器、DSP 5阶贝塞尔滤波器、软件数字滤波器：1）低通：1、2、5、10、20、50、100、200、500、1k、2k、5k、10k、20k、50k，合计15档；2）高通（时间常数）：DC、5S、2s、1s、0.5s、0.2s、0.1s、0.05s、0.02s、0.01s、0.005s、0.002s、0.001s，合计13档 ；3）50Hz陷波：开、关两档可调；最大采样率≥800KHz，每个物理通道可采用不同采样率同时进行采样；</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7.AD转换器：16位4通道同步采样；共模抑制比（CMMR）≥100dB;输入阻抗：10MΩ@DC；信噪比≥100dB；等效输入噪声：电压峰峰值 ≤ 2.0μV；</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8.设备内置高级程控刺激器，刺激器参数包括： 1）波形：三角波、方波、正负方波、正弦波、用户编辑任意波形； 2）模式：恒流、恒压两种输出方式； 3）电压：-110V~110V；4）电流：-150mA~+150mA；5）时间步长：0.05ms；</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▲9.支持人体无创连续血压仪连接及数据采集：无线传输，无振动无噪音，测量范围0~299mmHg，精度 ±1mmHg；支持微型植入压力测量传感器的数据采集：探头直径1mm，测量范围-20mmHg~200mmHg，直接植入动物体内，代替传统液体传动方式的血压测量；真实实时波形数据，非模拟波形数据；</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软件参数：10.软件显示通道数：1~64通道可变，默认显示通道数为4通道，当同时采集12道全导联心电波形时软件界面上同时显示12道心电波形；同时打开反演文件数≥4个；实时采样和反演同时进行：在信号实时采样过程中，可在实时采样软件上同时打开以前记录的文件进行查看、对比、分析等操作；可播放反演文件声音：反演文件时，在波形反演同时可播放该波形声音，比如播放减压神经放电声音；通道差异化采样率设置：不同通道可设置不同采样率进行数据采样、不同采样率的信号波形可同步记录及同步显示；软件实验模块内嵌web电子教材：在一个实验模块页面内用生动形象的、图片、动图、视频讲解实验原理、目的、器材、步骤、操作过程。</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完全独立的中文版英文版操作软件，内含槲皮素抑制帕金森病小鼠多巴胺能神经元铁死亡课程，支持PC、手机等移动端全功能访问，课件设计符合手机横屏操作要求，载入和显示时间小于5秒。课件技术规范完全符合国际共享参考模型SCORM 1.2的标准格式，符合Scorm平台，方便获取学习成绩和过程记录等功能；</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通用数据处理：微分、积分、频率直方图、序列密度直方图、非序列密度直方图、频谱分析、平均血压、记滴趋势分析以及基于包络算法的心率曲线分析等；专用数据处理：血流动力学实验参数分析、心肌细胞动作电位参数测量、心功能参数分析，突触后电位分析，心率变异分析，心电向量图分析等，提供这些分析的DEMO数据供用户演示和学习；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专业的LTP数据分析功能：分析LTP波形最大斜率、平均斜率、直线回归斜率、自动标记关键点坐标；包含范围测量、自动测量、叠加波形、查找标签（波序号、自定义）、导出测量表（范围测量、自动测量结果）、显示/隐藏刺激线、显示LTP波位置等功能；数据测量：单点测量、带Mark标记的两点测量、区间测量、实时测量，可测量出波形的最大、最小、平均值，时间、频率、面积等参数；实验模块：系统内置不低于50个预先设定参数的实验模块；</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具有AI实验操作和实验结果自动评价功能：系统可以对实时采样或反演的家兔动脉血压调节实验操作过程(视频）及实验结果实施自动评价。评价步骤包括：家兔捉拿、麻醉、绑定、备皮、气管插管以及动脉插管；</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三、无线集中控制系统参数：▲15.具有嵌入一体机的无线平板控制终端，无需网络无需打开软件，直接通过平板对系统中各种集成设备；</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16.图形化控制界面：所有设备控制都采用图形化界面进行操作；控制设备自动识别与连接：集中控制系统可自动识别平台上的集成电子设备并实现自动连接；</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17.照明灯光控制：可进行独立灯光控制或多种组合灯光控制；小动物呼吸机控制：呼吸机启停可控，动物类型可选，潮气量、呼吸时比和呼吸频率可调，肺部压力动态指示；肛温仪：测量和显示小动物肛温；</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18.实验操作台升降控制：实验操作台面升降控制，控制模式包括：升至最高、降至最低、恢复、上升和下降单位高度，暂停升降等；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四、配套附件：19.生物信号采集与分析系统附件包；高级手术器械包；加热兔台；数字恒温控制器；配置可收纳输液架；兔台尾部废液收集槽；</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18.机能实验辅助教学系统（1台）：一、主机参数：1.显示屏尺寸≥ 86英寸液晶显示屏，物理分辨率≥3840x2160；刷新率≥ 60HZ，亮度≥330 cd/㎡，对比度≥1200：1；显示屏防护≥ 4mm全钢化高防爆玻璃；触摸嵌入方式：内置一体式，非外挂式；触摸感应技术：红外感应识别触摸技术；响应时间：≤15ms；书写方式：手指、触摸笔等不透光物体；多点触摸；触摸有效最小识别物≤2mm；喇叭：扬声器，自动音量控制，环绕声，均衡器；</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二、内置电脑参数：2.CPU型号性能不低于i7处理器，内存≥8G，存储≥ 240G以上硬盘；性能不低于Intel核芯显卡Intel HD Graphics； USB2.0、USB3.0、网络接口、MIC输入、HDMI输出、VGA输出、支持WiFi； Windows 10操作系统、安卓系统可选；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三、软件技术指标：3.电子白板：可以进行画笔设置，笔记与背景随意切换，笔记页面管理，撤销与恢复等功能；</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▲4．实验内容： 1) 内置实验模块数：60个内置机能学实验模块； 2) 内置实验模块内容：每个内置实验模块包括六部分内容：电子教材，教学PPT（中英文可以切换），实验录像，微课、理论测验，虚拟实验操作； 3) 电子教材：图文并茂，且支持鼠标点击进行页面放大/缩小、翻页、自动翻页、查看目录、略缩图等功能。 4) 教学PPT：内容至少包括实验目的、原理、实验对象、药品器材、方法步骤、注意事项以及思考题等。 5) 实验录像：高清视频实验动物手术操作录像，且支持暂停、快进、快退、停止播放、音量调节等功能。 6) 微课：高清视频录像，至少包括实验目的、原理、实验对象、药品器材、方法步骤、实验结果、注意事项以及思考题等部分的讲解，讲解老师要利用大屏幕同步展示讲解的内容。且支持暂停、快进、快退、停止播放、音量调节等功能。 7) 理论测试：每个实验模块至少不少于五道理论测试题目。且支持大屏端和手机扫二维码后答题成绩统计功能。 8) 虚拟实验：每个实验模块连接一个简单虚拟实验项目。 9) 扩展教学知识：基础机能学知识介绍，手术操作以及动物福利等 10) 自定义实验模块：系统支持用户自定义实验模块，每个自定义实验模块可以包括： PPT，电子教材，实验录像，微课，虚拟实验操作，测验等内容； 11) 自定义实验模块与系统内置实验模块融为一体，自动添加在内置实验模块后面，便于用户管理和操作； 12) 系统内置机能学实验教学模块列表；</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19.全自动无创血压测量系统（1套）：1.加热箱与信号采集系统集成一体，直接通过USB接口连接到计算机进行工作；测量原理：压力脉搏 + 血流容积变化；；计算机windows应用软件，具有全自动的无创血压测量及分析功</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2.配套设施完善：配备阻断器、传感器、鼠笼、加热箱；鼠笼规格齐全，可适应不同体重的大鼠及小鼠；通道数≥1通道；自导向性弧形设计鼠尾脉搏传感器，适用于不同体重的大鼠及小鼠能；</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3.自动化实验控制功能，可自动进行参数设置；箱体加热温度：室温~40°C ，温度显示精度：≤0.1°C；具有箱体漏气检测功能，可精确分析漏气所属位置；放气速率：1~12mmHg/s可调；分析指标：心率HR（bpm）.收缩压SBP（mmHg）.舒张压DBP（mmHg）及平均动脉压MAP（mmHg）；血压测量范围：10~300mmHg；心率测量范围：0~1000bp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20.离体组织器官恒温灌流系统（1套）：一、主机参数： 1.设备尺寸(cm)≥60×30×72 （长*宽*高）；加热方式：水浴循环加热，温度范围：环境温度至50°C；储液瓶：1个，容积≥1200ml，用于营养液的储存；蛇形加热器≥4个，单个容积≥30ml，与储液器及浴槽相连接，用于营养液的预热；浴槽≥4个；容积≥20ml，深度≥60mm，具有保温作用；张力换能器≥±5g；</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灌流方式：手动打开进液阀门，营养液由上至下进行灌流；排液方式：手动打开放液阀门，将营养液排出；供氧方式：外接氧气瓶；具有氧气压力表，量程0-15Kpa，实时监测当前压力值，具有过载保护功能；一维调节组件：(1) 数量≥4个；(2) 材料：合金铝、青铜、不锈钢；(3) 高度调节：可调节范围 0-30 mm；具有微调旋钮，可精确调节组织预张力；(4) 传感器夹持器：用于传感器的固定，接口直径≥8mm；(5) 氧气调节阀：手动调节阀门控制进气量，阀门工作压力≤10 Kpa(6) 挂钩：4套组织挂钩/血管环挂钩；</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3.恒温水浴技术参数： 1)提供了两路恒温水的外循环； 2) 容量≥5.5升； 3) 循环方式：内、外循环两种； 4) 外循环数量≥2路； 5) 外循环流量≥6L/min左右（硅胶管内径φ6mm，长度0.5m）； 6) 控温：温度调控分辨率≤0.1℃; 7) 温度波动＜0.05℃（室温＞25℃，水温37℃）；</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二、信息化生物信号采集与分析系统参数：(一) 4.硬件参数：采样通道接口：4个物理采样通道，1个12导联全导联心电接口；物理采样通道扩展功能：仅占用1个物理通道即可同时采集≥8道信号，扩展无线传感器，可无线采集人体体位、心电、呼吸、肺活量、脉搏、血氧、收缩压、舒张压等信号，对扩展传感器进行参数调节；</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5.滤波器：同时具备硬件模拟滤波器、DSP 5阶贝塞尔滤波器、软件数字滤波器：1）低通：1、2、5、10、20、50、100、200、500、1k、2k、 5k, 10k,20k, 50k，合计15档；2)高通（时间常数）：DC、5S、2s、1s、0.5s、0.2s、0.1s、0.05s、0.02s、0.01s、0.005s、0.002s、0.001s，合计13档；3）50Hz带阻：关，低，中，高4档可调；</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6.最大采样率≥800KHz （物理通道最大200ksps*4，12导联通道 2ksps*12）；AD转换器：≥16位4通道同步采样；处理器：浮点型DSP+ARM双核处理器；共模抑制比（CMMR）≥100DB;输入阻抗：10M@DC；等效输入噪声：电压峰峰值≤2.0μV，信噪比≥100dB；</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软件参数：7.软件显示通道数：1~64通道可变，同时采集并显示12导联心电波形；同时反演文件数≥4（可同时打开多个文件进行反演）；采样和反演同时进行：在信号实时采集过程中，可以同时打开以前记录的文件进行查看、对比、分析等操作；通道差异化采样率：不同通道可设置不同采样率进行数据采样、不同采样率的信号可同步记录及同步显示；</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21.恒温平滑肌实验系统（1套）：1.温度调节范围：室温～40℃;最大加热功率≥150W;温度调节方式：薄膜按键;控温精度：±0.1℃； 显示精度：≤0.1℃；温度调节精度：≤0.1℃；加热过冲：≤0.2℃。</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2.药桶≥20ml 有内置可开关光源90度垂直照射平滑肌平面，光源离平滑肌距离不超过1.5厘米；药桶刻度精度：≤1 ml;桶内气量大小可调,空气或者外接氧气，可随意切换；水域的搅拌方式：内置式；控温方式：微电脑自动控温；</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22.跳台实验视频分析系统（1套）：1.全视频跟踪方式，每个通道独立摄像头模式，可完成8只以上小鼠的跳台实验；测定参数：观察时间，潜伏期，错误次数，活动轨迹等；自动观测通道数≥ 8道；采样方式：8通道视频独立采样；采样率：≤30 fps；图像分辨率≥352×288（单道采集）；实验时间：5~60min 可调；</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2.实验箱尺寸(mm)≥658(L)×395(W)×450(H)；单室尺寸(mm)≥155 (L)×140 (W)×398 (H)；跳台尺寸(mm)≥45（直径）×45（高）。</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23.离体心脏灌流装置（1套）：1.设备尺寸（cm）≥33×34×125（长*宽*高）；操作台:尺寸（cm）≥14×14×10（长*宽*高）；注射器夹持规格（ml）≥5(直径14mm)。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2.具有2路灌流支路，可同时使用两种不同药液进行实验；灌注方式:重力（恒压），量程：60-80cmHg；</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储液瓶容积≥1200ml；心脏保温腔容积≥185ml，可为心脏提供恒温环境；蛇形加热器容积≥40ml，与储液瓶及保温腔相连接，用于营养液预热；溢流杯容积≥10ml，溢流口可保持灌流液面处于恒定高度，维持一定的灌注压或者前负荷；加热方式：水浴循环加热；温度范围：环境温度至50°C；</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24.小鼠Y形迷宫（1套）：一、硬件参数</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适用范围：分小鼠（YMT-200A小鼠版适用）、大鼠（YMT-200B大鼠版适用），不分黑白鼠；尺寸：小鼠单臂（mm）≥300(L)×60(W)×150(H)，大鼠单臂（mm）≥400(L)×100(W)×225(H)；食物槽：小鼠食物槽直径≥19mm，深度≥11mm；大鼠食物槽直径≥24mm，深度≥17mm；材质：医用ABS材质，无毒无异味，耐腐蚀，可水洗；</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软件参数：2.自动观测通道数：8通道32只动物；分析模式：实时分析、离线分析、批量分析、极速分析；适用范围：大小鼠、黑白鼠通用；软件识别方式：减差法；染色要求：无需动物染色也能识别目标采样率：实时分析10Hz；图像分辨率≥1280×720；屏幕分辨率：最低支持800×600。</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25.旷场实验系统（1套）：一、硬件参数 （一）实验箱 1.适用范围：小鼠（OFT-200A小鼠版适用）和大鼠（OFT-200B大鼠版适用），不分黑白鼠；产品尺寸≥大鼠尺寸1000mm(L)×1000mm(W)×400mm(H)；小鼠尺寸≥500mm(L)×500mm(W)×400mm(H)；</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行为学实验站：2.外形尺寸（mm）≥1860（L）×1740（W）×2050（H）；控制方式≥7英寸IPS高清电容触摸屏，内嵌Linux操作系统，屏幕分辨率≥1024×600；环境数据监测：温度（测量范围：-40~85℃，精度1℃），湿度（测量范围：0-100%RH，精度3%RH），气压（测量范围：30-110kPa，精度≤0.1kPa）；摄像系统：超清红外广角免驱摄像头，≥1/2.7高级CMOS感光芯片，清晰度≥1920×1080，采样率≥30帧/s，拍摄视野≥110°超广角无畸变，支持黑暗环境拍摄，更加符合啮齿类动物生活习性；照明系统：LED灯×4，总功率≤36W，亮度≥10级可调（对应参考照度0Lux、30Lux、60Lux、90Lux、120Lux、150Lux、180Lux、210Lux、240Lux、270Lux和300Lux） ；漫反射白光光源，光照均匀稳定；</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二、软件参数：3.8通道自动观测，可同时观测32只动物；适用大小鼠、黑白鼠；减差法、取色法，默认减差法软件识别方式；无需动物染色也能识别目标； 可选择25宫格、9宫格、回字格和圆切方，默认25宫格；适配所有USB摄像头和网络摄像头，不限摄像头采样率和分辨率；软件内部可直接调用摄像头驱动程序，摄像头参数可调节等。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26.实验性缺氧实验系统（2套）：一、低氧实验装置 1.实验舱容积：300mL、500mL；数据监测：“五合一”物理采样通道： 1）温度监测：2.0~60.0℃，分辨率≤0.1℃，0.5℃； 2）湿度监测：10~90%RH，分辨率≤1%，±5%RH； 3）CO2浓度监测：0.01~20.00%，精度±70ppm（±5%）； 4）O2浓度监测：0.1~25.0%，±1%； 5）呼吸波：0~±20pa，1kHz；</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二、一氧化碳实验装置：5.实验舱容积：300mL、500mL；带进出口；数据监测：“五合一”物理采样通道： 1）温度监测：2.0~60.0℃，分辨率≤0.1℃，0.5℃； 2）湿度监测：10~90%RH，分辨率≤1%，±5%RH； 3）CO浓度监测：量程0~1000ppm（标准版），准确性±2%F.S(25℃）； 4）O2浓度监测：0.1~25.0%，±1%； 5）呼吸波：0~±20pa，1kHz；</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三、生物信号采集与分析系统硬件：6.物理通道接口数≥4个；物理通道接口扩展性：每个物理通道接口最多可扩展出8个采样通道，即4个物理采样通道总共可扩展出32个采样通道；同时采样通道数≥16个；</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四、生物信号采集与分析系统软件：7.实验性缺氧实验模块：实验目的、实验动物、药品与器材、方法步骤；数据分析： 1）呼吸深度：0~20pa自动分析； 2）呼吸频率：20~500bpm自动分析； 3）耗氧量分析：自动实时耗氧量曲线； 4）耗氧率分析：自动实时耗氧率曲线，mL/(g•min)；</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五、小动物呼吸系统：8.主要用于生物机能实验。呼吸机适用于大白鼠、豚鼠、仓鼠、兔、猫、猴及狗等实验动物；潮气量： 1-300ml可调，调节过程中随时显示当前调节的潮气量值；呼吸时比：可设置多达18种不同的呼吸时比，常用设置包括：1 : 1、1.25 : 1等；呼吸频率：1-200次/分可调；</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27.群体动态心电记录仪（1套）：一、主机参数：▲1.最多可同时对16人进行心电监测；重量≤8Kg； 心电监测器、数据传输器、监测器充电座、移动终端及一次性心电电极等部件集于战术箱，便携移动设计；</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二、群体动态心电记录仪战术箱：2.外形尺寸（长×宽×高）≤475mm×380mm×125mm；重量≤4Kg；有密码锁扣；</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心电监测器：3.外形尺寸（mm）≤107×25×14（长×宽×高传输距离：空旷场地≥10米；）；重量≤20g；测量位置：左侧胸部采集；采集原理：生物电信号采集；输入阻抗≥10MΩ；定标电压：1mV±2%；抗极化电压：±300mV；共模抑制比≥90dB；A/D 转换：≥16bit；采样率≥256点/秒/通道；心电电极：兼容标准医用一次性心电电极贴；</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四、数据传输器：4.外形尺寸（长×宽×高）≤80mm×32.2mm×12.6mm；重量≤25g；可连接心电监测器数量≥16个；传输距离：空旷场地≥10米；</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五、软件参数5.测试项目：心功能评价、体能评价、心律失常评价、精神压力评价；测试模式：按国家标准测试要求，心功能和体能分别进行下蹲及踏阶两项运动进行动态测试；心律失常及精神压力评价根据静态心电波形进行数据分析；通道数量：可同时显示16个通道心电；分析指标：实时心率、最高心率、最低心率、平均心率、心功能指数计算、心功能等级分析、劳动心率分析、劳动强度分析、最大摄氧量分析、体能分析、心律失常智能分析、心律失常手动分析、心率变异性分析、散点图分析、RR波间期直方图分析、RR波间期速度图分析、RR波间期功率谱图分析；</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28.无影灯（2台）：1.采用LED冷光源，使用寿命≥50000小时；医生头部温升≤1℃，术野温升≤1℃； 色温≥3000K；双头无影灯，母灯灯珠≥60颗，子灯灯珠≥45颗。母灯灯头直径≥70cm，子灯灯头直径≥50cm；采用弹簧臂，灯臂关节数≥6个。关节臂配备触摸控制面板，具备亮度提示和调节功能；母灯最大光照强度≥120,000LUX，子灯最大光照强度≥80,000LUX ；聚焦光柱≥80CM；色彩还原指数≥80ra；</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洁净区人员可通过中置消毒手柄移动手术灯位置，中置手柄可耐受≥130°高温高压蒸汽灭菌；配备光斑调节功能，旋转手柄调节光斑大小，照度不随光斑大小改变而变化；可卸式手柄外套，可在135℃高温下消毒，可操作灯体的聚焦、位置及角度。</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29.二氧化碳培养箱（2台）:1.气套式加热系统，加热迅速，温度、湿度恢复速度快；具有玻璃门加热或外门加热功能，有效避免玻璃门上产生冷凝水；标配虹吸泵，清洁方便；</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2.内部容积≥188L；温度控制范围：室温+5℃～50℃；Pt1000温度传感器，温度控制精度（℃）：±0.1℃，带独立传感器的超温保护装置；</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3.140℃高温干热灭菌，有效杀死箱体内微生物，灭菌效果达到99.99%（可提供灭菌测试报告），定期预防污染；灭菌时间12小时，其中140℃维持时间不低于2小时；灭菌过程中，无需去除所有传感器；对高温灭菌全过程进行实时监控，并在屏幕上实时显示高温灭菌流程不同阶段的各种状态信息；</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▲4.CO2传感器：采用可耐不低于190℃高温的红外传感器（IR传感器），响应灵敏，精度高，寿命不小于5年，在腔室内实时监测CO2浓度变化，且高温干热灭菌时免拆卸保持原位；开机时自动复位检测；</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5.CO2进气口配备HEPA高效过滤器，对粒径≥0.3μm颗粒物过滤效率为99.995％；</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智能多媒体一体机(2台)：1.整机屏幕采用≥86英寸，UHD超高清LED液晶屏，显示比例16:9，屏幕图像分辨率≥3840*2160；内置非独立的高清摄像头支持输出4:3.16:9比例的图片和视频；整机摄像头支持人脸识别.快速点人数.随机抽人，支持同时显示标记不少于60人，并显示人脸标记；</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设备需搭载总功率不低于60W的扩声系统，不低于2.2声道，扬声器位于设备上方，声音方向朝前，保证后排清晰，前排不震耳；整机内置非独立外扩展的8阵列麦克风；整机支持蓝牙功能；支持标准.听力.观影和AI空间感知音效模式，AI空间感知音效模式可通过内置麦克风采集教室物理环境声音，自动生成符合当前教室物理环境的频段、音量、音效；</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▲3.整机上边框内置非独式广角摄像头和智能拼接摄像头， 均支持 3D 降噪算法和数字宽动态范围成像WDR 技术，支持输出 MJPG. H.264 视频格式；</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▲4.整机支持发出频率为18kHz-22kHz超声波信号，智能手机通过麦克风接收后，智能手机与整机无需在同一局域网内，可实现配对，一键投屏，无需手动输入投屏码或扫码获取投屏码；</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5.功能音响：输出额定功率≥ 2x15W；音箱灵敏度≥85dB，1W/1M；信噪比≥80dB ；全频喇叭单元尺寸≥5英寸；距离音箱10米处声压级≥75dB；麦克风：采样率≥48KHz，16bit；扩音增益≥15dB；声频响150Hz-16kHz，声信噪比≥60dB；配合一体化有源音箱，扩音延时≤35ms；.电续航时间≥7小时；</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6.配置清单：智慧黑板 1套、功能音响 1套、领夹扩声麦 2个；</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31.凝胶成像系统（1套）：1.摄像头:高分辨率低照度超高速相机；感光效率: QE≥65%；有效像数≥500 万像素 曝光时间1ms-3000ms；像数密度:16 bit（0-65535色）；像数尺寸≥3.45um×3.45um；像素合并:1×1；动态范围≥4.8个数量级；电动镜头≥2000万解析度自动聚焦镜头，全程聚焦速度≤5S；</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2.白光样品板≥25x25cm LED冷光带刻度折叠式样品台，折叠于机器内部；紫外样品台：开门式抽屉灯管无影低背景样品台，波长302nm.面积≥21×21cm；切胶装置：抽屉开放式，防护装置590nm光学滤镜 有效防紫外线99.99% 防护面积≥30*30cm；滤光片:标配590nm波长；</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3.软件功能：软件具有自动曝光功能，精准估算样品时间，无需人工估算曝光时间，且还能调控积分拍摄；软件具有一键拍摄：自动调整灯光以及镜头。一键提前预览实验结果；</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32.酶标仪（2台）：1.波长范围：190nm-1000nm；波长准确度≤±1.0nm；波长重复性：≤0.2nm；分辨率：≤0.001Abs（显示）≤0.000001Abs（内部计算）；</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2.光源：长寿命闪烁氙灯；开机无需预热，可直接检测；测定范围：0-3.0OD；可实现1~24比色皿检测；</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采用CMOS检测器，可实现全板UV-VIS全波长实时光谱扫描；整板单孔UV-VIS全波长扫描仅需1s；单孔实时输出紫外-可见全波长光谱图；自带孵育加热功能。孵育温度：(室温+2℃)至65℃；微孔板类型：标准96孔酶标板（其余可扩展定制）；微量板模块：使用特制的微量石英板，可直接检测核酸和蛋白的吸光度.浓度以及纯度（96孔微量石英板选配</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33.垂直电泳系统（2台）：1.多用途电泳电源技术参数：4组并联输出； 输出电压：6-600V (显示精度：≤0.1V )；输出电流：4-600mA （显示精度：≤0.1mA）；</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2.小型垂直电泳槽技术参数：凝胶数量：1-4；凝胶类型：手灌胶与预制胶；铂金电极：铂金丝直径≥0.26mm，纯度为99.95%玻板尺寸：厚玻板（mm）≥101 x 82 ；短玻板（mm）≥101 x 73 ；凝胶尺寸：手灌胶 （mm）≥83 x 73 ；预制胶（mm）≥86 x 68 ；样品梳：10.15齿，1.0mm厚；10.15齿，1.5mm厚（选配）；10.15齿，0.75mm厚（选配）；缓冲液容积：2块胶≥700 ml；4块胶≥1000 ml；运行时间：标准SDS-PAGE凝胶35-45分钟(恒压200V)；</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3.小型转印电泳槽技术参数：转印方式：湿转；转印面积（mm）≥75 ×100；转印数量≥2块；缓冲液容积≥450ml；铂金电极：铂金丝直径≥0.26mm，纯度≥99.95%铂金丝；横向间距≥40mm ；转印时间≤60 min；冷却方式： 蓝冰冰盒。</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34.紫外可见分光光度计（2台）：1.波长范围：190-1100nm；波长准确度≤±0.5nm；光度准确性：±0.3%T （0—100%T）；光度重复性：≤0.15%T（0—100%T）光度范围 ：0-200%T、-0.3-3A、0-9999C；</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2.光谱带宽≤2nm；杂散光 ≤0.05%T@360nm；基线漂移：±0.001A/h（500nm处）；基线平直度：±0.002A；噪声水平：±0.001A（500nm处）；</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3.显示系统：≥128*64位大屏幕LCD；</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4.光源：进口长寿命钨灯、氘灯；检测器：进口硅光二极管。</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35.超声波细胞破碎仪（2台）：1.频率:20-25 KHz；显示方式≥7寸触摸显示屏；功率（ W）≥650（1%-100%）；配有变幅杆:2、6mm各一支；破碎容量:100μl-500 ml；占空比:0.1-99.9 %；温度报警:0-99.9℃（防止样品过热）；</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2.细胞膜电阻测量系统参数：电压范围：±199.0 mV；电压分辨率：0.1 mV；电阻范围：0—20000Ω；电阻分辨率：1Ω。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36.水平电泳系统（2台）：1.多用途电泳电源技术参数：4组并联输出；输出电压：6-600V (显示精度：≤0.1V )；输出电流：4-600mA （显示精度：≤0.1mA）；</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2.电泳槽技术参数：电极铂金丝直径≥0.3mm，纯度≥99.95%，电场稳定；凝胶板规格（mm） ≥60×60(L×W)，≥120×60(长胶)，≥60×120（宽胶)，≥120×120；样品梳：11+25齿(1.0mm厚)；6+13齿(1.5mm厚)；8+18齿(1.5mm厚)；2+3齿(2.0mm厚)。</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37.超微量分光光度计（1台）：1.光程：1mm.0.5mm.0.1mm.0.05mm.0.02mm，光程根据样品浓度自动匹配最佳光程，无需手动设置；光源：长寿命脉冲氙闪灯；微量样品体积要求：0.3～2µL；</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2.检测器：3864-元素线性硅化CCD阵列；波长范围：185～910nm，波长精度≤±1nm，波长分辨≤2nm (FWHM at Hg 546nm)；吸光率精确度≤0.002 Abs；吸光率准确度≤ 1% (0.76吸光率在350nm)；吸光率范围≤0.002～750 Abs,等效于10mm；核酸测量范围≤2～37500 ng/µl （dsDNA）；蛋白质测量范围≤1～1120mg/ml（BSA）；</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内置方法：核酸、蛋白质、定量试剂盒、全波长扫描、微阵列等；具有一键导出扫描检测结果的图谱功能；开机无需等待，即开即用，1~5秒即可完成185nm~1100nm波长的数据采集；数据存储方法：内置≥64GB存储空间，可直接存储检测结果数据与自定义方法，检测结果自动保存为电子表格式，USB输出或网络转存数据；</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▲4.内置win10系统，带高清显示屏，全触控操作，内置蓝牙、Wi-Fi可实现异地操作，可无限打印检测结果；</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38.基因扩增仪（2台）：1.反应模块：0.2ml×96孔反应模块，适合96孔板、8联管、单管等标准耗材；仪器冷却/加热技术（温控方式）：Peliter半导体；彩色触摸屏，水晶屏幕，无反光。</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标配为快速反应模块，其最大变温速率≥3.5℃/S,能提高工作效率；温度控制范围：3-99℃；控温准确性≤±0.1℃；控温均一性≤±0.2℃；带有温度梯度功能，可同时对8个以上不同的温度点进行反应条件优化；热盖温度≥105℃；热盖采用非固定的方式，其高度可调，适合各种不同的耗材使用；</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39.脱色摇床（2台）：1.速度范围：40-200rpm；固定板面载重量≥8kg；定时范围：1分-99小时59分；运动方式:360°回旋；振荡幅度≥12mm；载物盘尺寸(mm)≥270*245；载物盘附件:专用器皿粘板。</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40.可见光分光光度计（1台）：1.波长范围：325-1000nm；光谱带宽：4nm；波长准确度：±2nm；波长重复性≤0.5nm；波长分辨率：0.1nm ；光度准确度：±0.5%T；光度重复性≤0.2%T；光度范围：0-200%T、-0.3-3A、0-9999C；杂散光≤0.2%T；稳定性：±0.002A/30min（500nm预热后）；</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41.台式高速冷冻离心机（2台）：1.最高转速≥18500r/min，转速精度≤±10r/min；最大相对离心力≥29300xg；最大容量：≥4×100ml，可选配不少于19款转子；温度设置范围：-20℃～+40℃，温度控制精度±1℃；</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2.整机噪音≤62dB(A)；；</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3.定时范围：1s～99min59s、1min～99h59min；具有启动计时、到转速计时、连续计时三种计时模式；加/减速曲线：≥11档加速曲线、≥12档减速曲线、≥10档为自定义档位，保障最佳离心效果</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▲3.可配备通过第三方认证的气密性角转子，有效防止气溶胶及液体外泄(需提供第三方证书)；</w:t>
            </w:r>
          </w:p>
        </w:tc>
        <w:tc>
          <w:tcPr>
            <w:tcW w:type="dxa" w:w="831"/>
          </w:tcPr>
          <w:p>
            <w:pPr>
              <w:pStyle w:val="null3"/>
              <w:jc w:val="right"/>
            </w:pPr>
            <w:r>
              <w:rPr>
                <w:rFonts w:ascii="仿宋_GB2312" w:hAnsi="仿宋_GB2312" w:cs="仿宋_GB2312" w:eastAsia="仿宋_GB2312"/>
              </w:rPr>
              <w:t>1.86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4.控制系统≥7寸高清触摸屏控制；具有冷凝水槽防护功能，可避免冷凝水集聚，防止腐蚀，提高仪器使用寿命；</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5.配置要求：6*50ml尖底角转子 1个；24*1.5ml角转子 1个；12*10ml角转子1个；12*5ml适配器 1个；</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42.低速离心机（2台）：1.最高转速≥5500rpm，转速精度≤±20r/min；最大相对离心力≥4900×g；最大容量：≥4*250ml；离心腔直径(mm)≥φ380；噪音≤65dB (A)；定时范围：1min～99min；</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2.配置：15mL水平转子1个，96孔酶标板转子1个。</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43.高压灭菌器（2台）：1.灭菌室有效容积(L)≥80；灭菌腔材料：SUS304 不锈钢，厚度≥2.5mm，双层不锈钢网篮；拨杆式开合上盖，能够提高操作效率，避免接触传染因子；具有不小于七寸液晶触摸屏，安装安卓操作系统，可便捷操控此设备；</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2.温度和压力: 工作温度105℃～138℃,设计压力 ≥0.3Mpa,设计温度≥140℃；温度显示精度≤0.1℃，温度均匀度≤±1℃；</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3.时间选择范围:灭菌时间:1-9999分钟，融化时间:1-9999分钟，保温时间:1-9999分钟；</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4.灭菌器生产厂家需要有特种设备生产许可证且具备压力容器独立设计能力（提供生产厂家证明）；</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全温摇床（2台）：1.LCD触摸屏，设置温度、转速、时间，实际温度、转速、剩余时间在同一界面显示，不用相互切换界面，观察更直观；可自由设定摇板正转或反转；自由设定强制对流的风扇常开、自动或关闭；内置导流式防水系统，机器内部腔体可以实现无死角防水冲洗，无须专用工具清理方便；</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2.振荡频率：10-400rpm ；温控范围：4-60℃；温度调节精度：±0.1℃ ；温度均匀度：±0.8；</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3、最大容量：250ml×30或500ml×20或1000ml×12或2000mlX6。</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45.超净工作台（3台）：1.适用人数：双人单面；外形尺寸（mm）≥1460×740×1620；工作区尺寸（mm）≥1300×700×520；</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2.净化效率≥100级；平均风速（m/s）：0.3~0.6；最大功耗（KW）≥0.8；平均菌落数≤0.5个/皿·时（φ90mm培养平皿）；照度≥300Lx；出风方向：垂直送风。噪声≤62dB（A）；振动半峰值≤3µm（X·Y·Z）；</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3.高效过滤器规格及数量≥1355×555×50×1；荧光灯规格及数量≥LED 28W×1；杀菌灯规格及数量≥28W×1；</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46.智能热板仪（1台）：1.温控范围：室温~80.0℃，调节精度≤0.1℃；升温时间：室温25~55℃，升温时间≤4分钟；</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2.控制方式≥7寸IPS高清彩色电容触屏，屏幕分辨率≥1024×600。记录信息：实验时间、动物信息、测量值（计次时间）；</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47.恒温振荡培养箱（3台）：1.振幅≤Φ26mm；振荡频率范围：30~300rpm；振荡频率精度≤±1rpm；</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2.显示方式≥7寸触摸式全彩操作屏；对流方式：强制对流；定时范围：0~9999min/h（可切换）</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3.温度参数：控温范围4~60℃，分辨率：0.1℃，温度波动度≤±0.3℃（37℃），温度均匀度≤±1℃（37℃）；湿度范围：50~90%RH；控湿精度≤±3%RH；</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48.电子分析天平（2台）：1.量程/精度：220g/0.1mg + 520g/1mg (双量程.双精度）；重复性(mg)≤±0.1/±1；线性误差(mg)≤±0.2/±2；称盘尺寸(mm)≥Φ90；</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2.高分辨率彩色不小于5英寸触摸屏/双量程、双精度；使用单体模块电磁力传感器；内置温度触发提示校准功能，自动使用内置砝码校准，无需手动操作。</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49.电热恒温鼓风干燥箱（2台）：1.控温范围：RT+5～300℃，分辨率≤0.1℃，温度波动度（150℃）≤±0.5℃（150℃）；均匀性（150℃）≤±1%（室温+5~105℃）≤±2%（105℃~300℃）；升温速率：20min（150℃）；</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2.体积(L)≥210；内胆尺寸(mm)≥600×500×700；外形尺寸(mm)≥820×700×980</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50.生化培养箱（2台）：1.控温范围：0~80℃；温度分辨率≤0.1℃；温度波动度≤±0.3℃（加热），≤±0.5℃（制冷）；温度均匀度≤±0.8℃（25℃时）；</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2.输入功率≥1100W；定时范围：0~9999min/h（可切换）；编程控制：30段99周期；</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3.容积（L)≥240；内胆尺寸≥510×450×1090mm，外形尺寸≥650×740×1726mm；标配载物托架≥4块。</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51.冰箱（4台）：1.搁架层数≥5；温度范围：2-8℃；有效容积（L)≥600；外部尺寸（宽*深*高)(mm) ≥680×747×1885；内部尺寸（宽*深*高)(mm) ≥580×613×1325；</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2.噪音级别≤55dB(A)；能效不高于一级，制冷方式为风冷。</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52.电子天平（4台）：1.称量范围(g)：0-3000；可读性/精度≤10mg；外形尺寸（mm）≥290*202*85；秤盘尺寸（mm）≥Ф130。</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53.疲劳转棒仪（1台）：1.小鼠转棒直径≥30mm；小鼠转棒长度≥62mm； 小鼠通道数≥6通道；转速范围：1~100转/圈；转速调整度：1转／分；初始速度运行时间：1~60000秒。</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54.足趾容积测量仪（1台）：1.外形尺寸（mm）≥330×330×220；测量范围：0~130mL，精度≤0.01mL；</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2.控制方式≥7寸IPS高清彩色电容触屏，屏幕分辨率≥1024×600。</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55.脑定位仪（1台）：1.角度调节范围：-90°~90°；X轴调节范围：0~80mm；Y轴调节范围：0~80mm；Z轴调节范围：0~80mm；调节精度≤0.01mm；Z轴旋转范围 -45°～+45°；材料：铝合金喷砂钝化处理；外形尺寸（mm）≥260*360*353。</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2.材料：铝合金喷砂钝化处理；外形尺寸（mm）≥260*360*353。</w:t>
            </w:r>
          </w:p>
        </w:tc>
        <w:tc>
          <w:tcPr>
            <w:tcW w:type="dxa" w:w="831"/>
          </w:tcPr>
          <w:p>
            <w:pPr>
              <w:pStyle w:val="null3"/>
              <w:jc w:val="right"/>
            </w:pPr>
            <w:r>
              <w:rPr>
                <w:rFonts w:ascii="仿宋_GB2312" w:hAnsi="仿宋_GB2312" w:cs="仿宋_GB2312" w:eastAsia="仿宋_GB2312"/>
              </w:rPr>
              <w:t>0.09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HD2025-1-005R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海南大学基础实验教学仪器设备更新置换（第四批）-生命健康实验平台仪器设备更新(二次)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海南大学基础实验教学仪器设备更新置换(第四批)-生命健康实验平台仪器设备更新项目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海南大学基础实验教学仪器设备更新置换（第四批）-生命健康实验平台仪器设备更新（二次）</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详见附件：投标人已完成成功类似案例一览表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