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2025年国家税务总局文昌市税务局物业及食堂服务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HNGP2025-93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国家税务总局文昌市税务局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国家税务总局文昌市税务局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2025年国家税务总局文昌市税务局物业及食堂服务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HNGP2025-93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2025年国家税务总局文昌市税务局物业及食堂服务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12,956,292.00元</w:t>
      </w:r>
      <w:r>
        <w:rPr>
          <w:rFonts w:ascii="仿宋_GB2312" w:hAnsi="仿宋_GB2312" w:cs="仿宋_GB2312" w:eastAsia="仿宋_GB2312"/>
        </w:rPr>
        <w:t>壹仟贰佰玖拾伍万陆仟贰佰玖拾贰元整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2、供应商具有《食品经营许可证》或《食品生产许可证》。仅提供《食品生产许可证》的，许可范围应包括本包中除农产品外的全部供应品类。提供许可证扫描件。 ：供应商具有《食品经营许可证》或《食品生产许可证》。仅提供《食品生产许可证》的，许可范围应包括本包中除农产品外的全部供应品类。提供许可证扫描件。</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国家税务总局文昌市税务局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海南省文昌市文清大道477号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18389305110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采购包1：5,112,648.00元</w:t>
            </w:r>
          </w:p>
          <w:p>
            <w:pPr>
              <w:pStyle w:val="null3"/>
              <w:jc w:val="left"/>
            </w:pPr>
            <w:r>
              <w:rPr>
                <w:rFonts w:ascii="仿宋_GB2312" w:hAnsi="仿宋_GB2312" w:cs="仿宋_GB2312" w:eastAsia="仿宋_GB2312"/>
              </w:rPr>
              <w:t>采购包2：7,843,644.00元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 xml:space="preserve">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本项目可兼投2包，本项目可兼中2包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联系人：何先生</w:t>
      </w:r>
    </w:p>
    <w:p>
      <w:pPr>
        <w:pStyle w:val="null3"/>
        <w:jc w:val="left"/>
      </w:pPr>
      <w:r>
        <w:rPr>
          <w:rFonts w:ascii="仿宋_GB2312" w:hAnsi="仿宋_GB2312" w:cs="仿宋_GB2312" w:eastAsia="仿宋_GB2312"/>
        </w:rPr>
        <w:t>联系电话：0898-63327658</w:t>
      </w:r>
    </w:p>
    <w:p>
      <w:pPr>
        <w:pStyle w:val="null3"/>
        <w:jc w:val="left"/>
      </w:pPr>
      <w:r>
        <w:rPr>
          <w:rFonts w:ascii="仿宋_GB2312" w:hAnsi="仿宋_GB2312" w:cs="仿宋_GB2312" w:eastAsia="仿宋_GB2312"/>
        </w:rPr>
        <w:t>地址：海南省文昌市文清大道477号</w:t>
      </w:r>
    </w:p>
    <w:p>
      <w:pPr>
        <w:pStyle w:val="null3"/>
        <w:jc w:val="left"/>
      </w:pPr>
      <w:r>
        <w:rPr>
          <w:rFonts w:ascii="仿宋_GB2312" w:hAnsi="仿宋_GB2312" w:cs="仿宋_GB2312" w:eastAsia="仿宋_GB2312"/>
        </w:rPr>
        <w:t>邮编：571300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联系人：姚女士</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项目概况</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为做好国家税务总局文昌市税务局物业管理工作，规范物业管理服务内容及要求，加强后勤保障，进一步提升物业管理服务水平，国家税务总局文昌市税务局通过公开招标确定</w:t>
      </w:r>
      <w:r>
        <w:rPr>
          <w:rFonts w:ascii="仿宋_GB2312" w:hAnsi="仿宋_GB2312" w:cs="仿宋_GB2312" w:eastAsia="仿宋_GB2312"/>
        </w:rPr>
        <w:t>1家物业管理服务供应商提供2025年-2028年</w:t>
      </w:r>
      <w:r>
        <w:rPr>
          <w:rFonts w:ascii="仿宋_GB2312" w:hAnsi="仿宋_GB2312" w:cs="仿宋_GB2312" w:eastAsia="仿宋_GB2312"/>
        </w:rPr>
        <w:t>（服务期限：自合同签订之日起满</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机关、二分局、文城分局、东郊分局、铺前分局、会文分局、潭牛分局、龙楼分局等</w:t>
      </w:r>
      <w:r>
        <w:rPr>
          <w:rFonts w:ascii="仿宋_GB2312" w:hAnsi="仿宋_GB2312" w:cs="仿宋_GB2312" w:eastAsia="仿宋_GB2312"/>
        </w:rPr>
        <w:t>8个办公区物业服务项目</w:t>
      </w:r>
      <w:r>
        <w:rPr>
          <w:rFonts w:ascii="仿宋_GB2312" w:hAnsi="仿宋_GB2312" w:cs="仿宋_GB2312" w:eastAsia="仿宋_GB2312"/>
        </w:rPr>
        <w:t>,</w:t>
      </w:r>
      <w:r>
        <w:rPr>
          <w:rFonts w:ascii="仿宋_GB2312" w:hAnsi="仿宋_GB2312" w:cs="仿宋_GB2312" w:eastAsia="仿宋_GB2312"/>
        </w:rPr>
        <w:t>项目服务包括机关、二分局、文城分局、东郊分局、铺前分局、会文分局、潭牛分局、龙楼分局等</w:t>
      </w:r>
      <w:r>
        <w:rPr>
          <w:rFonts w:ascii="仿宋_GB2312" w:hAnsi="仿宋_GB2312" w:cs="仿宋_GB2312" w:eastAsia="仿宋_GB2312"/>
        </w:rPr>
        <w:t>8个办公区（含办公楼、设备房及附属办公大院）区域的物业管理服务（物业管理服务面积20264.25m²，其中8个办公区的房屋面积13928.75m²，室外场地面积6335.50m²）</w:t>
      </w:r>
      <w:r>
        <w:rPr>
          <w:rFonts w:ascii="仿宋_GB2312" w:hAnsi="仿宋_GB2312" w:cs="仿宋_GB2312" w:eastAsia="仿宋_GB2312"/>
        </w:rPr>
        <w:t>。采购包</w:t>
      </w:r>
      <w:r>
        <w:rPr>
          <w:rFonts w:ascii="仿宋_GB2312" w:hAnsi="仿宋_GB2312" w:cs="仿宋_GB2312" w:eastAsia="仿宋_GB2312"/>
        </w:rPr>
        <w:t>1：物业管理服务预算金额总价</w:t>
      </w:r>
      <w:r>
        <w:rPr>
          <w:rFonts w:ascii="仿宋_GB2312" w:hAnsi="仿宋_GB2312" w:cs="仿宋_GB2312" w:eastAsia="仿宋_GB2312"/>
        </w:rPr>
        <w:t>5,112,648.00</w:t>
      </w:r>
      <w:r>
        <w:rPr>
          <w:rFonts w:ascii="仿宋_GB2312" w:hAnsi="仿宋_GB2312" w:cs="仿宋_GB2312" w:eastAsia="仿宋_GB2312"/>
        </w:rPr>
        <w:t>元（</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704</w:t>
      </w:r>
      <w:r>
        <w:rPr>
          <w:rFonts w:ascii="仿宋_GB2312" w:hAnsi="仿宋_GB2312" w:cs="仿宋_GB2312" w:eastAsia="仿宋_GB2312"/>
        </w:rPr>
        <w:t>,</w:t>
      </w:r>
      <w:r>
        <w:rPr>
          <w:rFonts w:ascii="仿宋_GB2312" w:hAnsi="仿宋_GB2312" w:cs="仿宋_GB2312" w:eastAsia="仿宋_GB2312"/>
        </w:rPr>
        <w:t>216.00</w:t>
      </w:r>
      <w:r>
        <w:rPr>
          <w:rFonts w:ascii="仿宋_GB2312" w:hAnsi="仿宋_GB2312" w:cs="仿宋_GB2312" w:eastAsia="仿宋_GB2312"/>
        </w:rPr>
        <w:t>元</w:t>
      </w:r>
      <w:r>
        <w:rPr>
          <w:rFonts w:ascii="仿宋_GB2312" w:hAnsi="仿宋_GB2312" w:cs="仿宋_GB2312" w:eastAsia="仿宋_GB2312"/>
        </w:rPr>
        <w:t>/年）。</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为满足国家税务总局文昌市税务局干部职工的基本需求，提高干部职工食堂用餐品质，提升干部职工的获得感，减轻我局食堂后勤管理负担，国家税务总局文昌市税务局通过公开招标确定</w:t>
      </w:r>
      <w:r>
        <w:rPr>
          <w:rFonts w:ascii="仿宋_GB2312" w:hAnsi="仿宋_GB2312" w:cs="仿宋_GB2312" w:eastAsia="仿宋_GB2312"/>
        </w:rPr>
        <w:t>1家食堂烹饪服务及食材</w:t>
      </w:r>
      <w:r>
        <w:rPr>
          <w:rFonts w:ascii="仿宋_GB2312" w:hAnsi="仿宋_GB2312" w:cs="仿宋_GB2312" w:eastAsia="仿宋_GB2312"/>
        </w:rPr>
        <w:t>采购</w:t>
      </w:r>
      <w:r>
        <w:rPr>
          <w:rFonts w:ascii="仿宋_GB2312" w:hAnsi="仿宋_GB2312" w:cs="仿宋_GB2312" w:eastAsia="仿宋_GB2312"/>
        </w:rPr>
        <w:t>配送服务供应商提供</w:t>
      </w:r>
      <w:r>
        <w:rPr>
          <w:rFonts w:ascii="仿宋_GB2312" w:hAnsi="仿宋_GB2312" w:cs="仿宋_GB2312" w:eastAsia="仿宋_GB2312"/>
        </w:rPr>
        <w:t>2025年-2028年</w:t>
      </w:r>
      <w:r>
        <w:rPr>
          <w:rFonts w:ascii="仿宋_GB2312" w:hAnsi="仿宋_GB2312" w:cs="仿宋_GB2312" w:eastAsia="仿宋_GB2312"/>
        </w:rPr>
        <w:t>（服务期限：自合同签订之日起满</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机关、文城区域、东郊分局、铺前分局、会文分局、潭牛分局、龙楼分局等</w:t>
      </w:r>
      <w:r>
        <w:rPr>
          <w:rFonts w:ascii="仿宋_GB2312" w:hAnsi="仿宋_GB2312" w:cs="仿宋_GB2312" w:eastAsia="仿宋_GB2312"/>
        </w:rPr>
        <w:t>7个食堂的食堂烹饪服务及食材</w:t>
      </w:r>
      <w:r>
        <w:rPr>
          <w:rFonts w:ascii="仿宋_GB2312" w:hAnsi="仿宋_GB2312" w:cs="仿宋_GB2312" w:eastAsia="仿宋_GB2312"/>
        </w:rPr>
        <w:t>购买</w:t>
      </w:r>
      <w:r>
        <w:rPr>
          <w:rFonts w:ascii="仿宋_GB2312" w:hAnsi="仿宋_GB2312" w:cs="仿宋_GB2312" w:eastAsia="仿宋_GB2312"/>
        </w:rPr>
        <w:t>配送服务</w:t>
      </w:r>
      <w:r>
        <w:rPr>
          <w:rFonts w:ascii="仿宋_GB2312" w:hAnsi="仿宋_GB2312" w:cs="仿宋_GB2312" w:eastAsia="仿宋_GB2312"/>
        </w:rPr>
        <w:t>，项目包括机关、文城区域、东郊分局、铺前分局、会文分局、潭牛分局、龙楼分局等</w:t>
      </w:r>
      <w:r>
        <w:rPr>
          <w:rFonts w:ascii="仿宋_GB2312" w:hAnsi="仿宋_GB2312" w:cs="仿宋_GB2312" w:eastAsia="仿宋_GB2312"/>
        </w:rPr>
        <w:t>7个食堂食堂烹饪服务及食材采购配送服务。具体包括：食材采购配送、食材品质管理、食材配送成本监控、饭菜安排与烹制、食堂卫生维护与消毒、厨具、餐具清洗与消毒、食堂卫生和食品安全管理、报餐、用餐人数管理、食堂的水电节能管理等。</w:t>
      </w:r>
      <w:r>
        <w:rPr>
          <w:rFonts w:ascii="仿宋_GB2312" w:hAnsi="仿宋_GB2312" w:cs="仿宋_GB2312" w:eastAsia="仿宋_GB2312"/>
        </w:rPr>
        <w:t>采购包</w:t>
      </w:r>
      <w:r>
        <w:rPr>
          <w:rFonts w:ascii="仿宋_GB2312" w:hAnsi="仿宋_GB2312" w:cs="仿宋_GB2312" w:eastAsia="仿宋_GB2312"/>
        </w:rPr>
        <w:t>2：食堂服务预算金额总价</w:t>
      </w:r>
      <w:r>
        <w:rPr>
          <w:rFonts w:ascii="仿宋_GB2312" w:hAnsi="仿宋_GB2312" w:cs="仿宋_GB2312" w:eastAsia="仿宋_GB2312"/>
        </w:rPr>
        <w:t>7,843,644.00</w:t>
      </w:r>
      <w:r>
        <w:rPr>
          <w:rFonts w:ascii="仿宋_GB2312" w:hAnsi="仿宋_GB2312" w:cs="仿宋_GB2312" w:eastAsia="仿宋_GB2312"/>
        </w:rPr>
        <w:t>元，其中食堂</w:t>
      </w:r>
      <w:r>
        <w:rPr>
          <w:rFonts w:ascii="仿宋_GB2312" w:hAnsi="仿宋_GB2312" w:cs="仿宋_GB2312" w:eastAsia="仿宋_GB2312"/>
        </w:rPr>
        <w:t>烹饪</w:t>
      </w:r>
      <w:r>
        <w:rPr>
          <w:rFonts w:ascii="仿宋_GB2312" w:hAnsi="仿宋_GB2312" w:cs="仿宋_GB2312" w:eastAsia="仿宋_GB2312"/>
        </w:rPr>
        <w:t>服务预算金额总价</w:t>
      </w:r>
      <w:r>
        <w:rPr>
          <w:rFonts w:ascii="仿宋_GB2312" w:hAnsi="仿宋_GB2312" w:cs="仿宋_GB2312" w:eastAsia="仿宋_GB2312"/>
        </w:rPr>
        <w:t>3,489,084.00</w:t>
      </w:r>
      <w:r>
        <w:rPr>
          <w:rFonts w:ascii="仿宋_GB2312" w:hAnsi="仿宋_GB2312" w:cs="仿宋_GB2312" w:eastAsia="仿宋_GB2312"/>
        </w:rPr>
        <w:t>元（</w:t>
      </w:r>
      <w:r>
        <w:rPr>
          <w:rFonts w:ascii="仿宋_GB2312" w:hAnsi="仿宋_GB2312" w:cs="仿宋_GB2312" w:eastAsia="仿宋_GB2312"/>
        </w:rPr>
        <w:t>1,163,028.00</w:t>
      </w:r>
      <w:r>
        <w:rPr>
          <w:rFonts w:ascii="仿宋_GB2312" w:hAnsi="仿宋_GB2312" w:cs="仿宋_GB2312" w:eastAsia="仿宋_GB2312"/>
        </w:rPr>
        <w:t>元</w:t>
      </w:r>
      <w:r>
        <w:rPr>
          <w:rFonts w:ascii="仿宋_GB2312" w:hAnsi="仿宋_GB2312" w:cs="仿宋_GB2312" w:eastAsia="仿宋_GB2312"/>
        </w:rPr>
        <w:t>/年）；食堂食材采购预算金额总价</w:t>
      </w:r>
      <w:r>
        <w:rPr>
          <w:rFonts w:ascii="仿宋_GB2312" w:hAnsi="仿宋_GB2312" w:cs="仿宋_GB2312" w:eastAsia="仿宋_GB2312"/>
        </w:rPr>
        <w:t>4,354,560.00</w:t>
      </w:r>
      <w:r>
        <w:rPr>
          <w:rFonts w:ascii="仿宋_GB2312" w:hAnsi="仿宋_GB2312" w:cs="仿宋_GB2312" w:eastAsia="仿宋_GB2312"/>
        </w:rPr>
        <w:t>元（</w:t>
      </w:r>
      <w:r>
        <w:rPr>
          <w:rFonts w:ascii="仿宋_GB2312" w:hAnsi="仿宋_GB2312" w:cs="仿宋_GB2312" w:eastAsia="仿宋_GB2312"/>
        </w:rPr>
        <w:t>1,451,520.00</w:t>
      </w:r>
      <w:r>
        <w:rPr>
          <w:rFonts w:ascii="仿宋_GB2312" w:hAnsi="仿宋_GB2312" w:cs="仿宋_GB2312" w:eastAsia="仿宋_GB2312"/>
        </w:rPr>
        <w:t>元</w:t>
      </w:r>
      <w:r>
        <w:rPr>
          <w:rFonts w:ascii="仿宋_GB2312" w:hAnsi="仿宋_GB2312" w:cs="仿宋_GB2312" w:eastAsia="仿宋_GB2312"/>
        </w:rPr>
        <w:t>/年）。</w:t>
      </w:r>
    </w:p>
    <w:p>
      <w:pPr>
        <w:pStyle w:val="null3"/>
        <w:ind w:firstLine="402"/>
        <w:jc w:val="left"/>
      </w:pPr>
      <w:r>
        <w:rPr>
          <w:rFonts w:ascii="仿宋_GB2312" w:hAnsi="仿宋_GB2312" w:cs="仿宋_GB2312" w:eastAsia="仿宋_GB2312"/>
        </w:rPr>
        <w:t>采购包1、采购包2在满足采购要求的前提下可兼投兼中。</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5,112,648.00</w:t>
      </w:r>
    </w:p>
    <w:p>
      <w:pPr>
        <w:pStyle w:val="null3"/>
        <w:jc w:val="left"/>
      </w:pPr>
      <w:r>
        <w:rPr>
          <w:rFonts w:ascii="仿宋_GB2312" w:hAnsi="仿宋_GB2312" w:cs="仿宋_GB2312" w:eastAsia="仿宋_GB2312"/>
        </w:rPr>
        <w:t>采购包最高限价（元）: 5,112,648.00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5,112,648.00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7,843,644.00</w:t>
      </w:r>
    </w:p>
    <w:p>
      <w:pPr>
        <w:pStyle w:val="null3"/>
        <w:jc w:val="left"/>
      </w:pPr>
      <w:r>
        <w:rPr>
          <w:rFonts w:ascii="仿宋_GB2312" w:hAnsi="仿宋_GB2312" w:cs="仿宋_GB2312" w:eastAsia="仿宋_GB2312"/>
        </w:rPr>
        <w:t>采购包最高限价（元）: 7,843,644.00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食堂服务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7,843,644.00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5,112,648.00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食堂烹饪服务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3,489,084.00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食堂食材采购配送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4,354,560.00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投标人应按照采购人烹制服务标准、要求（详见技术和服务要求）购置食材；2、投标人应负责采购食材，不再单独支付食材配送服务费。食材费由中标供商仅按照采购人规定餐标和每日实际用餐人数配购食材并进行配送，其食材费据实结算，供应商仅按食材费的预算金额进行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28"/>
                <w:b/>
              </w:rPr>
              <w:t>一、投标总要求</w:t>
            </w:r>
          </w:p>
          <w:p>
            <w:pPr>
              <w:pStyle w:val="null3"/>
              <w:jc w:val="left"/>
            </w:pPr>
            <w:r>
              <w:rPr>
                <w:rFonts w:ascii="仿宋_GB2312" w:hAnsi="仿宋_GB2312" w:cs="仿宋_GB2312" w:eastAsia="仿宋_GB2312"/>
                <w:sz w:val="21"/>
              </w:rPr>
              <w:t>预算金额包含人工成本（含人员薪资、社会保险、住房公积金、服装、体检费等）、管理费用和税金等。供应商报价不得超出此预算价。</w:t>
            </w:r>
          </w:p>
          <w:p>
            <w:pPr>
              <w:pStyle w:val="null3"/>
              <w:jc w:val="left"/>
            </w:pPr>
            <w:r>
              <w:rPr>
                <w:rFonts w:ascii="仿宋_GB2312" w:hAnsi="仿宋_GB2312" w:cs="仿宋_GB2312" w:eastAsia="仿宋_GB2312"/>
                <w:sz w:val="28"/>
                <w:b/>
              </w:rPr>
              <w:t>二、投标方案要求</w:t>
            </w:r>
          </w:p>
          <w:p>
            <w:pPr>
              <w:pStyle w:val="null3"/>
              <w:jc w:val="left"/>
            </w:pPr>
            <w:r>
              <w:rPr>
                <w:rFonts w:ascii="仿宋_GB2312" w:hAnsi="仿宋_GB2312" w:cs="仿宋_GB2312" w:eastAsia="仿宋_GB2312"/>
                <w:sz w:val="24"/>
              </w:rPr>
              <w:t>物业公司应提供高标准、高品位、全方位的管理服务，服务人员要求专业着装，佩戴标志，语言规范，文明服务。</w:t>
            </w:r>
          </w:p>
          <w:p>
            <w:pPr>
              <w:pStyle w:val="null3"/>
              <w:jc w:val="left"/>
            </w:pPr>
            <w:r>
              <w:rPr>
                <w:rFonts w:ascii="仿宋_GB2312" w:hAnsi="仿宋_GB2312" w:cs="仿宋_GB2312" w:eastAsia="仿宋_GB2312"/>
                <w:sz w:val="24"/>
              </w:rPr>
              <w:t>1.秩序维护（保安）服务：物业公司要制定详尽、具体、明确的秩序维护（保安）规范，严格按照规范执行，提供全天候公共秩序维护服务和安全服务，保证正常办公秩序。严格管理，规范值勤，星级服务，礼仪为上，无缱覆盖，确保安全。保安人员思想品德要好，形象好，相貌端正。</w:t>
            </w:r>
          </w:p>
          <w:p>
            <w:pPr>
              <w:pStyle w:val="null3"/>
              <w:jc w:val="left"/>
            </w:pPr>
            <w:r>
              <w:rPr>
                <w:rFonts w:ascii="仿宋_GB2312" w:hAnsi="仿宋_GB2312" w:cs="仿宋_GB2312" w:eastAsia="仿宋_GB2312"/>
                <w:sz w:val="24"/>
              </w:rPr>
              <w:t>2.保洁服务：物业公司要制订详尽、具体、明确的各部位保洁操作规范，严格按清洁标准及作业频度操作，建立督查、补洁制度，实行工作日“全天候”保洁管理。做到窗明几净，无积尘、杂物、积水、污绩、纸屑、烟头、网蛛、异味等，地面大理石保养规范、生活垃圾日产日消不过夜，保洁人员思想品德要好。</w:t>
            </w:r>
          </w:p>
          <w:p>
            <w:pPr>
              <w:pStyle w:val="null3"/>
              <w:jc w:val="left"/>
            </w:pPr>
            <w:r>
              <w:rPr>
                <w:rFonts w:ascii="仿宋_GB2312" w:hAnsi="仿宋_GB2312" w:cs="仿宋_GB2312" w:eastAsia="仿宋_GB2312"/>
                <w:sz w:val="24"/>
              </w:rPr>
              <w:t>3.设施设备养护及日常维修服务：物业公司针对业主单位的基础设施设备制定养护及日常维修方案，建立相关台账记录，做好设施设备的维护、保养、维修工作，做好水电设备的日常检查和维修工作，保持设备处于良好状态，日常维护保养良好，无渗漏、无锈蚀、无油迹。</w:t>
            </w:r>
          </w:p>
          <w:p>
            <w:pPr>
              <w:pStyle w:val="null3"/>
              <w:jc w:val="left"/>
            </w:pPr>
            <w:r>
              <w:rPr>
                <w:rFonts w:ascii="仿宋_GB2312" w:hAnsi="仿宋_GB2312" w:cs="仿宋_GB2312" w:eastAsia="仿宋_GB2312"/>
                <w:sz w:val="24"/>
              </w:rPr>
              <w:t>4.房屋管理服务：物业公司要对业主单位房屋进行全方面辅助管理，加强房屋及相关配套设备完好、整洁，主动排查房屋安全隐患，做好相关登记，并及时与业主单位沟通，对于较为简单的修复工作及时进行处理，能力范围内无法处理的事项，由业主单位另行安排处理。</w:t>
            </w:r>
          </w:p>
          <w:p>
            <w:pPr>
              <w:pStyle w:val="null3"/>
              <w:jc w:val="left"/>
            </w:pPr>
            <w:r>
              <w:rPr>
                <w:rFonts w:ascii="仿宋_GB2312" w:hAnsi="仿宋_GB2312" w:cs="仿宋_GB2312" w:eastAsia="仿宋_GB2312"/>
                <w:sz w:val="24"/>
              </w:rPr>
              <w:t>5.会议服务保障服务:物业公司应从多方面为业主单位提供会议服务保障服务，具体但不限定于会议室及其用品管理、会议前准备、会中服务、会后整理、会议安全服务等方面，全方面响应业主单位会议服务要求，充分保障会议质量。</w:t>
            </w:r>
          </w:p>
          <w:p>
            <w:pPr>
              <w:pStyle w:val="null3"/>
              <w:jc w:val="left"/>
            </w:pPr>
            <w:r>
              <w:rPr>
                <w:rFonts w:ascii="仿宋_GB2312" w:hAnsi="仿宋_GB2312" w:cs="仿宋_GB2312" w:eastAsia="仿宋_GB2312"/>
                <w:sz w:val="24"/>
              </w:rPr>
              <w:t>6.消防服务:物业公司要建立消防设备设施台账，了解掌握业主单位消防设备设施使用状态，确保消防通道畅通，做好消防器材、标识标牌的日常检查与更新工作，定期开展消防培训和演习，针对火灾等事项协助相关部门及人员采取应对措施。</w:t>
            </w:r>
          </w:p>
          <w:p>
            <w:pPr>
              <w:pStyle w:val="null3"/>
              <w:jc w:val="left"/>
            </w:pPr>
            <w:r>
              <w:rPr>
                <w:rFonts w:ascii="仿宋_GB2312" w:hAnsi="仿宋_GB2312" w:cs="仿宋_GB2312" w:eastAsia="仿宋_GB2312"/>
                <w:sz w:val="24"/>
              </w:rPr>
              <w:t>7.紧急情况处置服务：物业公司要建立对自然灾害、事故灾害、公共卫生事件和社会安全事件等突发公共事件建立应急预案，并组织实施培训、演习、评价和改进，事发时按规定途径及时告知客户、有关部门，并采取相应措施。</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rPr>
              <w:t>三、技术和服务客观指标</w:t>
            </w:r>
          </w:p>
          <w:p>
            <w:pPr>
              <w:pStyle w:val="null3"/>
              <w:jc w:val="left"/>
            </w:pPr>
            <w:r>
              <w:rPr>
                <w:rFonts w:ascii="仿宋_GB2312" w:hAnsi="仿宋_GB2312" w:cs="仿宋_GB2312" w:eastAsia="仿宋_GB2312"/>
                <w:b/>
              </w:rPr>
              <w:t xml:space="preserve"> </w:t>
            </w:r>
          </w:p>
          <w:tbl>
            <w:tblPr>
              <w:tblInd w:type="dxa" w:w="150"/>
              <w:tblBorders>
                <w:top w:val="none" w:color="000000" w:sz="4"/>
                <w:left w:val="none" w:color="000000" w:sz="4"/>
                <w:bottom w:val="none" w:color="000000" w:sz="4"/>
                <w:right w:val="none" w:color="000000" w:sz="4"/>
                <w:insideH w:val="none"/>
                <w:insideV w:val="none"/>
              </w:tblBorders>
            </w:tblPr>
            <w:tblGrid>
              <w:gridCol w:w="255"/>
              <w:gridCol w:w="460"/>
              <w:gridCol w:w="460"/>
              <w:gridCol w:w="460"/>
              <w:gridCol w:w="460"/>
              <w:gridCol w:w="460"/>
            </w:tblGrid>
            <w:tr>
              <w:tc>
                <w:tcPr>
                  <w:tcW w:type="dxa" w:w="255"/>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序号</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指标种类</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指标名称</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指标内容</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重要性</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是否需要证明材料</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整体服务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整体服务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结合采购人要求及物业服务实际情况，制定年度管理目标，明确责任分工，并制定配套实施方案。</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2</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秩序维护（保安）服务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秩序维护（保安）服务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1.实行 24 小时多班制维护秩序，门岗保安要态度端正、文明值勤，做好来访人员登记，并指引行走路径，禁止无关人员入内。</w:t>
                  </w:r>
                  <w:r>
                    <w:br/>
                  </w:r>
                  <w:r>
                    <w:rPr>
                      <w:rFonts w:ascii="仿宋_GB2312" w:hAnsi="仿宋_GB2312" w:cs="仿宋_GB2312" w:eastAsia="仿宋_GB2312"/>
                      <w:sz w:val="21"/>
                      <w:color w:val="000000"/>
                    </w:rPr>
                    <w:t>2.突发事件处置，应与辖区派出所建立安保联防机制，严禁易燃、易爆危险物品进入办公区域，对办公区域纠纷、火灾、水浸、刑事、交通事故、群访事件等突发事件有应急处理预案(每年预演至少1次)。如遇突发事件，要依法依规妥善处置，避免办公区域发生人身、财产损失。</w:t>
                  </w:r>
                  <w:r>
                    <w:br/>
                  </w:r>
                  <w:r>
                    <w:rPr>
                      <w:rFonts w:ascii="仿宋_GB2312" w:hAnsi="仿宋_GB2312" w:cs="仿宋_GB2312" w:eastAsia="仿宋_GB2312"/>
                      <w:sz w:val="21"/>
                      <w:color w:val="000000"/>
                    </w:rPr>
                    <w:t>3.对办公区域实行每日24小时不间断巡查，主动发现安全隐患，随时报告安防异常情况。</w:t>
                  </w:r>
                  <w:r>
                    <w:br/>
                  </w:r>
                  <w:r>
                    <w:rPr>
                      <w:rFonts w:ascii="仿宋_GB2312" w:hAnsi="仿宋_GB2312" w:cs="仿宋_GB2312" w:eastAsia="仿宋_GB2312"/>
                      <w:sz w:val="21"/>
                      <w:color w:val="000000"/>
                    </w:rPr>
                    <w:t>4.在公共场所、设施、水池、设备房、顶层天台等危险隐患部位设置各类安全警示标志，不定期进行安全检查。</w:t>
                  </w:r>
                  <w:r>
                    <w:br/>
                  </w:r>
                  <w:r>
                    <w:rPr>
                      <w:rFonts w:ascii="仿宋_GB2312" w:hAnsi="仿宋_GB2312" w:cs="仿宋_GB2312" w:eastAsia="仿宋_GB2312"/>
                      <w:sz w:val="21"/>
                      <w:color w:val="000000"/>
                    </w:rPr>
                    <w:t>5.保证车辆停放有序、出入畅通。内部车辆以通行证或车辆识别系统方式管理，外来车辆固定位置停放，做好来访对象、车牌号、进出时间登记。</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3</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保洁服务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保洁服务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1.公共区域服务内容</w:t>
                  </w:r>
                  <w:r>
                    <w:br/>
                  </w:r>
                  <w:r>
                    <w:rPr>
                      <w:rFonts w:ascii="仿宋_GB2312" w:hAnsi="仿宋_GB2312" w:cs="仿宋_GB2312" w:eastAsia="仿宋_GB2312"/>
                      <w:sz w:val="21"/>
                      <w:color w:val="000000"/>
                    </w:rPr>
                    <w:t>合理安排时间完成清扫任务，加强卫生巡查巡检，专人分片分区打扫，随时保洁，公共区域及配套附属设施保持清洁干净，无随意堆放杂物，具体保洁频率如下：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1）道路、广场、停车场、绿地等每日清扫2次；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2）电梯厅、楼道每日清扫2次，每周拖洗1次；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3）一层公用大厅每日拖洗1次；楼梯扶手每日擦洗1次；公用区域玻璃每周清洁1次；路灯、楼道灯每月清洁1次。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4）及时清除道路积水。公用雨、污水管道每年疏通1次；雨、污水井每月检查1次，视检查情况及时清掏；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5）对卫生间每天必须至少清扫2次，烘手器等设施设备，必须经常进行卫生消毒（每月至少一次）；卫生间要做好卫生纸、擦手纸、洗手液、除臭用品等物品的及时补充，空气清新，除味到位。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6）配合业主化粪池检查和地下管道消杀每月各1次，其他时间在发现异常时应及时向采购人报告或处置。配合招标方做好“四害”消杀工作。</w:t>
                  </w:r>
                  <w:r>
                    <w:br/>
                  </w:r>
                  <w:r>
                    <w:rPr>
                      <w:rFonts w:ascii="仿宋_GB2312" w:hAnsi="仿宋_GB2312" w:cs="仿宋_GB2312" w:eastAsia="仿宋_GB2312"/>
                      <w:sz w:val="21"/>
                      <w:color w:val="000000"/>
                    </w:rPr>
                    <w:t>2.重点区域（各股室分局办公室、会议室）服务内容</w:t>
                  </w:r>
                  <w:r>
                    <w:br/>
                  </w:r>
                  <w:r>
                    <w:rPr>
                      <w:rFonts w:ascii="仿宋_GB2312" w:hAnsi="仿宋_GB2312" w:cs="仿宋_GB2312" w:eastAsia="仿宋_GB2312"/>
                      <w:sz w:val="21"/>
                      <w:color w:val="000000"/>
                    </w:rPr>
                    <w:t>做好重点区域（办公室、会议室）的卫生保洁、开水供应以及配合招标方做好其他相关工作。注意观察办公室照明、插座、门锁等设施，发现设施损坏及时报修和补充日常耗品；对办公设备及办公桌面进行保洁，不得翻阅任何文件、资料，严格遵守保密工作制度，严守保密要求，招标方需与中标方签订安全保密协议。打扫卫生后要关灯、关风扇、断电、关窗、锁门。</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4</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设施设备养护及日常维修服务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设施设备养护及日常维修服务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保障办公楼基础设施设备的正常运行，做好设施设备的维护、保养、维修工作，做好水电设备的日常检查和维修工作；水电、发电等设备房安排人员每日定期轮流巡逻，监控房安排人员</w:t>
                  </w:r>
                  <w:r>
                    <w:rPr>
                      <w:rFonts w:ascii="仿宋_GB2312" w:hAnsi="仿宋_GB2312" w:cs="仿宋_GB2312" w:eastAsia="仿宋_GB2312"/>
                      <w:sz w:val="21"/>
                      <w:color w:val="000000"/>
                    </w:rPr>
                    <w:t>24 小时值班；设备房卫生、整洁，主要设施设备标识清楚齐全。定期组织人员对水电设备进行巡检，发现隐患立即采取措施，保障日常水电维修工作，确保供水设备操作与维修；熟练操作备用电源供电和日常养护，熟练掌握操作高低压开关柜，严格用电操作规程，防止事故发生。常规做好消防设备的检查使用，做到专业化、规范化。配合消防维保公司加强消防安全。</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5</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房屋管理服务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房屋管理服务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房屋外观（含屋面、天台）完好、整洁，外墙、楼梯间的面砖、玻璃等无污迹、无破损；屋顶水沟及屋檐定时清理尘泥无积水，保障屋顶所有排水口畅通无阻。区内各路口设施场地标识齐全、规范、美观。按照房屋装修相关制度进行管理，如发现安全隐患，及时报告招标方，配合好招标方做好安全施工。</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6</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会议服务保障服务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会议服务保障服务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会议场地布置，会议资料发放和人员签到，灯光、空调等会场设施设备保障，茶水保障和水杯、茶具的清洗消毒，会场卫生保障等，完成主办单位提出的其他会议服务保障要求。指派人员负责保障电梯使用，指挥车辆有序进出和停放，预留主要参会人员停车位。</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7</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消防服务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消防服务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1.消防控制室每日定期安排人员轮流巡逻，做到有火情做到及时发现、及时报告、及时处理，熟悉火灾报警流程。</w:t>
                  </w:r>
                  <w:r>
                    <w:br/>
                  </w:r>
                  <w:r>
                    <w:rPr>
                      <w:rFonts w:ascii="仿宋_GB2312" w:hAnsi="仿宋_GB2312" w:cs="仿宋_GB2312" w:eastAsia="仿宋_GB2312"/>
                      <w:sz w:val="21"/>
                      <w:color w:val="000000"/>
                    </w:rPr>
                    <w:t>2.定期检查消防设备，对损坏、发生故障、工作不正常要及时发现、立即报告；</w:t>
                  </w:r>
                  <w:r>
                    <w:br/>
                  </w:r>
                  <w:r>
                    <w:rPr>
                      <w:rFonts w:ascii="仿宋_GB2312" w:hAnsi="仿宋_GB2312" w:cs="仿宋_GB2312" w:eastAsia="仿宋_GB2312"/>
                      <w:sz w:val="21"/>
                      <w:color w:val="000000"/>
                    </w:rPr>
                    <w:t>3.每年至少配合业主组织1次火灾处理演练。</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8</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紧急情况处置服务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紧急情况处置服务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1.紧急情况是指发生火灾、台风、停电、停水、盗窃、人员意外伤亡等情况。</w:t>
                  </w:r>
                  <w:r>
                    <w:br/>
                  </w:r>
                  <w:r>
                    <w:rPr>
                      <w:rFonts w:ascii="仿宋_GB2312" w:hAnsi="仿宋_GB2312" w:cs="仿宋_GB2312" w:eastAsia="仿宋_GB2312"/>
                      <w:sz w:val="21"/>
                      <w:color w:val="000000"/>
                    </w:rPr>
                    <w:t>2.一旦发生上述情况，有上述情况发生的处置预案，并能按照预案正确处置。</w:t>
                  </w:r>
                  <w:r>
                    <w:br/>
                  </w:r>
                  <w:r>
                    <w:rPr>
                      <w:rFonts w:ascii="仿宋_GB2312" w:hAnsi="仿宋_GB2312" w:cs="仿宋_GB2312" w:eastAsia="仿宋_GB2312"/>
                      <w:sz w:val="21"/>
                      <w:color w:val="000000"/>
                    </w:rPr>
                    <w:t>3.气象部门发布台风、暴雨、雷电预防信息后，第一时间告知相关招标方相关部门和住户，备好防台风的物品，在灾害到来之前，绑好玻璃门、关闭窗户、切断电源，随时掌握灾情。</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bl>
          <w:p>
            <w:pPr>
              <w:pStyle w:val="null3"/>
              <w:jc w:val="left"/>
            </w:pPr>
            <w:r>
              <w:rPr>
                <w:rFonts w:ascii="仿宋_GB2312" w:hAnsi="仿宋_GB2312" w:cs="仿宋_GB2312" w:eastAsia="仿宋_GB2312"/>
                <w:sz w:val="28"/>
                <w:b/>
              </w:rPr>
              <w:t>四、技术和服务其他要求</w:t>
            </w:r>
          </w:p>
          <w:p>
            <w:pPr>
              <w:pStyle w:val="null3"/>
              <w:jc w:val="left"/>
            </w:pPr>
            <w:r>
              <w:rPr>
                <w:rFonts w:ascii="仿宋_GB2312" w:hAnsi="仿宋_GB2312" w:cs="仿宋_GB2312" w:eastAsia="仿宋_GB2312"/>
                <w:sz w:val="24"/>
              </w:rPr>
              <w:t>1.综合保障物业服务（以下简称综合服务）：发挥服务管理职能，提供相应保障服务，包括但不限于接待报修、信息公示、投诉处理、客户意见的征集和处理、信报收发、标识管理等；</w:t>
            </w:r>
          </w:p>
          <w:p>
            <w:pPr>
              <w:pStyle w:val="null3"/>
              <w:jc w:val="left"/>
            </w:pPr>
            <w:r>
              <w:rPr>
                <w:rFonts w:ascii="仿宋_GB2312" w:hAnsi="仿宋_GB2312" w:cs="仿宋_GB2312" w:eastAsia="仿宋_GB2312"/>
                <w:sz w:val="24"/>
              </w:rPr>
              <w:t>2.绿化养护：对办公区物业管理服务范围内的绿地和室内绿化进行养护服务，保持办公区整体的景观效果；</w:t>
            </w:r>
          </w:p>
          <w:p>
            <w:pPr>
              <w:pStyle w:val="null3"/>
              <w:jc w:val="left"/>
            </w:pPr>
            <w:r>
              <w:rPr>
                <w:rFonts w:ascii="仿宋_GB2312" w:hAnsi="仿宋_GB2312" w:cs="仿宋_GB2312" w:eastAsia="仿宋_GB2312"/>
                <w:sz w:val="24"/>
              </w:rPr>
              <w:t>3.绿色物业管理：在保证物业管理和服务质量的前提下，通过科学管理、技术改造和行为引导，有效降低各类物业运行能耗，节约资源和保护环境等相关工作；</w:t>
            </w:r>
          </w:p>
          <w:p>
            <w:pPr>
              <w:pStyle w:val="null3"/>
              <w:jc w:val="left"/>
            </w:pPr>
            <w:r>
              <w:rPr>
                <w:rFonts w:ascii="仿宋_GB2312" w:hAnsi="仿宋_GB2312" w:cs="仿宋_GB2312" w:eastAsia="仿宋_GB2312"/>
                <w:sz w:val="24"/>
              </w:rPr>
              <w:t>4.标准化建设：按政务服务标准化要求协助完成相关工作。</w:t>
            </w:r>
          </w:p>
          <w:p>
            <w:pPr>
              <w:pStyle w:val="null3"/>
              <w:jc w:val="left"/>
            </w:pPr>
            <w:r>
              <w:rPr>
                <w:rFonts w:ascii="仿宋_GB2312" w:hAnsi="仿宋_GB2312" w:cs="仿宋_GB2312" w:eastAsia="仿宋_GB2312"/>
                <w:sz w:val="24"/>
              </w:rPr>
              <w:t>5.服务费已含员工工资、服装等费用，并且包含“五项社会保险”、住房公积金、加班费、员工福利费、税金等，不包括服务耗材费，耗材由采购人提供。为确保服务质量，提高服务效率，增强员工工作积极性，严禁将保安、保洁、电工队伍服务外包。</w:t>
            </w:r>
          </w:p>
          <w:p>
            <w:pPr>
              <w:pStyle w:val="null3"/>
              <w:jc w:val="left"/>
            </w:pPr>
            <w:r>
              <w:rPr>
                <w:rFonts w:ascii="仿宋_GB2312" w:hAnsi="仿宋_GB2312" w:cs="仿宋_GB2312" w:eastAsia="仿宋_GB2312"/>
                <w:sz w:val="24"/>
              </w:rPr>
              <w:t>6.物业公司要保持同本项目业主方的密切联系，遇有重大事项及时报告和反馈信息，尊重项目业主方的意见，接受项目业主方的提议、监督和指导。</w:t>
            </w:r>
          </w:p>
          <w:p>
            <w:pPr>
              <w:pStyle w:val="null3"/>
              <w:jc w:val="left"/>
            </w:pPr>
            <w:r>
              <w:rPr>
                <w:rFonts w:ascii="仿宋_GB2312" w:hAnsi="仿宋_GB2312" w:cs="仿宋_GB2312" w:eastAsia="仿宋_GB2312"/>
                <w:sz w:val="24"/>
              </w:rPr>
              <w:t>7.物业公司要按照项目业主方交办的重大会议、活动等其它突击性清洁保洁任务，所增加的工作量不另外计算费用。</w:t>
            </w:r>
          </w:p>
          <w:p>
            <w:pPr>
              <w:pStyle w:val="null3"/>
              <w:jc w:val="left"/>
            </w:pPr>
            <w:r>
              <w:rPr>
                <w:rFonts w:ascii="仿宋_GB2312" w:hAnsi="仿宋_GB2312" w:cs="仿宋_GB2312" w:eastAsia="仿宋_GB2312"/>
                <w:sz w:val="24"/>
              </w:rPr>
              <w:t>本次物业管理服务采购所涉及的办公区的基本情况，包括但不限于楼宇建筑面积、保洁面积、外墙面积、楼宇外围面积、门前三包的界定、楼内房间情况、会议室数量及规模、楼内设施情况、地面材质等。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人员要求</w:t>
            </w:r>
          </w:p>
          <w:p>
            <w:pPr>
              <w:pStyle w:val="null3"/>
              <w:jc w:val="left"/>
            </w:pPr>
            <w:r>
              <w:rPr>
                <w:rFonts w:ascii="仿宋_GB2312" w:hAnsi="仿宋_GB2312" w:cs="仿宋_GB2312" w:eastAsia="仿宋_GB2312"/>
                <w:sz w:val="28"/>
                <w:b/>
                <w:i/>
              </w:rPr>
              <w:t>1</w:t>
            </w:r>
            <w:r>
              <w:rPr>
                <w:rFonts w:ascii="仿宋_GB2312" w:hAnsi="仿宋_GB2312" w:cs="仿宋_GB2312" w:eastAsia="仿宋_GB2312"/>
                <w:sz w:val="28"/>
                <w:b/>
                <w:i/>
              </w:rPr>
              <w:t>、</w:t>
            </w:r>
            <w:r>
              <w:rPr>
                <w:rFonts w:ascii="仿宋_GB2312" w:hAnsi="仿宋_GB2312" w:cs="仿宋_GB2312" w:eastAsia="仿宋_GB2312"/>
                <w:sz w:val="28"/>
                <w:b/>
                <w:i/>
              </w:rPr>
              <w:t>总体要求</w:t>
            </w:r>
          </w:p>
          <w:p>
            <w:pPr>
              <w:pStyle w:val="null3"/>
              <w:jc w:val="left"/>
            </w:pPr>
            <w:r>
              <w:rPr>
                <w:rFonts w:ascii="仿宋_GB2312" w:hAnsi="仿宋_GB2312" w:cs="仿宋_GB2312" w:eastAsia="仿宋_GB2312"/>
                <w:sz w:val="24"/>
              </w:rPr>
              <w:t>根据采购人八个办公区物业管理服务面积和需求的服务内容以及标准，需供应商提供不少于</w:t>
            </w:r>
            <w:r>
              <w:rPr>
                <w:rFonts w:ascii="仿宋_GB2312" w:hAnsi="仿宋_GB2312" w:cs="仿宋_GB2312" w:eastAsia="仿宋_GB2312"/>
                <w:sz w:val="24"/>
              </w:rPr>
              <w:t>24人的工作量，具体岗位见附表“需求岗位人员编制表”。</w:t>
            </w:r>
          </w:p>
          <w:p>
            <w:pPr>
              <w:pStyle w:val="null3"/>
              <w:jc w:val="left"/>
            </w:pPr>
            <w:r>
              <w:rPr>
                <w:rFonts w:ascii="仿宋_GB2312" w:hAnsi="仿宋_GB2312" w:cs="仿宋_GB2312" w:eastAsia="仿宋_GB2312"/>
                <w:sz w:val="24"/>
              </w:rPr>
              <w:t>供应商设编所岗位人员的身体均保持健康（均持有</w:t>
            </w:r>
            <w:r>
              <w:rPr>
                <w:rFonts w:ascii="仿宋_GB2312" w:hAnsi="仿宋_GB2312" w:cs="仿宋_GB2312" w:eastAsia="仿宋_GB2312"/>
                <w:sz w:val="24"/>
              </w:rPr>
              <w:t>“健康证”），无残疾，并应按照上述的要求和“需求岗位人员配置表“，足编配置岗位人员。</w:t>
            </w:r>
          </w:p>
          <w:p>
            <w:pPr>
              <w:pStyle w:val="null3"/>
              <w:jc w:val="left"/>
            </w:pPr>
            <w:r>
              <w:rPr>
                <w:rFonts w:ascii="仿宋_GB2312" w:hAnsi="仿宋_GB2312" w:cs="仿宋_GB2312" w:eastAsia="仿宋_GB2312"/>
                <w:sz w:val="24"/>
              </w:rPr>
              <w:t>因</w:t>
            </w:r>
            <w:r>
              <w:rPr>
                <w:rFonts w:ascii="仿宋_GB2312" w:hAnsi="仿宋_GB2312" w:cs="仿宋_GB2312" w:eastAsia="仿宋_GB2312"/>
                <w:sz w:val="24"/>
              </w:rPr>
              <w:t>本项目所需求岗位人员有限，确保高质量完成本项目建筑物和设施设备管理与协助维护以及办公区绿化养护，供应商应具有持有电气、给排水、电气智能化、园林绿化证书的专业技术人力资源的支持。</w:t>
            </w:r>
            <w:r>
              <w:rPr>
                <w:rFonts w:ascii="仿宋_GB2312" w:hAnsi="仿宋_GB2312" w:cs="仿宋_GB2312" w:eastAsia="仿宋_GB2312"/>
                <w:sz w:val="24"/>
                <w:b/>
              </w:rPr>
              <w:t>（投标人提供承诺函，不提供承诺函视为无效投标）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需求的物业服务岗位人员编制表</w:t>
            </w:r>
          </w:p>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项目名称</w:t>
                  </w:r>
                </w:p>
              </w:tc>
              <w:tc>
                <w:tcPr>
                  <w:tcW w:type="dxa" w:w="51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提供的物业管理服务内容</w:t>
                  </w:r>
                </w:p>
              </w:tc>
              <w:tc>
                <w:tcPr>
                  <w:tcW w:type="dxa" w:w="51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拟设岗位</w:t>
                  </w:r>
                </w:p>
              </w:tc>
              <w:tc>
                <w:tcPr>
                  <w:tcW w:type="dxa" w:w="51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拟编人数</w:t>
                  </w:r>
                </w:p>
              </w:tc>
            </w:tr>
            <w:tr>
              <w:tc>
                <w:tcPr>
                  <w:tcW w:type="dxa" w:w="511"/>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物业综合管理</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8个办公区物业管理服务活动组织实施和安排、指导、监督基层作业人员服务工作以及协助局机关办公室做好其他方面后勤保障服务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经</w:t>
                  </w:r>
                  <w:r>
                    <w:rPr>
                      <w:rFonts w:ascii="仿宋_GB2312" w:hAnsi="仿宋_GB2312" w:cs="仿宋_GB2312" w:eastAsia="仿宋_GB2312"/>
                      <w:sz w:val="21"/>
                      <w:color w:val="000000"/>
                    </w:rPr>
                    <w:t>理</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51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 xml:space="preserve"> 水电维修服务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8个办公区水电设备设施、办公家私简易维护、维修和房屋、设施设备协助维修、维护等方面的服务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水电工</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会议服务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提供局机关会议室、会议室、党委会议茶水、会场布置和卫生以及收发局机关报纸、杂志等服务工作</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会务员</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4</w:t>
                  </w:r>
                </w:p>
              </w:tc>
              <w:tc>
                <w:tcPr>
                  <w:tcW w:type="dxa" w:w="511"/>
                  <w:vMerge w:val="restart"/>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8个办公区安保队伍培训和管理以及协助公安部门、消防部门做好治安、消防、等安全防范服务。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保安队长</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singl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提供局机关办公区停车场车辆停放管理和财物防盗、防破坏、防火及防疫等方面的安全防范服务。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安</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4</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singl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提供文城税务分局办公区停车场车辆停放管理和财物防盗、防破坏、防火及防疫等方面的安全防范服务。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 xml:space="preserve"> 安</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4</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singl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提供东郊税务分局办公区夜间财物防盗、防破坏、防火等方面的安全防范服务。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安</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singl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提供龙楼税务分局办公区夜间财物防盗、防破坏、防火等方面的安全防范服务。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安</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singl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提供铺前税务分局办公区夜间财物防盗、防破坏、防火等方面的安全防范服务。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安</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singl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提供会文税务分局办公区夜间财物防盗、防破坏、防火等方面的安全防范服务。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安</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singl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提供潭牛税务分局办公区夜间财物防盗、防破坏、防火等方面的安全防范服务。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w:t>
                  </w:r>
                  <w:r>
                    <w:rPr>
                      <w:rFonts w:ascii="仿宋_GB2312" w:hAnsi="仿宋_GB2312" w:cs="仿宋_GB2312" w:eastAsia="仿宋_GB2312"/>
                      <w:sz w:val="21"/>
                      <w:color w:val="000000"/>
                    </w:rPr>
                    <w:t>安</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w:t>
                  </w:r>
                </w:p>
              </w:tc>
              <w:tc>
                <w:tcPr>
                  <w:tcW w:type="dxa" w:w="511"/>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环境卫生</w:t>
                  </w:r>
                </w:p>
                <w:p>
                  <w:pPr>
                    <w:pStyle w:val="null3"/>
                    <w:jc w:val="center"/>
                  </w:pPr>
                  <w:r>
                    <w:rPr>
                      <w:rFonts w:ascii="仿宋_GB2312" w:hAnsi="仿宋_GB2312" w:cs="仿宋_GB2312" w:eastAsia="仿宋_GB2312"/>
                      <w:sz w:val="21"/>
                      <w:color w:val="000000"/>
                    </w:rPr>
                    <w:t>维护服务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提供局机关办公区外场、大厅、电梯和办公楼层楼梯间、走廊、卫生间等部位环境卫生维护与保洁服务。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保洁工</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提供第二分局办公区办公楼层楼梯间、走廊、卫生间等部位环境卫生维护与保洁服务。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保洁工</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r>
            <w:tr>
              <w:tc>
                <w:tcPr>
                  <w:tcW w:type="dxa" w:w="511"/>
                  <w:vMerge/>
                  <w:tcBorders>
                    <w:top w:val="none" w:color="000000" w:sz="4"/>
                    <w:left w:val="singl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提供文城税务分局办公区外场、大厅和办公楼层楼梯间、走廊、卫生间等部位卫生维护与保洁服务。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保洁工</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r>
            <w:tr>
              <w:tc>
                <w:tcPr>
                  <w:tcW w:type="dxa" w:w="1022"/>
                  <w:gridSpan w:val="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color w:val="000000"/>
                    </w:rPr>
                    <w:t xml:space="preserve">      合 计</w:t>
                  </w:r>
                </w:p>
              </w:tc>
              <w:tc>
                <w:tcPr>
                  <w:tcW w:type="dxa" w:w="51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b/>
                    </w:rPr>
                    <w:t xml:space="preserve"> </w:t>
                  </w:r>
                </w:p>
              </w:tc>
              <w:tc>
                <w:tcPr>
                  <w:tcW w:type="dxa" w:w="1022"/>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24人</w:t>
                  </w:r>
                </w:p>
              </w:tc>
            </w:tr>
          </w:tbl>
          <w:p>
            <w:pPr>
              <w:pStyle w:val="null3"/>
              <w:jc w:val="left"/>
            </w:pPr>
            <w:r>
              <w:rPr>
                <w:rFonts w:ascii="仿宋_GB2312" w:hAnsi="仿宋_GB2312" w:cs="仿宋_GB2312" w:eastAsia="仿宋_GB2312"/>
                <w:sz w:val="28"/>
                <w:b/>
                <w:i/>
              </w:rPr>
              <w:t>2</w:t>
            </w:r>
            <w:r>
              <w:rPr>
                <w:rFonts w:ascii="仿宋_GB2312" w:hAnsi="仿宋_GB2312" w:cs="仿宋_GB2312" w:eastAsia="仿宋_GB2312"/>
                <w:sz w:val="28"/>
                <w:b/>
                <w:i/>
              </w:rPr>
              <w:t>、</w:t>
            </w:r>
            <w:r>
              <w:rPr>
                <w:rFonts w:ascii="仿宋_GB2312" w:hAnsi="仿宋_GB2312" w:cs="仿宋_GB2312" w:eastAsia="仿宋_GB2312"/>
                <w:sz w:val="28"/>
                <w:b/>
                <w:i/>
              </w:rPr>
              <w:t>管理团队</w:t>
            </w:r>
          </w:p>
          <w:p>
            <w:pPr>
              <w:pStyle w:val="null3"/>
              <w:jc w:val="left"/>
            </w:pPr>
            <w:r>
              <w:rPr>
                <w:rFonts w:ascii="仿宋_GB2312" w:hAnsi="仿宋_GB2312" w:cs="仿宋_GB2312" w:eastAsia="仿宋_GB2312"/>
                <w:sz w:val="28"/>
                <w:b/>
              </w:rPr>
              <w:t>2.1项目经理</w:t>
            </w:r>
          </w:p>
          <w:p>
            <w:pPr>
              <w:pStyle w:val="null3"/>
              <w:jc w:val="left"/>
            </w:pPr>
            <w:r>
              <w:rPr>
                <w:rFonts w:ascii="仿宋_GB2312" w:hAnsi="仿宋_GB2312" w:cs="仿宋_GB2312" w:eastAsia="仿宋_GB2312"/>
                <w:sz w:val="24"/>
              </w:rPr>
              <w:t>项目经理：</w:t>
            </w:r>
            <w:r>
              <w:rPr>
                <w:rFonts w:ascii="仿宋_GB2312" w:hAnsi="仿宋_GB2312" w:cs="仿宋_GB2312" w:eastAsia="仿宋_GB2312"/>
                <w:sz w:val="24"/>
              </w:rPr>
              <w:t>拟派往本项目的项目物业经理应具有同类服务项目管理经验。</w:t>
            </w:r>
          </w:p>
          <w:p>
            <w:pPr>
              <w:pStyle w:val="null3"/>
              <w:jc w:val="left"/>
            </w:pPr>
            <w:r>
              <w:rPr>
                <w:rFonts w:ascii="仿宋_GB2312" w:hAnsi="仿宋_GB2312" w:cs="仿宋_GB2312" w:eastAsia="仿宋_GB2312"/>
                <w:sz w:val="28"/>
                <w:b/>
                <w:i/>
              </w:rPr>
              <w:t>3</w:t>
            </w:r>
            <w:r>
              <w:rPr>
                <w:rFonts w:ascii="仿宋_GB2312" w:hAnsi="仿宋_GB2312" w:cs="仿宋_GB2312" w:eastAsia="仿宋_GB2312"/>
                <w:sz w:val="28"/>
                <w:b/>
                <w:i/>
              </w:rPr>
              <w:t>、</w:t>
            </w:r>
            <w:r>
              <w:rPr>
                <w:rFonts w:ascii="仿宋_GB2312" w:hAnsi="仿宋_GB2312" w:cs="仿宋_GB2312" w:eastAsia="仿宋_GB2312"/>
                <w:sz w:val="28"/>
                <w:b/>
                <w:i/>
              </w:rPr>
              <w:t>技术团队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持证上</w:t>
            </w:r>
            <w:r>
              <w:rPr>
                <w:rFonts w:ascii="仿宋_GB2312" w:hAnsi="仿宋_GB2312" w:cs="仿宋_GB2312" w:eastAsia="仿宋_GB2312"/>
                <w:sz w:val="24"/>
              </w:rPr>
              <w:t>岗</w:t>
            </w:r>
          </w:p>
          <w:p>
            <w:pPr>
              <w:pStyle w:val="null3"/>
              <w:jc w:val="left"/>
            </w:pPr>
            <w:r>
              <w:rPr>
                <w:rFonts w:ascii="仿宋_GB2312" w:hAnsi="仿宋_GB2312" w:cs="仿宋_GB2312" w:eastAsia="仿宋_GB2312"/>
                <w:sz w:val="24"/>
              </w:rPr>
              <w:t>根据国家有关规定及行业要求，物业管理的部分岗位要求持证上岗：</w:t>
            </w:r>
            <w:r>
              <w:rPr>
                <w:rFonts w:ascii="仿宋_GB2312" w:hAnsi="仿宋_GB2312" w:cs="仿宋_GB2312" w:eastAsia="仿宋_GB2312"/>
                <w:sz w:val="24"/>
              </w:rPr>
              <w:t>1.项目经理、主要管理人员应提供相关证书；2.特种作业人员应取得相应特种作业操作证；3.专业技术、操作人员应取得相应专业技术证书或职业技能资格证书；4.二次供水运行、保养、维修等人员应具有有效的健康证。</w:t>
            </w:r>
          </w:p>
          <w:p>
            <w:pPr>
              <w:pStyle w:val="null3"/>
              <w:jc w:val="left"/>
            </w:pPr>
            <w:r>
              <w:rPr>
                <w:rFonts w:ascii="仿宋_GB2312" w:hAnsi="仿宋_GB2312" w:cs="仿宋_GB2312" w:eastAsia="仿宋_GB2312"/>
                <w:sz w:val="24"/>
              </w:rPr>
              <w:t>2、职业素质</w:t>
            </w:r>
          </w:p>
          <w:p>
            <w:pPr>
              <w:pStyle w:val="null3"/>
              <w:jc w:val="left"/>
            </w:pPr>
            <w:r>
              <w:rPr>
                <w:rFonts w:ascii="仿宋_GB2312" w:hAnsi="仿宋_GB2312" w:cs="仿宋_GB2312" w:eastAsia="仿宋_GB2312"/>
                <w:sz w:val="24"/>
              </w:rPr>
              <w:t>1.热爱祖国、诚实信用；2.爱岗敬业，恪尽职守；3.遵纪守法，团结协作；4.无违法犯罪记录；5.具备基本法律知识，了解有关岗位管理政策、规定，熟悉物业服务区域基本情况；6.具备较强的语言、文字表达能力和沟通能力；7.具备与岗位职责相应的观察、发现、处置问题能力；8.熟练使用相关专用设施设备；9.仪</w:t>
            </w:r>
            <w:r>
              <w:rPr>
                <w:rFonts w:ascii="仿宋_GB2312" w:hAnsi="仿宋_GB2312" w:cs="仿宋_GB2312" w:eastAsia="仿宋_GB2312"/>
                <w:sz w:val="24"/>
              </w:rPr>
              <w:t>表端庄，具备岗位需要的身高、视力等条件，所有岗位人员身体健康，均持有“健康证”。</w:t>
            </w:r>
            <w:r>
              <w:rPr>
                <w:rFonts w:ascii="仿宋_GB2312" w:hAnsi="仿宋_GB2312" w:cs="仿宋_GB2312" w:eastAsia="仿宋_GB2312"/>
                <w:sz w:val="24"/>
              </w:rPr>
              <w:t>10.项目经理应具备</w:t>
            </w:r>
            <w:r>
              <w:rPr>
                <w:rFonts w:ascii="仿宋_GB2312" w:hAnsi="仿宋_GB2312" w:cs="仿宋_GB2312" w:eastAsia="仿宋_GB2312"/>
                <w:sz w:val="24"/>
              </w:rPr>
              <w:t>大专或大专</w:t>
            </w:r>
            <w:r>
              <w:rPr>
                <w:rFonts w:ascii="仿宋_GB2312" w:hAnsi="仿宋_GB2312" w:cs="仿宋_GB2312" w:eastAsia="仿宋_GB2312"/>
                <w:sz w:val="24"/>
              </w:rPr>
              <w:t>以上学历，水电工特殊岗位应具备相应的水电维修专业业务知识和技能，持有电工操作证（低压电工证）或维修电工证</w:t>
            </w:r>
            <w:r>
              <w:rPr>
                <w:rFonts w:ascii="仿宋_GB2312" w:hAnsi="仿宋_GB2312" w:cs="仿宋_GB2312" w:eastAsia="仿宋_GB2312"/>
                <w:sz w:val="24"/>
                <w:b/>
              </w:rPr>
              <w:t>（投标人拟为本项目配备的水电工具有相关证书，提供承诺函，不提供承诺函视为无效投标）</w:t>
            </w:r>
            <w:r>
              <w:rPr>
                <w:rFonts w:ascii="仿宋_GB2312" w:hAnsi="仿宋_GB2312" w:cs="仿宋_GB2312" w:eastAsia="仿宋_GB2312"/>
                <w:sz w:val="24"/>
              </w:rPr>
              <w:t>，保安、保洁文化素质不作要求。</w:t>
            </w:r>
          </w:p>
          <w:p>
            <w:pPr>
              <w:pStyle w:val="null3"/>
              <w:jc w:val="left"/>
            </w:pPr>
            <w:r>
              <w:rPr>
                <w:rFonts w:ascii="仿宋_GB2312" w:hAnsi="仿宋_GB2312" w:cs="仿宋_GB2312" w:eastAsia="仿宋_GB2312"/>
                <w:sz w:val="24"/>
              </w:rPr>
              <w:t>3、年龄条件</w:t>
            </w:r>
          </w:p>
          <w:p>
            <w:pPr>
              <w:pStyle w:val="null3"/>
              <w:jc w:val="left"/>
            </w:pPr>
            <w:r>
              <w:rPr>
                <w:rFonts w:ascii="仿宋_GB2312" w:hAnsi="仿宋_GB2312" w:cs="仿宋_GB2312" w:eastAsia="仿宋_GB2312"/>
                <w:sz w:val="24"/>
              </w:rPr>
              <w:t>项目经理的年龄应</w:t>
            </w:r>
            <w:r>
              <w:rPr>
                <w:rFonts w:ascii="仿宋_GB2312" w:hAnsi="仿宋_GB2312" w:cs="仿宋_GB2312" w:eastAsia="仿宋_GB2312"/>
                <w:sz w:val="24"/>
              </w:rPr>
              <w:t>30岁至60岁之间，水电工的年龄应30岁至60岁之间，服务员的年龄应25岁至55岁之间，秩序维护员的年龄应25岁至60岁之间，保洁工的年龄应25岁至60岁之间。</w:t>
            </w:r>
          </w:p>
          <w:p>
            <w:pPr>
              <w:pStyle w:val="null3"/>
              <w:jc w:val="left"/>
            </w:pPr>
            <w:r>
              <w:rPr>
                <w:rFonts w:ascii="仿宋_GB2312" w:hAnsi="仿宋_GB2312" w:cs="仿宋_GB2312" w:eastAsia="仿宋_GB2312"/>
                <w:sz w:val="24"/>
              </w:rPr>
              <w:t>4、安全生产</w:t>
            </w:r>
          </w:p>
          <w:p>
            <w:pPr>
              <w:pStyle w:val="null3"/>
              <w:jc w:val="left"/>
            </w:pPr>
            <w:r>
              <w:rPr>
                <w:rFonts w:ascii="仿宋_GB2312" w:hAnsi="仿宋_GB2312" w:cs="仿宋_GB2312" w:eastAsia="仿宋_GB2312"/>
                <w:sz w:val="24"/>
              </w:rPr>
              <w:t>严格按安全操作规程操作，不得违章作业、违章指挥。</w:t>
            </w:r>
          </w:p>
          <w:p>
            <w:pPr>
              <w:pStyle w:val="null3"/>
              <w:jc w:val="left"/>
            </w:pPr>
            <w:r>
              <w:rPr>
                <w:rFonts w:ascii="仿宋_GB2312" w:hAnsi="仿宋_GB2312" w:cs="仿宋_GB2312" w:eastAsia="仿宋_GB2312"/>
                <w:sz w:val="24"/>
              </w:rPr>
              <w:t>5、行为规范</w:t>
            </w:r>
          </w:p>
          <w:p>
            <w:pPr>
              <w:pStyle w:val="null3"/>
              <w:jc w:val="left"/>
            </w:pPr>
            <w:r>
              <w:rPr>
                <w:rFonts w:ascii="仿宋_GB2312" w:hAnsi="仿宋_GB2312" w:cs="仿宋_GB2312" w:eastAsia="仿宋_GB2312"/>
                <w:sz w:val="24"/>
              </w:rPr>
              <w:t>1.统一着装、干净整洁，并按规定佩带标志，因私外出时应着便服。2.姿态端正、工作规范、举止文明、精神饱满、表情自然；3.语言简洁、文明，主动、热情、耐心、周到并及时、主动提供服务；4.严格履行岗位职责；5.不准刁难客户及来访人员；6.不得脱岗、空岗、睡岗，不准迟到、早退；7.遵守采购人单位内部的规章制度，不准随意打听、记录、传播采购人单位内部的涉密事项；8.有重要情况妥善处置并及时上报。不准迟报、漏报、瞒报；9.认真填写值班记录，做好交接班工作；10.爱护公物，爱护客户财物；11.自觉维护环境卫生，保持物业服务区域整齐清洁。</w:t>
            </w:r>
          </w:p>
          <w:p>
            <w:pPr>
              <w:pStyle w:val="null3"/>
              <w:jc w:val="left"/>
            </w:pPr>
            <w:r>
              <w:rPr>
                <w:rFonts w:ascii="仿宋_GB2312" w:hAnsi="仿宋_GB2312" w:cs="仿宋_GB2312" w:eastAsia="仿宋_GB2312"/>
                <w:sz w:val="24"/>
              </w:rPr>
              <w:t>6、工作经验</w:t>
            </w:r>
          </w:p>
          <w:p>
            <w:pPr>
              <w:pStyle w:val="null3"/>
              <w:jc w:val="left"/>
            </w:pPr>
            <w:r>
              <w:rPr>
                <w:rFonts w:ascii="仿宋_GB2312" w:hAnsi="仿宋_GB2312" w:cs="仿宋_GB2312" w:eastAsia="仿宋_GB2312"/>
                <w:sz w:val="24"/>
              </w:rPr>
              <w:t>所有人员具有同类项目从业经验</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7、无犯罪纪录</w:t>
            </w:r>
          </w:p>
          <w:p>
            <w:pPr>
              <w:pStyle w:val="null3"/>
              <w:jc w:val="both"/>
            </w:pPr>
            <w:r>
              <w:rPr>
                <w:rFonts w:ascii="仿宋_GB2312" w:hAnsi="仿宋_GB2312" w:cs="仿宋_GB2312" w:eastAsia="仿宋_GB2312"/>
                <w:sz w:val="24"/>
              </w:rPr>
              <w:t>所有人员要求无犯罪记录。</w:t>
            </w:r>
            <w:r>
              <w:rPr>
                <w:rFonts w:ascii="仿宋_GB2312" w:hAnsi="仿宋_GB2312" w:cs="仿宋_GB2312" w:eastAsia="仿宋_GB2312"/>
                <w:sz w:val="24"/>
                <w:b/>
              </w:rPr>
              <w:t>（投标人提供承诺函，不提供承诺函视为无效投标）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32"/>
                <w:b/>
              </w:rPr>
              <w:t>六、</w:t>
            </w:r>
            <w:r>
              <w:rPr>
                <w:rFonts w:ascii="仿宋_GB2312" w:hAnsi="仿宋_GB2312" w:cs="仿宋_GB2312" w:eastAsia="仿宋_GB2312"/>
                <w:sz w:val="32"/>
                <w:b/>
              </w:rPr>
              <w:t>管理实施要求</w:t>
            </w:r>
          </w:p>
          <w:p>
            <w:pPr>
              <w:pStyle w:val="null3"/>
              <w:jc w:val="left"/>
            </w:pPr>
            <w:r>
              <w:rPr>
                <w:rFonts w:ascii="仿宋_GB2312" w:hAnsi="仿宋_GB2312" w:cs="仿宋_GB2312" w:eastAsia="仿宋_GB2312"/>
                <w:sz w:val="24"/>
              </w:rPr>
              <w:t>1、应持有效经营执照证书，根据办公区的实际情况和合同约定，设置相应的项目管理机构，合理配备管理人员和服务设备设施；</w:t>
            </w:r>
          </w:p>
          <w:p>
            <w:pPr>
              <w:pStyle w:val="null3"/>
              <w:jc w:val="left"/>
            </w:pPr>
            <w:r>
              <w:rPr>
                <w:rFonts w:ascii="仿宋_GB2312" w:hAnsi="仿宋_GB2312" w:cs="仿宋_GB2312" w:eastAsia="仿宋_GB2312"/>
                <w:sz w:val="24"/>
              </w:rPr>
              <w:t>2、应有健全的服务质量管理体系，包括：物业服务管理制度、岗位工作标准、安全操作规程等，并制定具体的落实措施和考核办法，确保服务过程得到有效运行、控制和服务质量的持续改进；</w:t>
            </w:r>
          </w:p>
          <w:p>
            <w:pPr>
              <w:pStyle w:val="null3"/>
              <w:jc w:val="left"/>
            </w:pPr>
            <w:r>
              <w:rPr>
                <w:rFonts w:ascii="仿宋_GB2312" w:hAnsi="仿宋_GB2312" w:cs="仿宋_GB2312" w:eastAsia="仿宋_GB2312"/>
                <w:sz w:val="24"/>
              </w:rPr>
              <w:t>3、应确保可以获得企业内部的各种资源，建立与单位主管部门和其他相关方的服务沟通渠道，以支持服务提供的运行和控制；</w:t>
            </w:r>
          </w:p>
          <w:p>
            <w:pPr>
              <w:pStyle w:val="null3"/>
              <w:jc w:val="left"/>
            </w:pPr>
            <w:r>
              <w:rPr>
                <w:rFonts w:ascii="仿宋_GB2312" w:hAnsi="仿宋_GB2312" w:cs="仿宋_GB2312" w:eastAsia="仿宋_GB2312"/>
                <w:sz w:val="24"/>
              </w:rPr>
              <w:t>4、应有完善的物业管理服务档案管理制度，档案齐全，专人保管，查阅方便。物业管理服务档案内容至少应包括：房屋及其配套设施权属清册、设施设备台帐和管理维修档案和物业服务日常管理档案。</w:t>
            </w:r>
          </w:p>
          <w:p>
            <w:pPr>
              <w:pStyle w:val="null3"/>
              <w:jc w:val="left"/>
            </w:pPr>
            <w:r>
              <w:rPr>
                <w:rFonts w:ascii="仿宋_GB2312" w:hAnsi="仿宋_GB2312" w:cs="仿宋_GB2312" w:eastAsia="仿宋_GB2312"/>
                <w:sz w:val="24"/>
              </w:rPr>
              <w:t>5、人员管理：应建立人员行为规范（包括统一着装、佩戴标识、仪表仪容整洁等）、职业素质与技能培训机制、从业人员保密制度、人员激励及处罚机制等；</w:t>
            </w:r>
          </w:p>
          <w:p>
            <w:pPr>
              <w:pStyle w:val="null3"/>
              <w:jc w:val="left"/>
            </w:pPr>
            <w:r>
              <w:rPr>
                <w:rFonts w:ascii="仿宋_GB2312" w:hAnsi="仿宋_GB2312" w:cs="仿宋_GB2312" w:eastAsia="仿宋_GB2312"/>
                <w:sz w:val="24"/>
              </w:rPr>
              <w:t>6、信息安全管理：物业服务企业员工上岗前应通过内容包括国家保密法律法规、保密制度、服务过程中的保密知识技能及相关要求、典型案例等的保密培训，签订《保密承诺书》；重点岗位员工须经上报采购人进行政审后方可入职，进入重要办公区域的服务人员应不少于2人并同进同出，禁止摄影、摄像、录音；</w:t>
            </w:r>
          </w:p>
          <w:p>
            <w:pPr>
              <w:pStyle w:val="null3"/>
              <w:jc w:val="left"/>
            </w:pPr>
            <w:r>
              <w:rPr>
                <w:rFonts w:ascii="仿宋_GB2312" w:hAnsi="仿宋_GB2312" w:cs="仿宋_GB2312" w:eastAsia="仿宋_GB2312"/>
                <w:sz w:val="24"/>
              </w:rPr>
              <w:t>7、沟通汇报机制：应与客户建立沟通和信息反馈汇报机制，主动、及时将物业管理工作情况及突发事件报告办公区后勤主管负责人；</w:t>
            </w:r>
          </w:p>
          <w:p>
            <w:pPr>
              <w:pStyle w:val="null3"/>
              <w:jc w:val="left"/>
            </w:pPr>
            <w:r>
              <w:rPr>
                <w:rFonts w:ascii="仿宋_GB2312" w:hAnsi="仿宋_GB2312" w:cs="仿宋_GB2312" w:eastAsia="仿宋_GB2312"/>
                <w:sz w:val="24"/>
              </w:rPr>
              <w:t>8、风险与应急管理联动机制：应识别办公区物业管理服务中可能存在的风险，明确物业管理中的主要风险、重大危险源和安全隐患并采取相应的控制措施。应建立突发事件应急救援队伍，制定突发事件应急预案，配备应急物质，建立与采购人、相关的社会救援力量和政府部门的应急联动机制；</w:t>
            </w:r>
          </w:p>
          <w:p>
            <w:pPr>
              <w:pStyle w:val="null3"/>
              <w:jc w:val="left"/>
            </w:pPr>
            <w:r>
              <w:rPr>
                <w:rFonts w:ascii="仿宋_GB2312" w:hAnsi="仿宋_GB2312" w:cs="仿宋_GB2312" w:eastAsia="仿宋_GB2312"/>
                <w:sz w:val="24"/>
              </w:rPr>
              <w:t>9、智能化管理：宜根据办公区管理需求，引入物业智能化管理和服务系统，提升办公、客服、巡检、安防等管理和服务效率，对单位后勤管理部门开放服务监督窗口，实现对物业服务的实时监管等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32"/>
                <w:b/>
              </w:rPr>
              <w:t>七、</w:t>
            </w:r>
            <w:r>
              <w:rPr>
                <w:rFonts w:ascii="仿宋_GB2312" w:hAnsi="仿宋_GB2312" w:cs="仿宋_GB2312" w:eastAsia="仿宋_GB2312"/>
                <w:sz w:val="32"/>
                <w:b/>
              </w:rPr>
              <w:t>风险管控要求</w:t>
            </w:r>
          </w:p>
          <w:p>
            <w:pPr>
              <w:pStyle w:val="null3"/>
              <w:jc w:val="both"/>
            </w:pPr>
            <w:r>
              <w:rPr>
                <w:rFonts w:ascii="仿宋_GB2312" w:hAnsi="仿宋_GB2312" w:cs="仿宋_GB2312" w:eastAsia="仿宋_GB2312"/>
                <w:sz w:val="22"/>
              </w:rPr>
              <w:t>投标人须遵守采购人的保密协定，不得私自向第三方提供采购人的相关信息；如有需求，须经采购人书面同意方可执行</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标的名称：食堂服务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一、投标总要求</w:t>
            </w:r>
          </w:p>
          <w:p>
            <w:pPr>
              <w:pStyle w:val="null3"/>
              <w:jc w:val="left"/>
            </w:pPr>
            <w:r>
              <w:rPr>
                <w:rFonts w:ascii="仿宋_GB2312" w:hAnsi="仿宋_GB2312" w:cs="仿宋_GB2312" w:eastAsia="仿宋_GB2312"/>
                <w:sz w:val="21"/>
              </w:rPr>
              <w:t>1.国家税务总局</w:t>
            </w:r>
            <w:r>
              <w:rPr>
                <w:rFonts w:ascii="仿宋_GB2312" w:hAnsi="仿宋_GB2312" w:cs="仿宋_GB2312" w:eastAsia="仿宋_GB2312"/>
                <w:sz w:val="21"/>
              </w:rPr>
              <w:t>文昌市</w:t>
            </w:r>
            <w:r>
              <w:rPr>
                <w:rFonts w:ascii="仿宋_GB2312" w:hAnsi="仿宋_GB2312" w:cs="仿宋_GB2312" w:eastAsia="仿宋_GB2312"/>
                <w:sz w:val="21"/>
              </w:rPr>
              <w:t>税务局职工食堂预计就餐人数约</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0人。</w:t>
            </w:r>
          </w:p>
          <w:p>
            <w:pPr>
              <w:pStyle w:val="null3"/>
              <w:jc w:val="left"/>
            </w:pPr>
            <w:r>
              <w:rPr>
                <w:rFonts w:ascii="仿宋_GB2312" w:hAnsi="仿宋_GB2312" w:cs="仿宋_GB2312" w:eastAsia="仿宋_GB2312"/>
                <w:sz w:val="21"/>
              </w:rPr>
              <w:t>2.由投标人根据采购人要求提供食堂餐饮服务。</w:t>
            </w:r>
          </w:p>
          <w:p>
            <w:pPr>
              <w:pStyle w:val="null3"/>
              <w:jc w:val="left"/>
            </w:pPr>
            <w:r>
              <w:rPr>
                <w:rFonts w:ascii="仿宋_GB2312" w:hAnsi="仿宋_GB2312" w:cs="仿宋_GB2312" w:eastAsia="仿宋_GB2312"/>
                <w:sz w:val="21"/>
              </w:rPr>
              <w:t>3.食堂设施设备：根据食堂实际需求由采购人配置。</w:t>
            </w:r>
          </w:p>
          <w:p>
            <w:pPr>
              <w:pStyle w:val="null3"/>
              <w:jc w:val="left"/>
            </w:pPr>
            <w:r>
              <w:rPr>
                <w:rFonts w:ascii="仿宋_GB2312" w:hAnsi="仿宋_GB2312" w:cs="仿宋_GB2312" w:eastAsia="仿宋_GB2312"/>
                <w:sz w:val="21"/>
              </w:rPr>
              <w:t>4.用餐模式：</w:t>
            </w:r>
            <w:r>
              <w:rPr>
                <w:rFonts w:ascii="仿宋_GB2312" w:hAnsi="仿宋_GB2312" w:cs="仿宋_GB2312" w:eastAsia="仿宋_GB2312"/>
                <w:sz w:val="21"/>
              </w:rPr>
              <w:t>机关、文城区域</w:t>
            </w:r>
            <w:r>
              <w:rPr>
                <w:rFonts w:ascii="仿宋_GB2312" w:hAnsi="仿宋_GB2312" w:cs="仿宋_GB2312" w:eastAsia="仿宋_GB2312"/>
                <w:sz w:val="21"/>
              </w:rPr>
              <w:t>食堂以自助式就餐模式为主，分局食堂以小锅炒菜为主。</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.投标人根据服务内容配备食堂工作人员，食堂</w:t>
            </w:r>
            <w:r>
              <w:rPr>
                <w:rFonts w:ascii="仿宋_GB2312" w:hAnsi="仿宋_GB2312" w:cs="仿宋_GB2312" w:eastAsia="仿宋_GB2312"/>
                <w:sz w:val="21"/>
              </w:rPr>
              <w:t>烹饪</w:t>
            </w:r>
            <w:r>
              <w:rPr>
                <w:rFonts w:ascii="仿宋_GB2312" w:hAnsi="仿宋_GB2312" w:cs="仿宋_GB2312" w:eastAsia="仿宋_GB2312"/>
                <w:sz w:val="21"/>
              </w:rPr>
              <w:t>服务费用包含但不限于食堂工作人员工资及加班费、五险一金费用</w:t>
            </w:r>
            <w:r>
              <w:rPr>
                <w:rFonts w:ascii="仿宋_GB2312" w:hAnsi="仿宋_GB2312" w:cs="仿宋_GB2312" w:eastAsia="仿宋_GB2312"/>
                <w:sz w:val="21"/>
              </w:rPr>
              <w:t>、</w:t>
            </w:r>
            <w:r>
              <w:rPr>
                <w:rFonts w:ascii="仿宋_GB2312" w:hAnsi="仿宋_GB2312" w:cs="仿宋_GB2312" w:eastAsia="仿宋_GB2312"/>
                <w:sz w:val="21"/>
              </w:rPr>
              <w:t>管理费及税金</w:t>
            </w:r>
            <w:r>
              <w:rPr>
                <w:rFonts w:ascii="仿宋_GB2312" w:hAnsi="仿宋_GB2312" w:cs="仿宋_GB2312" w:eastAsia="仿宋_GB2312"/>
                <w:sz w:val="21"/>
              </w:rPr>
              <w:t>和</w:t>
            </w:r>
            <w:r>
              <w:rPr>
                <w:rFonts w:ascii="仿宋_GB2312" w:hAnsi="仿宋_GB2312" w:cs="仿宋_GB2312" w:eastAsia="仿宋_GB2312"/>
                <w:sz w:val="21"/>
              </w:rPr>
              <w:t>垃圾处理费用</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烹制服</w:t>
            </w:r>
            <w:r>
              <w:rPr>
                <w:rFonts w:ascii="仿宋_GB2312" w:hAnsi="仿宋_GB2312" w:cs="仿宋_GB2312" w:eastAsia="仿宋_GB2312"/>
                <w:sz w:val="21"/>
                <w:b/>
              </w:rPr>
              <w:t>务标准、要求</w:t>
            </w:r>
          </w:p>
          <w:p>
            <w:pPr>
              <w:pStyle w:val="null3"/>
              <w:jc w:val="left"/>
            </w:pPr>
            <w:r>
              <w:rPr>
                <w:rFonts w:ascii="仿宋_GB2312" w:hAnsi="仿宋_GB2312" w:cs="仿宋_GB2312" w:eastAsia="仿宋_GB2312"/>
                <w:sz w:val="21"/>
              </w:rPr>
              <w:t>1、供餐方式：自助餐。即职工随意在用餐时自行选择饭菜进行食用，食用不限份量和挑选品种。</w:t>
            </w:r>
          </w:p>
          <w:p>
            <w:pPr>
              <w:pStyle w:val="null3"/>
              <w:jc w:val="left"/>
            </w:pPr>
            <w:r>
              <w:rPr>
                <w:rFonts w:ascii="仿宋_GB2312" w:hAnsi="仿宋_GB2312" w:cs="仿宋_GB2312" w:eastAsia="仿宋_GB2312"/>
                <w:sz w:val="21"/>
              </w:rPr>
              <w:t>2、供餐日期与开餐时间：供餐时间：周一至周五早餐、午餐和晚餐（法定节假日除外）和采购人因特殊情况临时安排的加班、会议和公务接待需求供餐日期。开餐时间：早餐：7:00～8:00；午餐:12:00～13:00；晚餐:17:30～18:30；。</w:t>
            </w:r>
          </w:p>
          <w:p>
            <w:pPr>
              <w:pStyle w:val="null3"/>
              <w:jc w:val="left"/>
            </w:pPr>
            <w:r>
              <w:rPr>
                <w:rFonts w:ascii="仿宋_GB2312" w:hAnsi="仿宋_GB2312" w:cs="仿宋_GB2312" w:eastAsia="仿宋_GB2312"/>
                <w:sz w:val="21"/>
              </w:rPr>
              <w:t>3、烹制供应品种的标准、要求：1.早餐烹制供应的品种：烹制汤粉、炒粉、粥类、鸡蛋、粗粮及其他面食，任选品种不少于6个。2.中、晚餐烹制供应的品种：肉类荤菜（猪肉、鸡肉、鹅肉、鸭肉、鱼类等）任选2个，肉类与蔬菜搭配菜任选3份，蔬青菜（叶类、根类、瓜类）任选3份；主食：白米饭、粥饭、其他面食；水果2个品种。</w:t>
            </w:r>
          </w:p>
          <w:p>
            <w:pPr>
              <w:pStyle w:val="null3"/>
              <w:jc w:val="left"/>
            </w:pPr>
            <w:r>
              <w:rPr>
                <w:rFonts w:ascii="仿宋_GB2312" w:hAnsi="仿宋_GB2312" w:cs="仿宋_GB2312" w:eastAsia="仿宋_GB2312"/>
                <w:sz w:val="21"/>
              </w:rPr>
              <w:t>4、机关食堂接待餐品种：根据采购人接待餐标和用餐人数以及根据规定的标准执行。</w:t>
            </w:r>
          </w:p>
          <w:p>
            <w:pPr>
              <w:pStyle w:val="null3"/>
              <w:jc w:val="left"/>
            </w:pPr>
            <w:r>
              <w:rPr>
                <w:rFonts w:ascii="仿宋_GB2312" w:hAnsi="仿宋_GB2312" w:cs="仿宋_GB2312" w:eastAsia="仿宋_GB2312"/>
                <w:sz w:val="21"/>
              </w:rPr>
              <w:t>5、每日烹制饭菜品种，预先按周安排，食谱清单进行公布，并按食谱清单进行烹制。</w:t>
            </w:r>
          </w:p>
          <w:p>
            <w:pPr>
              <w:pStyle w:val="null3"/>
              <w:jc w:val="left"/>
            </w:pPr>
            <w:r>
              <w:rPr>
                <w:rFonts w:ascii="仿宋_GB2312" w:hAnsi="仿宋_GB2312" w:cs="仿宋_GB2312" w:eastAsia="仿宋_GB2312"/>
                <w:sz w:val="21"/>
                <w:b/>
              </w:rPr>
              <w:t>食材采购配送服务标准、要求</w:t>
            </w:r>
          </w:p>
          <w:p>
            <w:pPr>
              <w:pStyle w:val="null3"/>
              <w:jc w:val="left"/>
            </w:pPr>
            <w:r>
              <w:rPr>
                <w:rFonts w:ascii="仿宋_GB2312" w:hAnsi="仿宋_GB2312" w:cs="仿宋_GB2312" w:eastAsia="仿宋_GB2312"/>
                <w:sz w:val="21"/>
              </w:rPr>
              <w:t>1、食材由中标供应商采购供应配送，食材必须从正规渠道采购，料质保持新鲜，严禁采购成熟食品和深加工食品。</w:t>
            </w:r>
          </w:p>
          <w:p>
            <w:pPr>
              <w:pStyle w:val="null3"/>
              <w:jc w:val="left"/>
            </w:pPr>
            <w:r>
              <w:rPr>
                <w:rFonts w:ascii="仿宋_GB2312" w:hAnsi="仿宋_GB2312" w:cs="仿宋_GB2312" w:eastAsia="仿宋_GB2312"/>
                <w:sz w:val="21"/>
              </w:rPr>
              <w:t>2、食材采购配送食种类：鱼、肉、蛋类和蔬、青菜类、水果、生熟食品、油、米、面以及调味品辅佐料等食堂食用各类食材。</w:t>
            </w:r>
          </w:p>
          <w:p>
            <w:pPr>
              <w:pStyle w:val="null3"/>
              <w:jc w:val="left"/>
            </w:pPr>
            <w:r>
              <w:rPr>
                <w:rFonts w:ascii="仿宋_GB2312" w:hAnsi="仿宋_GB2312" w:cs="仿宋_GB2312" w:eastAsia="仿宋_GB2312"/>
                <w:sz w:val="21"/>
              </w:rPr>
              <w:t>3、中标供应商采购配送的食材农副产品，必须支持、配合采购人的扶贫工作，完成扶贫832平台、帮扶点产品等采购。</w:t>
            </w:r>
          </w:p>
          <w:p>
            <w:pPr>
              <w:pStyle w:val="null3"/>
              <w:jc w:val="left"/>
            </w:pPr>
            <w:r>
              <w:rPr>
                <w:rFonts w:ascii="仿宋_GB2312" w:hAnsi="仿宋_GB2312" w:cs="仿宋_GB2312" w:eastAsia="仿宋_GB2312"/>
                <w:sz w:val="21"/>
              </w:rPr>
              <w:t>4、食材采购配供，中标供应商内部必须严格过秤、验收，保证食材原材料的数量、质量符合要求。</w:t>
            </w:r>
          </w:p>
          <w:p>
            <w:pPr>
              <w:pStyle w:val="null3"/>
              <w:jc w:val="left"/>
            </w:pPr>
            <w:r>
              <w:rPr>
                <w:rFonts w:ascii="仿宋_GB2312" w:hAnsi="仿宋_GB2312" w:cs="仿宋_GB2312" w:eastAsia="仿宋_GB2312"/>
                <w:sz w:val="21"/>
              </w:rPr>
              <w:t>5、依据食堂报餐人数和人均食用量及采购人规定职工餐费标准，预先分别填报食材采购计划单，堵绝食材浪费，同时不定期的接受采购人监督、审核。</w:t>
            </w:r>
          </w:p>
          <w:p>
            <w:pPr>
              <w:pStyle w:val="null3"/>
              <w:jc w:val="left"/>
            </w:pPr>
            <w:r>
              <w:rPr>
                <w:rFonts w:ascii="仿宋_GB2312" w:hAnsi="仿宋_GB2312" w:cs="仿宋_GB2312" w:eastAsia="仿宋_GB2312"/>
                <w:sz w:val="21"/>
              </w:rPr>
              <w:t>6、依据食堂用餐报餐人数和采购人规定职工餐费标准，足额供应配送食材，不得减量和虚价采购从中获利</w:t>
            </w:r>
            <w:r>
              <w:rPr>
                <w:rFonts w:ascii="仿宋_GB2312" w:hAnsi="仿宋_GB2312" w:cs="仿宋_GB2312" w:eastAsia="仿宋_GB2312"/>
                <w:sz w:val="24"/>
              </w:rPr>
              <w:t>。</w:t>
            </w:r>
          </w:p>
          <w:p>
            <w:pPr>
              <w:pStyle w:val="null3"/>
              <w:jc w:val="left"/>
            </w:pPr>
            <w:r>
              <w:rPr>
                <w:rFonts w:ascii="仿宋_GB2312" w:hAnsi="仿宋_GB2312" w:cs="仿宋_GB2312" w:eastAsia="仿宋_GB2312"/>
                <w:sz w:val="28"/>
                <w:b/>
              </w:rPr>
              <w:t>二、投标方案要求</w:t>
            </w:r>
          </w:p>
          <w:p>
            <w:pPr>
              <w:pStyle w:val="null3"/>
              <w:jc w:val="left"/>
            </w:pPr>
            <w:r>
              <w:rPr>
                <w:rFonts w:ascii="仿宋_GB2312" w:hAnsi="仿宋_GB2312" w:cs="仿宋_GB2312" w:eastAsia="仿宋_GB2312"/>
                <w:sz w:val="21"/>
              </w:rPr>
              <w:t>1.食堂烹饪服务方案，包括供餐方式和时间、供餐品种和标准、每日菜品搭配等。</w:t>
            </w:r>
          </w:p>
          <w:p>
            <w:pPr>
              <w:pStyle w:val="null3"/>
              <w:jc w:val="left"/>
            </w:pPr>
            <w:r>
              <w:rPr>
                <w:rFonts w:ascii="仿宋_GB2312" w:hAnsi="仿宋_GB2312" w:cs="仿宋_GB2312" w:eastAsia="仿宋_GB2312"/>
                <w:sz w:val="21"/>
              </w:rPr>
              <w:t>2.食材配送服务方案，包括食材采购渠道、食材配送方式、食材验收标准、食材成本控制等。</w:t>
            </w:r>
          </w:p>
          <w:p>
            <w:pPr>
              <w:pStyle w:val="null3"/>
              <w:jc w:val="left"/>
            </w:pPr>
            <w:r>
              <w:rPr>
                <w:rFonts w:ascii="仿宋_GB2312" w:hAnsi="仿宋_GB2312" w:cs="仿宋_GB2312" w:eastAsia="仿宋_GB2312"/>
                <w:sz w:val="21"/>
              </w:rPr>
              <w:t>3.食堂卫生管理方案，包括餐厅和后厨清洁规范、清洁标准、清洁频次，食材加工制作标准，厨余垃圾处理等。</w:t>
            </w:r>
          </w:p>
          <w:p>
            <w:pPr>
              <w:pStyle w:val="null3"/>
              <w:jc w:val="left"/>
            </w:pPr>
            <w:r>
              <w:rPr>
                <w:rFonts w:ascii="仿宋_GB2312" w:hAnsi="仿宋_GB2312" w:cs="仿宋_GB2312" w:eastAsia="仿宋_GB2312"/>
                <w:sz w:val="21"/>
              </w:rPr>
              <w:t>4.食堂安全管理方案，包括食材和菜品卫生安全管理、餐厅和后厨的设备和设施安全管理、防火防盗管理等。</w:t>
            </w:r>
          </w:p>
          <w:p>
            <w:pPr>
              <w:pStyle w:val="null3"/>
              <w:jc w:val="left"/>
            </w:pPr>
            <w:r>
              <w:rPr>
                <w:rFonts w:ascii="仿宋_GB2312" w:hAnsi="仿宋_GB2312" w:cs="仿宋_GB2312" w:eastAsia="仿宋_GB2312"/>
                <w:sz w:val="21"/>
              </w:rPr>
              <w:t>5.食堂应急预案，包括食品安全预案、烹饪安全预案、突发情况预案等。</w:t>
            </w:r>
          </w:p>
          <w:p>
            <w:pPr>
              <w:pStyle w:val="null3"/>
              <w:jc w:val="left"/>
            </w:pPr>
            <w:r>
              <w:rPr>
                <w:rFonts w:ascii="仿宋_GB2312" w:hAnsi="仿宋_GB2312" w:cs="仿宋_GB2312" w:eastAsia="仿宋_GB2312"/>
                <w:sz w:val="28"/>
                <w:b/>
              </w:rPr>
              <w:t>三、技术和服务客观指标</w:t>
            </w:r>
          </w:p>
          <w:tbl>
            <w:tblPr>
              <w:tblInd w:type="dxa" w:w="150"/>
              <w:tblBorders>
                <w:top w:val="none" w:color="000000" w:sz="4"/>
                <w:left w:val="none" w:color="000000" w:sz="4"/>
                <w:bottom w:val="none" w:color="000000" w:sz="4"/>
                <w:right w:val="none" w:color="000000" w:sz="4"/>
                <w:insideH w:val="none"/>
                <w:insideV w:val="none"/>
              </w:tblBorders>
            </w:tblPr>
            <w:tblGrid>
              <w:gridCol w:w="253"/>
              <w:gridCol w:w="460"/>
              <w:gridCol w:w="460"/>
              <w:gridCol w:w="460"/>
              <w:gridCol w:w="460"/>
              <w:gridCol w:w="460"/>
            </w:tblGrid>
            <w:tr>
              <w:tc>
                <w:tcPr>
                  <w:tcW w:type="dxa" w:w="253"/>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序号</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指标种类</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指标名称</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指标内容</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重要性</w:t>
                  </w:r>
                </w:p>
              </w:tc>
              <w:tc>
                <w:tcPr>
                  <w:tcW w:type="dxa" w:w="460"/>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是否需要证明材料</w:t>
                  </w:r>
                </w:p>
              </w:tc>
            </w:tr>
            <w:tr>
              <w:tc>
                <w:tcPr>
                  <w:tcW w:type="dxa" w:w="25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1</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食品质量管控</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食品质量管控</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所有产品质量符合国家相关行业标准，中标人确保产品质量稳定，保证营养丰富、绿色安全、易存放、食用方便，在保质期内。从加工、包装、运输、贮存到销售全部符合国家规定标准。采购人可根据实际情况对供应的产品进行品质抽检，对质量未达到国家标准的产品有权拒绝接受，对抽检不合格、经告知不改正的，采购方有权终止合同。</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2</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服务质量管控</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服务质量管控</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严格按照《中华人民共和国食品卫生法》规定，做好食堂日常操作和管理工作，严格执行采购人所制定的各项规章制度，服从管理，并制定配套的内部管理制度。中标人按照行业规定负责食堂的饮食安全卫生。</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3</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安全应急预案</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安全应急预案</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投标人应针对本项目的食品安全、生产安全、制定相应的应急预案。</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4</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卫生管理管控</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卫生管理管控</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做好厨房、餐厅清洁卫生工作，定期进行消杀，每月不少于两次，保证环境卫生符合相关标准，杜绝餐饮公共卫生事件发生。</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5</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食材验收、加工及仓储管理</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食材验收、加工及仓储管理</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做好食品来源追溯体系；食材及配料验收流程及清洗加工流程；仓储管理及食材出入库流程。</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6</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食堂烹饪服务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食堂烹饪服务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按照采购人需求的服务标准和要求，提供烹饪服务，按报餐人数和原材料的采购标准，足量烹制饭菜，保证职工饭菜的食用份量。</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r>
              <w:tc>
                <w:tcPr>
                  <w:tcW w:type="dxa" w:w="25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7</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食材配送服务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食材配送服务</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依据食堂用餐报餐人数和采购人规定职工餐费标准，保质保量供应配送食材，并按照规定的时间将食材采购配送至指定地点，保障各食堂的食材需求。</w:t>
                  </w: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p>
              </w:tc>
              <w:tc>
                <w:tcPr>
                  <w:tcW w:type="dxa" w:w="46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否</w:t>
                  </w:r>
                </w:p>
              </w:tc>
            </w:tr>
          </w:tbl>
          <w:p>
            <w:pPr>
              <w:pStyle w:val="null3"/>
              <w:jc w:val="left"/>
            </w:pPr>
            <w:r>
              <w:br/>
            </w:r>
            <w:r>
              <w:rPr>
                <w:rFonts w:ascii="仿宋_GB2312" w:hAnsi="仿宋_GB2312" w:cs="仿宋_GB2312" w:eastAsia="仿宋_GB2312"/>
                <w:sz w:val="28"/>
                <w:b/>
              </w:rPr>
              <w:t>四、技术和服务其他要求</w:t>
            </w:r>
          </w:p>
          <w:p>
            <w:pPr>
              <w:pStyle w:val="null3"/>
              <w:jc w:val="left"/>
            </w:pPr>
            <w:r>
              <w:rPr>
                <w:rFonts w:ascii="仿宋_GB2312" w:hAnsi="仿宋_GB2312" w:cs="仿宋_GB2312" w:eastAsia="仿宋_GB2312"/>
                <w:sz w:val="21"/>
                <w:b/>
              </w:rPr>
              <w:t>（一）食材采购质量要求</w:t>
            </w:r>
          </w:p>
          <w:p>
            <w:pPr>
              <w:pStyle w:val="null3"/>
              <w:jc w:val="left"/>
            </w:pPr>
            <w:r>
              <w:rPr>
                <w:rFonts w:ascii="仿宋_GB2312" w:hAnsi="仿宋_GB2312" w:cs="仿宋_GB2312" w:eastAsia="仿宋_GB2312"/>
                <w:sz w:val="21"/>
              </w:rPr>
              <w:t>1.蔬菜类质量标准：</w:t>
            </w:r>
          </w:p>
          <w:tbl>
            <w:tblPr>
              <w:tblBorders>
                <w:top w:val="none" w:color="000000" w:sz="4"/>
                <w:left w:val="none" w:color="000000" w:sz="4"/>
                <w:bottom w:val="none" w:color="000000" w:sz="4"/>
                <w:right w:val="none" w:color="000000" w:sz="4"/>
                <w:insideH w:val="none"/>
                <w:insideV w:val="none"/>
              </w:tblBorders>
            </w:tblPr>
            <w:tblGrid>
              <w:gridCol w:w="238"/>
              <w:gridCol w:w="258"/>
              <w:gridCol w:w="2057"/>
            </w:tblGrid>
            <w:tr>
              <w:tc>
                <w:tcPr>
                  <w:tcW w:type="dxa" w:w="23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序号</w:t>
                  </w:r>
                </w:p>
              </w:tc>
              <w:tc>
                <w:tcPr>
                  <w:tcW w:type="dxa" w:w="25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品名</w:t>
                  </w:r>
                </w:p>
              </w:tc>
              <w:tc>
                <w:tcPr>
                  <w:tcW w:type="dxa" w:w="205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优质质量形态</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大头菜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外叶淡绿色，内叶淡黄色，叶肥厚脆嫩，棵株大，完整，包心坚实紧密，根部断面洁白完整。</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大白菜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外叶淡绿色、奶黄色、帮白内叶乳白色，叶新鲜光泽，棵株大，完整，包心坚实紧密，根部断面洁白完整。</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3</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菠菜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颜色碧绿，平嫩，叶子大、挺直，根桃红，无主茎且无柄无红色，棵株适当。</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4</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冬瓜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皮青翠，有白霜，肉洁白、厚嫩、紧密，膛小，有一定硬度。</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5</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豆角</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颜色嫩绿有光泽，豆荚挺直，折之易断，筋丝不明显，豆粒小而无。</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6</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西芹</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叶茎宽厚，颜色深绿，新鲜肥嫩，爽口无渣。</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7</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豆芽</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豆芽挺直，芽身短而粗，根须少，芽色洁白晶莹。</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8</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胡萝卜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颜色红色可橘黄色，表面光滑、条直匀称，粗壮、硬实不软、肉质甜脆、中心柱细小。</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9</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花菜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花蕾颜色洁白或乳白、功密紧实不散，球形完整、表面湿润，花梗乳白或淡绿，紧凑，外叶绿色且少，主茎短，断面洁白。</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10</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尖椒</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长形或萝卜形，颜色碧绿，有光泽、表面光滑，饱满有一定硬度和弹性，肉层中等有辣味。</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11</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黄瓜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颜色青绿，瓜身细短、条直均匀，瓜把小，顶花带刺，有白霜或光泽，肉脆甜、瓤小籽少。</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12</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角瓜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颜色黄绿色、表皮光滑有花纹和棱边，皮薄肉嫩，瓤小子少，有一定硬度，尾蒂有毛刺。</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13</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韭菜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叶较宽</w:t>
                  </w:r>
                  <w:r>
                    <w:rPr>
                      <w:rFonts w:ascii="仿宋_GB2312" w:hAnsi="仿宋_GB2312" w:cs="仿宋_GB2312" w:eastAsia="仿宋_GB2312"/>
                      <w:sz w:val="21"/>
                      <w:color w:val="000000"/>
                    </w:rPr>
                    <w:t>,挺直,翠绿色,根部洁白,软嫩且有韭菜味,根株均匀,长20厘米以内;</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14</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茄子</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色正（青、紫、白）形正（棒形、卵形、灯泡形），表面光滑有光泽，有弹性不软，皮薄肉嫩籽少，个体均匀。</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15</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芹菜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叶嫩绿或黄绿，茎、根部呈白色，茎细软，中间空、水份充足，有清香味，长约</w:t>
                  </w:r>
                  <w:r>
                    <w:rPr>
                      <w:rFonts w:ascii="仿宋_GB2312" w:hAnsi="仿宋_GB2312" w:cs="仿宋_GB2312" w:eastAsia="仿宋_GB2312"/>
                      <w:sz w:val="21"/>
                      <w:color w:val="000000"/>
                    </w:rPr>
                    <w:t>30厘米。</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16</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芥菜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梗短粗</w:t>
                  </w:r>
                  <w:r>
                    <w:rPr>
                      <w:rFonts w:ascii="仿宋_GB2312" w:hAnsi="仿宋_GB2312" w:cs="仿宋_GB2312" w:eastAsia="仿宋_GB2312"/>
                      <w:sz w:val="21"/>
                      <w:color w:val="000000"/>
                    </w:rPr>
                    <w:t>,叶子厚肥大,主茎无花蕾.水份充足。</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17</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黄豆</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颜色单一、有光泽，豆粒大，均匀完整，较嫩。</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18</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青椒</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长形或萝卜形，颜色碧绿，有光泽、表面光滑，饱满有一定硬度和弹性，肉层中等有辣味。</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19</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土豆</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颜色为淡黄色或奶白色，个大形正、大小整齐，表皮光滑，体硬不软，饱满。</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20</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西红柿</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颜色大红、粉红或黄色、光泽亮艳，个大圆整，饱满有弹性，至少八成熟，肉厚籽少，味甜中带酸。</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21</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鲜蘑菇</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顶部颜色为鼠灰色，根部为乳白色，蛋或卵圆形、饱满，菌膜未破、湿度适中。</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22</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洋葱</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鳞片颜色粉白或紫白，鳞片肥厚，完整无损，抱合紧密，球茎干度适中，有一定硬度。</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23</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小白菜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梗白色</w:t>
                  </w:r>
                  <w:r>
                    <w:rPr>
                      <w:rFonts w:ascii="仿宋_GB2312" w:hAnsi="仿宋_GB2312" w:cs="仿宋_GB2312" w:eastAsia="仿宋_GB2312"/>
                      <w:sz w:val="21"/>
                      <w:color w:val="000000"/>
                    </w:rPr>
                    <w:t>,较嫩较短,叶子淡绿色,整棵菜水份充足,无根.</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24</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萝卜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颜色洁白光亮，表面光滑、细腻，形体完整、份量重，底部切面洁白，水分大，肉嫩脆、味甜适中。</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25</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四季豆</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颜色嫩绿有光泽，豆荚挺直，折之易断，筋丝不明显，豆粒小而无。</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26</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大葱</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葱叶为管状、浅绿色，，葱白长、紧实、挺直，无根、长约５０厘米。</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27</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生姜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颜色淡黄，表皮完整，姜体脆硬，肥大有姜味。</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28</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大蒜</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颜色白色或紫色，蒜皮干燥，蒜瓣结实不散，有硬度。</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29</w:t>
                  </w:r>
                </w:p>
              </w:tc>
              <w:tc>
                <w:tcPr>
                  <w:tcW w:type="dxa" w:w="25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蒜苔</w:t>
                  </w:r>
                </w:p>
              </w:tc>
              <w:tc>
                <w:tcPr>
                  <w:tcW w:type="dxa" w:w="205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颜色深绿、梗细滑、有光泽、挺直、鲜嫩、指甲掐之易断。</w:t>
                  </w:r>
                </w:p>
              </w:tc>
            </w:tr>
          </w:tbl>
          <w:p>
            <w:pPr>
              <w:pStyle w:val="null3"/>
              <w:jc w:val="left"/>
            </w:pPr>
            <w:r>
              <w:rPr>
                <w:rFonts w:ascii="仿宋_GB2312" w:hAnsi="仿宋_GB2312" w:cs="仿宋_GB2312" w:eastAsia="仿宋_GB2312"/>
                <w:sz w:val="21"/>
              </w:rPr>
              <w:t>2.畜禽肉类质量标准：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1）鲜猪肉的质量标准：表皮白净、光滑无毛；脂肪洁白有光泽，肉呈鲜红色或玫红色；弹性好，按之迅速恢复；表面不黏手；有正常的肉味,坚决杜绝供应注水肉、病猪肉、死猪肉、母猪肉、僵猪肉、骚猪肉。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2）猪肝的质量标准：颜色红褐色或淡棕色，表面光滑、湿润，形状完整且不破损、有弹性。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3）猪蹄的质量标准：颜色乳白色或淡黄色，表面光滑无毛，肉弹性好，形状完整。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4）鲜牛肉的质量标准：肌内有光泽，红色均匀，脂肪洁白或淡黄色；外表微干或有风干膜，触膜不黏手；指压后凹陷立即恢复；具有鲜牛肉的正常气味；坚决杜绝供应病牛肉、骚牛肉。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5）冷禽肉类饱满的质量标准（解冻后）：眼球饱满或平坦；皮肤有光泽，呈淡黄、淡红、灰白色等，肌肉切面有光泽；指压后凹陷恢复的慢，且不能完全恢复；有鸡肉的正常气味。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鲜禽肉类的质量标准：眼球饱满或平坦；皮肤有光泽，呈淡黄、淡红、灰白色等，肌肉切面有光泽；指压后凹陷恢复的慢，且不能完全恢复；有鸡肉的正常气味。说明：要求所供物资必须符合国家《无公害食品质量标准》，必须经地方正规的检验检疫部门检验，并出具检验合格证明后，方可供应。</w:t>
            </w:r>
          </w:p>
          <w:p>
            <w:pPr>
              <w:pStyle w:val="null3"/>
              <w:jc w:val="left"/>
            </w:pPr>
            <w:r>
              <w:rPr>
                <w:rFonts w:ascii="仿宋_GB2312" w:hAnsi="仿宋_GB2312" w:cs="仿宋_GB2312" w:eastAsia="仿宋_GB2312"/>
                <w:sz w:val="21"/>
              </w:rPr>
              <w:t>3.水产类质量标准：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新鲜度要求：新鲜、肉质有弹性；鳃淡红色或暗红色，且无腥臭味；眼微凸透明、黑白清晰、且在正常位置；肤色保有鱼体本身特有的色泽、鳞不易脱落；腹内脏完整、腹部坚实；气味略带海藻味、无明显腥味与臭味。</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外观要求：体表：鱼体健康，体表无病灶；鱼体呈本品种固有体形鱼体；呈固有体色和光泽；鳞片完整，体形匀称，无畸形，无病灶；鳃：鳃丝清晰，色鲜红或紫红，无黏液或有少量透明黏液，无异味；眼：眼球饱满、微突，角膜透明；气味：具有鱼固有的正常气味，无异味组织：肌肉结实，有弹性；内脏清晰，色泽正常，无腐败变质。说明：要求所供物资必须符合国家《无公害食品质量标准》。</w:t>
            </w:r>
          </w:p>
          <w:p>
            <w:pPr>
              <w:pStyle w:val="null3"/>
              <w:jc w:val="left"/>
            </w:pPr>
            <w:r>
              <w:rPr>
                <w:rFonts w:ascii="仿宋_GB2312" w:hAnsi="仿宋_GB2312" w:cs="仿宋_GB2312" w:eastAsia="仿宋_GB2312"/>
                <w:sz w:val="21"/>
              </w:rPr>
              <w:t>4.禽蛋类质量标准：</w:t>
            </w:r>
          </w:p>
          <w:p>
            <w:pPr>
              <w:pStyle w:val="null3"/>
              <w:jc w:val="left"/>
            </w:pPr>
            <w:r>
              <w:rPr>
                <w:rFonts w:ascii="仿宋_GB2312" w:hAnsi="仿宋_GB2312" w:cs="仿宋_GB2312" w:eastAsia="仿宋_GB2312"/>
                <w:sz w:val="21"/>
              </w:rPr>
              <w:t>蛋壳表面应光泽、完整、坚实，壳外膜色白呈霜状；气室小，高度在</w:t>
            </w:r>
            <w:r>
              <w:rPr>
                <w:rFonts w:ascii="仿宋_GB2312" w:hAnsi="仿宋_GB2312" w:cs="仿宋_GB2312" w:eastAsia="仿宋_GB2312"/>
                <w:sz w:val="21"/>
              </w:rPr>
              <w:t>4-5毫米之间；蛋白浓厚、透明、无杂质异味；系带粗而明显；蛋黄完整，呈半球形，位居蛋的中央；胚胎边缘整齐，不发育，未受精的胚胎直径为2-3毫米；整个蛋微生物污染少，无细菌、霉菌生长发育。</w:t>
            </w:r>
          </w:p>
          <w:p>
            <w:pPr>
              <w:pStyle w:val="null3"/>
              <w:jc w:val="left"/>
            </w:pPr>
            <w:r>
              <w:rPr>
                <w:rFonts w:ascii="仿宋_GB2312" w:hAnsi="仿宋_GB2312" w:cs="仿宋_GB2312" w:eastAsia="仿宋_GB2312"/>
                <w:sz w:val="21"/>
              </w:rPr>
              <w:t>5.酱料类标准：</w:t>
            </w:r>
          </w:p>
          <w:p>
            <w:pPr>
              <w:pStyle w:val="null3"/>
              <w:jc w:val="left"/>
            </w:pPr>
            <w:r>
              <w:rPr>
                <w:rFonts w:ascii="仿宋_GB2312" w:hAnsi="仿宋_GB2312" w:cs="仿宋_GB2312" w:eastAsia="仿宋_GB2312"/>
                <w:sz w:val="21"/>
              </w:rPr>
              <w:t>所有酱料均应有品牌、生产日期、保质日期等。大米应颗粒饱满、色泽莹润，米粒无发霉、变质、虫蛀情况；油类生产期新鲜、无杂质异味，确保无转基因油类与产品。</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）食堂管理标准、要求：</w:t>
            </w:r>
            <w:r>
              <w:rPr>
                <w:rFonts w:ascii="仿宋_GB2312" w:hAnsi="仿宋_GB2312" w:cs="仿宋_GB2312" w:eastAsia="仿宋_GB2312"/>
                <w:sz w:val="21"/>
              </w:rPr>
              <w:t>1.严格按照《食品安全法》验收、清洗、加工要求制作食品，厨房用品用具严格实行一洗二过三消毒的规程。2.对厨房、餐厅、包厢等所有区域的卫生应按《五常法》管理模式，实行分层负责，定置、定量、定位、定进出、定标识、责任到人。3.自觉接受卫生管理部门和采购人对食堂内工作检查、监督。4.垃圾污物应按指定地点放置，不得随意弃放。</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）食堂饭菜质量标准、要求：</w:t>
            </w:r>
            <w:r>
              <w:rPr>
                <w:rFonts w:ascii="仿宋_GB2312" w:hAnsi="仿宋_GB2312" w:cs="仿宋_GB2312" w:eastAsia="仿宋_GB2312"/>
                <w:sz w:val="21"/>
              </w:rPr>
              <w:t>1.按报餐人数和原材料的采购标准，足量烹制饭菜，保证职工饭菜的食用份量。2.根据季节提供适时菜品和定期推出特色菜或新菜；每周公布菜谱，品种不断翻新，烹饪的口味合众。3.每季度，对食堂管理服务质量向干部职广泛征求意见、建议，不断提升食堂的管理服务质量。</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）报餐、用餐人数管理标准、要求：</w:t>
            </w:r>
            <w:r>
              <w:rPr>
                <w:rFonts w:ascii="仿宋_GB2312" w:hAnsi="仿宋_GB2312" w:cs="仿宋_GB2312" w:eastAsia="仿宋_GB2312"/>
                <w:sz w:val="21"/>
              </w:rPr>
              <w:t>1.严格控制非采购人单位人员进入食堂用餐，并配合采购人做好周、月报餐、用餐人数的统计工作。2.及时配合办公室做好对职工因公出差和请假、公休人员的停餐统计工作。</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）食堂安全管理标准、要求：</w:t>
            </w:r>
            <w:r>
              <w:rPr>
                <w:rFonts w:ascii="仿宋_GB2312" w:hAnsi="仿宋_GB2312" w:cs="仿宋_GB2312" w:eastAsia="仿宋_GB2312"/>
                <w:sz w:val="21"/>
              </w:rPr>
              <w:t>1.严禁用变质或受污染的原料制作食品，防止食物中毒事件发生。2.严格管理使用食品添加剂，防止食物中毒事件发生。3.严格执行索证制度、农药测试制度，预防食物中毒事件发生。4.下班后和设备使用完后落实关气、关电、关水、关门检查制度，预防火灾、偷盗事件发生。5.所有食品成品必须48小时留样备查。</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）食堂设施设备管理标准、要求：</w:t>
            </w:r>
            <w:r>
              <w:rPr>
                <w:rFonts w:ascii="仿宋_GB2312" w:hAnsi="仿宋_GB2312" w:cs="仿宋_GB2312" w:eastAsia="仿宋_GB2312"/>
                <w:sz w:val="21"/>
              </w:rPr>
              <w:t>1.正确使用采购人配备食堂设施设备和用具，并定期对大型的食堂设施设备进行维护与保养，保障大型的食堂设施设备正常使用。2.妥善保管好食堂设施设备、用具、餐具、炊具，如有遗失、损坏，负责赔偿（属自然损耗、职工损坏等，应对上述损坏物品如实申报采购人审批）。</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）节能管理标准、要求：</w:t>
            </w:r>
            <w:r>
              <w:rPr>
                <w:rFonts w:ascii="仿宋_GB2312" w:hAnsi="仿宋_GB2312" w:cs="仿宋_GB2312" w:eastAsia="仿宋_GB2312"/>
                <w:sz w:val="21"/>
              </w:rPr>
              <w:t>1.餐厅未开餐期间，严禁使用空调设备。2.启用包厢就餐，提前5分钟开空调、灯，用餐完毕及时将空调和主灯关闭。3.做好厨房在光线良好情况下不开灯，更衣间随手关灯，原料和餐具清洗完后应立即关闭水源。</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八</w:t>
            </w:r>
            <w:r>
              <w:rPr>
                <w:rFonts w:ascii="仿宋_GB2312" w:hAnsi="仿宋_GB2312" w:cs="仿宋_GB2312" w:eastAsia="仿宋_GB2312"/>
                <w:sz w:val="21"/>
                <w:b/>
              </w:rPr>
              <w:t>）采购要求</w:t>
            </w:r>
          </w:p>
          <w:p>
            <w:pPr>
              <w:pStyle w:val="null3"/>
              <w:jc w:val="left"/>
            </w:pPr>
            <w:r>
              <w:rPr>
                <w:rFonts w:ascii="仿宋_GB2312" w:hAnsi="仿宋_GB2312" w:cs="仿宋_GB2312" w:eastAsia="仿宋_GB2312"/>
                <w:sz w:val="21"/>
              </w:rPr>
              <w:t>1.采购人不定期对中标供应商采购食材等进行抽查，累计出现采购的食材不新鲜、数量不足或者不按时采购的情况合计超过三次的，采购人有权终止合同，采购人因此遭受损失的，中标供应商应负责赔偿。</w:t>
            </w:r>
          </w:p>
          <w:p>
            <w:pPr>
              <w:pStyle w:val="null3"/>
              <w:jc w:val="left"/>
            </w:pPr>
            <w:r>
              <w:rPr>
                <w:rFonts w:ascii="仿宋_GB2312" w:hAnsi="仿宋_GB2312" w:cs="仿宋_GB2312" w:eastAsia="仿宋_GB2312"/>
                <w:sz w:val="21"/>
              </w:rPr>
              <w:t>2.中标供应商须按采购人的要求，对其采购供应的蔬菜、肉类以及其他鲜活农产品采购渠道及配送过程严把质量关，必须保证配送商品新鲜安全。如发现以次充好、以假乱真、缺斤少两、投机取巧等情况，采购人有权拒收中标供应商采购的食材，所产生的损失由中标供应商自负。</w:t>
            </w:r>
          </w:p>
          <w:p>
            <w:pPr>
              <w:pStyle w:val="null3"/>
              <w:jc w:val="left"/>
            </w:pPr>
            <w:r>
              <w:rPr>
                <w:rFonts w:ascii="仿宋_GB2312" w:hAnsi="仿宋_GB2312" w:cs="仿宋_GB2312" w:eastAsia="仿宋_GB2312"/>
                <w:sz w:val="21"/>
              </w:rPr>
              <w:t>3.采购人每天晚上9点前提供次日需要中标供应商配送食材的采购清单。中标供应商在配送、卸载食材过程中所发生的一切费用，均由中标供应商负责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九</w:t>
            </w:r>
            <w:r>
              <w:rPr>
                <w:rFonts w:ascii="仿宋_GB2312" w:hAnsi="仿宋_GB2312" w:cs="仿宋_GB2312" w:eastAsia="仿宋_GB2312"/>
                <w:sz w:val="21"/>
                <w:b/>
              </w:rPr>
              <w:t>）</w:t>
            </w:r>
            <w:r>
              <w:rPr>
                <w:rFonts w:ascii="仿宋_GB2312" w:hAnsi="仿宋_GB2312" w:cs="仿宋_GB2312" w:eastAsia="仿宋_GB2312"/>
                <w:sz w:val="21"/>
              </w:rPr>
              <w:t>人员要求</w:t>
            </w:r>
            <w:r>
              <w:rPr>
                <w:rFonts w:ascii="仿宋_GB2312" w:hAnsi="仿宋_GB2312" w:cs="仿宋_GB2312" w:eastAsia="仿宋_GB2312"/>
                <w:sz w:val="21"/>
              </w:rPr>
              <w:t>：所有工作人员必须体检取得健康证并通过岗位培训合格后方能上岗，且所有工作人员必须定时进行安全和专业技能培训。</w:t>
            </w:r>
          </w:p>
          <w:p>
            <w:pPr>
              <w:pStyle w:val="null3"/>
              <w:ind w:firstLine="420"/>
              <w:jc w:val="left"/>
            </w:pPr>
            <w:r>
              <w:rPr>
                <w:rFonts w:ascii="仿宋_GB2312" w:hAnsi="仿宋_GB2312" w:cs="仿宋_GB2312" w:eastAsia="仿宋_GB2312"/>
                <w:sz w:val="21"/>
              </w:rPr>
              <w:t>无犯罪纪录：所有人员要求无犯罪记录。</w:t>
            </w:r>
            <w:r>
              <w:rPr>
                <w:rFonts w:ascii="仿宋_GB2312" w:hAnsi="仿宋_GB2312" w:cs="仿宋_GB2312" w:eastAsia="仿宋_GB2312"/>
                <w:sz w:val="24"/>
                <w:b/>
              </w:rPr>
              <w:t>（投标人提供承诺函，不提供承诺函视为无效投标）</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十</w:t>
            </w:r>
            <w:r>
              <w:rPr>
                <w:rFonts w:ascii="仿宋_GB2312" w:hAnsi="仿宋_GB2312" w:cs="仿宋_GB2312" w:eastAsia="仿宋_GB2312"/>
                <w:sz w:val="21"/>
                <w:b/>
              </w:rPr>
              <w:t>）其他要求</w:t>
            </w:r>
            <w:r>
              <w:rPr>
                <w:rFonts w:ascii="仿宋_GB2312" w:hAnsi="仿宋_GB2312" w:cs="仿宋_GB2312" w:eastAsia="仿宋_GB2312"/>
                <w:sz w:val="21"/>
              </w:rPr>
              <w:t>：服务方做好安全用电、用气等防范工作避免发生食物中毒、火灾、职工工伤（亡）等事故。</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人员要求</w:t>
            </w:r>
          </w:p>
          <w:p>
            <w:pPr>
              <w:pStyle w:val="null3"/>
              <w:jc w:val="left"/>
            </w:pPr>
            <w:r>
              <w:rPr>
                <w:rFonts w:ascii="仿宋_GB2312" w:hAnsi="仿宋_GB2312" w:cs="仿宋_GB2312" w:eastAsia="仿宋_GB2312"/>
                <w:sz w:val="28"/>
                <w:b/>
                <w:i/>
              </w:rPr>
              <w:t>1总体要求</w:t>
            </w:r>
          </w:p>
          <w:p>
            <w:pPr>
              <w:pStyle w:val="null3"/>
              <w:jc w:val="left"/>
            </w:pPr>
            <w:r>
              <w:rPr>
                <w:rFonts w:ascii="仿宋_GB2312" w:hAnsi="仿宋_GB2312" w:cs="仿宋_GB2312" w:eastAsia="仿宋_GB2312"/>
                <w:sz w:val="21"/>
              </w:rPr>
              <w:t>供应商应提供不少于</w:t>
            </w:r>
            <w:r>
              <w:rPr>
                <w:rFonts w:ascii="仿宋_GB2312" w:hAnsi="仿宋_GB2312" w:cs="仿宋_GB2312" w:eastAsia="仿宋_GB2312"/>
                <w:sz w:val="21"/>
              </w:rPr>
              <w:t>16名岗位人员的工作量，按照“需满足的质量、安全、技术规格的要求”向采购人指定的7个食堂提供烹饪服务。</w:t>
            </w:r>
          </w:p>
          <w:p>
            <w:pPr>
              <w:pStyle w:val="null3"/>
              <w:jc w:val="left"/>
            </w:pPr>
            <w:r>
              <w:rPr>
                <w:rFonts w:ascii="仿宋_GB2312" w:hAnsi="仿宋_GB2312" w:cs="仿宋_GB2312" w:eastAsia="仿宋_GB2312"/>
                <w:sz w:val="21"/>
              </w:rPr>
              <w:t>供应商设编所岗位人员的身体均保持健康（均持有</w:t>
            </w:r>
            <w:r>
              <w:rPr>
                <w:rFonts w:ascii="仿宋_GB2312" w:hAnsi="仿宋_GB2312" w:cs="仿宋_GB2312" w:eastAsia="仿宋_GB2312"/>
                <w:sz w:val="21"/>
              </w:rPr>
              <w:t>“健康证”），无残疾，并应按照上述的要求和“需求岗位人员配置表“，足编配置岗位人员。</w:t>
            </w:r>
          </w:p>
          <w:p>
            <w:pPr>
              <w:pStyle w:val="null3"/>
              <w:jc w:val="left"/>
            </w:pPr>
            <w:r>
              <w:rPr>
                <w:rFonts w:ascii="仿宋_GB2312" w:hAnsi="仿宋_GB2312" w:cs="仿宋_GB2312" w:eastAsia="仿宋_GB2312"/>
                <w:sz w:val="21"/>
                <w:b/>
              </w:rPr>
              <w:t>需求提供烹饪服务岗位人员编制表</w:t>
            </w:r>
          </w:p>
          <w:tbl>
            <w:tblPr>
              <w:tblInd w:type="dxa" w:w="135"/>
              <w:tblBorders>
                <w:top w:val="none" w:color="000000" w:sz="4"/>
                <w:left w:val="none" w:color="000000" w:sz="4"/>
                <w:bottom w:val="none" w:color="000000" w:sz="4"/>
                <w:right w:val="none" w:color="000000" w:sz="4"/>
                <w:insideH w:val="none"/>
                <w:insideV w:val="none"/>
              </w:tblBorders>
            </w:tblPr>
            <w:tblGrid>
              <w:gridCol w:w="190"/>
              <w:gridCol w:w="282"/>
              <w:gridCol w:w="1246"/>
              <w:gridCol w:w="393"/>
              <w:gridCol w:w="420"/>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序号</w:t>
                  </w:r>
                </w:p>
              </w:tc>
              <w:tc>
                <w:tcPr>
                  <w:tcW w:type="dxa" w:w="28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服务项目</w:t>
                  </w:r>
                </w:p>
              </w:tc>
              <w:tc>
                <w:tcPr>
                  <w:tcW w:type="dxa" w:w="124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提供服务具体内容</w:t>
                  </w:r>
                </w:p>
              </w:tc>
              <w:tc>
                <w:tcPr>
                  <w:tcW w:type="dxa" w:w="39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拟设岗位</w:t>
                  </w:r>
                </w:p>
              </w:tc>
              <w:tc>
                <w:tcPr>
                  <w:tcW w:type="dxa" w:w="42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拟编人数</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w:t>
                  </w:r>
                </w:p>
              </w:tc>
              <w:tc>
                <w:tcPr>
                  <w:tcW w:type="dxa" w:w="2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食堂现场管理</w:t>
                  </w: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提供局机关食堂现场管理服务和兼任</w:t>
                  </w:r>
                  <w:r>
                    <w:rPr>
                      <w:rFonts w:ascii="仿宋_GB2312" w:hAnsi="仿宋_GB2312" w:cs="仿宋_GB2312" w:eastAsia="仿宋_GB2312"/>
                      <w:sz w:val="21"/>
                      <w:color w:val="000000"/>
                    </w:rPr>
                    <w:t>6个食堂烹饪服务管理监督工作</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经</w:t>
                  </w:r>
                  <w:r>
                    <w:rPr>
                      <w:rFonts w:ascii="仿宋_GB2312" w:hAnsi="仿宋_GB2312" w:cs="仿宋_GB2312" w:eastAsia="仿宋_GB2312"/>
                      <w:sz w:val="21"/>
                      <w:color w:val="000000"/>
                    </w:rPr>
                    <w:t xml:space="preserve"> 理 </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1人</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2</w:t>
                  </w:r>
                </w:p>
              </w:tc>
              <w:tc>
                <w:tcPr>
                  <w:tcW w:type="dxa" w:w="28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食材采购服务</w:t>
                  </w: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7个食堂食材和其他物资日常采购服务及餐费结算服务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采购员</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1人</w:t>
                  </w:r>
                </w:p>
              </w:tc>
            </w:tr>
            <w:tr>
              <w:tc>
                <w:tcPr>
                  <w:tcW w:type="dxa" w:w="190"/>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3</w:t>
                  </w:r>
                </w:p>
              </w:tc>
              <w:tc>
                <w:tcPr>
                  <w:tcW w:type="dxa" w:w="282"/>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早餐烹饪服务</w:t>
                  </w: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提供市局机关食堂早餐烹制服务和协助提供食堂公务接待餐、会议餐烹制服务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白案厨师</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w:t>
                  </w:r>
                  <w:r>
                    <w:rPr>
                      <w:rFonts w:ascii="仿宋_GB2312" w:hAnsi="仿宋_GB2312" w:cs="仿宋_GB2312" w:eastAsia="仿宋_GB2312"/>
                      <w:sz w:val="21"/>
                      <w:color w:val="000000"/>
                    </w:rPr>
                    <w:t>供文城区域食堂早餐烹制服务和协助提供食堂公务接待餐、会议餐烹制服务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白案厨师</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1人</w:t>
                  </w:r>
                </w:p>
              </w:tc>
            </w:tr>
            <w:tr>
              <w:tc>
                <w:tcPr>
                  <w:tcW w:type="dxa" w:w="190"/>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4</w:t>
                  </w:r>
                </w:p>
              </w:tc>
              <w:tc>
                <w:tcPr>
                  <w:tcW w:type="dxa" w:w="282"/>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午、晚餐烹饪服务</w:t>
                  </w: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提供市局机关食堂和午餐、晚餐及接待餐饭菜烹制服务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红案厨师</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提供文城区域食堂和午餐、晚餐及接待餐饭菜烹制服务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红案厨师</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提供东郊税务分局食堂早、午、晚餐饭菜烹制和食堂洗消和办公区卫生保洁服务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厨工兼保洁</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提供龙楼税务分局食堂早、午、晚餐饭菜烹制和食堂洗消和办公区卫生保洁服务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厨工兼保洁</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提供铺前税务分局食堂早、餐、晚餐饭菜烹制和食堂洗消和办公区卫生保洁服务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厨工兼保洁</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提供潭牛税务分局食堂早、午、晚餐饭菜烹制和食堂洗消和办公区卫生保洁服务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厨工兼保洁</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提供会文税务分局食堂早、午、晚餐饭菜烹制和食堂洗消和办公区卫生保洁服务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厨工兼保洁</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1人</w:t>
                  </w:r>
                </w:p>
              </w:tc>
            </w:tr>
            <w:tr>
              <w:tc>
                <w:tcPr>
                  <w:tcW w:type="dxa" w:w="190"/>
                  <w:vMerge w:val="restart"/>
                  <w:tcBorders>
                    <w:top w:val="none" w:color="000000" w:sz="4"/>
                    <w:left w:val="single" w:color="000000" w:sz="4"/>
                    <w:bottom w:val="non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5</w:t>
                  </w:r>
                </w:p>
              </w:tc>
              <w:tc>
                <w:tcPr>
                  <w:tcW w:type="dxa" w:w="282"/>
                  <w:vMerge w:val="restart"/>
                  <w:tcBorders>
                    <w:top w:val="non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洗消服务</w:t>
                  </w: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提供市局机关食堂洗菜、食堂卫生、餐具洗消等服务。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洗消工</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3人</w:t>
                  </w:r>
                </w:p>
              </w:tc>
            </w:tr>
            <w:tr>
              <w:tc>
                <w:tcPr>
                  <w:tcW w:type="dxa" w:w="190"/>
                  <w:vMerge/>
                  <w:tcBorders>
                    <w:top w:val="none" w:color="000000" w:sz="4"/>
                    <w:left w:val="single" w:color="000000" w:sz="4"/>
                    <w:bottom w:val="non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提供文城区域食堂洗菜、食堂卫生、餐具洗消等服务。</w:t>
                  </w:r>
                </w:p>
              </w:tc>
              <w:tc>
                <w:tcPr>
                  <w:tcW w:type="dxa" w:w="3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洗消工</w:t>
                  </w:r>
                </w:p>
              </w:tc>
              <w:tc>
                <w:tcPr>
                  <w:tcW w:type="dxa" w:w="42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2人</w:t>
                  </w:r>
                </w:p>
              </w:tc>
            </w:tr>
            <w:tr>
              <w:tc>
                <w:tcPr>
                  <w:tcW w:type="dxa" w:w="472"/>
                  <w:gridSpan w:val="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合</w:t>
                  </w:r>
                  <w:r>
                    <w:rPr>
                      <w:rFonts w:ascii="仿宋_GB2312" w:hAnsi="仿宋_GB2312" w:cs="仿宋_GB2312" w:eastAsia="仿宋_GB2312"/>
                      <w:sz w:val="21"/>
                      <w:color w:val="000000"/>
                    </w:rPr>
                    <w:t xml:space="preserve"> 计</w:t>
                  </w:r>
                </w:p>
              </w:tc>
              <w:tc>
                <w:tcPr>
                  <w:tcW w:type="dxa" w:w="124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813"/>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16人</w:t>
                  </w:r>
                </w:p>
              </w:tc>
            </w:tr>
          </w:tbl>
          <w:p>
            <w:pPr>
              <w:pStyle w:val="null3"/>
              <w:jc w:val="left"/>
            </w:pPr>
            <w:r>
              <w:rPr>
                <w:rFonts w:ascii="仿宋_GB2312" w:hAnsi="仿宋_GB2312" w:cs="仿宋_GB2312" w:eastAsia="仿宋_GB2312"/>
                <w:sz w:val="28"/>
                <w:b/>
                <w:i/>
              </w:rPr>
              <w:t>2管理团队</w:t>
            </w:r>
          </w:p>
          <w:p>
            <w:pPr>
              <w:pStyle w:val="null3"/>
              <w:jc w:val="left"/>
            </w:pPr>
            <w:r>
              <w:rPr>
                <w:rFonts w:ascii="仿宋_GB2312" w:hAnsi="仿宋_GB2312" w:cs="仿宋_GB2312" w:eastAsia="仿宋_GB2312"/>
                <w:sz w:val="28"/>
                <w:b/>
              </w:rPr>
              <w:t>2.1项目经理</w:t>
            </w:r>
          </w:p>
          <w:p>
            <w:pPr>
              <w:pStyle w:val="null3"/>
              <w:jc w:val="left"/>
            </w:pPr>
            <w:r>
              <w:rPr>
                <w:rFonts w:ascii="仿宋_GB2312" w:hAnsi="仿宋_GB2312" w:cs="仿宋_GB2312" w:eastAsia="仿宋_GB2312"/>
                <w:sz w:val="21"/>
              </w:rPr>
              <w:t>项目经理：</w:t>
            </w:r>
            <w:r>
              <w:rPr>
                <w:rFonts w:ascii="仿宋_GB2312" w:hAnsi="仿宋_GB2312" w:cs="仿宋_GB2312" w:eastAsia="仿宋_GB2312"/>
                <w:sz w:val="21"/>
              </w:rPr>
              <w:t>拟派往本项目的项目经理应具有经验丰富及管理能力、沟通能力强及同类服务项目管理经验，负责食堂全面管理，同时与采购人相关人员就项目在履约中一切相关事宜的沟通及处理</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i/>
              </w:rPr>
              <w:t>3技术团队</w:t>
            </w:r>
          </w:p>
          <w:p>
            <w:pPr>
              <w:pStyle w:val="null3"/>
              <w:jc w:val="left"/>
            </w:pPr>
            <w:r>
              <w:rPr>
                <w:rFonts w:ascii="仿宋_GB2312" w:hAnsi="仿宋_GB2312" w:cs="仿宋_GB2312" w:eastAsia="仿宋_GB2312"/>
                <w:sz w:val="21"/>
              </w:rPr>
              <w:t>1、需配岗位人员编制：16人，具体岗位见附表“需求岗位人员编制表”。</w:t>
            </w:r>
          </w:p>
          <w:p>
            <w:pPr>
              <w:pStyle w:val="null3"/>
              <w:jc w:val="left"/>
            </w:pPr>
            <w:r>
              <w:rPr>
                <w:rFonts w:ascii="仿宋_GB2312" w:hAnsi="仿宋_GB2312" w:cs="仿宋_GB2312" w:eastAsia="仿宋_GB2312"/>
                <w:sz w:val="21"/>
              </w:rPr>
              <w:t>2、岗位人员基本要求：厨师，男性，年龄在60岁以下、女性，年龄在55岁以下，且具有2年以上的堂食大锅菜烹制工作经验；洗消工，女性，年龄在55岁以下，且具有洗刷、消毒工作经验；厨师和消洗工的身体均无残疾、无传染病或无传染病史，均持有健康证，讲究个人卫生。</w:t>
            </w:r>
          </w:p>
          <w:p>
            <w:pPr>
              <w:pStyle w:val="null3"/>
              <w:jc w:val="left"/>
            </w:pPr>
            <w:r>
              <w:rPr>
                <w:rFonts w:ascii="仿宋_GB2312" w:hAnsi="仿宋_GB2312" w:cs="仿宋_GB2312" w:eastAsia="仿宋_GB2312"/>
                <w:sz w:val="21"/>
              </w:rPr>
              <w:t>3.拟投入本项目的所有人员均需要具有同类项目从业经验。</w:t>
            </w:r>
          </w:p>
          <w:p>
            <w:pPr>
              <w:pStyle w:val="null3"/>
              <w:jc w:val="left"/>
            </w:pPr>
            <w:r>
              <w:rPr>
                <w:rFonts w:ascii="仿宋_GB2312" w:hAnsi="仿宋_GB2312" w:cs="仿宋_GB2312" w:eastAsia="仿宋_GB2312"/>
                <w:sz w:val="21"/>
              </w:rPr>
              <w:t>4.因本项目所需求岗位人员有限，确保高质量完成本项目烹饪服务工作，供应商应具有持有厨师证的专业厨师人力资源予以支持的力量（投标人提供承诺函，格式自拟，不提供承诺函视为无效投标）</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管理实施要求</w:t>
            </w:r>
          </w:p>
          <w:p>
            <w:pPr>
              <w:pStyle w:val="null3"/>
              <w:jc w:val="left"/>
            </w:pPr>
            <w:r>
              <w:rPr>
                <w:rFonts w:ascii="仿宋_GB2312" w:hAnsi="仿宋_GB2312" w:cs="仿宋_GB2312" w:eastAsia="仿宋_GB2312"/>
                <w:sz w:val="24"/>
              </w:rPr>
              <w:t>（一）人员管理</w:t>
            </w:r>
          </w:p>
          <w:p>
            <w:pPr>
              <w:pStyle w:val="null3"/>
              <w:jc w:val="left"/>
            </w:pPr>
            <w:r>
              <w:rPr>
                <w:rFonts w:ascii="仿宋_GB2312" w:hAnsi="仿宋_GB2312" w:cs="仿宋_GB2312" w:eastAsia="仿宋_GB2312"/>
                <w:sz w:val="24"/>
              </w:rPr>
              <w:t>1.人员配备：投标人需根据采购人需求，合理配备厨师、厨工、洗消工、采购员、保洁等人员。具体人员数量应满足食堂正常运营需求，确保服务质量。</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.人员</w:t>
            </w:r>
            <w:r>
              <w:rPr>
                <w:rFonts w:ascii="仿宋_GB2312" w:hAnsi="仿宋_GB2312" w:cs="仿宋_GB2312" w:eastAsia="仿宋_GB2312"/>
                <w:sz w:val="24"/>
              </w:rPr>
              <w:t>资质：所有食堂工作人员必须持有有效的健康证，厨师须具备相应的烹饪师证书；面点师具备相应的面点师等级证书；其他服务人员应具备相应的服务技能和经验。</w:t>
            </w:r>
            <w:r>
              <w:rPr>
                <w:rFonts w:ascii="仿宋_GB2312" w:hAnsi="仿宋_GB2312" w:cs="仿宋_GB2312" w:eastAsia="仿宋_GB2312"/>
                <w:sz w:val="24"/>
                <w:b/>
              </w:rPr>
              <w:t>（提供承诺函，格式自拟，不提供承诺函视为无效投标）</w:t>
            </w:r>
          </w:p>
          <w:p>
            <w:pPr>
              <w:pStyle w:val="null3"/>
              <w:jc w:val="left"/>
            </w:pPr>
            <w:r>
              <w:rPr>
                <w:rFonts w:ascii="仿宋_GB2312" w:hAnsi="仿宋_GB2312" w:cs="仿宋_GB2312" w:eastAsia="仿宋_GB2312"/>
                <w:sz w:val="24"/>
              </w:rPr>
              <w:t>3.人员培训：投标人应制定完善的人员培训计划，定期对食堂工作人员进行食品安全、服务技能、职业道德等方面的培训，确保工作人员具备良好的专业素养和服务意识。</w:t>
            </w:r>
          </w:p>
          <w:p>
            <w:pPr>
              <w:pStyle w:val="null3"/>
              <w:jc w:val="left"/>
            </w:pPr>
            <w:r>
              <w:rPr>
                <w:rFonts w:ascii="仿宋_GB2312" w:hAnsi="仿宋_GB2312" w:cs="仿宋_GB2312" w:eastAsia="仿宋_GB2312"/>
                <w:sz w:val="24"/>
              </w:rPr>
              <w:t>4.人员更换：未经招标人书面同意，投标人不得擅自更换食堂主要管理人员（如厨师主管等）。如需更换普通工作人员，应提前10个工作日向招标人报备，并确保新员工具备相应资质和能力，经招标人认可后方可上岗。</w:t>
            </w:r>
          </w:p>
          <w:p>
            <w:pPr>
              <w:pStyle w:val="null3"/>
              <w:jc w:val="left"/>
            </w:pPr>
            <w:r>
              <w:rPr>
                <w:rFonts w:ascii="仿宋_GB2312" w:hAnsi="仿宋_GB2312" w:cs="仿宋_GB2312" w:eastAsia="仿宋_GB2312"/>
                <w:sz w:val="24"/>
              </w:rPr>
              <w:t>（二）服务质量管理</w:t>
            </w:r>
          </w:p>
          <w:p>
            <w:pPr>
              <w:pStyle w:val="null3"/>
              <w:jc w:val="left"/>
            </w:pPr>
            <w:r>
              <w:rPr>
                <w:rFonts w:ascii="仿宋_GB2312" w:hAnsi="仿宋_GB2312" w:cs="仿宋_GB2312" w:eastAsia="仿宋_GB2312"/>
                <w:sz w:val="24"/>
              </w:rPr>
              <w:t xml:space="preserve">1.就餐服务：按照招标人规定的就餐时间准时开餐，提供优质的就餐服务。工作人员应热情、周到、文明服务，耐心解答就餐人员的问题，及时处理就餐人员的投诉和建议。 </w:t>
            </w:r>
          </w:p>
          <w:p>
            <w:pPr>
              <w:pStyle w:val="null3"/>
              <w:jc w:val="left"/>
            </w:pPr>
            <w:r>
              <w:rPr>
                <w:rFonts w:ascii="仿宋_GB2312" w:hAnsi="仿宋_GB2312" w:cs="仿宋_GB2312" w:eastAsia="仿宋_GB2312"/>
                <w:sz w:val="24"/>
              </w:rPr>
              <w:t>2.菜品管理：根据就餐人员的口味和需求，科学合理制定每周菜谱，并提前公布。菜品应丰富多样，保证营养均衡。注重菜品质量和口味，不断改进烹饪工艺，提高菜品的色香味形。</w:t>
            </w:r>
          </w:p>
          <w:p>
            <w:pPr>
              <w:pStyle w:val="null3"/>
              <w:jc w:val="left"/>
            </w:pPr>
            <w:r>
              <w:rPr>
                <w:rFonts w:ascii="仿宋_GB2312" w:hAnsi="仿宋_GB2312" w:cs="仿宋_GB2312" w:eastAsia="仿宋_GB2312"/>
                <w:sz w:val="24"/>
              </w:rPr>
              <w:t>3.个性化服务：根据招标人的要求，为加班人员、会议用餐等提供特殊的供餐服务；根据节日、季节等因素，推出特色菜品和活动，丰富就餐人员的饮食文化生活。</w:t>
            </w:r>
          </w:p>
          <w:p>
            <w:pPr>
              <w:pStyle w:val="null3"/>
              <w:jc w:val="left"/>
            </w:pPr>
            <w:r>
              <w:rPr>
                <w:rFonts w:ascii="仿宋_GB2312" w:hAnsi="仿宋_GB2312" w:cs="仿宋_GB2312" w:eastAsia="仿宋_GB2312"/>
                <w:sz w:val="24"/>
              </w:rPr>
              <w:t>（三）食材配送</w:t>
            </w:r>
          </w:p>
          <w:p>
            <w:pPr>
              <w:pStyle w:val="null3"/>
              <w:jc w:val="left"/>
            </w:pPr>
            <w:r>
              <w:rPr>
                <w:rFonts w:ascii="仿宋_GB2312" w:hAnsi="仿宋_GB2312" w:cs="仿宋_GB2312" w:eastAsia="仿宋_GB2312"/>
                <w:sz w:val="24"/>
              </w:rPr>
              <w:t>1.投标人按要求把商品配送到招标人指定地点后，招标人应及时安排人员对货物进行验收并办理相关入库手续。</w:t>
            </w:r>
          </w:p>
          <w:p>
            <w:pPr>
              <w:pStyle w:val="null3"/>
              <w:jc w:val="left"/>
            </w:pPr>
            <w:r>
              <w:rPr>
                <w:rFonts w:ascii="仿宋_GB2312" w:hAnsi="仿宋_GB2312" w:cs="仿宋_GB2312" w:eastAsia="仿宋_GB2312"/>
                <w:sz w:val="24"/>
              </w:rPr>
              <w:t>2.投标人配送的商品不新鲜、数量不足或不按时配送时，招标人有权拒收，投标人每月出现配送的商品不新鲜、数量不足或者不按时配送的情况合计超过三次的，招标人有权终止合同，招标人因此遭受损失的，投标人应负责赔偿。</w:t>
            </w:r>
          </w:p>
          <w:p>
            <w:pPr>
              <w:pStyle w:val="null3"/>
              <w:jc w:val="left"/>
            </w:pPr>
            <w:r>
              <w:rPr>
                <w:rFonts w:ascii="仿宋_GB2312" w:hAnsi="仿宋_GB2312" w:cs="仿宋_GB2312" w:eastAsia="仿宋_GB2312"/>
                <w:sz w:val="24"/>
              </w:rPr>
              <w:t>3.投标人须按招标人的要求，对其供应配送的蔬菜、肉类以及其他鲜活农产品采购渠道及配送过程严把质量关，必须保证配送商品新鲜安全。如出现以次充好、以假乱真、缺斤少两、投机取巧等情况，招标人有权拒收投标人所配送的商品，所产生的损失由投标人自负。</w:t>
            </w:r>
          </w:p>
          <w:p>
            <w:pPr>
              <w:pStyle w:val="null3"/>
              <w:jc w:val="left"/>
            </w:pPr>
            <w:r>
              <w:rPr>
                <w:rFonts w:ascii="仿宋_GB2312" w:hAnsi="仿宋_GB2312" w:cs="仿宋_GB2312" w:eastAsia="仿宋_GB2312"/>
                <w:sz w:val="24"/>
              </w:rPr>
              <w:t>4.招标人每天晚上9点前提供次日需要投标人配送商品的采购清单。投标人在配送、卸载商品过程中所发生的一切费用，均由投标人负责。</w:t>
            </w:r>
          </w:p>
          <w:p>
            <w:pPr>
              <w:pStyle w:val="null3"/>
              <w:jc w:val="left"/>
            </w:pPr>
            <w:r>
              <w:rPr>
                <w:rFonts w:ascii="仿宋_GB2312" w:hAnsi="仿宋_GB2312" w:cs="仿宋_GB2312" w:eastAsia="仿宋_GB2312"/>
                <w:sz w:val="24"/>
              </w:rPr>
              <w:t>5.招标人验收前，投标人配送的商品的毁损灭失的风险均由投标人自行承担，招标人只按照配送时实际收到的合格的商品的实际数量进行验收，并以实际验收数量结算货款。当投标人实际交货数量达不到招标人的订购清单要求的数量时，招标人有权要求投标人立即补足。</w:t>
            </w:r>
          </w:p>
          <w:p>
            <w:pPr>
              <w:pStyle w:val="null3"/>
              <w:jc w:val="left"/>
            </w:pPr>
            <w:r>
              <w:rPr>
                <w:rFonts w:ascii="仿宋_GB2312" w:hAnsi="仿宋_GB2312" w:cs="仿宋_GB2312" w:eastAsia="仿宋_GB2312"/>
                <w:sz w:val="24"/>
              </w:rPr>
              <w:t>6.因季节性及台风等自然灾害，部分蔬菜的价格上涨幅度过大，投标人无法承担，需临时调整价格时，应先书面通知招标人，经双方协商确认后可短暂进行调整。待市场价格回落平稳后，投标人需及时调整商品配送价格。</w:t>
            </w:r>
          </w:p>
          <w:p>
            <w:pPr>
              <w:pStyle w:val="null3"/>
              <w:jc w:val="left"/>
            </w:pPr>
            <w:r>
              <w:rPr>
                <w:rFonts w:ascii="仿宋_GB2312" w:hAnsi="仿宋_GB2312" w:cs="仿宋_GB2312" w:eastAsia="仿宋_GB2312"/>
                <w:sz w:val="24"/>
              </w:rPr>
              <w:t>7.投标人保证所配送商品的所有权完全属于投标人且无任何担保、抵押，查封等权利瑕疵，如投标人所交付的商品有产权纠纷，视为投标人违约，投标人除了退还已付的权利瑕疵商品的货款外，还应负担招标人因此而产生的一切损失</w:t>
            </w:r>
            <w:r>
              <w:rPr>
                <w:rFonts w:ascii="仿宋_GB2312" w:hAnsi="仿宋_GB2312" w:cs="仿宋_GB2312" w:eastAsia="仿宋_GB2312"/>
                <w:sz w:val="24"/>
              </w:rPr>
              <w:t>。</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七、</w:t>
            </w:r>
            <w:r>
              <w:rPr>
                <w:rFonts w:ascii="仿宋_GB2312" w:hAnsi="仿宋_GB2312" w:cs="仿宋_GB2312" w:eastAsia="仿宋_GB2312"/>
                <w:sz w:val="28"/>
                <w:b/>
              </w:rPr>
              <w:t>风险管控要求</w:t>
            </w:r>
          </w:p>
          <w:p>
            <w:pPr>
              <w:pStyle w:val="null3"/>
              <w:jc w:val="left"/>
            </w:pPr>
            <w:r>
              <w:rPr>
                <w:rFonts w:ascii="仿宋_GB2312" w:hAnsi="仿宋_GB2312" w:cs="仿宋_GB2312" w:eastAsia="仿宋_GB2312"/>
                <w:sz w:val="21"/>
              </w:rPr>
              <w:t>1.采购人对成交中标人配送的食品的质量、数量不符合文件要求的，有权拒收。</w:t>
            </w:r>
          </w:p>
          <w:p>
            <w:pPr>
              <w:pStyle w:val="null3"/>
              <w:jc w:val="left"/>
            </w:pPr>
            <w:r>
              <w:rPr>
                <w:rFonts w:ascii="仿宋_GB2312" w:hAnsi="仿宋_GB2312" w:cs="仿宋_GB2312" w:eastAsia="仿宋_GB2312"/>
                <w:sz w:val="21"/>
              </w:rPr>
              <w:t>2.发现任何质量问题，成交中标人需在30分钟以内作出答复，并妥善处理。无法在30分钟内解决的，应在1个小时内提供备用产品，使采购人能够正常使用。</w:t>
            </w:r>
          </w:p>
          <w:p>
            <w:pPr>
              <w:pStyle w:val="null3"/>
              <w:jc w:val="left"/>
            </w:pPr>
            <w:r>
              <w:rPr>
                <w:rFonts w:ascii="仿宋_GB2312" w:hAnsi="仿宋_GB2312" w:cs="仿宋_GB2312" w:eastAsia="仿宋_GB2312"/>
                <w:sz w:val="21"/>
              </w:rPr>
              <w:t>3.成交中标人提供的食品不符合卫生标准，若因食品质量原因引发食物中毒，成交中标人须承担全部经济损失和法律责任。</w:t>
            </w:r>
          </w:p>
          <w:p>
            <w:pPr>
              <w:pStyle w:val="null3"/>
              <w:jc w:val="left"/>
            </w:pPr>
            <w:r>
              <w:rPr>
                <w:rFonts w:ascii="仿宋_GB2312" w:hAnsi="仿宋_GB2312" w:cs="仿宋_GB2312" w:eastAsia="仿宋_GB2312"/>
                <w:sz w:val="21"/>
              </w:rPr>
              <w:t>4.因配送过程中出现人身等安全事故，中标人独立承担一切刑事、民事责任，与采购人无关。</w:t>
            </w:r>
          </w:p>
          <w:p>
            <w:pPr>
              <w:pStyle w:val="null3"/>
              <w:jc w:val="left"/>
            </w:pPr>
            <w:r>
              <w:rPr>
                <w:rFonts w:ascii="仿宋_GB2312" w:hAnsi="仿宋_GB2312" w:cs="仿宋_GB2312" w:eastAsia="仿宋_GB2312"/>
                <w:sz w:val="21"/>
              </w:rPr>
              <w:t>5.中标人应该按照采购人的要求，建立完整的各类物品追踪溯源体系，应当建立专门台账，按食品进货索证和台账登记本格式如实记录配送给采购人的各类物品，留存相关检验合格证明、资质证明、营业执照等有效资料，并可追踪溯源，采购人有权定期检查。</w:t>
            </w:r>
          </w:p>
          <w:p>
            <w:pPr>
              <w:pStyle w:val="null3"/>
              <w:jc w:val="left"/>
            </w:pPr>
            <w:r>
              <w:rPr>
                <w:rFonts w:ascii="仿宋_GB2312" w:hAnsi="仿宋_GB2312" w:cs="仿宋_GB2312" w:eastAsia="仿宋_GB2312"/>
                <w:sz w:val="21"/>
              </w:rPr>
              <w:t>6.采购人有权对中标人配送的各类物品自行或者委托第三方检测机构按国家有关标准进行检测，若检测不合格，采购人予以书面警告，并对该批货物予以没收销毁，不必退还中标人，防止二次流通至社会市场，由此产生的服务款项、销毁等一切费用由中标人承担。</w:t>
            </w:r>
          </w:p>
          <w:p>
            <w:pPr>
              <w:pStyle w:val="null3"/>
              <w:jc w:val="left"/>
            </w:pPr>
            <w:r>
              <w:rPr>
                <w:rFonts w:ascii="仿宋_GB2312" w:hAnsi="仿宋_GB2312" w:cs="仿宋_GB2312" w:eastAsia="仿宋_GB2312"/>
                <w:sz w:val="21"/>
              </w:rPr>
              <w:t>7.食堂所有工作人员必须持有有效的健康证明，定期进行健康检查。患有传染性疾病或其他有碍食品安全疾病的人员，不得从事该项工作。</w:t>
            </w:r>
          </w:p>
          <w:p>
            <w:pPr>
              <w:pStyle w:val="null3"/>
              <w:jc w:val="left"/>
            </w:pPr>
            <w:r>
              <w:rPr>
                <w:rFonts w:ascii="仿宋_GB2312" w:hAnsi="仿宋_GB2312" w:cs="仿宋_GB2312" w:eastAsia="仿宋_GB2312"/>
                <w:sz w:val="21"/>
              </w:rPr>
              <w:t>8.采购人与中标人提供服务的劳动者之间不存在劳动合同关系，中标人不得将对劳动者的法定义务转嫁于采购人。投标人负责服务人员的人身安全、健康、意外以及劳动争议等所有问题处置，承担所有人事风险责任（包括法律、经济赔偿责任）。</w:t>
            </w:r>
          </w:p>
          <w:p>
            <w:pPr>
              <w:pStyle w:val="null3"/>
              <w:jc w:val="both"/>
            </w:pPr>
            <w:r>
              <w:rPr>
                <w:rFonts w:ascii="仿宋_GB2312" w:hAnsi="仿宋_GB2312" w:cs="仿宋_GB2312" w:eastAsia="仿宋_GB2312"/>
                <w:sz w:val="21"/>
              </w:rPr>
              <w:t>9.中标人在服务期内由于管理不善造成群众、采购人等相关人员人身伤亡和财产损失的，由中标人负责赔偿。中标人所委派的工作人员在本项目范围内发生违法、违规行为的，所造成一切后果及损失，由中标人承担责任和负责赔偿</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pPr>
            <w:r>
              <w:rPr>
                <w:rFonts w:ascii="仿宋_GB2312" w:hAnsi="仿宋_GB2312" w:cs="仿宋_GB2312" w:eastAsia="仿宋_GB2312"/>
                <w:sz w:val="32"/>
                <w:b/>
              </w:rPr>
              <w:t>履约验收要求</w:t>
            </w:r>
          </w:p>
          <w:p>
            <w:pPr>
              <w:pStyle w:val="null3"/>
              <w:jc w:val="left"/>
            </w:pPr>
            <w:r>
              <w:rPr>
                <w:rFonts w:ascii="仿宋_GB2312" w:hAnsi="仿宋_GB2312" w:cs="仿宋_GB2312" w:eastAsia="仿宋_GB2312"/>
                <w:sz w:val="28"/>
                <w:b/>
                <w:i/>
              </w:rPr>
              <w:t>1总体要求</w:t>
            </w:r>
          </w:p>
          <w:tbl>
            <w:tblPr>
              <w:tblInd w:type="dxa" w:w="15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验收名称</w:t>
                  </w:r>
                </w:p>
              </w:tc>
              <w:tc>
                <w:tcPr>
                  <w:tcW w:type="dxa" w:w="1276"/>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验收要求</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2次验收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3次验收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4次验收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5次验收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6次验收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7次验收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8次验收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9次验收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10次验收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11次验收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12次验收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根据每个季度验收评分表格进行评分，合格并由相关部门人员签名，完成验收</w:t>
                  </w:r>
                </w:p>
              </w:tc>
            </w:tr>
          </w:tbl>
          <w:p>
            <w:pPr>
              <w:pStyle w:val="null3"/>
              <w:jc w:val="left"/>
            </w:pPr>
            <w:r>
              <w:rPr>
                <w:rFonts w:ascii="仿宋_GB2312" w:hAnsi="仿宋_GB2312" w:cs="仿宋_GB2312" w:eastAsia="仿宋_GB2312"/>
                <w:sz w:val="28"/>
                <w:b/>
                <w:i/>
              </w:rPr>
              <w:t>2具体要求</w:t>
            </w:r>
          </w:p>
          <w:p>
            <w:pPr>
              <w:pStyle w:val="null3"/>
              <w:jc w:val="left"/>
            </w:pPr>
            <w:r>
              <w:rPr>
                <w:rFonts w:ascii="仿宋_GB2312" w:hAnsi="仿宋_GB2312" w:cs="仿宋_GB2312" w:eastAsia="仿宋_GB2312"/>
                <w:sz w:val="22"/>
              </w:rPr>
              <w:t>（一）物业公司应制定符合招标方需求的物业服务各项工作的规范、流程等相关规章制度，提交招标方备案，并在履约过程中严格遵守相关规章制度。</w:t>
            </w:r>
          </w:p>
          <w:p>
            <w:pPr>
              <w:pStyle w:val="null3"/>
              <w:jc w:val="left"/>
            </w:pPr>
            <w:r>
              <w:rPr>
                <w:rFonts w:ascii="仿宋_GB2312" w:hAnsi="仿宋_GB2312" w:cs="仿宋_GB2312" w:eastAsia="仿宋_GB2312"/>
                <w:sz w:val="22"/>
              </w:rPr>
              <w:t>（二）采购人按月对供应商履行合同情况（服务质量）进行考核，形成书面的</w:t>
            </w:r>
            <w:r>
              <w:rPr>
                <w:rFonts w:ascii="仿宋_GB2312" w:hAnsi="仿宋_GB2312" w:cs="仿宋_GB2312" w:eastAsia="仿宋_GB2312"/>
                <w:sz w:val="22"/>
              </w:rPr>
              <w:t>“履约验收意见报告”；若供应商提供的某项服务质量存在不合格的问题，供应商应在采购人要求期限进行整改，在限期未整改到位，采购人将按每项扣减当月应付的物业服务费5%；连续三次考核不合格，且整改不到位的，采购人除按上标准扣减供应商的物业服务费之外，提前免责解除合同。</w:t>
            </w:r>
          </w:p>
          <w:p>
            <w:pPr>
              <w:pStyle w:val="null3"/>
              <w:jc w:val="left"/>
            </w:pPr>
            <w:r>
              <w:rPr>
                <w:rFonts w:ascii="仿宋_GB2312" w:hAnsi="仿宋_GB2312" w:cs="仿宋_GB2312" w:eastAsia="仿宋_GB2312"/>
                <w:sz w:val="22"/>
              </w:rPr>
              <w:t>（三）供应商应按照采购人需求的服务岗位人员的编制进行配置，不得减岗缩编；每月在岗在编人员向采购人报备在岗在编人员名单，接受采购人监督。如供应商擅自减编人员，采购人按缺编岗位人员的人数和供应商的中标价中该岗位人员费用标准扣减供应商的物业服务费。</w:t>
            </w:r>
          </w:p>
          <w:p>
            <w:pPr>
              <w:pStyle w:val="null3"/>
              <w:jc w:val="left"/>
            </w:pPr>
            <w:r>
              <w:rPr>
                <w:rFonts w:ascii="仿宋_GB2312" w:hAnsi="仿宋_GB2312" w:cs="仿宋_GB2312" w:eastAsia="仿宋_GB2312"/>
                <w:sz w:val="22"/>
              </w:rPr>
              <w:t>（四）因供应商单方面原因导致服务质量不合格，造成采购人经济损失的，供应商应当等额赔偿，此经济损失，采购人从应付的物业服务费中扣减，不足扣减部分，供应商应及时予以补交</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服务期限：自合同签订之日起满</w:t>
            </w:r>
            <w:r>
              <w:rPr>
                <w:rFonts w:ascii="仿宋_GB2312" w:hAnsi="仿宋_GB2312" w:cs="仿宋_GB2312" w:eastAsia="仿宋_GB2312"/>
              </w:rPr>
              <w:t>3</w:t>
            </w:r>
            <w:r>
              <w:rPr>
                <w:rFonts w:ascii="仿宋_GB2312" w:hAnsi="仿宋_GB2312" w:cs="仿宋_GB2312" w:eastAsia="仿宋_GB2312"/>
              </w:rPr>
              <w:t>年。</w:t>
            </w:r>
          </w:p>
          <w:p>
            <w:pPr>
              <w:pStyle w:val="null3"/>
              <w:jc w:val="left"/>
            </w:pPr>
            <w:r>
              <w:rPr>
                <w:rFonts w:ascii="仿宋_GB2312" w:hAnsi="仿宋_GB2312" w:cs="仿宋_GB2312" w:eastAsia="仿宋_GB2312"/>
              </w:rPr>
              <w:t>服务地点：</w:t>
            </w:r>
          </w:p>
          <w:p>
            <w:pPr>
              <w:pStyle w:val="null3"/>
              <w:jc w:val="left"/>
            </w:pPr>
            <w:r>
              <w:rPr>
                <w:rFonts w:ascii="仿宋_GB2312" w:hAnsi="仿宋_GB2312" w:cs="仿宋_GB2312" w:eastAsia="仿宋_GB2312"/>
              </w:rPr>
              <w:t>（一）位海南省文昌市文城镇文清大道</w:t>
            </w:r>
            <w:r>
              <w:rPr>
                <w:rFonts w:ascii="仿宋_GB2312" w:hAnsi="仿宋_GB2312" w:cs="仿宋_GB2312" w:eastAsia="仿宋_GB2312"/>
              </w:rPr>
              <w:t>477号局机关办公区的物业管理面积8118.58m²，其中房屋建筑面积5279.44m²，室外场地面积2839.14m²；</w:t>
            </w:r>
          </w:p>
          <w:p>
            <w:pPr>
              <w:pStyle w:val="null3"/>
              <w:jc w:val="left"/>
            </w:pPr>
            <w:r>
              <w:rPr>
                <w:rFonts w:ascii="仿宋_GB2312" w:hAnsi="仿宋_GB2312" w:cs="仿宋_GB2312" w:eastAsia="仿宋_GB2312"/>
              </w:rPr>
              <w:t>（二）位于海南省文昌市文城镇文清大道</w:t>
            </w:r>
            <w:r>
              <w:rPr>
                <w:rFonts w:ascii="仿宋_GB2312" w:hAnsi="仿宋_GB2312" w:cs="仿宋_GB2312" w:eastAsia="仿宋_GB2312"/>
              </w:rPr>
              <w:t>341号二分局办公区的物业管理面积3409.00m²，其中房屋建筑面积3409.00m²；</w:t>
            </w:r>
          </w:p>
          <w:p>
            <w:pPr>
              <w:pStyle w:val="null3"/>
              <w:jc w:val="left"/>
            </w:pPr>
            <w:r>
              <w:rPr>
                <w:rFonts w:ascii="仿宋_GB2312" w:hAnsi="仿宋_GB2312" w:cs="仿宋_GB2312" w:eastAsia="仿宋_GB2312"/>
              </w:rPr>
              <w:t>（三）位于海南省文昌市文城镇文建路</w:t>
            </w:r>
            <w:r>
              <w:rPr>
                <w:rFonts w:ascii="仿宋_GB2312" w:hAnsi="仿宋_GB2312" w:cs="仿宋_GB2312" w:eastAsia="仿宋_GB2312"/>
              </w:rPr>
              <w:t>147号文城分局办公区的物业管理面积1744.69m²，其中房屋建筑面积1496.47m²，室外场地面积 248.22m²；</w:t>
            </w:r>
          </w:p>
          <w:p>
            <w:pPr>
              <w:pStyle w:val="null3"/>
              <w:jc w:val="left"/>
            </w:pPr>
            <w:r>
              <w:rPr>
                <w:rFonts w:ascii="仿宋_GB2312" w:hAnsi="仿宋_GB2312" w:cs="仿宋_GB2312" w:eastAsia="仿宋_GB2312"/>
              </w:rPr>
              <w:t>（四）位于海南省文昌市东郊镇东郊分局办公区的物业管理面积</w:t>
            </w:r>
            <w:r>
              <w:rPr>
                <w:rFonts w:ascii="仿宋_GB2312" w:hAnsi="仿宋_GB2312" w:cs="仿宋_GB2312" w:eastAsia="仿宋_GB2312"/>
              </w:rPr>
              <w:t>980.91m²，其中房屋建筑面积517.00m²，室外场地面积463.91m²；</w:t>
            </w:r>
          </w:p>
          <w:p>
            <w:pPr>
              <w:pStyle w:val="null3"/>
              <w:jc w:val="left"/>
            </w:pPr>
            <w:r>
              <w:rPr>
                <w:rFonts w:ascii="仿宋_GB2312" w:hAnsi="仿宋_GB2312" w:cs="仿宋_GB2312" w:eastAsia="仿宋_GB2312"/>
              </w:rPr>
              <w:t>（五）位于海南省文昌市铺前镇铺前分局办公区的物业管理面积</w:t>
            </w:r>
            <w:r>
              <w:rPr>
                <w:rFonts w:ascii="仿宋_GB2312" w:hAnsi="仿宋_GB2312" w:cs="仿宋_GB2312" w:eastAsia="仿宋_GB2312"/>
              </w:rPr>
              <w:t>1249.31m²，其中房屋建筑面积620.42m²，室外场地面积628.89m²；</w:t>
            </w:r>
          </w:p>
          <w:p>
            <w:pPr>
              <w:pStyle w:val="null3"/>
              <w:jc w:val="left"/>
            </w:pPr>
            <w:r>
              <w:rPr>
                <w:rFonts w:ascii="仿宋_GB2312" w:hAnsi="仿宋_GB2312" w:cs="仿宋_GB2312" w:eastAsia="仿宋_GB2312"/>
              </w:rPr>
              <w:t>（六）位于海南省文昌市会文镇会文分局办公区的物业管理面积</w:t>
            </w:r>
            <w:r>
              <w:rPr>
                <w:rFonts w:ascii="仿宋_GB2312" w:hAnsi="仿宋_GB2312" w:cs="仿宋_GB2312" w:eastAsia="仿宋_GB2312"/>
              </w:rPr>
              <w:t>587.53m²，其中房屋建筑面积408.80m²，室外场地面积178.73m²；</w:t>
            </w:r>
          </w:p>
          <w:p>
            <w:pPr>
              <w:pStyle w:val="null3"/>
              <w:jc w:val="left"/>
            </w:pPr>
            <w:r>
              <w:rPr>
                <w:rFonts w:ascii="仿宋_GB2312" w:hAnsi="仿宋_GB2312" w:cs="仿宋_GB2312" w:eastAsia="仿宋_GB2312"/>
              </w:rPr>
              <w:t>（七）位于海南省文昌市潭牛镇潭牛分局办公区的物业管理面积</w:t>
            </w:r>
            <w:r>
              <w:rPr>
                <w:rFonts w:ascii="仿宋_GB2312" w:hAnsi="仿宋_GB2312" w:cs="仿宋_GB2312" w:eastAsia="仿宋_GB2312"/>
              </w:rPr>
              <w:t>1320.63m²，其中房屋建筑面积1104.96m²，室外场地面积215.67m²；</w:t>
            </w:r>
          </w:p>
          <w:p>
            <w:pPr>
              <w:pStyle w:val="null3"/>
              <w:jc w:val="both"/>
            </w:pPr>
            <w:r>
              <w:rPr>
                <w:rFonts w:ascii="仿宋_GB2312" w:hAnsi="仿宋_GB2312" w:cs="仿宋_GB2312" w:eastAsia="仿宋_GB2312"/>
                <w:sz w:val="21"/>
              </w:rPr>
              <w:t>（八）位于海南省文昌市龙楼镇龙楼分局办公区的物业管理面积</w:t>
            </w:r>
            <w:r>
              <w:rPr>
                <w:rFonts w:ascii="仿宋_GB2312" w:hAnsi="仿宋_GB2312" w:cs="仿宋_GB2312" w:eastAsia="仿宋_GB2312"/>
                <w:sz w:val="21"/>
              </w:rPr>
              <w:t>2853.60m²，其中房屋建筑面积1092.66m²，室外场地面积1760.94m²</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b/>
              </w:rPr>
              <w:t>511</w:t>
            </w:r>
            <w:r>
              <w:rPr>
                <w:rFonts w:ascii="仿宋_GB2312" w:hAnsi="仿宋_GB2312" w:cs="仿宋_GB2312" w:eastAsia="仿宋_GB2312"/>
                <w:sz w:val="21"/>
                <w:b/>
              </w:rPr>
              <w:t>.</w:t>
            </w:r>
            <w:r>
              <w:rPr>
                <w:rFonts w:ascii="仿宋_GB2312" w:hAnsi="仿宋_GB2312" w:cs="仿宋_GB2312" w:eastAsia="仿宋_GB2312"/>
                <w:sz w:val="21"/>
                <w:b/>
              </w:rPr>
              <w:t>2648</w:t>
            </w:r>
            <w:r>
              <w:rPr>
                <w:rFonts w:ascii="仿宋_GB2312" w:hAnsi="仿宋_GB2312" w:cs="仿宋_GB2312" w:eastAsia="仿宋_GB2312"/>
                <w:sz w:val="21"/>
                <w:b/>
              </w:rPr>
              <w:t>万元（报价不得超过采购预算）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pPr>
            <w:r>
              <w:rPr>
                <w:rFonts w:ascii="仿宋_GB2312" w:hAnsi="仿宋_GB2312" w:cs="仿宋_GB2312" w:eastAsia="仿宋_GB2312"/>
                <w:sz w:val="32"/>
                <w:b/>
              </w:rPr>
              <w:t>履约验收要求</w:t>
            </w:r>
          </w:p>
          <w:p>
            <w:pPr>
              <w:pStyle w:val="null3"/>
              <w:jc w:val="left"/>
            </w:pPr>
            <w:r>
              <w:rPr>
                <w:rFonts w:ascii="仿宋_GB2312" w:hAnsi="仿宋_GB2312" w:cs="仿宋_GB2312" w:eastAsia="仿宋_GB2312"/>
                <w:sz w:val="28"/>
                <w:b/>
                <w:i/>
              </w:rPr>
              <w:t>1总体要求</w:t>
            </w:r>
          </w:p>
          <w:tbl>
            <w:tblPr>
              <w:tblInd w:type="dxa" w:w="150"/>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验收名称</w:t>
                  </w:r>
                </w:p>
              </w:tc>
              <w:tc>
                <w:tcPr>
                  <w:tcW w:type="dxa" w:w="1276"/>
                  <w:tcBorders>
                    <w:top w:val="single" w:color="000000" w:sz="4"/>
                    <w:left w:val="none" w:color="000000" w:sz="4"/>
                    <w:bottom w:val="single" w:color="000000" w:sz="4"/>
                    <w:right w:val="single" w:color="000000" w:sz="4"/>
                  </w:tcBorders>
                  <w:shd w:fill="D3D3D3"/>
                  <w:tcMar>
                    <w:top w:type="dxa" w:w="15"/>
                    <w:left w:type="dxa" w:w="15"/>
                    <w:bottom w:type="dxa" w:w="15"/>
                    <w:right w:type="dxa" w:w="15"/>
                  </w:tcMar>
                  <w:vAlign w:val="top"/>
                </w:tcPr>
                <w:p>
                  <w:pPr>
                    <w:pStyle w:val="null3"/>
                    <w:jc w:val="center"/>
                  </w:pPr>
                  <w:r>
                    <w:rPr>
                      <w:rFonts w:ascii="仿宋_GB2312" w:hAnsi="仿宋_GB2312" w:cs="仿宋_GB2312" w:eastAsia="仿宋_GB2312"/>
                      <w:sz w:val="21"/>
                      <w:b/>
                      <w:color w:val="000000"/>
                    </w:rPr>
                    <w:t>验收要求</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2次验收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3次验收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4次验收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5次验收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6次验收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7次验收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8次验收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9次验收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10次验收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11次验收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r>
              <w:tc>
                <w:tcPr>
                  <w:tcW w:type="dxa" w:w="127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第</w:t>
                  </w:r>
                  <w:r>
                    <w:rPr>
                      <w:rFonts w:ascii="仿宋_GB2312" w:hAnsi="仿宋_GB2312" w:cs="仿宋_GB2312" w:eastAsia="仿宋_GB2312"/>
                      <w:sz w:val="21"/>
                      <w:color w:val="000000"/>
                    </w:rPr>
                    <w:t>12次验收</w:t>
                  </w:r>
                </w:p>
              </w:tc>
              <w:tc>
                <w:tcPr>
                  <w:tcW w:type="dxa" w:w="12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根据每个季度验收评分表格进行评分，结合各月实际用餐人员台账，验收合格并由相关部门人员签名，完成验收</w:t>
                  </w:r>
                </w:p>
              </w:tc>
            </w:tr>
          </w:tbl>
          <w:p>
            <w:pPr>
              <w:pStyle w:val="null3"/>
              <w:jc w:val="left"/>
            </w:pPr>
            <w:r>
              <w:rPr>
                <w:rFonts w:ascii="仿宋_GB2312" w:hAnsi="仿宋_GB2312" w:cs="仿宋_GB2312" w:eastAsia="仿宋_GB2312"/>
                <w:sz w:val="28"/>
                <w:b/>
                <w:i/>
              </w:rPr>
              <w:t>2具体要求</w:t>
            </w:r>
          </w:p>
          <w:p>
            <w:pPr>
              <w:pStyle w:val="null3"/>
              <w:ind w:firstLine="210"/>
              <w:jc w:val="both"/>
            </w:pPr>
            <w:r>
              <w:rPr>
                <w:rFonts w:ascii="仿宋_GB2312" w:hAnsi="仿宋_GB2312" w:cs="仿宋_GB2312" w:eastAsia="仿宋_GB2312"/>
                <w:sz w:val="21"/>
              </w:rPr>
              <w:t>（一）采购人有权根据中标人的配送食材质量、服务质量、响应及时程度等情况终止其供货资格。</w:t>
            </w:r>
          </w:p>
          <w:p>
            <w:pPr>
              <w:pStyle w:val="null3"/>
              <w:ind w:firstLine="210"/>
              <w:jc w:val="both"/>
            </w:pPr>
            <w:r>
              <w:rPr>
                <w:rFonts w:ascii="仿宋_GB2312" w:hAnsi="仿宋_GB2312" w:cs="仿宋_GB2312" w:eastAsia="仿宋_GB2312"/>
                <w:sz w:val="21"/>
              </w:rPr>
              <w:t>（二）采购人提出存在的问题作出响应并实施整改，若不改正，采购人有权终止其供货资格。</w:t>
            </w:r>
          </w:p>
          <w:p>
            <w:pPr>
              <w:pStyle w:val="null3"/>
              <w:ind w:firstLine="210"/>
              <w:jc w:val="both"/>
            </w:pPr>
            <w:r>
              <w:rPr>
                <w:rFonts w:ascii="仿宋_GB2312" w:hAnsi="仿宋_GB2312" w:cs="仿宋_GB2312" w:eastAsia="仿宋_GB2312"/>
                <w:sz w:val="21"/>
              </w:rPr>
              <w:t>（三）考核标准：采购人在服务期限内按季度对中标人实行考核制度</w:t>
            </w:r>
            <w:r>
              <w:rPr>
                <w:rFonts w:ascii="仿宋_GB2312" w:hAnsi="仿宋_GB2312" w:cs="仿宋_GB2312" w:eastAsia="仿宋_GB2312"/>
                <w:sz w:val="21"/>
              </w:rPr>
              <w:t>1. 中标人单次综合考核在80～90分，采购人将对乙方作出警告处理，中标人连续两次受到警告处理的，采购人有权在食堂服务费中扣减第二次考核期服务费2000元；2. 中标人单次综合考核在低于80分，采购人有权在食堂服务费中扣减2000元；3.中标人连续两次综合考核低于80分 （不含），采购人有权终止合同，且不予中标人任何补偿。</w:t>
            </w:r>
          </w:p>
          <w:p>
            <w:pPr>
              <w:pStyle w:val="null3"/>
              <w:ind w:firstLine="210"/>
              <w:jc w:val="both"/>
            </w:pPr>
            <w:r>
              <w:rPr>
                <w:rFonts w:ascii="仿宋_GB2312" w:hAnsi="仿宋_GB2312" w:cs="仿宋_GB2312" w:eastAsia="仿宋_GB2312"/>
                <w:sz w:val="21"/>
              </w:rPr>
              <w:t>（四）</w:t>
            </w:r>
          </w:p>
          <w:p>
            <w:pPr>
              <w:pStyle w:val="null3"/>
              <w:ind w:firstLine="210"/>
              <w:jc w:val="center"/>
            </w:pPr>
            <w:r>
              <w:rPr>
                <w:rFonts w:ascii="仿宋_GB2312" w:hAnsi="仿宋_GB2312" w:cs="仿宋_GB2312" w:eastAsia="仿宋_GB2312"/>
                <w:sz w:val="21"/>
                <w:b/>
              </w:rPr>
              <w:t>食堂验收评分表</w:t>
            </w:r>
          </w:p>
          <w:tbl>
            <w:tblPr>
              <w:tblInd w:type="dxa" w:w="15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序号</w:t>
                  </w:r>
                </w:p>
              </w:tc>
              <w:tc>
                <w:tcPr>
                  <w:tcW w:type="dxa" w:w="511"/>
                  <w:tcBorders>
                    <w:top w:val="single" w:color="808080" w:sz="4"/>
                    <w:left w:val="none" w:color="000000" w:sz="4"/>
                    <w:bottom w:val="single" w:color="808080" w:sz="4"/>
                    <w:right w:val="single" w:color="808080" w:sz="4"/>
                  </w:tcBorders>
                  <w:tcMar>
                    <w:top w:type="dxa" w:w="0"/>
                    <w:left w:type="dxa" w:w="120"/>
                    <w:bottom w:type="dxa" w:w="0"/>
                    <w:right w:type="dxa" w:w="135"/>
                  </w:tcMar>
                  <w:vAlign w:val="top"/>
                </w:tcPr>
                <w:p>
                  <w:pPr>
                    <w:pStyle w:val="null3"/>
                    <w:spacing w:after="240"/>
                    <w:jc w:val="center"/>
                  </w:pPr>
                  <w:r>
                    <w:rPr>
                      <w:rFonts w:ascii="仿宋_GB2312" w:hAnsi="仿宋_GB2312" w:cs="仿宋_GB2312" w:eastAsia="仿宋_GB2312"/>
                      <w:sz w:val="21"/>
                      <w:color w:val="000000"/>
                    </w:rPr>
                    <w:t>考核</w:t>
                  </w:r>
                </w:p>
                <w:p>
                  <w:pPr>
                    <w:pStyle w:val="null3"/>
                    <w:spacing w:before="240"/>
                    <w:jc w:val="center"/>
                  </w:pPr>
                  <w:r>
                    <w:rPr>
                      <w:rFonts w:ascii="仿宋_GB2312" w:hAnsi="仿宋_GB2312" w:cs="仿宋_GB2312" w:eastAsia="仿宋_GB2312"/>
                      <w:sz w:val="21"/>
                      <w:color w:val="000000"/>
                    </w:rPr>
                    <w:t>项目</w:t>
                  </w:r>
                </w:p>
              </w:tc>
              <w:tc>
                <w:tcPr>
                  <w:tcW w:type="dxa" w:w="511"/>
                  <w:tcBorders>
                    <w:top w:val="single" w:color="80808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考核标准</w:t>
                  </w:r>
                </w:p>
              </w:tc>
              <w:tc>
                <w:tcPr>
                  <w:tcW w:type="dxa" w:w="511"/>
                  <w:tcBorders>
                    <w:top w:val="single" w:color="80808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标准分</w:t>
                  </w:r>
                </w:p>
              </w:tc>
              <w:tc>
                <w:tcPr>
                  <w:tcW w:type="dxa" w:w="511"/>
                  <w:tcBorders>
                    <w:top w:val="single" w:color="80808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评分标准</w:t>
                  </w:r>
                </w:p>
              </w:tc>
            </w:tr>
            <w:tr>
              <w:tc>
                <w:tcPr>
                  <w:tcW w:type="dxa" w:w="511"/>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1</w:t>
                  </w:r>
                </w:p>
              </w:tc>
              <w:tc>
                <w:tcPr>
                  <w:tcW w:type="dxa" w:w="511"/>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员工管理</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出勤：按服务标准设定的岗位及需要时段的排班表，确保相关人员到岗，缺岗的扣分</w:t>
                  </w:r>
                </w:p>
              </w:tc>
              <w:tc>
                <w:tcPr>
                  <w:tcW w:type="dxa" w:w="511"/>
                  <w:vMerge w:val="restart"/>
                  <w:tcBorders>
                    <w:top w:val="none" w:color="000000" w:sz="4"/>
                    <w:left w:val="none" w:color="000000" w:sz="4"/>
                    <w:bottom w:val="none" w:color="000000" w:sz="4"/>
                    <w:right w:val="single" w:color="808080" w:sz="4"/>
                  </w:tcBorders>
                  <w:shd w:fill="FFFFFF"/>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10分</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着装规范：所有工作人员按规定着装，必须做到服装整洁，对熟食品操作、传菜及服务人员还需戴口罩，未到位的扣分</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仪表规范：女员工允许化淡妆，不准使用怪异或浓烈的香水，面容整洁，头型按规定梳理；男不留长发，不许留胡须。不准佩戴首饰。不留长指甲，不允许涂指甲油</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操作规范：服务人员仪态端庄，微笑热情，耐心细致，不得与就餐人员发生争执</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所有人员必须持有效证件及健康证上岗</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2</w:t>
                  </w:r>
                </w:p>
              </w:tc>
              <w:tc>
                <w:tcPr>
                  <w:tcW w:type="dxa" w:w="511"/>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服务质量管理</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餐前按服务标准做好准备工作</w:t>
                  </w:r>
                </w:p>
              </w:tc>
              <w:tc>
                <w:tcPr>
                  <w:tcW w:type="dxa" w:w="511"/>
                  <w:vMerge w:val="restart"/>
                  <w:tcBorders>
                    <w:top w:val="none" w:color="000000" w:sz="4"/>
                    <w:left w:val="none" w:color="000000" w:sz="4"/>
                    <w:bottom w:val="none" w:color="000000" w:sz="4"/>
                    <w:right w:val="single" w:color="808080" w:sz="4"/>
                  </w:tcBorders>
                  <w:shd w:fill="FFFFFF"/>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10分</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开餐时及时清理售餐台、餐桌上的菜汤和残食，清理地面水渍、汤等污渍，不留积水与污渍保证售餐台和餐厅地面保持清洁</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保证营业时间，保证饭菜供应，不得出现断供情况，按实际需求做好饭菜保温工作</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开餐后按服务标准做好整理工作</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用餐结束后及时清理售餐台、餐桌上的菜汤和残食，清理地面水渍、汤等污渍，不留积水与污渍保证售餐台和餐厅地面保持清洁</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1次扣0.2分</w:t>
                  </w:r>
                </w:p>
              </w:tc>
            </w:tr>
            <w:tr>
              <w:tc>
                <w:tcPr>
                  <w:tcW w:type="dxa" w:w="511"/>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3</w:t>
                  </w:r>
                </w:p>
              </w:tc>
              <w:tc>
                <w:tcPr>
                  <w:tcW w:type="dxa" w:w="511"/>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后厨操作管理</w:t>
                  </w:r>
                </w:p>
              </w:tc>
              <w:tc>
                <w:tcPr>
                  <w:tcW w:type="dxa" w:w="511"/>
                  <w:tcBorders>
                    <w:top w:val="none" w:color="00000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both"/>
                  </w:pPr>
                  <w:r>
                    <w:rPr>
                      <w:rFonts w:ascii="仿宋_GB2312" w:hAnsi="仿宋_GB2312" w:cs="仿宋_GB2312" w:eastAsia="仿宋_GB2312"/>
                      <w:sz w:val="21"/>
                      <w:color w:val="000000"/>
                    </w:rPr>
                    <w:t>提前对每天就餐人数进行合理估算，做好供餐计划</w:t>
                  </w:r>
                </w:p>
              </w:tc>
              <w:tc>
                <w:tcPr>
                  <w:tcW w:type="dxa" w:w="511"/>
                  <w:vMerge w:val="restart"/>
                  <w:tcBorders>
                    <w:top w:val="none" w:color="000000" w:sz="4"/>
                    <w:left w:val="none" w:color="000000" w:sz="4"/>
                    <w:bottom w:val="none" w:color="000000" w:sz="4"/>
                    <w:right w:val="single" w:color="80808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21"/>
                      <w:color w:val="000000"/>
                    </w:rPr>
                    <w:t>10分</w:t>
                  </w:r>
                </w:p>
              </w:tc>
              <w:tc>
                <w:tcPr>
                  <w:tcW w:type="dxa" w:w="511"/>
                  <w:tcBorders>
                    <w:top w:val="none" w:color="000000" w:sz="4"/>
                    <w:left w:val="none" w:color="000000" w:sz="4"/>
                    <w:bottom w:val="single" w:color="808080" w:sz="4"/>
                    <w:right w:val="single" w:color="808080" w:sz="4"/>
                  </w:tcBorders>
                  <w:shd w:fill="FFFFFF"/>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按照菜谱提供饭菜，不得擅自变更</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验收时做到专人验收，不得营私舞弊</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泔水、垃圾等废弃物当餐必须清除，废弃物存放在垃圾通道指定位置并盖好，不得有不良气味或有害（有毒）气体溢出，采取应急措施并立即上报</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仓库服务标准摆放整齐，调物料分开，存储量符合库房管理要求</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按服务标准做好所有用具复位工作</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4</w:t>
                  </w:r>
                </w:p>
              </w:tc>
              <w:tc>
                <w:tcPr>
                  <w:tcW w:type="dxa" w:w="511"/>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安全卫生管理</w:t>
                  </w:r>
                </w:p>
              </w:tc>
              <w:tc>
                <w:tcPr>
                  <w:tcW w:type="dxa" w:w="511"/>
                  <w:tcBorders>
                    <w:top w:val="none" w:color="00000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both"/>
                  </w:pPr>
                  <w:r>
                    <w:rPr>
                      <w:rFonts w:ascii="仿宋_GB2312" w:hAnsi="仿宋_GB2312" w:cs="仿宋_GB2312" w:eastAsia="仿宋_GB2312"/>
                      <w:sz w:val="21"/>
                      <w:color w:val="000000"/>
                    </w:rPr>
                    <w:t>按服务标准做到：生熟炊具应分开存放、分开使用；待加工食品与直接入口食品、原料与成品应分开放置</w:t>
                  </w:r>
                </w:p>
              </w:tc>
              <w:tc>
                <w:tcPr>
                  <w:tcW w:type="dxa" w:w="511"/>
                  <w:vMerge w:val="restart"/>
                  <w:tcBorders>
                    <w:top w:val="none" w:color="000000" w:sz="4"/>
                    <w:left w:val="none" w:color="000000" w:sz="4"/>
                    <w:bottom w:val="none" w:color="000000" w:sz="4"/>
                    <w:right w:val="single" w:color="80808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21"/>
                      <w:color w:val="000000"/>
                    </w:rPr>
                    <w:t>10分</w:t>
                  </w:r>
                </w:p>
              </w:tc>
              <w:tc>
                <w:tcPr>
                  <w:tcW w:type="dxa" w:w="511"/>
                  <w:tcBorders>
                    <w:top w:val="none" w:color="000000" w:sz="4"/>
                    <w:left w:val="none" w:color="000000" w:sz="4"/>
                    <w:bottom w:val="single" w:color="808080" w:sz="4"/>
                    <w:right w:val="single" w:color="808080" w:sz="4"/>
                  </w:tcBorders>
                  <w:shd w:fill="FFFFFF"/>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所有餐具（调羹、味碟、盘子、饭碗）干净无水渍，每日消毒工作规范，消毒记录完整</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食品加工安全，留样齐全，记录完整，无中毒事件发生，无三无产品和过期食品</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营业区无苍蝇蚊子，消杀记录完整。</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食堂工作人员有发热、腹泻、皮肤伤口或感染、咽部炎症等有碍食品卫生病症的，应立即调离工作岗位</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按要求做好垃圾分类工作，推进垃圾减量</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1次扣1分</w:t>
                  </w:r>
                </w:p>
              </w:tc>
            </w:tr>
            <w:tr>
              <w:tc>
                <w:tcPr>
                  <w:tcW w:type="dxa" w:w="511"/>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5</w:t>
                  </w:r>
                </w:p>
              </w:tc>
              <w:tc>
                <w:tcPr>
                  <w:tcW w:type="dxa" w:w="511"/>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节能管理</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电源设备按规定开启、关闭</w:t>
                  </w:r>
                </w:p>
              </w:tc>
              <w:tc>
                <w:tcPr>
                  <w:tcW w:type="dxa" w:w="511"/>
                  <w:vMerge w:val="restart"/>
                  <w:tcBorders>
                    <w:top w:val="none" w:color="000000" w:sz="4"/>
                    <w:left w:val="none" w:color="000000" w:sz="4"/>
                    <w:bottom w:val="none" w:color="000000" w:sz="4"/>
                    <w:right w:val="single" w:color="808080" w:sz="4"/>
                  </w:tcBorders>
                  <w:shd w:fill="FFFFFF"/>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10分</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水源按规定开启、关闭</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空调按规定开启、关闭；电视按规定时间频道播放</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制止餐饮浪费工作不力</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每发现</w:t>
                  </w:r>
                  <w:r>
                    <w:rPr>
                      <w:rFonts w:ascii="仿宋_GB2312" w:hAnsi="仿宋_GB2312" w:cs="仿宋_GB2312" w:eastAsia="仿宋_GB2312"/>
                      <w:sz w:val="21"/>
                      <w:color w:val="000000"/>
                    </w:rPr>
                    <w:t>1次扣0.5分</w:t>
                  </w:r>
                </w:p>
              </w:tc>
            </w:tr>
            <w:tr>
              <w:tc>
                <w:tcPr>
                  <w:tcW w:type="dxa" w:w="511"/>
                  <w:tcBorders>
                    <w:top w:val="none" w:color="000000" w:sz="4"/>
                    <w:left w:val="single" w:color="80808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6</w:t>
                  </w:r>
                </w:p>
              </w:tc>
              <w:tc>
                <w:tcPr>
                  <w:tcW w:type="dxa" w:w="511"/>
                  <w:tcBorders>
                    <w:top w:val="none" w:color="000000" w:sz="4"/>
                    <w:left w:val="none" w:color="000000" w:sz="4"/>
                    <w:bottom w:val="single" w:color="80808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满意度情况</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left"/>
                  </w:pPr>
                  <w:r>
                    <w:rPr>
                      <w:rFonts w:ascii="仿宋_GB2312" w:hAnsi="仿宋_GB2312" w:cs="仿宋_GB2312" w:eastAsia="仿宋_GB2312"/>
                      <w:sz w:val="21"/>
                      <w:color w:val="000000"/>
                    </w:rPr>
                    <w:t>采购人员工满意度考评情况依次为：非常满意（</w:t>
                  </w:r>
                  <w:r>
                    <w:rPr>
                      <w:rFonts w:ascii="仿宋_GB2312" w:hAnsi="仿宋_GB2312" w:cs="仿宋_GB2312" w:eastAsia="仿宋_GB2312"/>
                      <w:sz w:val="21"/>
                      <w:color w:val="000000"/>
                    </w:rPr>
                    <w:t>100分）、比较满意（90分） 、基本满意（80分）、一般满意（70分）、较差（50分）。供应商每个季度进行一次满意度调查，就餐人员调查人数应不小于45人。</w:t>
                  </w:r>
                </w:p>
              </w:tc>
              <w:tc>
                <w:tcPr>
                  <w:tcW w:type="dxa" w:w="511"/>
                  <w:tcBorders>
                    <w:top w:val="none" w:color="00000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45分</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both"/>
                  </w:pPr>
                  <w:r>
                    <w:rPr>
                      <w:rFonts w:ascii="仿宋_GB2312" w:hAnsi="仿宋_GB2312" w:cs="仿宋_GB2312" w:eastAsia="仿宋_GB2312"/>
                      <w:sz w:val="21"/>
                      <w:color w:val="000000"/>
                    </w:rPr>
                    <w:t>以</w:t>
                  </w:r>
                  <w:r>
                    <w:rPr>
                      <w:rFonts w:ascii="仿宋_GB2312" w:hAnsi="仿宋_GB2312" w:cs="仿宋_GB2312" w:eastAsia="仿宋_GB2312"/>
                      <w:sz w:val="21"/>
                      <w:color w:val="000000"/>
                    </w:rPr>
                    <w:t>45人为标准，每1人评一般满意扣1分、较差扣2分，最高扣分不超过45分</w:t>
                  </w:r>
                </w:p>
              </w:tc>
            </w:tr>
            <w:tr>
              <w:tc>
                <w:tcPr>
                  <w:tcW w:type="dxa" w:w="511"/>
                  <w:tcBorders>
                    <w:top w:val="none" w:color="000000" w:sz="4"/>
                    <w:left w:val="single" w:color="80808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7</w:t>
                  </w:r>
                </w:p>
              </w:tc>
              <w:tc>
                <w:tcPr>
                  <w:tcW w:type="dxa" w:w="1022"/>
                  <w:gridSpan w:val="2"/>
                  <w:tcBorders>
                    <w:top w:val="none" w:color="000000" w:sz="4"/>
                    <w:left w:val="none" w:color="000000" w:sz="4"/>
                    <w:bottom w:val="single" w:color="808080" w:sz="4"/>
                    <w:right w:val="single" w:color="808080" w:sz="4"/>
                  </w:tcBorders>
                  <w:tcMar>
                    <w:top w:type="dxa" w:w="0"/>
                    <w:left w:type="dxa" w:w="120"/>
                    <w:bottom w:type="dxa" w:w="0"/>
                    <w:right w:type="dxa" w:w="135"/>
                  </w:tcMar>
                  <w:vAlign w:val="top"/>
                </w:tcPr>
                <w:p>
                  <w:pPr>
                    <w:pStyle w:val="null3"/>
                    <w:jc w:val="center"/>
                  </w:pPr>
                  <w:r>
                    <w:rPr>
                      <w:rFonts w:ascii="仿宋_GB2312" w:hAnsi="仿宋_GB2312" w:cs="仿宋_GB2312" w:eastAsia="仿宋_GB2312"/>
                      <w:sz w:val="21"/>
                      <w:color w:val="000000"/>
                    </w:rPr>
                    <w:t>干部职工反映过的相关问题，后续是否得到有效整改</w:t>
                  </w:r>
                </w:p>
              </w:tc>
              <w:tc>
                <w:tcPr>
                  <w:tcW w:type="dxa" w:w="511"/>
                  <w:tcBorders>
                    <w:top w:val="none" w:color="000000" w:sz="4"/>
                    <w:left w:val="none" w:color="00000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5分</w:t>
                  </w:r>
                </w:p>
              </w:tc>
              <w:tc>
                <w:tcPr>
                  <w:tcW w:type="dxa" w:w="511"/>
                  <w:tcBorders>
                    <w:top w:val="none" w:color="000000" w:sz="4"/>
                    <w:left w:val="none" w:color="000000" w:sz="4"/>
                    <w:bottom w:val="single" w:color="808080" w:sz="4"/>
                    <w:right w:val="single" w:color="808080" w:sz="4"/>
                  </w:tcBorders>
                  <w:tcMar>
                    <w:top w:type="dxa" w:w="0"/>
                    <w:left w:type="dxa" w:w="135"/>
                    <w:bottom w:type="dxa" w:w="0"/>
                    <w:right w:type="dxa" w:w="135"/>
                  </w:tcMar>
                  <w:vAlign w:val="top"/>
                </w:tcPr>
                <w:p>
                  <w:pPr>
                    <w:pStyle w:val="null3"/>
                    <w:jc w:val="both"/>
                  </w:pPr>
                  <w:r>
                    <w:rPr>
                      <w:rFonts w:ascii="仿宋_GB2312" w:hAnsi="仿宋_GB2312" w:cs="仿宋_GB2312" w:eastAsia="仿宋_GB2312"/>
                      <w:sz w:val="21"/>
                      <w:color w:val="000000"/>
                    </w:rPr>
                    <w:t>视情相应扣分</w:t>
                  </w:r>
                </w:p>
              </w:tc>
            </w:tr>
            <w:tr>
              <w:tc>
                <w:tcPr>
                  <w:tcW w:type="dxa" w:w="511"/>
                  <w:vMerge w:val="restart"/>
                  <w:tcBorders>
                    <w:top w:val="none" w:color="000000" w:sz="4"/>
                    <w:left w:val="single" w:color="808080" w:sz="4"/>
                    <w:bottom w:val="none" w:color="00000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8</w:t>
                  </w:r>
                </w:p>
              </w:tc>
              <w:tc>
                <w:tcPr>
                  <w:tcW w:type="dxa" w:w="511"/>
                  <w:vMerge w:val="restart"/>
                  <w:tcBorders>
                    <w:top w:val="none" w:color="000000" w:sz="4"/>
                    <w:left w:val="none" w:color="000000" w:sz="4"/>
                    <w:bottom w:val="none" w:color="000000" w:sz="4"/>
                    <w:right w:val="single" w:color="808080" w:sz="4"/>
                  </w:tcBorders>
                  <w:tcMar>
                    <w:top w:type="dxa" w:w="0"/>
                    <w:left w:type="dxa" w:w="120"/>
                    <w:bottom w:type="dxa" w:w="0"/>
                    <w:right w:type="dxa" w:w="135"/>
                  </w:tcMar>
                  <w:vAlign w:val="top"/>
                </w:tcPr>
                <w:p>
                  <w:pPr>
                    <w:pStyle w:val="null3"/>
                    <w:spacing w:after="240"/>
                    <w:jc w:val="center"/>
                  </w:pPr>
                  <w:r>
                    <w:rPr>
                      <w:rFonts w:ascii="仿宋_GB2312" w:hAnsi="仿宋_GB2312" w:cs="仿宋_GB2312" w:eastAsia="仿宋_GB2312"/>
                      <w:sz w:val="21"/>
                      <w:color w:val="000000"/>
                    </w:rPr>
                    <w:t>加分</w:t>
                  </w:r>
                </w:p>
                <w:p>
                  <w:pPr>
                    <w:pStyle w:val="null3"/>
                    <w:spacing w:before="240"/>
                    <w:jc w:val="center"/>
                  </w:pPr>
                  <w:r>
                    <w:rPr>
                      <w:rFonts w:ascii="仿宋_GB2312" w:hAnsi="仿宋_GB2312" w:cs="仿宋_GB2312" w:eastAsia="仿宋_GB2312"/>
                      <w:sz w:val="21"/>
                      <w:color w:val="000000"/>
                    </w:rPr>
                    <w:t>项</w:t>
                  </w:r>
                </w:p>
              </w:tc>
              <w:tc>
                <w:tcPr>
                  <w:tcW w:type="dxa" w:w="511"/>
                  <w:tcBorders>
                    <w:top w:val="none" w:color="00000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left"/>
                  </w:pPr>
                  <w:r>
                    <w:rPr>
                      <w:rFonts w:ascii="仿宋_GB2312" w:hAnsi="仿宋_GB2312" w:cs="仿宋_GB2312" w:eastAsia="仿宋_GB2312"/>
                      <w:sz w:val="21"/>
                      <w:color w:val="000000"/>
                    </w:rPr>
                    <w:t>突发情况处置得力，表现突出的</w:t>
                  </w:r>
                </w:p>
              </w:tc>
              <w:tc>
                <w:tcPr>
                  <w:tcW w:type="dxa" w:w="511"/>
                  <w:vMerge w:val="restart"/>
                  <w:tcBorders>
                    <w:top w:val="none" w:color="000000" w:sz="4"/>
                    <w:left w:val="none" w:color="000000" w:sz="4"/>
                    <w:bottom w:val="none" w:color="000000" w:sz="4"/>
                    <w:right w:val="single" w:color="808080" w:sz="4"/>
                  </w:tcBorders>
                  <w:tcMar>
                    <w:top w:type="dxa" w:w="0"/>
                    <w:left w:type="dxa" w:w="135"/>
                    <w:bottom w:type="dxa" w:w="0"/>
                    <w:right w:type="dxa" w:w="135"/>
                  </w:tcMar>
                  <w:vAlign w:val="top"/>
                </w:tcPr>
                <w:p>
                  <w:pPr>
                    <w:pStyle w:val="null3"/>
                    <w:jc w:val="left"/>
                  </w:pPr>
                  <w:r>
                    <w:rPr>
                      <w:rFonts w:ascii="仿宋_GB2312" w:hAnsi="仿宋_GB2312" w:cs="仿宋_GB2312" w:eastAsia="仿宋_GB2312"/>
                    </w:rPr>
                    <w:t xml:space="preserve"> </w:t>
                  </w:r>
                </w:p>
              </w:tc>
              <w:tc>
                <w:tcPr>
                  <w:tcW w:type="dxa" w:w="511"/>
                  <w:tcBorders>
                    <w:top w:val="single" w:color="808080" w:sz="4"/>
                    <w:left w:val="none" w:color="000000" w:sz="4"/>
                    <w:bottom w:val="single" w:color="808080" w:sz="4"/>
                    <w:right w:val="single" w:color="808080" w:sz="4"/>
                  </w:tcBorders>
                  <w:tcMar>
                    <w:top w:type="dxa" w:w="0"/>
                    <w:left w:type="dxa" w:w="135"/>
                    <w:bottom w:type="dxa" w:w="0"/>
                    <w:right w:type="dxa" w:w="135"/>
                  </w:tcMar>
                  <w:vAlign w:val="top"/>
                </w:tcPr>
                <w:p>
                  <w:pPr>
                    <w:pStyle w:val="null3"/>
                    <w:jc w:val="left"/>
                  </w:pPr>
                  <w:r>
                    <w:rPr>
                      <w:rFonts w:ascii="仿宋_GB2312" w:hAnsi="仿宋_GB2312" w:cs="仿宋_GB2312" w:eastAsia="仿宋_GB2312"/>
                      <w:sz w:val="21"/>
                      <w:color w:val="000000"/>
                    </w:rPr>
                    <w:t>按次加</w:t>
                  </w:r>
                  <w:r>
                    <w:rPr>
                      <w:rFonts w:ascii="仿宋_GB2312" w:hAnsi="仿宋_GB2312" w:cs="仿宋_GB2312" w:eastAsia="仿宋_GB2312"/>
                      <w:sz w:val="21"/>
                      <w:color w:val="000000"/>
                    </w:rPr>
                    <w:t>0.5-1分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left"/>
                  </w:pPr>
                  <w:r>
                    <w:rPr>
                      <w:rFonts w:ascii="仿宋_GB2312" w:hAnsi="仿宋_GB2312" w:cs="仿宋_GB2312" w:eastAsia="仿宋_GB2312"/>
                      <w:sz w:val="21"/>
                      <w:color w:val="000000"/>
                    </w:rPr>
                    <w:t>在各种比赛或是评奖中荣获荣誉的；在服务工作中表现突出受到有效表扬的</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tcMar>
                    <w:top w:type="dxa" w:w="0"/>
                    <w:left w:type="dxa" w:w="135"/>
                    <w:bottom w:type="dxa" w:w="0"/>
                    <w:right w:type="dxa" w:w="135"/>
                  </w:tcMar>
                  <w:vAlign w:val="top"/>
                </w:tcPr>
                <w:p>
                  <w:pPr>
                    <w:pStyle w:val="null3"/>
                    <w:jc w:val="left"/>
                  </w:pPr>
                  <w:r>
                    <w:rPr>
                      <w:rFonts w:ascii="仿宋_GB2312" w:hAnsi="仿宋_GB2312" w:cs="仿宋_GB2312" w:eastAsia="仿宋_GB2312"/>
                      <w:sz w:val="21"/>
                      <w:color w:val="000000"/>
                    </w:rPr>
                    <w:t>按次加</w:t>
                  </w:r>
                  <w:r>
                    <w:rPr>
                      <w:rFonts w:ascii="仿宋_GB2312" w:hAnsi="仿宋_GB2312" w:cs="仿宋_GB2312" w:eastAsia="仿宋_GB2312"/>
                      <w:sz w:val="21"/>
                      <w:color w:val="000000"/>
                    </w:rPr>
                    <w:t>0.5-1分</w:t>
                  </w:r>
                </w:p>
              </w:tc>
            </w:tr>
            <w:tr>
              <w:tc>
                <w:tcPr>
                  <w:tcW w:type="dxa" w:w="511"/>
                  <w:vMerge/>
                  <w:tcBorders>
                    <w:top w:val="none" w:color="000000" w:sz="4"/>
                    <w:left w:val="single" w:color="808080" w:sz="4"/>
                    <w:bottom w:val="none" w:color="000000" w:sz="4"/>
                    <w:right w:val="single" w:color="808080" w:sz="4"/>
                  </w:tcBorders>
                </w:tcP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shd w:fill="FFFFFF"/>
                  <w:tcMar>
                    <w:top w:type="dxa" w:w="0"/>
                    <w:left w:type="dxa" w:w="135"/>
                    <w:bottom w:type="dxa" w:w="0"/>
                    <w:right w:type="dxa" w:w="135"/>
                  </w:tcMar>
                  <w:vAlign w:val="top"/>
                </w:tcPr>
                <w:p>
                  <w:pPr>
                    <w:pStyle w:val="null3"/>
                    <w:jc w:val="left"/>
                  </w:pPr>
                  <w:r>
                    <w:rPr>
                      <w:rFonts w:ascii="仿宋_GB2312" w:hAnsi="仿宋_GB2312" w:cs="仿宋_GB2312" w:eastAsia="仿宋_GB2312"/>
                      <w:sz w:val="21"/>
                      <w:color w:val="000000"/>
                    </w:rPr>
                    <w:t>合理化建议被采纳，为后勤管理带来明显效益的</w:t>
                  </w:r>
                </w:p>
              </w:tc>
              <w:tc>
                <w:tcPr>
                  <w:tcW w:type="dxa" w:w="511"/>
                  <w:vMerge/>
                  <w:tcBorders>
                    <w:top w:val="none" w:color="000000" w:sz="4"/>
                    <w:left w:val="none" w:color="000000" w:sz="4"/>
                    <w:bottom w:val="none" w:color="000000" w:sz="4"/>
                    <w:right w:val="single" w:color="808080" w:sz="4"/>
                  </w:tcBorders>
                </w:tcPr>
                <w:p/>
              </w:tc>
              <w:tc>
                <w:tcPr>
                  <w:tcW w:type="dxa" w:w="511"/>
                  <w:tcBorders>
                    <w:top w:val="none" w:color="000000" w:sz="4"/>
                    <w:left w:val="none" w:color="000000" w:sz="4"/>
                    <w:bottom w:val="single" w:color="808080" w:sz="4"/>
                    <w:right w:val="single" w:color="808080" w:sz="4"/>
                  </w:tcBorders>
                  <w:tcMar>
                    <w:top w:type="dxa" w:w="0"/>
                    <w:left w:type="dxa" w:w="135"/>
                    <w:bottom w:type="dxa" w:w="0"/>
                    <w:right w:type="dxa" w:w="135"/>
                  </w:tcMar>
                  <w:vAlign w:val="top"/>
                </w:tcPr>
                <w:p>
                  <w:pPr>
                    <w:pStyle w:val="null3"/>
                    <w:jc w:val="left"/>
                  </w:pPr>
                  <w:r>
                    <w:rPr>
                      <w:rFonts w:ascii="仿宋_GB2312" w:hAnsi="仿宋_GB2312" w:cs="仿宋_GB2312" w:eastAsia="仿宋_GB2312"/>
                      <w:sz w:val="21"/>
                      <w:color w:val="000000"/>
                    </w:rPr>
                    <w:t>按次加</w:t>
                  </w:r>
                  <w:r>
                    <w:rPr>
                      <w:rFonts w:ascii="仿宋_GB2312" w:hAnsi="仿宋_GB2312" w:cs="仿宋_GB2312" w:eastAsia="仿宋_GB2312"/>
                      <w:sz w:val="21"/>
                      <w:color w:val="000000"/>
                    </w:rPr>
                    <w:t>0.5-2分</w:t>
                  </w:r>
                </w:p>
              </w:tc>
            </w:tr>
            <w:tr>
              <w:tc>
                <w:tcPr>
                  <w:tcW w:type="dxa" w:w="1022"/>
                  <w:gridSpan w:val="2"/>
                  <w:tcBorders>
                    <w:top w:val="none" w:color="000000" w:sz="4"/>
                    <w:left w:val="single" w:color="80808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合计</w:t>
                  </w:r>
                </w:p>
              </w:tc>
              <w:tc>
                <w:tcPr>
                  <w:tcW w:type="dxa" w:w="511"/>
                  <w:tcBorders>
                    <w:top w:val="none" w:color="000000" w:sz="4"/>
                    <w:left w:val="none" w:color="000000" w:sz="4"/>
                    <w:bottom w:val="single" w:color="808080" w:sz="4"/>
                    <w:right w:val="single" w:color="808080" w:sz="4"/>
                  </w:tcBorders>
                  <w:shd w:fill="FFFFFF"/>
                  <w:tcMar>
                    <w:top w:type="dxa" w:w="0"/>
                    <w:left w:type="dxa" w:w="120"/>
                    <w:bottom w:type="dxa" w:w="0"/>
                    <w:right w:type="dxa" w:w="135"/>
                  </w:tcMar>
                  <w:vAlign w:val="top"/>
                </w:tcPr>
                <w:p>
                  <w:pPr>
                    <w:pStyle w:val="null3"/>
                    <w:jc w:val="left"/>
                  </w:pPr>
                  <w:r>
                    <w:rPr>
                      <w:rFonts w:ascii="仿宋_GB2312" w:hAnsi="仿宋_GB2312" w:cs="仿宋_GB2312" w:eastAsia="仿宋_GB2312"/>
                    </w:rPr>
                    <w:t xml:space="preserve"> </w:t>
                  </w:r>
                </w:p>
              </w:tc>
              <w:tc>
                <w:tcPr>
                  <w:tcW w:type="dxa" w:w="511"/>
                  <w:tcBorders>
                    <w:top w:val="none" w:color="000000" w:sz="4"/>
                    <w:left w:val="none" w:color="000000" w:sz="4"/>
                    <w:bottom w:val="single" w:color="808080" w:sz="4"/>
                    <w:right w:val="single" w:color="808080" w:sz="4"/>
                  </w:tcBorders>
                  <w:tcMar>
                    <w:top w:type="dxa" w:w="0"/>
                    <w:left w:type="dxa" w:w="135"/>
                    <w:bottom w:type="dxa" w:w="0"/>
                    <w:right w:type="dxa" w:w="135"/>
                  </w:tcMar>
                  <w:vAlign w:val="top"/>
                </w:tcPr>
                <w:p>
                  <w:pPr>
                    <w:pStyle w:val="null3"/>
                    <w:jc w:val="center"/>
                  </w:pPr>
                  <w:r>
                    <w:rPr>
                      <w:rFonts w:ascii="仿宋_GB2312" w:hAnsi="仿宋_GB2312" w:cs="仿宋_GB2312" w:eastAsia="仿宋_GB2312"/>
                      <w:sz w:val="21"/>
                      <w:color w:val="000000"/>
                    </w:rPr>
                    <w:t>100分</w:t>
                  </w:r>
                </w:p>
              </w:tc>
              <w:tc>
                <w:tcPr>
                  <w:tcW w:type="dxa" w:w="511"/>
                  <w:tcBorders>
                    <w:top w:val="none" w:color="000000" w:sz="4"/>
                    <w:left w:val="none" w:color="000000" w:sz="4"/>
                    <w:bottom w:val="single" w:color="808080" w:sz="4"/>
                    <w:right w:val="single" w:color="808080" w:sz="4"/>
                  </w:tcBorders>
                  <w:tcMar>
                    <w:top w:type="dxa" w:w="0"/>
                    <w:left w:type="dxa" w:w="135"/>
                    <w:bottom w:type="dxa" w:w="0"/>
                    <w:right w:type="dxa" w:w="135"/>
                  </w:tcMar>
                  <w:vAlign w:val="top"/>
                </w:tcPr>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sz w:val="24"/>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服务期限：自合同签订之日起满</w:t>
            </w:r>
            <w:r>
              <w:rPr>
                <w:rFonts w:ascii="仿宋_GB2312" w:hAnsi="仿宋_GB2312" w:cs="仿宋_GB2312" w:eastAsia="仿宋_GB2312"/>
              </w:rPr>
              <w:t>3</w:t>
            </w:r>
            <w:r>
              <w:rPr>
                <w:rFonts w:ascii="仿宋_GB2312" w:hAnsi="仿宋_GB2312" w:cs="仿宋_GB2312" w:eastAsia="仿宋_GB2312"/>
              </w:rPr>
              <w:t>年。</w:t>
            </w:r>
          </w:p>
          <w:p>
            <w:pPr>
              <w:pStyle w:val="null3"/>
              <w:jc w:val="left"/>
            </w:pPr>
            <w:r>
              <w:rPr>
                <w:rFonts w:ascii="仿宋_GB2312" w:hAnsi="仿宋_GB2312" w:cs="仿宋_GB2312" w:eastAsia="仿宋_GB2312"/>
              </w:rPr>
              <w:t>服务地点：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机关食堂（海南省文昌市文城镇文清大道</w:t>
            </w:r>
            <w:r>
              <w:rPr>
                <w:rFonts w:ascii="仿宋_GB2312" w:hAnsi="仿宋_GB2312" w:cs="仿宋_GB2312" w:eastAsia="仿宋_GB2312"/>
                <w:sz w:val="21"/>
              </w:rPr>
              <w:t>477号）</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、文城区域食堂（海南省文昌市文城镇文清大道）</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、东郊分局食堂（海南省文昌市东郊镇码头路</w:t>
            </w:r>
            <w:r>
              <w:rPr>
                <w:rFonts w:ascii="仿宋_GB2312" w:hAnsi="仿宋_GB2312" w:cs="仿宋_GB2312" w:eastAsia="仿宋_GB2312"/>
                <w:sz w:val="21"/>
              </w:rPr>
              <w:t>43号）</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、铺前分局食堂（海南省文昌市铺前镇新兴街）</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、会文分局食堂（海南省文昌市会文镇育才路）</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、潭牛分局食堂（海南省文昌市潭牛镇凤祥路</w:t>
            </w:r>
            <w:r>
              <w:rPr>
                <w:rFonts w:ascii="仿宋_GB2312" w:hAnsi="仿宋_GB2312" w:cs="仿宋_GB2312" w:eastAsia="仿宋_GB2312"/>
                <w:sz w:val="21"/>
              </w:rPr>
              <w:t>11号）</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、龙楼分局食堂（海南省文昌市龙楼镇文铜大道</w:t>
            </w:r>
            <w:r>
              <w:rPr>
                <w:rFonts w:ascii="仿宋_GB2312" w:hAnsi="仿宋_GB2312" w:cs="仿宋_GB2312" w:eastAsia="仿宋_GB2312"/>
                <w:sz w:val="21"/>
              </w:rPr>
              <w:t>44号）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b/>
              </w:rPr>
              <w:t>本项目采购预算：</w:t>
            </w:r>
            <w:r>
              <w:rPr>
                <w:rFonts w:ascii="仿宋_GB2312" w:hAnsi="仿宋_GB2312" w:cs="仿宋_GB2312" w:eastAsia="仿宋_GB2312"/>
                <w:sz w:val="21"/>
                <w:b/>
              </w:rPr>
              <w:t>784</w:t>
            </w:r>
            <w:r>
              <w:rPr>
                <w:rFonts w:ascii="仿宋_GB2312" w:hAnsi="仿宋_GB2312" w:cs="仿宋_GB2312" w:eastAsia="仿宋_GB2312"/>
                <w:sz w:val="21"/>
                <w:b/>
              </w:rPr>
              <w:t>.</w:t>
            </w:r>
            <w:r>
              <w:rPr>
                <w:rFonts w:ascii="仿宋_GB2312" w:hAnsi="仿宋_GB2312" w:cs="仿宋_GB2312" w:eastAsia="仿宋_GB2312"/>
                <w:sz w:val="21"/>
                <w:b/>
              </w:rPr>
              <w:t>3644</w:t>
            </w:r>
            <w:r>
              <w:rPr>
                <w:rFonts w:ascii="仿宋_GB2312" w:hAnsi="仿宋_GB2312" w:cs="仿宋_GB2312" w:eastAsia="仿宋_GB2312"/>
                <w:sz w:val="21"/>
                <w:b/>
              </w:rPr>
              <w:t>万元（报价不得超过采购预算），</w:t>
            </w:r>
            <w:r>
              <w:rPr>
                <w:rFonts w:ascii="仿宋_GB2312" w:hAnsi="仿宋_GB2312" w:cs="仿宋_GB2312" w:eastAsia="仿宋_GB2312"/>
                <w:sz w:val="21"/>
                <w:b/>
              </w:rPr>
              <w:t>其中食堂烹饪服务预算金额总价</w:t>
            </w:r>
            <w:r>
              <w:rPr>
                <w:rFonts w:ascii="仿宋_GB2312" w:hAnsi="仿宋_GB2312" w:cs="仿宋_GB2312" w:eastAsia="仿宋_GB2312"/>
                <w:sz w:val="21"/>
                <w:b/>
              </w:rPr>
              <w:t>3,489,084.00元（1,163,028.00元/年）；食堂食材采购预算金额总价4,354,560.00元（1,451,520.00元/年）</w:t>
            </w:r>
            <w:r>
              <w:rPr>
                <w:rFonts w:ascii="仿宋_GB2312" w:hAnsi="仿宋_GB2312" w:cs="仿宋_GB2312" w:eastAsia="仿宋_GB2312"/>
                <w:sz w:val="21"/>
                <w:b/>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合同类型、定价方式及合同文本的主要条款</w:t>
      </w:r>
    </w:p>
    <w:p>
      <w:pPr>
        <w:pStyle w:val="null3"/>
        <w:ind w:firstLine="640"/>
        <w:jc w:val="left"/>
      </w:pPr>
      <w:r>
        <w:rPr>
          <w:rFonts w:ascii="仿宋_GB2312" w:hAnsi="仿宋_GB2312" w:cs="仿宋_GB2312" w:eastAsia="仿宋_GB2312"/>
          <w:sz w:val="24"/>
        </w:rPr>
        <w:t>本项目拟签订食堂服务费为固定总价，食堂采购及配送据实结算的服务类合同。</w:t>
      </w:r>
    </w:p>
    <w:p>
      <w:pPr>
        <w:pStyle w:val="null3"/>
        <w:ind w:firstLine="640"/>
        <w:jc w:val="left"/>
      </w:pPr>
      <w:r>
        <w:rPr>
          <w:rFonts w:ascii="仿宋_GB2312" w:hAnsi="仿宋_GB2312" w:cs="仿宋_GB2312" w:eastAsia="仿宋_GB2312"/>
          <w:sz w:val="24"/>
        </w:rPr>
        <w:t>定价和结算依据：</w:t>
      </w:r>
    </w:p>
    <w:p>
      <w:pPr>
        <w:pStyle w:val="null3"/>
        <w:ind w:firstLine="640"/>
        <w:jc w:val="left"/>
      </w:pPr>
      <w:r>
        <w:rPr>
          <w:rFonts w:ascii="仿宋_GB2312" w:hAnsi="仿宋_GB2312" w:cs="仿宋_GB2312" w:eastAsia="仿宋_GB2312"/>
          <w:sz w:val="24"/>
        </w:rPr>
        <w:t>1.食堂服务费：服务费按季度为一个付款周期，供应商于每个付款周期第一个月20日前开具足额发票予采购人，采购人收到发票后</w:t>
      </w:r>
      <w:r>
        <w:rPr>
          <w:rFonts w:ascii="仿宋_GB2312" w:hAnsi="仿宋_GB2312" w:cs="仿宋_GB2312" w:eastAsia="仿宋_GB2312"/>
          <w:sz w:val="24"/>
        </w:rPr>
        <w:t>将本周期费用以转账方式支付给供应商（节假日顺延）。供应商未能按时提供发票的，采购人有权延期付款。</w:t>
      </w:r>
    </w:p>
    <w:p>
      <w:pPr>
        <w:pStyle w:val="null3"/>
        <w:ind w:firstLine="640"/>
        <w:jc w:val="left"/>
      </w:pPr>
      <w:r>
        <w:rPr>
          <w:rFonts w:ascii="仿宋_GB2312" w:hAnsi="仿宋_GB2312" w:cs="仿宋_GB2312" w:eastAsia="仿宋_GB2312"/>
          <w:sz w:val="24"/>
        </w:rPr>
        <w:t>2.食堂食材采购费：</w:t>
      </w:r>
    </w:p>
    <w:p>
      <w:pPr>
        <w:pStyle w:val="null3"/>
        <w:ind w:firstLine="640"/>
        <w:jc w:val="left"/>
      </w:pPr>
      <w:r>
        <w:rPr>
          <w:rFonts w:ascii="仿宋_GB2312" w:hAnsi="仿宋_GB2312" w:cs="仿宋_GB2312" w:eastAsia="仿宋_GB2312"/>
          <w:sz w:val="24"/>
        </w:rPr>
        <w:t>依据甲方规定的餐标和每日报餐人数为基准，按甲方对供应采购配送食材审核、确认的采购食材费用。如发现有虚报、谎报的，采购人有权予以剔除。在乙方履行合同良好的情况下，甲方按月予以支付，但在甲方付款之前，乙方应商须开具的正规模增值税发票、提交</w:t>
      </w:r>
      <w:r>
        <w:rPr>
          <w:rFonts w:ascii="仿宋_GB2312" w:hAnsi="仿宋_GB2312" w:cs="仿宋_GB2312" w:eastAsia="仿宋_GB2312"/>
          <w:sz w:val="24"/>
        </w:rPr>
        <w:t>“付款申请函”和甲方的履约验收；若乙方未按报餐人数和采购规定餐标，超量采购配送以及虚报报餐人数，甲方可拒绝支付超额部分的食材费</w:t>
      </w:r>
      <w:r>
        <w:rPr>
          <w:rFonts w:ascii="仿宋_GB2312" w:hAnsi="仿宋_GB2312" w:cs="仿宋_GB2312" w:eastAsia="仿宋_GB2312"/>
          <w:sz w:val="24"/>
        </w:rPr>
        <w:t>。</w:t>
      </w:r>
    </w:p>
    <w:p>
      <w:pPr>
        <w:pStyle w:val="null3"/>
        <w:ind w:firstLine="640"/>
        <w:jc w:val="left"/>
      </w:pPr>
      <w:r>
        <w:rPr>
          <w:rFonts w:ascii="仿宋_GB2312" w:hAnsi="仿宋_GB2312" w:cs="仿宋_GB2312" w:eastAsia="仿宋_GB2312"/>
          <w:sz w:val="24"/>
        </w:rPr>
        <w:t>最终结算总价金额不超过采购预算金额。</w:t>
      </w:r>
    </w:p>
    <w:p>
      <w:pPr>
        <w:pStyle w:val="null3"/>
        <w:ind w:firstLine="640"/>
        <w:jc w:val="left"/>
      </w:pPr>
      <w:r>
        <w:rPr>
          <w:rFonts w:ascii="仿宋_GB2312" w:hAnsi="仿宋_GB2312" w:cs="仿宋_GB2312" w:eastAsia="仿宋_GB2312"/>
          <w:sz w:val="24"/>
        </w:rPr>
        <w:t>不收取履约保证金。</w:t>
      </w:r>
    </w:p>
    <w:p>
      <w:pPr>
        <w:pStyle w:val="null3"/>
        <w:ind w:firstLine="480"/>
        <w:jc w:val="left"/>
      </w:pPr>
      <w:r>
        <w:rPr>
          <w:rFonts w:ascii="仿宋_GB2312" w:hAnsi="仿宋_GB2312" w:cs="仿宋_GB2312" w:eastAsia="仿宋_GB2312"/>
          <w:sz w:val="24"/>
        </w:rPr>
        <w:t>合同文本的主要条款使用经法律顾问审定的政府采购合同标准文本。</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供应商具有《食品经营许可证》或《食品生产许可证》。仅提供《食品生产许可证》的，许可范围应包括本包中除农产品外的全部供应品类。提供许可证扫描件。</w:t>
            </w:r>
          </w:p>
        </w:tc>
        <w:tc>
          <w:tcPr>
            <w:tcW w:type="dxa" w:w="3322"/>
          </w:tcPr>
          <w:p>
            <w:pPr>
              <w:pStyle w:val="null3"/>
              <w:jc w:val="left"/>
            </w:pPr>
            <w:r>
              <w:rPr>
                <w:rFonts w:ascii="仿宋_GB2312" w:hAnsi="仿宋_GB2312" w:cs="仿宋_GB2312" w:eastAsia="仿宋_GB2312"/>
              </w:rPr>
              <w:t>供应商具有《食品经营许可证》或《食品生产许可证》。仅提供《食品生产许可证》的，许可范围应包括本包中除农产品外的全部供应品类。提供许可证扫描件。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投标有效期须满足须知前附表6的要求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商务部分50.00分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秩序维护（保安）服务方案</w:t>
            </w:r>
          </w:p>
        </w:tc>
        <w:tc>
          <w:tcPr>
            <w:tcW w:type="dxa" w:w="2492"/>
          </w:tcPr>
          <w:p>
            <w:pPr>
              <w:pStyle w:val="null3"/>
              <w:jc w:val="both"/>
            </w:pPr>
            <w:r>
              <w:rPr>
                <w:rFonts w:ascii="仿宋_GB2312" w:hAnsi="仿宋_GB2312" w:cs="仿宋_GB2312" w:eastAsia="仿宋_GB2312"/>
              </w:rPr>
              <w:t>投标人提供针对本项目特点制定的秩序维护（保安）服务方案，方案内容包含但不限于：1.24小时多班值勤值守；2.突发事件处置；3.日常巡查；4.安全检查；5.车辆管理等。 1.方案涵盖上述5项内容且满足采购需求得7分； 2.上述5项内容每缺少一项扣1.4分；每项内容中每一处存在缺陷扣0.7分，每一项缺陷最多扣0.7分。内容缺陷是指：不满足采购需求或不适用本项目需求的情形。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投标人提供针对本项目特点制定的保洁服务方案，方案内容包含但不限于：1. 道路、广场、停车场、绿地等保洁；2. 电梯厅、楼道保洁；3.大厅保洁；4.卫生间保洁；5.化粪池检查及消杀工作；6.办公室、会议保洁；7.落实下班后断水断电等。 1.方案涵盖上述7项内容且满足采购需求得7分； 2.上述7项内容每缺少一项扣1分；每项内容中每一处存在缺陷扣0.5分，每一项缺陷最多扣0.5分。内容缺陷是指：不满足采购需求或不适用本项目需求的情形。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设施设备养护及日常维修服务方案</w:t>
            </w:r>
          </w:p>
        </w:tc>
        <w:tc>
          <w:tcPr>
            <w:tcW w:type="dxa" w:w="2492"/>
          </w:tcPr>
          <w:p>
            <w:pPr>
              <w:pStyle w:val="null3"/>
              <w:jc w:val="both"/>
            </w:pPr>
            <w:r>
              <w:rPr>
                <w:rFonts w:ascii="仿宋_GB2312" w:hAnsi="仿宋_GB2312" w:cs="仿宋_GB2312" w:eastAsia="仿宋_GB2312"/>
              </w:rPr>
              <w:t>投标人提供针对本项目特点制定的设施设备养护及日常维修服务方案，方案内容包含但不限于：1.日常巡检制度；2.消防设备养护及日常维修；3.供水设备养护及日常维修；4.供配电设备养护及日常维修；5.电梯系统养护及日常维修等。 1.方案涵盖上述5项内容且满足采购需求得7分； 2.上述5项内容每缺少一项扣1.4分；每项内容中每一处存在缺陷扣0.7分，每一项缺陷最多扣0.7分。内容缺陷是指：不满足采购需求或不适用本项目需求的情形。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会议服务保障服务方案</w:t>
            </w:r>
          </w:p>
        </w:tc>
        <w:tc>
          <w:tcPr>
            <w:tcW w:type="dxa" w:w="2492"/>
          </w:tcPr>
          <w:p>
            <w:pPr>
              <w:pStyle w:val="null3"/>
              <w:jc w:val="both"/>
            </w:pPr>
            <w:r>
              <w:rPr>
                <w:rFonts w:ascii="仿宋_GB2312" w:hAnsi="仿宋_GB2312" w:cs="仿宋_GB2312" w:eastAsia="仿宋_GB2312"/>
              </w:rPr>
              <w:t>投标人提供针对本项目特点制定的会议服务保障服务方案，方案内容包含但不限于：1.会场布置；2.会议设备保障；3.会议茶水保障；4. 会议资料发放和人员签到；5.会议现场管理等。 1.方案涵盖上述5项内容且满足采购需求得7分； 2.上述5项内容每缺少一项扣1.4分；每项内容中每一处存在缺陷扣0.7分，每一项缺陷最多扣0.7分。内容缺陷是指：不满足采购需求或不适用本项目需求的情形。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房屋管理服务方案</w:t>
            </w:r>
          </w:p>
        </w:tc>
        <w:tc>
          <w:tcPr>
            <w:tcW w:type="dxa" w:w="2492"/>
          </w:tcPr>
          <w:p>
            <w:pPr>
              <w:pStyle w:val="null3"/>
              <w:jc w:val="both"/>
            </w:pPr>
            <w:r>
              <w:rPr>
                <w:rFonts w:ascii="仿宋_GB2312" w:hAnsi="仿宋_GB2312" w:cs="仿宋_GB2312" w:eastAsia="仿宋_GB2312"/>
              </w:rPr>
              <w:t>投标人提供针对本项目特点制定的房屋管理服务方案，方案内容包含但不限于：1.房屋主体结构；2.房屋围护结构、部品部件；3.其他设施（路面、家具等）；4.装饰装修监督管理；5.标识标牌；6.简易维修维护等。 1.方案涵盖上述6项内容且满足采购需求得6分； 2.上述6项内容每缺少一项扣1分；每项内容中每一处存在缺陷扣0.5分，每一项缺陷最多扣0.5分。内容缺陷是指：不满足采购需求或不适用本项目需求的情形。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消防、紧急情况处置服务方案</w:t>
            </w:r>
          </w:p>
        </w:tc>
        <w:tc>
          <w:tcPr>
            <w:tcW w:type="dxa" w:w="2492"/>
          </w:tcPr>
          <w:p>
            <w:pPr>
              <w:pStyle w:val="null3"/>
              <w:jc w:val="both"/>
            </w:pPr>
            <w:r>
              <w:rPr>
                <w:rFonts w:ascii="仿宋_GB2312" w:hAnsi="仿宋_GB2312" w:cs="仿宋_GB2312" w:eastAsia="仿宋_GB2312"/>
              </w:rPr>
              <w:t>投标人提供针对本项目特点制定的消防、紧急情况处置服务方案，方案内容包含但不限于：1.消防制度；2.消防设备监管；3.消防应急预案；4.重点区域及安全隐患排查；5.应急预案的培训和演练；6.应急情况发生响应等。 1.方案涵盖上述6项内容且满足采购需求得6分； 2.上述6项内容每缺少一项扣1分；每项内容中每一处存在缺陷扣0.5分，每一项缺陷最多扣0.5分。内容缺陷是指：不满足采购需求或不适用本项目需求的情形。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投标人企业综合实力</w:t>
            </w:r>
          </w:p>
        </w:tc>
        <w:tc>
          <w:tcPr>
            <w:tcW w:type="dxa" w:w="2492"/>
          </w:tcPr>
          <w:p>
            <w:pPr>
              <w:pStyle w:val="null3"/>
              <w:jc w:val="both"/>
            </w:pPr>
            <w:r>
              <w:rPr>
                <w:rFonts w:ascii="仿宋_GB2312" w:hAnsi="仿宋_GB2312" w:cs="仿宋_GB2312" w:eastAsia="仿宋_GB2312"/>
              </w:rPr>
              <w:t>投标人具有质量管理体系认证证书(ISO9001)、环境管理体系认证证书(ISO14001)、职业健康安全管理体系认证证书(ISO45001)。每提供一项得4分，共12分。 注：投标文件中须提供证书复印件（加盖公章），未提供证明材料的，此项不得分。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投标人具有自2022年1月1日以来（以合同签订日期为准）类似项目案例，每提供一个得2.5分，最多得10分。 证明材料：请附上合同关键页（含签订合同双方的单位名称、合同项目名称、项目金额与含签订合同双方的落款盖章、签订日期的关键页）复印件作为类似业绩评价证明资料并加盖公章，未按要求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人员配置情况</w:t>
            </w:r>
          </w:p>
        </w:tc>
        <w:tc>
          <w:tcPr>
            <w:tcW w:type="dxa" w:w="2492"/>
          </w:tcPr>
          <w:p>
            <w:pPr>
              <w:pStyle w:val="null3"/>
              <w:jc w:val="both"/>
            </w:pPr>
            <w:r>
              <w:rPr>
                <w:rFonts w:ascii="仿宋_GB2312" w:hAnsi="仿宋_GB2312" w:cs="仿宋_GB2312" w:eastAsia="仿宋_GB2312"/>
              </w:rPr>
              <w:t>投标人针对本项目所配备的人员应具有相关工作经验： （1）本项目配备的物业经理具有5年（含）以上物业管理经验得3分，3年（含）-5年（不含）物业管理经验得1分，3年以下物业管理经验不得分，满分3分； （2）本项目配备的电工具有1年（含）以上的相关工作经验，每有一人符合要求，得2分，满分2分； （3）本项目配备的保安人员具有1年（含）以上的安保服务工作经验，每有一人符合要求，得1分，满分14分； （4）本项目配备的保洁人员具有1年（含）以上的保洁工作经验，每有一人符合要求，得1分，满分7分； （5）本项目配备的会务人员具有1年（含）以上的会务工作经验，每有一人符合要求，得2分，满分2分； 备注：须提供相关工作经验证明，投标人为其缴纳的社保证明和劳动合同复印件，所有材料加盖公章。</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商务部分51.00分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食堂烹饪服务方案</w:t>
            </w:r>
          </w:p>
        </w:tc>
        <w:tc>
          <w:tcPr>
            <w:tcW w:type="dxa" w:w="2492"/>
          </w:tcPr>
          <w:p>
            <w:pPr>
              <w:pStyle w:val="null3"/>
              <w:jc w:val="both"/>
            </w:pPr>
            <w:r>
              <w:rPr>
                <w:rFonts w:ascii="仿宋_GB2312" w:hAnsi="仿宋_GB2312" w:cs="仿宋_GB2312" w:eastAsia="仿宋_GB2312"/>
              </w:rPr>
              <w:t>投标人根据本项目特点制定食堂烹饪服务方案，方案内容包含但不限于：1.供餐方式和时间管理；2.供餐品种和标准；3.按周制定每日菜品搭配；4.足量烹制饭菜等。 1.方案涵盖上述4项内容且满足采购需求得8分； 2.上述4项内容每缺少一项扣2分；每项内容中每一处存在缺陷扣1分，每一项缺陷最多扣1分。内容缺陷是指：不满足采购需求或不适用本项目需求的情形。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食材采购及配送服务方案</w:t>
            </w:r>
          </w:p>
        </w:tc>
        <w:tc>
          <w:tcPr>
            <w:tcW w:type="dxa" w:w="2492"/>
          </w:tcPr>
          <w:p>
            <w:pPr>
              <w:pStyle w:val="null3"/>
              <w:jc w:val="both"/>
            </w:pPr>
            <w:r>
              <w:rPr>
                <w:rFonts w:ascii="仿宋_GB2312" w:hAnsi="仿宋_GB2312" w:cs="仿宋_GB2312" w:eastAsia="仿宋_GB2312"/>
              </w:rPr>
              <w:t>投标人根据本项目特点制定食材采购及配送服务方案，方案内容包含但不限于：1.采购及配送管理制度；2.食材采购标准、食材自检、采购凭据留存；3.配送时限保障、临时加货处理、配送遗漏处罚措施；4.食材验收流程；5.采购及配送应急预案等。 1.方案涵盖上述5项内容且满足采购需求得8分； 2.上述5项内容每缺少一项扣1.6分；每项内容中每一处存在缺陷扣0.8分，每一项缺陷最多扣0.8分。内容缺陷是指：不满足采购需求或不适用本项目需求的情形。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食堂卫生管理方案</w:t>
            </w:r>
          </w:p>
        </w:tc>
        <w:tc>
          <w:tcPr>
            <w:tcW w:type="dxa" w:w="2492"/>
          </w:tcPr>
          <w:p>
            <w:pPr>
              <w:pStyle w:val="null3"/>
              <w:jc w:val="both"/>
            </w:pPr>
            <w:r>
              <w:rPr>
                <w:rFonts w:ascii="仿宋_GB2312" w:hAnsi="仿宋_GB2312" w:cs="仿宋_GB2312" w:eastAsia="仿宋_GB2312"/>
              </w:rPr>
              <w:t>投标人根据本项目特点制定食堂卫生管理方案，方案内容包含但不限于：1.人员管理；2.厨房卫生清洁管理；3.设施设备安全操作及清洁维护；4.食堂区域清洁管理等。 1.方案涵盖上述4项内容且满足采购需求得8分； 2.上述4项内容每缺少一项扣2分；每项内容中每一处存在缺陷扣1分，每一项缺陷最多扣1分。内容缺陷是指：不满足采购需求或不适用本项目需求的情形。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食堂安全管理方案</w:t>
            </w:r>
          </w:p>
        </w:tc>
        <w:tc>
          <w:tcPr>
            <w:tcW w:type="dxa" w:w="2492"/>
          </w:tcPr>
          <w:p>
            <w:pPr>
              <w:pStyle w:val="null3"/>
              <w:jc w:val="both"/>
            </w:pPr>
            <w:r>
              <w:rPr>
                <w:rFonts w:ascii="仿宋_GB2312" w:hAnsi="仿宋_GB2312" w:cs="仿宋_GB2312" w:eastAsia="仿宋_GB2312"/>
              </w:rPr>
              <w:t>投标人根据本项目特点制定食堂安全管理方案，方案内容包含但不限于：1.食品安全管理方案；2.生产安全管理方案；3.食材安全管理方案；4.从业人员健康管理方案等。 1.方案涵盖上述4项内容且满足采购需求得8分； 2.上述4项内容每缺少一项扣2分；每项内容中每一处存在缺陷扣1分，每一项缺陷最多扣1分。内容缺陷是指：不满足采购需求或不适用本项目需求的情形。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食堂应急预案</w:t>
            </w:r>
          </w:p>
        </w:tc>
        <w:tc>
          <w:tcPr>
            <w:tcW w:type="dxa" w:w="2492"/>
          </w:tcPr>
          <w:p>
            <w:pPr>
              <w:pStyle w:val="null3"/>
              <w:jc w:val="both"/>
            </w:pPr>
            <w:r>
              <w:rPr>
                <w:rFonts w:ascii="仿宋_GB2312" w:hAnsi="仿宋_GB2312" w:cs="仿宋_GB2312" w:eastAsia="仿宋_GB2312"/>
              </w:rPr>
              <w:t>投标人根据本项目特点制定食堂应急预案，方案内容包含但不限于：1.食品安全、生产安全事故应急方案；2.就餐人员及食堂员工人身安全管理的应急方案；3.停水、停电、停气应急方案；4.火灾应急方案；5.自然灾害应急方案等。1.方案涵盖上述5项内容且满足采购需求得7分； 2.上述5项内容每缺少一项扣1.4分；每项内容中每一处存在缺陷扣0.7分，每一项缺陷最多扣0.7分。内容缺陷是指：不满足采购需求或不适用本项目需求的情形。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投标人具有质量管理体系认证证书(ISO9001)、环境管理体系认证证书（ISO14001）、职业健康安全管理体系认证证书（ISO45001）、食品安全管理体系认证证书（ISO22000）。每提供一项得4分，上限16分。 注：投标文件中须提供证书复印件（加盖公章），未提供证明材料的，此项不得分。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投标人具有自2022年1月1日以来（以合同签订日期为准）类似项目案例，每提供一个得2.5分，最多得10分。 证明材料：请附上合同关键页（含签订合同双方的单位名称、合同项目名称、项目金额与含签订合同双方的落款盖章、签订日期的关键页）复印件作为类似业绩评价证明资料并加盖公章，未按要求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1.本项目餐饮项目经理：具有5年（含）以上餐饮服务工作经验得3分，3年（含）—5年（不含）餐饮服务工作经验得1分，3年（不含）以下餐饮服务工作经验不得分，此项满分3分。 2.本项目厨师：具有5年（含）以上相关工作经验,每人得2.5分,具有3年（含）—5年（不含）相关工作经验的，每人得1.5分，3年（不含）以下相关工作经验不得分，此项满分10分。 3.本项目采购员：具备2年（含）以上相关工作经验，每人得1分，2年（不含）以下相关工作经验不得分，同时具有机动车驾驶证可加1分，此项满分2分。 4.本项目洗消工：具有3年（含）以上相关工作经验的，每人得1分，3年（不含）以下相关工作经验不得分，此项满分5分。 5.本项目厨工兼保洁：具有3年（含）以上相关工作经验的，每人得1分，3年（不含）以下相关工作经验的不得分，此项满分5分。 注：以上相关人员需提供有效身份证复印件及相关单位缴交社保证明和劳动合同复印件，所有材料加盖公章。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详见附件：2025年国家税务总局文昌市税务局物业及食堂服务合同9.4.docx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2025年国家税务总局文昌市税务局物业及食堂服务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5112648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2025年国家税务总局文昌市税务局物业及食堂服务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食堂烹饪服务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3489084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食堂食材采购配送</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4354560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1.投标人应负责采购食材，不再单独支付食材配送服务费。食材费由中标供商仅按照采购人规定餐标和每日实际用餐人数配购食材并进行配送，其食材费据实结算，供应商仅按食材费的预算金额进行报价。</w:t>
      </w:r>
    </w:p>
    <w:p>
      <w:pPr>
        <w:pStyle w:val="null3"/>
        <w:jc w:val="left"/>
      </w:pPr>
      <w:r>
        <w:rPr>
          <w:rFonts w:ascii="仿宋_GB2312" w:hAnsi="仿宋_GB2312" w:cs="仿宋_GB2312" w:eastAsia="仿宋_GB2312"/>
        </w:rPr>
        <w:t>2.未按规定报价，视为无效投标。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ind w:firstLine="960"/>
        <w:jc w:val="left"/>
      </w:pPr>
      <w:r>
        <w:rPr>
          <w:rFonts w:ascii="仿宋_GB2312" w:hAnsi="仿宋_GB2312" w:cs="仿宋_GB2312" w:eastAsia="仿宋_GB2312"/>
        </w:rPr>
        <w:t>详见附件：响应文件格式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